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702310</wp:posOffset>
            </wp:positionV>
            <wp:extent cx="72339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920" cy="1714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727710</wp:posOffset>
            </wp:positionV>
            <wp:extent cx="72339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39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2853690</wp:posOffset>
            </wp:positionH>
            <wp:positionV relativeFrom="paragraph">
              <wp:posOffset>193040</wp:posOffset>
            </wp:positionV>
            <wp:extent cx="1532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2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2853690</wp:posOffset>
            </wp:positionH>
            <wp:positionV relativeFrom="paragraph">
              <wp:posOffset>203835</wp:posOffset>
            </wp:positionV>
            <wp:extent cx="1532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2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356870</wp:posOffset>
            </wp:positionV>
            <wp:extent cx="4104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046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3500" w:right="1100" w:hanging="3029"/>
        <w:spacing w:after="0" w:line="382" w:lineRule="auto"/>
        <w:tabs>
          <w:tab w:leader="none" w:pos="120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4096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96385" cy="8255"/>
                    </a:xfrm>
                    <a:prstGeom prst="rect">
                      <a:avLst/>
                    </a:prstGeom>
                    <a:noFill/>
                  </pic:spPr>
                </pic:pic>
              </a:graphicData>
            </a:graphic>
          </wp:anchor>
        </w:drawing>
      </w:r>
    </w:p>
    <w:p>
      <w:pPr>
        <w:spacing w:after="0" w:line="2" w:lineRule="exact"/>
        <w:rPr>
          <w:sz w:val="24"/>
          <w:szCs w:val="24"/>
          <w:color w:val="auto"/>
        </w:rPr>
      </w:pPr>
    </w:p>
    <w:p>
      <w:pPr>
        <w:ind w:left="1180" w:hanging="716"/>
        <w:spacing w:after="0"/>
        <w:tabs>
          <w:tab w:leader="none" w:pos="1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2" w:lineRule="exact"/>
        <w:rPr>
          <w:rFonts w:ascii="Arial" w:cs="Arial" w:eastAsia="Arial" w:hAnsi="Arial"/>
          <w:sz w:val="18"/>
          <w:szCs w:val="18"/>
          <w:b w:val="1"/>
          <w:bCs w:val="1"/>
          <w:color w:val="auto"/>
        </w:rPr>
      </w:pPr>
    </w:p>
    <w:p>
      <w:pPr>
        <w:ind w:left="40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2853690</wp:posOffset>
            </wp:positionH>
            <wp:positionV relativeFrom="paragraph">
              <wp:posOffset>203835</wp:posOffset>
            </wp:positionV>
            <wp:extent cx="1532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1580" w:type="dxa"/>
        <w:tblCellMar>
          <w:top w:w="0" w:type="dxa"/>
          <w:left w:w="0" w:type="dxa"/>
          <w:bottom w:w="0" w:type="dxa"/>
          <w:right w:w="0" w:type="dxa"/>
        </w:tblCellMar>
      </w:tblPr>
      <w:tr>
        <w:trPr>
          <w:trHeight w:val="419"/>
        </w:trPr>
        <w:tc>
          <w:tcPr>
            <w:tcW w:w="2420" w:type="dxa"/>
            <w:vAlign w:val="bottom"/>
          </w:tcPr>
          <w:p>
            <w:pPr>
              <w:spacing w:after="0"/>
              <w:rPr>
                <w:sz w:val="24"/>
                <w:szCs w:val="24"/>
                <w:color w:val="auto"/>
              </w:rPr>
            </w:pPr>
          </w:p>
        </w:tc>
        <w:tc>
          <w:tcPr>
            <w:tcW w:w="5360" w:type="dxa"/>
            <w:vAlign w:val="bottom"/>
            <w:gridSpan w:val="3"/>
          </w:tcPr>
          <w:p>
            <w:pPr>
              <w:jc w:val="center"/>
              <w:ind w:right="1889"/>
              <w:spacing w:after="0"/>
              <w:rPr>
                <w:sz w:val="20"/>
                <w:szCs w:val="20"/>
                <w:color w:val="auto"/>
              </w:rPr>
            </w:pPr>
            <w:r>
              <w:rPr>
                <w:rFonts w:ascii="Arial" w:cs="Arial" w:eastAsia="Arial" w:hAnsi="Arial"/>
                <w:sz w:val="32"/>
                <w:szCs w:val="32"/>
                <w:b w:val="1"/>
                <w:bCs w:val="1"/>
                <w:color w:val="auto"/>
                <w:w w:val="95"/>
              </w:rPr>
              <w:t>GSV Capital Corp.</w:t>
            </w:r>
          </w:p>
        </w:tc>
      </w:tr>
      <w:tr>
        <w:trPr>
          <w:trHeight w:val="254"/>
        </w:trPr>
        <w:tc>
          <w:tcPr>
            <w:tcW w:w="2420" w:type="dxa"/>
            <w:vAlign w:val="bottom"/>
          </w:tcPr>
          <w:p>
            <w:pPr>
              <w:spacing w:after="0"/>
              <w:rPr>
                <w:sz w:val="22"/>
                <w:szCs w:val="22"/>
                <w:color w:val="auto"/>
              </w:rPr>
            </w:pPr>
          </w:p>
        </w:tc>
        <w:tc>
          <w:tcPr>
            <w:tcW w:w="5360" w:type="dxa"/>
            <w:vAlign w:val="bottom"/>
            <w:gridSpan w:val="3"/>
          </w:tcPr>
          <w:p>
            <w:pPr>
              <w:jc w:val="center"/>
              <w:ind w:right="1849"/>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r>
      <w:tr>
        <w:trPr>
          <w:trHeight w:val="300"/>
        </w:trPr>
        <w:tc>
          <w:tcPr>
            <w:tcW w:w="2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478"/>
        </w:trPr>
        <w:tc>
          <w:tcPr>
            <w:tcW w:w="2420" w:type="dxa"/>
            <w:vAlign w:val="bottom"/>
          </w:tcPr>
          <w:p>
            <w:pPr>
              <w:jc w:val="center"/>
              <w:ind w:right="61"/>
              <w:spacing w:after="0"/>
              <w:rPr>
                <w:sz w:val="20"/>
                <w:szCs w:val="20"/>
                <w:color w:val="auto"/>
              </w:rPr>
            </w:pPr>
            <w:r>
              <w:rPr>
                <w:rFonts w:ascii="Arial" w:cs="Arial" w:eastAsia="Arial" w:hAnsi="Arial"/>
                <w:sz w:val="18"/>
                <w:szCs w:val="18"/>
                <w:b w:val="1"/>
                <w:bCs w:val="1"/>
                <w:color w:val="auto"/>
                <w:w w:val="96"/>
              </w:rPr>
              <w:t>Maryland</w:t>
            </w:r>
          </w:p>
        </w:tc>
        <w:tc>
          <w:tcPr>
            <w:tcW w:w="5360" w:type="dxa"/>
            <w:vAlign w:val="bottom"/>
            <w:gridSpan w:val="3"/>
          </w:tcPr>
          <w:p>
            <w:pPr>
              <w:jc w:val="right"/>
              <w:ind w:right="529"/>
              <w:spacing w:after="0"/>
              <w:rPr>
                <w:sz w:val="20"/>
                <w:szCs w:val="20"/>
                <w:color w:val="auto"/>
              </w:rPr>
            </w:pPr>
            <w:r>
              <w:rPr>
                <w:rFonts w:ascii="Arial" w:cs="Arial" w:eastAsia="Arial" w:hAnsi="Arial"/>
                <w:sz w:val="18"/>
                <w:szCs w:val="18"/>
                <w:b w:val="1"/>
                <w:bCs w:val="1"/>
                <w:color w:val="auto"/>
              </w:rPr>
              <w:t>27-4443543</w:t>
            </w:r>
          </w:p>
        </w:tc>
      </w:tr>
      <w:tr>
        <w:trPr>
          <w:trHeight w:val="181"/>
        </w:trPr>
        <w:tc>
          <w:tcPr>
            <w:tcW w:w="2420" w:type="dxa"/>
            <w:vAlign w:val="bottom"/>
          </w:tcPr>
          <w:p>
            <w:pPr>
              <w:jc w:val="center"/>
              <w:ind w:right="81"/>
              <w:spacing w:after="0"/>
              <w:rPr>
                <w:sz w:val="20"/>
                <w:szCs w:val="20"/>
                <w:color w:val="auto"/>
              </w:rPr>
            </w:pPr>
            <w:r>
              <w:rPr>
                <w:rFonts w:ascii="Arial" w:cs="Arial" w:eastAsia="Arial" w:hAnsi="Arial"/>
                <w:sz w:val="14"/>
                <w:szCs w:val="14"/>
                <w:color w:val="auto"/>
                <w:w w:val="94"/>
              </w:rPr>
              <w:t>(State of incorporation)</w:t>
            </w:r>
          </w:p>
        </w:tc>
        <w:tc>
          <w:tcPr>
            <w:tcW w:w="5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60" w:type="dxa"/>
            <w:vAlign w:val="bottom"/>
          </w:tcPr>
          <w:p>
            <w:pPr>
              <w:jc w:val="center"/>
              <w:ind w:left="309"/>
              <w:spacing w:after="0"/>
              <w:rPr>
                <w:sz w:val="20"/>
                <w:szCs w:val="20"/>
                <w:color w:val="auto"/>
              </w:rPr>
            </w:pPr>
            <w:r>
              <w:rPr>
                <w:rFonts w:ascii="Arial" w:cs="Arial" w:eastAsia="Arial" w:hAnsi="Arial"/>
                <w:sz w:val="14"/>
                <w:szCs w:val="14"/>
                <w:color w:val="auto"/>
                <w:w w:val="96"/>
              </w:rPr>
              <w:t>(I.R.S. Employer Identification No.)</w:t>
            </w:r>
          </w:p>
        </w:tc>
      </w:tr>
      <w:tr>
        <w:trPr>
          <w:trHeight w:val="271"/>
        </w:trPr>
        <w:tc>
          <w:tcPr>
            <w:tcW w:w="2420" w:type="dxa"/>
            <w:vAlign w:val="bottom"/>
          </w:tcPr>
          <w:p>
            <w:pPr>
              <w:jc w:val="center"/>
              <w:ind w:right="61"/>
              <w:spacing w:after="0"/>
              <w:rPr>
                <w:sz w:val="20"/>
                <w:szCs w:val="20"/>
                <w:color w:val="auto"/>
              </w:rPr>
            </w:pPr>
            <w:r>
              <w:rPr>
                <w:rFonts w:ascii="Arial" w:cs="Arial" w:eastAsia="Arial" w:hAnsi="Arial"/>
                <w:sz w:val="18"/>
                <w:szCs w:val="18"/>
                <w:b w:val="1"/>
                <w:bCs w:val="1"/>
                <w:color w:val="auto"/>
                <w:w w:val="88"/>
              </w:rPr>
              <w:t>2925 Woodside Road</w:t>
            </w:r>
          </w:p>
        </w:tc>
        <w:tc>
          <w:tcPr>
            <w:tcW w:w="5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152"/>
        </w:trPr>
        <w:tc>
          <w:tcPr>
            <w:tcW w:w="2420" w:type="dxa"/>
            <w:vAlign w:val="bottom"/>
          </w:tcPr>
          <w:p>
            <w:pPr>
              <w:jc w:val="center"/>
              <w:ind w:right="61"/>
              <w:spacing w:after="0" w:line="151" w:lineRule="exact"/>
              <w:rPr>
                <w:sz w:val="20"/>
                <w:szCs w:val="20"/>
                <w:color w:val="auto"/>
              </w:rPr>
            </w:pPr>
            <w:r>
              <w:rPr>
                <w:rFonts w:ascii="Arial" w:cs="Arial" w:eastAsia="Arial" w:hAnsi="Arial"/>
                <w:sz w:val="14"/>
                <w:szCs w:val="14"/>
                <w:b w:val="1"/>
                <w:bCs w:val="1"/>
                <w:color w:val="auto"/>
                <w:w w:val="92"/>
              </w:rPr>
              <w:t>Woodside, CA</w:t>
            </w:r>
          </w:p>
        </w:tc>
        <w:tc>
          <w:tcPr>
            <w:tcW w:w="5360" w:type="dxa"/>
            <w:vAlign w:val="bottom"/>
            <w:gridSpan w:val="3"/>
          </w:tcPr>
          <w:p>
            <w:pPr>
              <w:jc w:val="right"/>
              <w:ind w:right="789"/>
              <w:spacing w:after="0" w:line="151" w:lineRule="exact"/>
              <w:rPr>
                <w:sz w:val="20"/>
                <w:szCs w:val="20"/>
                <w:color w:val="auto"/>
              </w:rPr>
            </w:pPr>
            <w:r>
              <w:rPr>
                <w:rFonts w:ascii="Arial" w:cs="Arial" w:eastAsia="Arial" w:hAnsi="Arial"/>
                <w:sz w:val="14"/>
                <w:szCs w:val="14"/>
                <w:b w:val="1"/>
                <w:bCs w:val="1"/>
                <w:color w:val="auto"/>
              </w:rPr>
              <w:t>94062</w:t>
            </w:r>
          </w:p>
        </w:tc>
      </w:tr>
      <w:tr>
        <w:trPr>
          <w:trHeight w:val="181"/>
        </w:trPr>
        <w:tc>
          <w:tcPr>
            <w:tcW w:w="2420" w:type="dxa"/>
            <w:vAlign w:val="bottom"/>
          </w:tcPr>
          <w:p>
            <w:pPr>
              <w:jc w:val="center"/>
              <w:ind w:right="81"/>
              <w:spacing w:after="0"/>
              <w:rPr>
                <w:sz w:val="20"/>
                <w:szCs w:val="20"/>
                <w:color w:val="auto"/>
              </w:rPr>
            </w:pPr>
            <w:r>
              <w:rPr>
                <w:rFonts w:ascii="Arial" w:cs="Arial" w:eastAsia="Arial" w:hAnsi="Arial"/>
                <w:sz w:val="14"/>
                <w:szCs w:val="14"/>
                <w:color w:val="auto"/>
                <w:w w:val="94"/>
              </w:rPr>
              <w:t>(Address of principal executive offices)</w:t>
            </w:r>
          </w:p>
        </w:tc>
        <w:tc>
          <w:tcPr>
            <w:tcW w:w="5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460" w:type="dxa"/>
            <w:vAlign w:val="bottom"/>
          </w:tcPr>
          <w:p>
            <w:pPr>
              <w:jc w:val="center"/>
              <w:ind w:left="329"/>
              <w:spacing w:after="0"/>
              <w:rPr>
                <w:sz w:val="20"/>
                <w:szCs w:val="20"/>
                <w:color w:val="auto"/>
              </w:rPr>
            </w:pPr>
            <w:r>
              <w:rPr>
                <w:rFonts w:ascii="Arial" w:cs="Arial" w:eastAsia="Arial" w:hAnsi="Arial"/>
                <w:sz w:val="14"/>
                <w:szCs w:val="14"/>
                <w:color w:val="auto"/>
                <w:w w:val="93"/>
              </w:rPr>
              <w:t>(Zip Code)</w:t>
            </w:r>
          </w:p>
        </w:tc>
      </w:tr>
      <w:tr>
        <w:trPr>
          <w:trHeight w:val="412"/>
        </w:trPr>
        <w:tc>
          <w:tcPr>
            <w:tcW w:w="2420" w:type="dxa"/>
            <w:vAlign w:val="bottom"/>
          </w:tcPr>
          <w:p>
            <w:pPr>
              <w:spacing w:after="0"/>
              <w:rPr>
                <w:sz w:val="24"/>
                <w:szCs w:val="24"/>
                <w:color w:val="auto"/>
              </w:rPr>
            </w:pPr>
          </w:p>
        </w:tc>
        <w:tc>
          <w:tcPr>
            <w:tcW w:w="29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(650) 235-4769</w:t>
            </w:r>
          </w:p>
        </w:tc>
        <w:tc>
          <w:tcPr>
            <w:tcW w:w="2460" w:type="dxa"/>
            <w:vAlign w:val="bottom"/>
          </w:tcPr>
          <w:p>
            <w:pPr>
              <w:spacing w:after="0"/>
              <w:rPr>
                <w:sz w:val="24"/>
                <w:szCs w:val="24"/>
                <w:color w:val="auto"/>
              </w:rPr>
            </w:pPr>
          </w:p>
        </w:tc>
      </w:tr>
      <w:tr>
        <w:trPr>
          <w:trHeight w:val="285"/>
        </w:trPr>
        <w:tc>
          <w:tcPr>
            <w:tcW w:w="2420" w:type="dxa"/>
            <w:vAlign w:val="bottom"/>
          </w:tcPr>
          <w:p>
            <w:pPr>
              <w:spacing w:after="0"/>
              <w:rPr>
                <w:sz w:val="24"/>
                <w:szCs w:val="24"/>
                <w:color w:val="auto"/>
              </w:rPr>
            </w:pPr>
          </w:p>
        </w:tc>
        <w:tc>
          <w:tcPr>
            <w:tcW w:w="5360" w:type="dxa"/>
            <w:vAlign w:val="bottom"/>
            <w:gridSpan w:val="3"/>
          </w:tcPr>
          <w:p>
            <w:pPr>
              <w:jc w:val="center"/>
              <w:ind w:right="1829"/>
              <w:spacing w:after="0"/>
              <w:rPr>
                <w:sz w:val="20"/>
                <w:szCs w:val="20"/>
                <w:color w:val="auto"/>
              </w:rPr>
            </w:pPr>
            <w:r>
              <w:rPr>
                <w:rFonts w:ascii="Arial" w:cs="Arial" w:eastAsia="Arial" w:hAnsi="Arial"/>
                <w:sz w:val="14"/>
                <w:szCs w:val="14"/>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635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317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-826770</wp:posOffset>
            </wp:positionV>
            <wp:extent cx="6353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3175" cy="8255"/>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186055</wp:posOffset>
            </wp:positionV>
            <wp:extent cx="1532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40" w:right="200" w:firstLine="268"/>
        <w:spacing w:after="0" w:line="26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78" w:lineRule="exact"/>
        <w:rPr>
          <w:sz w:val="24"/>
          <w:szCs w:val="24"/>
          <w:color w:val="auto"/>
        </w:rPr>
      </w:pPr>
    </w:p>
    <w:p>
      <w:pPr>
        <w:jc w:val="both"/>
        <w:ind w:left="40" w:firstLine="268"/>
        <w:spacing w:after="0" w:line="260"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o No o</w:t>
      </w:r>
    </w:p>
    <w:p>
      <w:pPr>
        <w:spacing w:after="0" w:line="78" w:lineRule="exact"/>
        <w:rPr>
          <w:sz w:val="24"/>
          <w:szCs w:val="24"/>
          <w:color w:val="auto"/>
        </w:rPr>
      </w:pPr>
    </w:p>
    <w:p>
      <w:pPr>
        <w:ind w:left="40" w:right="40" w:firstLine="268"/>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4725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2555" cy="8255"/>
                    </a:xfrm>
                    <a:prstGeom prst="rect">
                      <a:avLst/>
                    </a:prstGeom>
                    <a:noFill/>
                  </pic:spPr>
                </pic:pic>
              </a:graphicData>
            </a:graphic>
          </wp:anchor>
        </w:drawing>
      </w:r>
    </w:p>
    <w:p>
      <w:pPr>
        <w:sectPr>
          <w:pgSz w:w="11900" w:h="16838" w:orient="portrait"/>
          <w:cols w:equalWidth="0" w:num="1">
            <w:col w:w="11380"/>
          </w:cols>
          <w:pgMar w:left="380" w:top="1440" w:right="139" w:bottom="1440" w:gutter="0" w:footer="0" w:header="0"/>
        </w:sectPr>
      </w:pP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39" w:lineRule="exact"/>
        <w:rPr>
          <w:sz w:val="24"/>
          <w:szCs w:val="24"/>
          <w:color w:val="auto"/>
        </w:rPr>
      </w:pPr>
    </w:p>
    <w:p>
      <w:pPr>
        <w:sectPr>
          <w:pgSz w:w="11900" w:h="16838" w:orient="portrait"/>
          <w:cols w:equalWidth="0" w:num="2">
            <w:col w:w="7000" w:space="720"/>
            <w:col w:w="3660"/>
          </w:cols>
          <w:pgMar w:left="380" w:top="1440" w:right="139" w:bottom="1440" w:gutter="0" w:footer="0" w:header="0"/>
          <w:type w:val="continuous"/>
        </w:sectPr>
      </w:pPr>
    </w:p>
    <w:p>
      <w:pPr>
        <w:ind w:left="40" w:right="80" w:firstLine="268"/>
        <w:spacing w:after="0" w:line="27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7" w:lineRule="exact"/>
        <w:rPr>
          <w:sz w:val="24"/>
          <w:szCs w:val="24"/>
          <w:color w:val="auto"/>
        </w:rPr>
      </w:pPr>
    </w:p>
    <w:p>
      <w:pPr>
        <w:ind w:left="320" w:right="2780"/>
        <w:spacing w:after="0" w:line="524" w:lineRule="auto"/>
        <w:rPr>
          <w:sz w:val="20"/>
          <w:szCs w:val="20"/>
          <w:color w:val="auto"/>
        </w:rPr>
      </w:pPr>
      <w:r>
        <w:rPr>
          <w:rFonts w:ascii="Arial" w:cs="Arial" w:eastAsia="Arial" w:hAnsi="Arial"/>
          <w:sz w:val="15"/>
          <w:szCs w:val="15"/>
          <w:color w:val="auto"/>
        </w:rPr>
        <w:t>Indicate by check mark whether the registrant is a shell company (as defined in Rule 12b-2 of the Act)Yes o No x The issuer had 21,321,882 shares of common stock, $0.01 par value per share, outstanding as of November 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-96520</wp:posOffset>
            </wp:positionH>
            <wp:positionV relativeFrom="paragraph">
              <wp:posOffset>650875</wp:posOffset>
            </wp:positionV>
            <wp:extent cx="728980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-93980</wp:posOffset>
            </wp:positionV>
            <wp:extent cx="72339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39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-67945</wp:posOffset>
            </wp:positionV>
            <wp:extent cx="72339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3920" cy="17145"/>
                    </a:xfrm>
                    <a:prstGeom prst="rect">
                      <a:avLst/>
                    </a:prstGeom>
                    <a:noFill/>
                  </pic:spPr>
                </pic:pic>
              </a:graphicData>
            </a:graphic>
          </wp:anchor>
        </w:drawing>
      </w:r>
    </w:p>
    <w:p>
      <w:pPr>
        <w:sectPr>
          <w:pgSz w:w="11900" w:h="16838" w:orient="portrait"/>
          <w:cols w:equalWidth="0" w:num="1">
            <w:col w:w="11380"/>
          </w:cols>
          <w:pgMar w:left="380" w:top="1440" w:right="1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4700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00905" cy="8255"/>
                    </a:xfrm>
                    <a:prstGeom prst="rect">
                      <a:avLst/>
                    </a:prstGeom>
                    <a:noFill/>
                  </pic:spPr>
                </pic:pic>
              </a:graphicData>
            </a:graphic>
          </wp:anchor>
        </w:drawing>
        <w:drawing>
          <wp:anchor simplePos="0" relativeHeight="251657728" behindDoc="1" locked="0" layoutInCell="0" allowOverlap="1">
            <wp:simplePos x="0" y="0"/>
            <wp:positionH relativeFrom="column">
              <wp:posOffset>6690360</wp:posOffset>
            </wp:positionH>
            <wp:positionV relativeFrom="paragraph">
              <wp:posOffset>41910</wp:posOffset>
            </wp:positionV>
            <wp:extent cx="340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360"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PAGE</w:t>
            </w:r>
          </w:p>
        </w:tc>
      </w:tr>
      <w:tr>
        <w:trPr>
          <w:trHeight w:val="208"/>
        </w:trPr>
        <w:tc>
          <w:tcPr>
            <w:tcW w:w="200" w:type="dxa"/>
            <w:vAlign w:val="bottom"/>
            <w:shd w:val="clear" w:color="auto" w:fill="CCEEFF"/>
          </w:tcPr>
          <w:p>
            <w:pPr>
              <w:spacing w:after="0"/>
              <w:rPr>
                <w:sz w:val="18"/>
                <w:szCs w:val="18"/>
                <w:color w:val="auto"/>
              </w:rPr>
            </w:pPr>
          </w:p>
        </w:tc>
        <w:tc>
          <w:tcPr>
            <w:tcW w:w="10340" w:type="dxa"/>
            <w:vAlign w:val="bottom"/>
            <w:gridSpan w:val="31"/>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4"/>
        </w:trPr>
        <w:tc>
          <w:tcPr>
            <w:tcW w:w="200" w:type="dxa"/>
            <w:vAlign w:val="bottom"/>
          </w:tcPr>
          <w:p>
            <w:pPr>
              <w:spacing w:after="0"/>
              <w:rPr>
                <w:sz w:val="15"/>
                <w:szCs w:val="15"/>
                <w:color w:val="auto"/>
              </w:rPr>
            </w:pPr>
          </w:p>
        </w:tc>
        <w:tc>
          <w:tcPr>
            <w:tcW w:w="700" w:type="dxa"/>
            <w:vAlign w:val="bottom"/>
            <w:gridSpan w:val="3"/>
          </w:tcPr>
          <w:p>
            <w:pPr>
              <w:spacing w:after="0" w:line="175"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640" w:type="dxa"/>
            <w:vAlign w:val="bottom"/>
            <w:gridSpan w:val="28"/>
          </w:tcPr>
          <w:p>
            <w:pPr>
              <w:spacing w:after="0" w:line="175"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540" w:type="dxa"/>
            <w:vAlign w:val="bottom"/>
            <w:gridSpan w:val="4"/>
          </w:tcPr>
          <w:p>
            <w:pPr>
              <w:jc w:val="right"/>
              <w:ind w:right="100"/>
              <w:spacing w:after="0" w:line="175"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40" w:type="dxa"/>
            <w:vAlign w:val="bottom"/>
            <w:gridSpan w:val="28"/>
            <w:shd w:val="clear" w:color="auto" w:fill="CCEEFF"/>
          </w:tcPr>
          <w:p>
            <w:pPr>
              <w:spacing w:after="0" w:line="175"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Statements of Assets and Liabilities as of September 30, 2017 (Unaudited) and December 31, 2016</w:t>
              </w:r>
            </w:hyperlink>
          </w:p>
        </w:tc>
        <w:tc>
          <w:tcPr>
            <w:tcW w:w="540" w:type="dxa"/>
            <w:vAlign w:val="bottom"/>
            <w:gridSpan w:val="4"/>
            <w:shd w:val="clear" w:color="auto" w:fill="CCEEFF"/>
          </w:tcPr>
          <w:p>
            <w:pPr>
              <w:jc w:val="right"/>
              <w:ind w:right="100"/>
              <w:spacing w:after="0" w:line="175"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174"/>
        </w:trPr>
        <w:tc>
          <w:tcPr>
            <w:tcW w:w="2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920" w:type="dxa"/>
            <w:vAlign w:val="bottom"/>
            <w:tcBorders>
              <w:top w:val="single" w:sz="8" w:color="0000EE"/>
            </w:tcBorders>
            <w:gridSpan w:val="27"/>
          </w:tcPr>
          <w:p>
            <w:pPr>
              <w:spacing w:after="0" w:line="175"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for the Three and Nine Months Ended September 30, 2017 and 2016</w:t>
              </w:r>
            </w:hyperlink>
          </w:p>
        </w:tc>
        <w:tc>
          <w:tcPr>
            <w:tcW w:w="7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95"/>
        </w:trPr>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8400" w:type="dxa"/>
            <w:vAlign w:val="bottom"/>
            <w:tcBorders>
              <w:top w:val="single" w:sz="8" w:color="0000EE"/>
            </w:tcBorders>
            <w:gridSpan w:val="23"/>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1060" w:type="dxa"/>
            <w:vAlign w:val="bottom"/>
            <w:gridSpan w:val="4"/>
          </w:tcPr>
          <w:p>
            <w:pPr>
              <w:spacing w:after="0"/>
              <w:rPr>
                <w:sz w:val="16"/>
                <w:szCs w:val="16"/>
                <w:color w:val="auto"/>
              </w:rPr>
            </w:pPr>
          </w:p>
        </w:tc>
        <w:tc>
          <w:tcPr>
            <w:tcW w:w="540" w:type="dxa"/>
            <w:vAlign w:val="bottom"/>
            <w:gridSpan w:val="4"/>
          </w:tcPr>
          <w:p>
            <w:pPr>
              <w:jc w:val="right"/>
              <w:ind w:right="100"/>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60" w:type="dxa"/>
            <w:vAlign w:val="bottom"/>
            <w:tcBorders>
              <w:bottom w:val="single" w:sz="8" w:color="0000EE"/>
            </w:tcBorders>
            <w:gridSpan w:val="25"/>
            <w:shd w:val="clear" w:color="auto" w:fill="CCEEFF"/>
          </w:tcPr>
          <w:p>
            <w:pPr>
              <w:spacing w:after="0" w:line="175"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Changes in Net Assets for the Nine Months Ended September 30, 2017 and 2016</w:t>
              </w:r>
            </w:hyperlink>
          </w:p>
        </w:tc>
        <w:tc>
          <w:tcPr>
            <w:tcW w:w="980" w:type="dxa"/>
            <w:vAlign w:val="bottom"/>
            <w:tcBorders>
              <w:bottom w:val="single" w:sz="8" w:color="CCEEFF"/>
            </w:tcBorders>
            <w:gridSpan w:val="3"/>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r>
      <w:tr>
        <w:trPr>
          <w:trHeight w:val="195"/>
        </w:trPr>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60" w:type="dxa"/>
            <w:vAlign w:val="bottom"/>
            <w:gridSpan w:val="27"/>
            <w:shd w:val="clear" w:color="auto" w:fill="CCEEFF"/>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540" w:type="dxa"/>
            <w:vAlign w:val="bottom"/>
            <w:gridSpan w:val="4"/>
            <w:shd w:val="clear" w:color="auto" w:fill="CCEEFF"/>
          </w:tcPr>
          <w:p>
            <w:pPr>
              <w:jc w:val="right"/>
              <w:ind w:right="100"/>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40" w:type="dxa"/>
            <w:vAlign w:val="bottom"/>
            <w:gridSpan w:val="28"/>
          </w:tcPr>
          <w:p>
            <w:pPr>
              <w:spacing w:after="0" w:line="175"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 for the Nine Months Ended September 30, 2017 and 2016 (Unaudited)</w:t>
              </w:r>
            </w:hyperlink>
          </w:p>
        </w:tc>
        <w:tc>
          <w:tcPr>
            <w:tcW w:w="540" w:type="dxa"/>
            <w:vAlign w:val="bottom"/>
            <w:gridSpan w:val="4"/>
          </w:tcPr>
          <w:p>
            <w:pPr>
              <w:jc w:val="right"/>
              <w:ind w:right="100"/>
              <w:spacing w:after="0" w:line="175"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40" w:type="dxa"/>
            <w:vAlign w:val="bottom"/>
            <w:gridSpan w:val="28"/>
            <w:shd w:val="clear" w:color="auto" w:fill="CCEEFF"/>
          </w:tcPr>
          <w:p>
            <w:pPr>
              <w:spacing w:after="0" w:line="175"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Schedule of Investments as of September 30, 2017 (Unaudited)</w:t>
              </w:r>
            </w:hyperlink>
          </w:p>
        </w:tc>
        <w:tc>
          <w:tcPr>
            <w:tcW w:w="540" w:type="dxa"/>
            <w:vAlign w:val="bottom"/>
            <w:gridSpan w:val="4"/>
            <w:shd w:val="clear" w:color="auto" w:fill="CCEEFF"/>
          </w:tcPr>
          <w:p>
            <w:pPr>
              <w:jc w:val="right"/>
              <w:ind w:right="100"/>
              <w:spacing w:after="0" w:line="175" w:lineRule="exact"/>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360" w:type="dxa"/>
            <w:vAlign w:val="bottom"/>
            <w:gridSpan w:val="21"/>
          </w:tcPr>
          <w:p>
            <w:pPr>
              <w:spacing w:after="0" w:line="175" w:lineRule="exact"/>
              <w:rPr>
                <w:rFonts w:ascii="Arial" w:cs="Arial" w:eastAsia="Arial" w:hAnsi="Arial"/>
                <w:sz w:val="18"/>
                <w:szCs w:val="18"/>
                <w:color w:val="0000EE"/>
              </w:rPr>
            </w:pPr>
            <w:hyperlink w:anchor="page13">
              <w:r>
                <w:rPr>
                  <w:rFonts w:ascii="Arial" w:cs="Arial" w:eastAsia="Arial" w:hAnsi="Arial"/>
                  <w:sz w:val="18"/>
                  <w:szCs w:val="18"/>
                  <w:color w:val="0000EE"/>
                </w:rPr>
                <w:t>Condensed Consolidated Schedule of Investments as of December 31, 2016</w:t>
              </w:r>
            </w:hyperlink>
          </w:p>
        </w:tc>
        <w:tc>
          <w:tcPr>
            <w:tcW w:w="3280" w:type="dxa"/>
            <w:vAlign w:val="bottom"/>
            <w:gridSpan w:val="7"/>
          </w:tcPr>
          <w:p>
            <w:pPr>
              <w:spacing w:after="0"/>
              <w:rPr>
                <w:sz w:val="15"/>
                <w:szCs w:val="15"/>
                <w:color w:val="auto"/>
              </w:rPr>
            </w:pPr>
          </w:p>
        </w:tc>
        <w:tc>
          <w:tcPr>
            <w:tcW w:w="420" w:type="dxa"/>
            <w:vAlign w:val="bottom"/>
            <w:gridSpan w:val="3"/>
          </w:tcPr>
          <w:p>
            <w:pPr>
              <w:jc w:val="right"/>
              <w:spacing w:after="0" w:line="175" w:lineRule="exact"/>
              <w:rPr>
                <w:rFonts w:ascii="Arial" w:cs="Arial" w:eastAsia="Arial" w:hAnsi="Arial"/>
                <w:sz w:val="18"/>
                <w:szCs w:val="18"/>
                <w:color w:val="0000EE"/>
              </w:rPr>
            </w:pPr>
            <w:hyperlink w:anchor="page13">
              <w:r>
                <w:rPr>
                  <w:rFonts w:ascii="Arial" w:cs="Arial" w:eastAsia="Arial" w:hAnsi="Arial"/>
                  <w:sz w:val="18"/>
                  <w:szCs w:val="18"/>
                  <w:color w:val="0000EE"/>
                </w:rPr>
                <w:t>11</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40" w:type="dxa"/>
            <w:vAlign w:val="bottom"/>
            <w:gridSpan w:val="28"/>
            <w:shd w:val="clear" w:color="auto" w:fill="CCEEFF"/>
          </w:tcPr>
          <w:p>
            <w:pPr>
              <w:spacing w:after="0" w:line="175" w:lineRule="exact"/>
              <w:rPr>
                <w:rFonts w:ascii="Arial" w:cs="Arial" w:eastAsia="Arial" w:hAnsi="Arial"/>
                <w:sz w:val="18"/>
                <w:szCs w:val="18"/>
                <w:color w:val="0000EE"/>
              </w:rPr>
            </w:pPr>
            <w:hyperlink w:anchor="page19">
              <w:r>
                <w:rPr>
                  <w:rFonts w:ascii="Arial" w:cs="Arial" w:eastAsia="Arial" w:hAnsi="Arial"/>
                  <w:sz w:val="18"/>
                  <w:szCs w:val="18"/>
                  <w:color w:val="0000EE"/>
                </w:rPr>
                <w:t>Notes to Condensed Consolidated Financial Statements as of September 30, 2017 (Unaudited)</w:t>
              </w:r>
            </w:hyperlink>
          </w:p>
        </w:tc>
        <w:tc>
          <w:tcPr>
            <w:tcW w:w="42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19">
              <w:r>
                <w:rPr>
                  <w:rFonts w:ascii="Arial" w:cs="Arial" w:eastAsia="Arial" w:hAnsi="Arial"/>
                  <w:sz w:val="18"/>
                  <w:szCs w:val="18"/>
                  <w:color w:val="0000EE"/>
                </w:rPr>
                <w:t>17</w:t>
              </w:r>
            </w:hyperlink>
          </w:p>
        </w:tc>
        <w:tc>
          <w:tcPr>
            <w:tcW w:w="120" w:type="dxa"/>
            <w:vAlign w:val="bottom"/>
            <w:shd w:val="clear" w:color="auto" w:fill="CCEEFF"/>
          </w:tcPr>
          <w:p>
            <w:pPr>
              <w:spacing w:after="0"/>
              <w:rPr>
                <w:sz w:val="15"/>
                <w:szCs w:val="15"/>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700" w:type="dxa"/>
            <w:vAlign w:val="bottom"/>
            <w:gridSpan w:val="3"/>
          </w:tcPr>
          <w:p>
            <w:pPr>
              <w:spacing w:after="0" w:line="175" w:lineRule="exact"/>
              <w:rPr>
                <w:rFonts w:ascii="Arial" w:cs="Arial" w:eastAsia="Arial" w:hAnsi="Arial"/>
                <w:sz w:val="18"/>
                <w:szCs w:val="18"/>
                <w:color w:val="0000EE"/>
              </w:rPr>
            </w:pPr>
            <w:hyperlink w:anchor="page65">
              <w:r>
                <w:rPr>
                  <w:rFonts w:ascii="Arial" w:cs="Arial" w:eastAsia="Arial" w:hAnsi="Arial"/>
                  <w:sz w:val="18"/>
                  <w:szCs w:val="18"/>
                  <w:color w:val="0000EE"/>
                </w:rPr>
                <w:t>Item 2.</w:t>
              </w:r>
            </w:hyperlink>
          </w:p>
        </w:tc>
        <w:tc>
          <w:tcPr>
            <w:tcW w:w="6740" w:type="dxa"/>
            <w:vAlign w:val="bottom"/>
            <w:gridSpan w:val="23"/>
          </w:tcPr>
          <w:p>
            <w:pPr>
              <w:spacing w:after="0" w:line="175"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Management’s Discussion and Analysis of Financial Condition and Results of Operations</w:t>
              </w:r>
            </w:hyperlink>
          </w:p>
        </w:tc>
        <w:tc>
          <w:tcPr>
            <w:tcW w:w="2900" w:type="dxa"/>
            <w:vAlign w:val="bottom"/>
            <w:gridSpan w:val="5"/>
          </w:tcPr>
          <w:p>
            <w:pPr>
              <w:spacing w:after="0"/>
              <w:rPr>
                <w:sz w:val="15"/>
                <w:szCs w:val="15"/>
                <w:color w:val="auto"/>
              </w:rPr>
            </w:pPr>
          </w:p>
        </w:tc>
        <w:tc>
          <w:tcPr>
            <w:tcW w:w="420" w:type="dxa"/>
            <w:vAlign w:val="bottom"/>
            <w:gridSpan w:val="3"/>
          </w:tcPr>
          <w:p>
            <w:pPr>
              <w:jc w:val="right"/>
              <w:spacing w:after="0" w:line="175" w:lineRule="exact"/>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60" w:type="dxa"/>
            <w:vAlign w:val="bottom"/>
            <w:gridSpan w:val="27"/>
            <w:shd w:val="clear" w:color="auto" w:fill="CCEEFF"/>
          </w:tcPr>
          <w:p>
            <w:pPr>
              <w:spacing w:after="0" w:line="175" w:lineRule="exact"/>
              <w:rPr>
                <w:rFonts w:ascii="Arial" w:cs="Arial" w:eastAsia="Arial" w:hAnsi="Arial"/>
                <w:sz w:val="18"/>
                <w:szCs w:val="18"/>
                <w:color w:val="0000EE"/>
              </w:rPr>
            </w:pPr>
            <w:hyperlink w:anchor="page65">
              <w:r>
                <w:rPr>
                  <w:rFonts w:ascii="Arial" w:cs="Arial" w:eastAsia="Arial" w:hAnsi="Arial"/>
                  <w:sz w:val="18"/>
                  <w:szCs w:val="18"/>
                  <w:color w:val="0000EE"/>
                </w:rPr>
                <w:t>Forward-Looking Statements</w:t>
              </w:r>
            </w:hyperlink>
          </w:p>
        </w:tc>
        <w:tc>
          <w:tcPr>
            <w:tcW w:w="42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65">
              <w:r>
                <w:rPr>
                  <w:rFonts w:ascii="Arial" w:cs="Arial" w:eastAsia="Arial" w:hAnsi="Arial"/>
                  <w:sz w:val="18"/>
                  <w:szCs w:val="18"/>
                  <w:color w:val="0000EE"/>
                </w:rPr>
                <w:t>63</w:t>
              </w:r>
            </w:hyperlink>
          </w:p>
        </w:tc>
        <w:tc>
          <w:tcPr>
            <w:tcW w:w="120" w:type="dxa"/>
            <w:vAlign w:val="bottom"/>
            <w:shd w:val="clear" w:color="auto" w:fill="CCEEFF"/>
          </w:tcPr>
          <w:p>
            <w:pPr>
              <w:spacing w:after="0"/>
              <w:rPr>
                <w:sz w:val="15"/>
                <w:szCs w:val="15"/>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12"/>
          </w:tcPr>
          <w:p>
            <w:pPr>
              <w:spacing w:after="0" w:line="175" w:lineRule="exact"/>
              <w:rPr>
                <w:rFonts w:ascii="Arial" w:cs="Arial" w:eastAsia="Arial" w:hAnsi="Arial"/>
                <w:sz w:val="18"/>
                <w:szCs w:val="18"/>
                <w:color w:val="0000EE"/>
              </w:rPr>
            </w:pPr>
            <w:hyperlink w:anchor="page66">
              <w:r>
                <w:rPr>
                  <w:rFonts w:ascii="Arial" w:cs="Arial" w:eastAsia="Arial" w:hAnsi="Arial"/>
                  <w:sz w:val="18"/>
                  <w:szCs w:val="18"/>
                  <w:color w:val="0000EE"/>
                </w:rPr>
                <w:t>Overview</w:t>
              </w:r>
            </w:hyperlink>
          </w:p>
        </w:tc>
        <w:tc>
          <w:tcPr>
            <w:tcW w:w="7360" w:type="dxa"/>
            <w:vAlign w:val="bottom"/>
            <w:gridSpan w:val="15"/>
          </w:tcPr>
          <w:p>
            <w:pPr>
              <w:spacing w:after="0"/>
              <w:rPr>
                <w:sz w:val="15"/>
                <w:szCs w:val="15"/>
                <w:color w:val="auto"/>
              </w:rPr>
            </w:pPr>
          </w:p>
        </w:tc>
        <w:tc>
          <w:tcPr>
            <w:tcW w:w="420" w:type="dxa"/>
            <w:vAlign w:val="bottom"/>
            <w:gridSpan w:val="3"/>
          </w:tcPr>
          <w:p>
            <w:pPr>
              <w:jc w:val="right"/>
              <w:spacing w:after="0" w:line="175" w:lineRule="exact"/>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60" w:type="dxa"/>
            <w:vAlign w:val="bottom"/>
            <w:gridSpan w:val="27"/>
            <w:shd w:val="clear" w:color="auto" w:fill="CCEEFF"/>
          </w:tcPr>
          <w:p>
            <w:pPr>
              <w:spacing w:after="0" w:line="175" w:lineRule="exact"/>
              <w:rPr>
                <w:rFonts w:ascii="Arial" w:cs="Arial" w:eastAsia="Arial" w:hAnsi="Arial"/>
                <w:sz w:val="18"/>
                <w:szCs w:val="18"/>
                <w:color w:val="0000EE"/>
              </w:rPr>
            </w:pPr>
            <w:hyperlink w:anchor="page66">
              <w:r>
                <w:rPr>
                  <w:rFonts w:ascii="Arial" w:cs="Arial" w:eastAsia="Arial" w:hAnsi="Arial"/>
                  <w:sz w:val="18"/>
                  <w:szCs w:val="18"/>
                  <w:color w:val="0000EE"/>
                </w:rPr>
                <w:t>Investments — (Portfolio Activity)</w:t>
              </w:r>
            </w:hyperlink>
          </w:p>
        </w:tc>
        <w:tc>
          <w:tcPr>
            <w:tcW w:w="42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c>
          <w:tcPr>
            <w:tcW w:w="120" w:type="dxa"/>
            <w:vAlign w:val="bottom"/>
            <w:shd w:val="clear" w:color="auto" w:fill="CCEEFF"/>
          </w:tcPr>
          <w:p>
            <w:pPr>
              <w:spacing w:after="0"/>
              <w:rPr>
                <w:sz w:val="15"/>
                <w:szCs w:val="15"/>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15"/>
          </w:tcPr>
          <w:p>
            <w:pPr>
              <w:spacing w:after="0" w:line="175" w:lineRule="exact"/>
              <w:rPr>
                <w:rFonts w:ascii="Arial" w:cs="Arial" w:eastAsia="Arial" w:hAnsi="Arial"/>
                <w:sz w:val="18"/>
                <w:szCs w:val="18"/>
                <w:color w:val="0000EE"/>
              </w:rPr>
            </w:pPr>
            <w:hyperlink w:anchor="page68">
              <w:r>
                <w:rPr>
                  <w:rFonts w:ascii="Arial" w:cs="Arial" w:eastAsia="Arial" w:hAnsi="Arial"/>
                  <w:sz w:val="18"/>
                  <w:szCs w:val="18"/>
                  <w:color w:val="0000EE"/>
                </w:rPr>
                <w:t>Results of Operations</w:t>
              </w:r>
            </w:hyperlink>
          </w:p>
        </w:tc>
        <w:tc>
          <w:tcPr>
            <w:tcW w:w="6940" w:type="dxa"/>
            <w:vAlign w:val="bottom"/>
            <w:gridSpan w:val="12"/>
          </w:tcPr>
          <w:p>
            <w:pPr>
              <w:spacing w:after="0"/>
              <w:rPr>
                <w:sz w:val="15"/>
                <w:szCs w:val="15"/>
                <w:color w:val="auto"/>
              </w:rPr>
            </w:pPr>
          </w:p>
        </w:tc>
        <w:tc>
          <w:tcPr>
            <w:tcW w:w="420" w:type="dxa"/>
            <w:vAlign w:val="bottom"/>
            <w:gridSpan w:val="3"/>
          </w:tcPr>
          <w:p>
            <w:pPr>
              <w:jc w:val="right"/>
              <w:spacing w:after="0" w:line="175" w:lineRule="exact"/>
              <w:rPr>
                <w:rFonts w:ascii="Arial" w:cs="Arial" w:eastAsia="Arial" w:hAnsi="Arial"/>
                <w:sz w:val="18"/>
                <w:szCs w:val="18"/>
                <w:color w:val="0000EE"/>
              </w:rPr>
            </w:pPr>
            <w:hyperlink w:anchor="page68">
              <w:r>
                <w:rPr>
                  <w:rFonts w:ascii="Arial" w:cs="Arial" w:eastAsia="Arial" w:hAnsi="Arial"/>
                  <w:sz w:val="18"/>
                  <w:szCs w:val="18"/>
                  <w:color w:val="0000EE"/>
                </w:rPr>
                <w:t>66</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320" w:type="dxa"/>
            <w:vAlign w:val="bottom"/>
            <w:gridSpan w:val="14"/>
            <w:shd w:val="clear" w:color="auto" w:fill="CCEEFF"/>
          </w:tcPr>
          <w:p>
            <w:pPr>
              <w:spacing w:after="0" w:line="175"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Liquidity and Capital Resources</w:t>
              </w:r>
            </w:hyperlink>
          </w:p>
        </w:tc>
        <w:tc>
          <w:tcPr>
            <w:tcW w:w="7140" w:type="dxa"/>
            <w:vAlign w:val="bottom"/>
            <w:gridSpan w:val="13"/>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c>
          <w:tcPr>
            <w:tcW w:w="120" w:type="dxa"/>
            <w:vAlign w:val="bottom"/>
            <w:shd w:val="clear" w:color="auto" w:fill="CCEEFF"/>
          </w:tcPr>
          <w:p>
            <w:pPr>
              <w:spacing w:after="0"/>
              <w:rPr>
                <w:sz w:val="15"/>
                <w:szCs w:val="15"/>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14"/>
          </w:tcPr>
          <w:p>
            <w:pPr>
              <w:spacing w:after="0" w:line="175" w:lineRule="exact"/>
              <w:rPr>
                <w:rFonts w:ascii="Arial" w:cs="Arial" w:eastAsia="Arial" w:hAnsi="Arial"/>
                <w:sz w:val="18"/>
                <w:szCs w:val="18"/>
                <w:color w:val="0000EE"/>
              </w:rPr>
            </w:pPr>
            <w:hyperlink w:anchor="page75">
              <w:r>
                <w:rPr>
                  <w:rFonts w:ascii="Arial" w:cs="Arial" w:eastAsia="Arial" w:hAnsi="Arial"/>
                  <w:sz w:val="18"/>
                  <w:szCs w:val="18"/>
                  <w:color w:val="0000EE"/>
                </w:rPr>
                <w:t>Borrowings</w:t>
              </w:r>
            </w:hyperlink>
          </w:p>
        </w:tc>
        <w:tc>
          <w:tcPr>
            <w:tcW w:w="7140" w:type="dxa"/>
            <w:vAlign w:val="bottom"/>
            <w:gridSpan w:val="13"/>
          </w:tcPr>
          <w:p>
            <w:pPr>
              <w:spacing w:after="0"/>
              <w:rPr>
                <w:sz w:val="15"/>
                <w:szCs w:val="15"/>
                <w:color w:val="auto"/>
              </w:rPr>
            </w:pPr>
          </w:p>
        </w:tc>
        <w:tc>
          <w:tcPr>
            <w:tcW w:w="420" w:type="dxa"/>
            <w:vAlign w:val="bottom"/>
            <w:gridSpan w:val="3"/>
          </w:tcPr>
          <w:p>
            <w:pPr>
              <w:jc w:val="right"/>
              <w:spacing w:after="0" w:line="175" w:lineRule="exact"/>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40" w:type="dxa"/>
            <w:vAlign w:val="bottom"/>
            <w:gridSpan w:val="11"/>
            <w:shd w:val="clear" w:color="auto" w:fill="CCEEFF"/>
          </w:tcPr>
          <w:p>
            <w:pPr>
              <w:spacing w:after="0" w:line="175"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Critical Accounting Policies</w:t>
              </w:r>
            </w:hyperlink>
          </w:p>
        </w:tc>
        <w:tc>
          <w:tcPr>
            <w:tcW w:w="7420" w:type="dxa"/>
            <w:vAlign w:val="bottom"/>
            <w:gridSpan w:val="16"/>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120" w:type="dxa"/>
            <w:vAlign w:val="bottom"/>
            <w:shd w:val="clear" w:color="auto" w:fill="CCEEFF"/>
          </w:tcPr>
          <w:p>
            <w:pPr>
              <w:spacing w:after="0"/>
              <w:rPr>
                <w:sz w:val="15"/>
                <w:szCs w:val="15"/>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11"/>
          </w:tcPr>
          <w:p>
            <w:pPr>
              <w:spacing w:after="0" w:line="175" w:lineRule="exact"/>
              <w:rPr>
                <w:rFonts w:ascii="Arial" w:cs="Arial" w:eastAsia="Arial" w:hAnsi="Arial"/>
                <w:sz w:val="18"/>
                <w:szCs w:val="18"/>
                <w:color w:val="0000EE"/>
              </w:rPr>
            </w:pPr>
            <w:hyperlink w:anchor="page76">
              <w:r>
                <w:rPr>
                  <w:rFonts w:ascii="Arial" w:cs="Arial" w:eastAsia="Arial" w:hAnsi="Arial"/>
                  <w:sz w:val="18"/>
                  <w:szCs w:val="18"/>
                  <w:color w:val="0000EE"/>
                </w:rPr>
                <w:t>Recent Developments</w:t>
              </w:r>
            </w:hyperlink>
          </w:p>
        </w:tc>
        <w:tc>
          <w:tcPr>
            <w:tcW w:w="7420" w:type="dxa"/>
            <w:vAlign w:val="bottom"/>
            <w:gridSpan w:val="16"/>
          </w:tcPr>
          <w:p>
            <w:pPr>
              <w:spacing w:after="0"/>
              <w:rPr>
                <w:sz w:val="15"/>
                <w:szCs w:val="15"/>
                <w:color w:val="auto"/>
              </w:rPr>
            </w:pPr>
          </w:p>
        </w:tc>
        <w:tc>
          <w:tcPr>
            <w:tcW w:w="420" w:type="dxa"/>
            <w:vAlign w:val="bottom"/>
            <w:gridSpan w:val="3"/>
          </w:tcPr>
          <w:p>
            <w:pPr>
              <w:jc w:val="right"/>
              <w:spacing w:after="0" w:line="175" w:lineRule="exact"/>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line="175" w:lineRule="exact"/>
              <w:rPr>
                <w:rFonts w:ascii="Arial" w:cs="Arial" w:eastAsia="Arial" w:hAnsi="Arial"/>
                <w:sz w:val="18"/>
                <w:szCs w:val="18"/>
                <w:color w:val="0000EE"/>
                <w:w w:val="87"/>
              </w:rPr>
            </w:pPr>
            <w:hyperlink w:anchor="page77">
              <w:r>
                <w:rPr>
                  <w:rFonts w:ascii="Arial" w:cs="Arial" w:eastAsia="Arial" w:hAnsi="Arial"/>
                  <w:sz w:val="18"/>
                  <w:szCs w:val="18"/>
                  <w:color w:val="0000EE"/>
                  <w:w w:val="87"/>
                </w:rPr>
                <w:t>Item 3.</w:t>
              </w:r>
            </w:hyperlink>
          </w:p>
        </w:tc>
        <w:tc>
          <w:tcPr>
            <w:tcW w:w="200" w:type="dxa"/>
            <w:vAlign w:val="bottom"/>
            <w:gridSpan w:val="2"/>
            <w:shd w:val="clear" w:color="auto" w:fill="CCEEFF"/>
          </w:tcPr>
          <w:p>
            <w:pPr>
              <w:spacing w:after="0"/>
              <w:rPr>
                <w:sz w:val="15"/>
                <w:szCs w:val="15"/>
                <w:color w:val="auto"/>
              </w:rPr>
            </w:pPr>
          </w:p>
        </w:tc>
        <w:tc>
          <w:tcPr>
            <w:tcW w:w="4340" w:type="dxa"/>
            <w:vAlign w:val="bottom"/>
            <w:gridSpan w:val="19"/>
            <w:shd w:val="clear" w:color="auto" w:fill="CCEEFF"/>
          </w:tcPr>
          <w:p>
            <w:pPr>
              <w:spacing w:after="0" w:line="175"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Quantitative and Qualitative Disclosures About Market Risk</w:t>
              </w:r>
            </w:hyperlink>
          </w:p>
        </w:tc>
        <w:tc>
          <w:tcPr>
            <w:tcW w:w="5300" w:type="dxa"/>
            <w:vAlign w:val="bottom"/>
            <w:gridSpan w:val="9"/>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c>
          <w:tcPr>
            <w:tcW w:w="120" w:type="dxa"/>
            <w:vAlign w:val="bottom"/>
            <w:shd w:val="clear" w:color="auto" w:fill="CCEEFF"/>
          </w:tcPr>
          <w:p>
            <w:pPr>
              <w:spacing w:after="0"/>
              <w:rPr>
                <w:sz w:val="15"/>
                <w:szCs w:val="15"/>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500" w:type="dxa"/>
            <w:vAlign w:val="bottom"/>
          </w:tcPr>
          <w:p>
            <w:pPr>
              <w:spacing w:after="0" w:line="175"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Item 4.</w:t>
              </w:r>
            </w:hyperlink>
          </w:p>
        </w:tc>
        <w:tc>
          <w:tcPr>
            <w:tcW w:w="200" w:type="dxa"/>
            <w:vAlign w:val="bottom"/>
            <w:gridSpan w:val="2"/>
          </w:tcPr>
          <w:p>
            <w:pPr>
              <w:spacing w:after="0"/>
              <w:rPr>
                <w:sz w:val="15"/>
                <w:szCs w:val="15"/>
                <w:color w:val="auto"/>
              </w:rPr>
            </w:pPr>
          </w:p>
        </w:tc>
        <w:tc>
          <w:tcPr>
            <w:tcW w:w="4340" w:type="dxa"/>
            <w:vAlign w:val="bottom"/>
            <w:gridSpan w:val="19"/>
          </w:tcPr>
          <w:p>
            <w:pPr>
              <w:spacing w:after="0" w:line="175" w:lineRule="exact"/>
              <w:rPr>
                <w:rFonts w:ascii="Arial" w:cs="Arial" w:eastAsia="Arial" w:hAnsi="Arial"/>
                <w:sz w:val="18"/>
                <w:szCs w:val="18"/>
                <w:color w:val="0000EE"/>
              </w:rPr>
            </w:pPr>
            <w:hyperlink w:anchor="page78">
              <w:r>
                <w:rPr>
                  <w:rFonts w:ascii="Arial" w:cs="Arial" w:eastAsia="Arial" w:hAnsi="Arial"/>
                  <w:sz w:val="18"/>
                  <w:szCs w:val="18"/>
                  <w:color w:val="0000EE"/>
                </w:rPr>
                <w:t>Controls and Procedures</w:t>
              </w:r>
            </w:hyperlink>
          </w:p>
        </w:tc>
        <w:tc>
          <w:tcPr>
            <w:tcW w:w="5300" w:type="dxa"/>
            <w:vAlign w:val="bottom"/>
            <w:gridSpan w:val="9"/>
          </w:tcPr>
          <w:p>
            <w:pPr>
              <w:spacing w:after="0"/>
              <w:rPr>
                <w:sz w:val="15"/>
                <w:szCs w:val="15"/>
                <w:color w:val="auto"/>
              </w:rPr>
            </w:pPr>
          </w:p>
        </w:tc>
        <w:tc>
          <w:tcPr>
            <w:tcW w:w="420" w:type="dxa"/>
            <w:vAlign w:val="bottom"/>
            <w:gridSpan w:val="3"/>
          </w:tcPr>
          <w:p>
            <w:pPr>
              <w:jc w:val="right"/>
              <w:spacing w:after="0" w:line="175" w:lineRule="exact"/>
              <w:rPr>
                <w:rFonts w:ascii="Arial" w:cs="Arial" w:eastAsia="Arial" w:hAnsi="Arial"/>
                <w:sz w:val="18"/>
                <w:szCs w:val="18"/>
                <w:color w:val="0000EE"/>
              </w:rPr>
            </w:pPr>
            <w:hyperlink w:anchor="page78">
              <w:r>
                <w:rPr>
                  <w:rFonts w:ascii="Arial" w:cs="Arial" w:eastAsia="Arial" w:hAnsi="Arial"/>
                  <w:sz w:val="18"/>
                  <w:szCs w:val="18"/>
                  <w:color w:val="0000EE"/>
                </w:rPr>
                <w:t>76</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5"/>
        </w:trPr>
        <w:tc>
          <w:tcPr>
            <w:tcW w:w="200" w:type="dxa"/>
            <w:vAlign w:val="bottom"/>
            <w:shd w:val="clear" w:color="auto" w:fill="CCEEFF"/>
          </w:tcPr>
          <w:p>
            <w:pPr>
              <w:spacing w:after="0"/>
              <w:rPr>
                <w:sz w:val="18"/>
                <w:szCs w:val="18"/>
                <w:color w:val="auto"/>
              </w:rPr>
            </w:pPr>
          </w:p>
        </w:tc>
        <w:tc>
          <w:tcPr>
            <w:tcW w:w="10340" w:type="dxa"/>
            <w:vAlign w:val="bottom"/>
            <w:gridSpan w:val="31"/>
            <w:shd w:val="clear" w:color="auto" w:fill="CCEEFF"/>
          </w:tcPr>
          <w:p>
            <w:pPr>
              <w:spacing w:after="0"/>
              <w:rPr>
                <w:sz w:val="20"/>
                <w:szCs w:val="20"/>
                <w:color w:val="auto"/>
              </w:rPr>
            </w:pPr>
            <w:r>
              <w:rPr>
                <w:rFonts w:ascii="Arial" w:cs="Arial" w:eastAsia="Arial" w:hAnsi="Arial"/>
                <w:sz w:val="18"/>
                <w:szCs w:val="18"/>
                <w:b w:val="1"/>
                <w:bCs w:val="1"/>
                <w:color w:val="auto"/>
              </w:rPr>
              <w:t>PART II.OTHER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74"/>
        </w:trPr>
        <w:tc>
          <w:tcPr>
            <w:tcW w:w="200" w:type="dxa"/>
            <w:vAlign w:val="bottom"/>
          </w:tcPr>
          <w:p>
            <w:pPr>
              <w:spacing w:after="0"/>
              <w:rPr>
                <w:sz w:val="15"/>
                <w:szCs w:val="15"/>
                <w:color w:val="auto"/>
              </w:rPr>
            </w:pPr>
          </w:p>
        </w:tc>
        <w:tc>
          <w:tcPr>
            <w:tcW w:w="700" w:type="dxa"/>
            <w:vAlign w:val="bottom"/>
            <w:gridSpan w:val="3"/>
          </w:tcPr>
          <w:p>
            <w:pPr>
              <w:spacing w:after="0" w:line="175" w:lineRule="exact"/>
              <w:rPr>
                <w:rFonts w:ascii="Arial" w:cs="Arial" w:eastAsia="Arial" w:hAnsi="Arial"/>
                <w:sz w:val="18"/>
                <w:szCs w:val="18"/>
                <w:color w:val="0000EE"/>
              </w:rPr>
            </w:pPr>
            <w:hyperlink w:anchor="page79">
              <w:r>
                <w:rPr>
                  <w:rFonts w:ascii="Arial" w:cs="Arial" w:eastAsia="Arial" w:hAnsi="Arial"/>
                  <w:sz w:val="18"/>
                  <w:szCs w:val="18"/>
                  <w:color w:val="0000EE"/>
                </w:rPr>
                <w:t>Item 1.</w:t>
              </w:r>
            </w:hyperlink>
          </w:p>
        </w:tc>
        <w:tc>
          <w:tcPr>
            <w:tcW w:w="9640" w:type="dxa"/>
            <w:vAlign w:val="bottom"/>
            <w:gridSpan w:val="28"/>
          </w:tcPr>
          <w:p>
            <w:pPr>
              <w:spacing w:after="0" w:line="175" w:lineRule="exact"/>
              <w:rPr>
                <w:rFonts w:ascii="Arial" w:cs="Arial" w:eastAsia="Arial" w:hAnsi="Arial"/>
                <w:sz w:val="18"/>
                <w:szCs w:val="18"/>
                <w:color w:val="0000EE"/>
              </w:rPr>
            </w:pPr>
            <w:hyperlink w:anchor="page79">
              <w:r>
                <w:rPr>
                  <w:rFonts w:ascii="Arial" w:cs="Arial" w:eastAsia="Arial" w:hAnsi="Arial"/>
                  <w:sz w:val="18"/>
                  <w:szCs w:val="18"/>
                  <w:color w:val="0000EE"/>
                </w:rPr>
                <w:t>Legal Proceedings</w:t>
              </w:r>
            </w:hyperlink>
          </w:p>
        </w:tc>
        <w:tc>
          <w:tcPr>
            <w:tcW w:w="420" w:type="dxa"/>
            <w:vAlign w:val="bottom"/>
            <w:gridSpan w:val="3"/>
          </w:tcPr>
          <w:p>
            <w:pPr>
              <w:jc w:val="right"/>
              <w:spacing w:after="0" w:line="175" w:lineRule="exact"/>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700" w:type="dxa"/>
            <w:vAlign w:val="bottom"/>
            <w:gridSpan w:val="3"/>
            <w:shd w:val="clear" w:color="auto" w:fill="CCEEFF"/>
          </w:tcPr>
          <w:p>
            <w:pPr>
              <w:spacing w:after="0" w:line="175" w:lineRule="exact"/>
              <w:rPr>
                <w:rFonts w:ascii="Arial" w:cs="Arial" w:eastAsia="Arial" w:hAnsi="Arial"/>
                <w:sz w:val="18"/>
                <w:szCs w:val="18"/>
                <w:color w:val="0000EE"/>
              </w:rPr>
            </w:pPr>
            <w:hyperlink w:anchor="page79">
              <w:r>
                <w:rPr>
                  <w:rFonts w:ascii="Arial" w:cs="Arial" w:eastAsia="Arial" w:hAnsi="Arial"/>
                  <w:sz w:val="18"/>
                  <w:szCs w:val="18"/>
                  <w:color w:val="0000EE"/>
                </w:rPr>
                <w:t>Item 1A.</w:t>
              </w:r>
            </w:hyperlink>
          </w:p>
        </w:tc>
        <w:tc>
          <w:tcPr>
            <w:tcW w:w="9640" w:type="dxa"/>
            <w:vAlign w:val="bottom"/>
            <w:gridSpan w:val="28"/>
            <w:shd w:val="clear" w:color="auto" w:fill="CCEEFF"/>
          </w:tcPr>
          <w:p>
            <w:pPr>
              <w:spacing w:after="0" w:line="175" w:lineRule="exact"/>
              <w:rPr>
                <w:rFonts w:ascii="Arial" w:cs="Arial" w:eastAsia="Arial" w:hAnsi="Arial"/>
                <w:sz w:val="18"/>
                <w:szCs w:val="18"/>
                <w:color w:val="0000EE"/>
              </w:rPr>
            </w:pPr>
            <w:hyperlink w:anchor="page79">
              <w:r>
                <w:rPr>
                  <w:rFonts w:ascii="Arial" w:cs="Arial" w:eastAsia="Arial" w:hAnsi="Arial"/>
                  <w:sz w:val="18"/>
                  <w:szCs w:val="18"/>
                  <w:color w:val="0000EE"/>
                </w:rPr>
                <w:t>Risk Factors</w:t>
              </w:r>
            </w:hyperlink>
          </w:p>
        </w:tc>
        <w:tc>
          <w:tcPr>
            <w:tcW w:w="42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c>
          <w:tcPr>
            <w:tcW w:w="120" w:type="dxa"/>
            <w:vAlign w:val="bottom"/>
            <w:shd w:val="clear" w:color="auto" w:fill="CCEEFF"/>
          </w:tcPr>
          <w:p>
            <w:pPr>
              <w:spacing w:after="0"/>
              <w:rPr>
                <w:sz w:val="15"/>
                <w:szCs w:val="15"/>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620" w:type="dxa"/>
            <w:vAlign w:val="bottom"/>
            <w:gridSpan w:val="2"/>
          </w:tcPr>
          <w:p>
            <w:pPr>
              <w:spacing w:after="0" w:line="175" w:lineRule="exact"/>
              <w:rPr>
                <w:rFonts w:ascii="Arial" w:cs="Arial" w:eastAsia="Arial" w:hAnsi="Arial"/>
                <w:sz w:val="18"/>
                <w:szCs w:val="18"/>
                <w:color w:val="0000EE"/>
              </w:rPr>
            </w:pPr>
            <w:hyperlink w:anchor="page79">
              <w:r>
                <w:rPr>
                  <w:rFonts w:ascii="Arial" w:cs="Arial" w:eastAsia="Arial" w:hAnsi="Arial"/>
                  <w:sz w:val="18"/>
                  <w:szCs w:val="18"/>
                  <w:color w:val="0000EE"/>
                </w:rPr>
                <w:t>Item 2.</w:t>
              </w:r>
            </w:hyperlink>
          </w:p>
        </w:tc>
        <w:tc>
          <w:tcPr>
            <w:tcW w:w="80" w:type="dxa"/>
            <w:vAlign w:val="bottom"/>
          </w:tcPr>
          <w:p>
            <w:pPr>
              <w:spacing w:after="0"/>
              <w:rPr>
                <w:sz w:val="15"/>
                <w:szCs w:val="15"/>
                <w:color w:val="auto"/>
              </w:rPr>
            </w:pPr>
          </w:p>
        </w:tc>
        <w:tc>
          <w:tcPr>
            <w:tcW w:w="9640" w:type="dxa"/>
            <w:vAlign w:val="bottom"/>
            <w:gridSpan w:val="28"/>
          </w:tcPr>
          <w:p>
            <w:pPr>
              <w:spacing w:after="0" w:line="175" w:lineRule="exact"/>
              <w:rPr>
                <w:rFonts w:ascii="Arial" w:cs="Arial" w:eastAsia="Arial" w:hAnsi="Arial"/>
                <w:sz w:val="18"/>
                <w:szCs w:val="18"/>
                <w:color w:val="0000EE"/>
              </w:rPr>
            </w:pPr>
            <w:hyperlink w:anchor="page79">
              <w:r>
                <w:rPr>
                  <w:rFonts w:ascii="Arial" w:cs="Arial" w:eastAsia="Arial" w:hAnsi="Arial"/>
                  <w:sz w:val="18"/>
                  <w:szCs w:val="18"/>
                  <w:color w:val="0000EE"/>
                </w:rPr>
                <w:t>Unregistered Sales of Equity Securities and Use of Proceeds</w:t>
              </w:r>
            </w:hyperlink>
          </w:p>
        </w:tc>
        <w:tc>
          <w:tcPr>
            <w:tcW w:w="420" w:type="dxa"/>
            <w:vAlign w:val="bottom"/>
            <w:gridSpan w:val="3"/>
          </w:tcPr>
          <w:p>
            <w:pPr>
              <w:jc w:val="right"/>
              <w:spacing w:after="0" w:line="175" w:lineRule="exact"/>
              <w:rPr>
                <w:rFonts w:ascii="Arial" w:cs="Arial" w:eastAsia="Arial" w:hAnsi="Arial"/>
                <w:sz w:val="18"/>
                <w:szCs w:val="18"/>
                <w:color w:val="0000EE"/>
              </w:rPr>
            </w:pPr>
            <w:hyperlink w:anchor="page79">
              <w:r>
                <w:rPr>
                  <w:rFonts w:ascii="Arial" w:cs="Arial" w:eastAsia="Arial" w:hAnsi="Arial"/>
                  <w:sz w:val="18"/>
                  <w:szCs w:val="18"/>
                  <w:color w:val="0000EE"/>
                </w:rPr>
                <w:t>77</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line="175"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Item 3.</w:t>
              </w:r>
            </w:hyperlink>
          </w:p>
        </w:tc>
        <w:tc>
          <w:tcPr>
            <w:tcW w:w="200" w:type="dxa"/>
            <w:vAlign w:val="bottom"/>
            <w:gridSpan w:val="2"/>
            <w:shd w:val="clear" w:color="auto" w:fill="CCEEFF"/>
          </w:tcPr>
          <w:p>
            <w:pPr>
              <w:spacing w:after="0"/>
              <w:rPr>
                <w:sz w:val="15"/>
                <w:szCs w:val="15"/>
                <w:color w:val="auto"/>
              </w:rPr>
            </w:pPr>
          </w:p>
        </w:tc>
        <w:tc>
          <w:tcPr>
            <w:tcW w:w="2320" w:type="dxa"/>
            <w:vAlign w:val="bottom"/>
            <w:gridSpan w:val="14"/>
            <w:shd w:val="clear" w:color="auto" w:fill="CCEEFF"/>
          </w:tcPr>
          <w:p>
            <w:pPr>
              <w:spacing w:after="0" w:line="175" w:lineRule="exact"/>
              <w:rPr>
                <w:rFonts w:ascii="Arial" w:cs="Arial" w:eastAsia="Arial" w:hAnsi="Arial"/>
                <w:sz w:val="18"/>
                <w:szCs w:val="18"/>
                <w:color w:val="0000EE"/>
                <w:w w:val="90"/>
              </w:rPr>
            </w:pPr>
            <w:hyperlink w:anchor="page80">
              <w:r>
                <w:rPr>
                  <w:rFonts w:ascii="Arial" w:cs="Arial" w:eastAsia="Arial" w:hAnsi="Arial"/>
                  <w:sz w:val="18"/>
                  <w:szCs w:val="18"/>
                  <w:color w:val="0000EE"/>
                  <w:w w:val="90"/>
                </w:rPr>
                <w:t>Defaults Upon Senior Securities</w:t>
              </w:r>
            </w:hyperlink>
          </w:p>
        </w:tc>
        <w:tc>
          <w:tcPr>
            <w:tcW w:w="7320" w:type="dxa"/>
            <w:vAlign w:val="bottom"/>
            <w:gridSpan w:val="14"/>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c>
          <w:tcPr>
            <w:tcW w:w="120" w:type="dxa"/>
            <w:vAlign w:val="bottom"/>
            <w:shd w:val="clear" w:color="auto" w:fill="CCEEFF"/>
          </w:tcPr>
          <w:p>
            <w:pPr>
              <w:spacing w:after="0"/>
              <w:rPr>
                <w:sz w:val="15"/>
                <w:szCs w:val="15"/>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500" w:type="dxa"/>
            <w:vAlign w:val="bottom"/>
          </w:tcPr>
          <w:p>
            <w:pPr>
              <w:spacing w:after="0" w:line="175"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Item 4.</w:t>
              </w:r>
            </w:hyperlink>
          </w:p>
        </w:tc>
        <w:tc>
          <w:tcPr>
            <w:tcW w:w="200" w:type="dxa"/>
            <w:vAlign w:val="bottom"/>
            <w:gridSpan w:val="2"/>
          </w:tcPr>
          <w:p>
            <w:pPr>
              <w:spacing w:after="0"/>
              <w:rPr>
                <w:sz w:val="15"/>
                <w:szCs w:val="15"/>
                <w:color w:val="auto"/>
              </w:rPr>
            </w:pPr>
          </w:p>
        </w:tc>
        <w:tc>
          <w:tcPr>
            <w:tcW w:w="2320" w:type="dxa"/>
            <w:vAlign w:val="bottom"/>
            <w:gridSpan w:val="14"/>
          </w:tcPr>
          <w:p>
            <w:pPr>
              <w:spacing w:after="0" w:line="175" w:lineRule="exact"/>
              <w:rPr>
                <w:rFonts w:ascii="Arial" w:cs="Arial" w:eastAsia="Arial" w:hAnsi="Arial"/>
                <w:sz w:val="18"/>
                <w:szCs w:val="18"/>
                <w:color w:val="0000EE"/>
              </w:rPr>
            </w:pPr>
            <w:hyperlink w:anchor="page80">
              <w:r>
                <w:rPr>
                  <w:rFonts w:ascii="Arial" w:cs="Arial" w:eastAsia="Arial" w:hAnsi="Arial"/>
                  <w:sz w:val="18"/>
                  <w:szCs w:val="18"/>
                  <w:color w:val="0000EE"/>
                </w:rPr>
                <w:t>Mine Safety Disclosure</w:t>
              </w:r>
            </w:hyperlink>
          </w:p>
        </w:tc>
        <w:tc>
          <w:tcPr>
            <w:tcW w:w="7320" w:type="dxa"/>
            <w:vAlign w:val="bottom"/>
            <w:gridSpan w:val="14"/>
          </w:tcPr>
          <w:p>
            <w:pPr>
              <w:spacing w:after="0"/>
              <w:rPr>
                <w:sz w:val="15"/>
                <w:szCs w:val="15"/>
                <w:color w:val="auto"/>
              </w:rPr>
            </w:pPr>
          </w:p>
        </w:tc>
        <w:tc>
          <w:tcPr>
            <w:tcW w:w="420" w:type="dxa"/>
            <w:vAlign w:val="bottom"/>
            <w:gridSpan w:val="3"/>
          </w:tcPr>
          <w:p>
            <w:pPr>
              <w:jc w:val="right"/>
              <w:spacing w:after="0" w:line="175" w:lineRule="exact"/>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line="175"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Item 5.</w:t>
              </w:r>
            </w:hyperlink>
          </w:p>
        </w:tc>
        <w:tc>
          <w:tcPr>
            <w:tcW w:w="200" w:type="dxa"/>
            <w:vAlign w:val="bottom"/>
            <w:gridSpan w:val="2"/>
            <w:shd w:val="clear" w:color="auto" w:fill="CCEEFF"/>
          </w:tcPr>
          <w:p>
            <w:pPr>
              <w:spacing w:after="0"/>
              <w:rPr>
                <w:sz w:val="15"/>
                <w:szCs w:val="15"/>
                <w:color w:val="auto"/>
              </w:rPr>
            </w:pPr>
          </w:p>
        </w:tc>
        <w:tc>
          <w:tcPr>
            <w:tcW w:w="1320" w:type="dxa"/>
            <w:vAlign w:val="bottom"/>
            <w:gridSpan w:val="7"/>
            <w:shd w:val="clear" w:color="auto" w:fill="CCEEFF"/>
          </w:tcPr>
          <w:p>
            <w:pPr>
              <w:spacing w:after="0" w:line="175"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Other Information</w:t>
              </w:r>
            </w:hyperlink>
          </w:p>
        </w:tc>
        <w:tc>
          <w:tcPr>
            <w:tcW w:w="8320" w:type="dxa"/>
            <w:vAlign w:val="bottom"/>
            <w:gridSpan w:val="21"/>
            <w:shd w:val="clear" w:color="auto" w:fill="CCEEFF"/>
          </w:tcPr>
          <w:p>
            <w:pPr>
              <w:spacing w:after="0"/>
              <w:rPr>
                <w:sz w:val="15"/>
                <w:szCs w:val="15"/>
                <w:color w:val="auto"/>
              </w:rPr>
            </w:pPr>
          </w:p>
        </w:tc>
        <w:tc>
          <w:tcPr>
            <w:tcW w:w="42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c>
          <w:tcPr>
            <w:tcW w:w="120" w:type="dxa"/>
            <w:vAlign w:val="bottom"/>
            <w:shd w:val="clear" w:color="auto" w:fill="CCEEFF"/>
          </w:tcPr>
          <w:p>
            <w:pPr>
              <w:spacing w:after="0"/>
              <w:rPr>
                <w:sz w:val="15"/>
                <w:szCs w:val="15"/>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500" w:type="dxa"/>
            <w:vAlign w:val="bottom"/>
          </w:tcPr>
          <w:p>
            <w:pPr>
              <w:spacing w:after="0" w:line="175"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Item 6.</w:t>
              </w:r>
            </w:hyperlink>
          </w:p>
        </w:tc>
        <w:tc>
          <w:tcPr>
            <w:tcW w:w="200" w:type="dxa"/>
            <w:vAlign w:val="bottom"/>
            <w:gridSpan w:val="2"/>
          </w:tcPr>
          <w:p>
            <w:pPr>
              <w:spacing w:after="0"/>
              <w:rPr>
                <w:sz w:val="15"/>
                <w:szCs w:val="15"/>
                <w:color w:val="auto"/>
              </w:rPr>
            </w:pPr>
          </w:p>
        </w:tc>
        <w:tc>
          <w:tcPr>
            <w:tcW w:w="1320" w:type="dxa"/>
            <w:vAlign w:val="bottom"/>
            <w:gridSpan w:val="7"/>
          </w:tcPr>
          <w:p>
            <w:pPr>
              <w:spacing w:after="0" w:line="175" w:lineRule="exact"/>
              <w:rPr>
                <w:rFonts w:ascii="Arial" w:cs="Arial" w:eastAsia="Arial" w:hAnsi="Arial"/>
                <w:sz w:val="18"/>
                <w:szCs w:val="18"/>
                <w:color w:val="0000EE"/>
              </w:rPr>
            </w:pPr>
            <w:hyperlink w:anchor="page80">
              <w:r>
                <w:rPr>
                  <w:rFonts w:ascii="Arial" w:cs="Arial" w:eastAsia="Arial" w:hAnsi="Arial"/>
                  <w:sz w:val="18"/>
                  <w:szCs w:val="18"/>
                  <w:color w:val="0000EE"/>
                </w:rPr>
                <w:t>Exhibits</w:t>
              </w:r>
            </w:hyperlink>
          </w:p>
        </w:tc>
        <w:tc>
          <w:tcPr>
            <w:tcW w:w="8320" w:type="dxa"/>
            <w:vAlign w:val="bottom"/>
            <w:gridSpan w:val="21"/>
          </w:tcPr>
          <w:p>
            <w:pPr>
              <w:spacing w:after="0"/>
              <w:rPr>
                <w:sz w:val="15"/>
                <w:szCs w:val="15"/>
                <w:color w:val="auto"/>
              </w:rPr>
            </w:pPr>
          </w:p>
        </w:tc>
        <w:tc>
          <w:tcPr>
            <w:tcW w:w="420" w:type="dxa"/>
            <w:vAlign w:val="bottom"/>
            <w:gridSpan w:val="3"/>
          </w:tcPr>
          <w:p>
            <w:pPr>
              <w:jc w:val="right"/>
              <w:spacing w:after="0" w:line="175" w:lineRule="exact"/>
              <w:rPr>
                <w:rFonts w:ascii="Arial" w:cs="Arial" w:eastAsia="Arial" w:hAnsi="Arial"/>
                <w:sz w:val="18"/>
                <w:szCs w:val="18"/>
                <w:color w:val="0000EE"/>
              </w:rPr>
            </w:pPr>
            <w:hyperlink w:anchor="page80">
              <w:r>
                <w:rPr>
                  <w:rFonts w:ascii="Arial" w:cs="Arial" w:eastAsia="Arial" w:hAnsi="Arial"/>
                  <w:sz w:val="18"/>
                  <w:szCs w:val="18"/>
                  <w:color w:val="0000EE"/>
                </w:rPr>
                <w:t>78</w:t>
              </w:r>
            </w:hyperlink>
          </w:p>
        </w:tc>
        <w:tc>
          <w:tcPr>
            <w:tcW w:w="120" w:type="dxa"/>
            <w:vAlign w:val="bottom"/>
          </w:tcPr>
          <w:p>
            <w:pPr>
              <w:spacing w:after="0"/>
              <w:rPr>
                <w:sz w:val="15"/>
                <w:szCs w:val="15"/>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4"/>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40" w:type="dxa"/>
            <w:vAlign w:val="bottom"/>
            <w:gridSpan w:val="28"/>
            <w:shd w:val="clear" w:color="auto" w:fill="CCEEFF"/>
          </w:tcPr>
          <w:p>
            <w:pPr>
              <w:spacing w:after="0" w:line="175" w:lineRule="exact"/>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420" w:type="dxa"/>
            <w:vAlign w:val="bottom"/>
            <w:gridSpan w:val="3"/>
            <w:shd w:val="clear" w:color="auto" w:fill="CCEEFF"/>
          </w:tcPr>
          <w:p>
            <w:pPr>
              <w:jc w:val="right"/>
              <w:spacing w:after="0" w:line="175" w:lineRule="exact"/>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120" w:type="dxa"/>
            <w:vAlign w:val="bottom"/>
            <w:shd w:val="clear" w:color="auto" w:fill="CCEEFF"/>
          </w:tcPr>
          <w:p>
            <w:pPr>
              <w:spacing w:after="0"/>
              <w:rPr>
                <w:sz w:val="15"/>
                <w:szCs w:val="15"/>
                <w:color w:val="auto"/>
              </w:rPr>
            </w:pP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2" w:name="page3"/>
    <w:bookmarkEnd w:id="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6112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1245" cy="8255"/>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41910</wp:posOffset>
            </wp:positionV>
            <wp:extent cx="1677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7767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1"/>
              </w:rPr>
              <w:t>September 30, 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10"/>
        </w:trPr>
        <w:tc>
          <w:tcPr>
            <w:tcW w:w="8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0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Investments at fair value:</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20" w:type="dxa"/>
            <w:vAlign w:val="bottom"/>
            <w:gridSpan w:val="2"/>
          </w:tcPr>
          <w:p>
            <w:pPr>
              <w:ind w:left="180"/>
              <w:spacing w:after="0"/>
              <w:rPr>
                <w:sz w:val="20"/>
                <w:szCs w:val="20"/>
                <w:color w:val="auto"/>
              </w:rPr>
            </w:pPr>
            <w:r>
              <w:rPr>
                <w:rFonts w:ascii="Arial" w:cs="Arial" w:eastAsia="Arial" w:hAnsi="Arial"/>
                <w:sz w:val="16"/>
                <w:szCs w:val="16"/>
                <w:color w:val="auto"/>
              </w:rPr>
              <w:t>Non-controlled/non-affiliate investments (cost of $172,562,763 and $204,101,445,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234,922,519</w:t>
            </w:r>
          </w:p>
        </w:tc>
        <w:tc>
          <w:tcPr>
            <w:tcW w:w="16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200,532,890</w:t>
            </w:r>
          </w:p>
        </w:tc>
        <w:tc>
          <w:tcPr>
            <w:tcW w:w="0" w:type="dxa"/>
            <w:vAlign w:val="bottom"/>
          </w:tcPr>
          <w:p>
            <w:pPr>
              <w:spacing w:after="0"/>
              <w:rPr>
                <w:sz w:val="1"/>
                <w:szCs w:val="1"/>
                <w:color w:val="auto"/>
              </w:rPr>
            </w:pPr>
          </w:p>
        </w:tc>
      </w:tr>
      <w:tr>
        <w:trPr>
          <w:trHeight w:val="241"/>
        </w:trPr>
        <w:tc>
          <w:tcPr>
            <w:tcW w:w="20" w:type="dxa"/>
            <w:vAlign w:val="bottom"/>
            <w:shd w:val="clear" w:color="auto" w:fill="CCEEFF"/>
          </w:tcPr>
          <w:p>
            <w:pPr>
              <w:spacing w:after="0"/>
              <w:rPr>
                <w:sz w:val="20"/>
                <w:szCs w:val="20"/>
                <w:color w:val="auto"/>
              </w:rPr>
            </w:pPr>
          </w:p>
        </w:tc>
        <w:tc>
          <w:tcPr>
            <w:tcW w:w="8020" w:type="dxa"/>
            <w:vAlign w:val="bottom"/>
            <w:gridSpan w:val="2"/>
            <w:shd w:val="clear" w:color="auto" w:fill="CCEEFF"/>
          </w:tcPr>
          <w:p>
            <w:pPr>
              <w:ind w:left="180"/>
              <w:spacing w:after="0" w:line="241" w:lineRule="exact"/>
              <w:rPr>
                <w:sz w:val="20"/>
                <w:szCs w:val="20"/>
                <w:color w:val="auto"/>
              </w:rPr>
            </w:pPr>
            <w:r>
              <w:rPr>
                <w:rFonts w:ascii="Arial" w:cs="Arial" w:eastAsia="Arial" w:hAnsi="Arial"/>
                <w:sz w:val="16"/>
                <w:szCs w:val="16"/>
                <w:color w:val="auto"/>
              </w:rPr>
              <w:t>Non-controlled/affiliate investments (cost of $49,198,848 and $51,773,388, respectively)</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29,787,226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42,444,690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20" w:type="dxa"/>
            <w:vAlign w:val="bottom"/>
            <w:gridSpan w:val="2"/>
          </w:tcPr>
          <w:p>
            <w:pPr>
              <w:ind w:left="180"/>
              <w:spacing w:after="0"/>
              <w:rPr>
                <w:sz w:val="20"/>
                <w:szCs w:val="20"/>
                <w:color w:val="auto"/>
              </w:rPr>
            </w:pPr>
            <w:r>
              <w:rPr>
                <w:rFonts w:ascii="Arial" w:cs="Arial" w:eastAsia="Arial" w:hAnsi="Arial"/>
                <w:sz w:val="16"/>
                <w:szCs w:val="16"/>
                <w:color w:val="auto"/>
              </w:rPr>
              <w:t>Controlled investments (cost of $23,101,258 and $22,893,441,</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20" w:type="dxa"/>
            <w:vAlign w:val="bottom"/>
            <w:gridSpan w:val="2"/>
          </w:tcPr>
          <w:p>
            <w:pPr>
              <w:ind w:left="360"/>
              <w:spacing w:after="0" w:line="252" w:lineRule="exact"/>
              <w:rPr>
                <w:sz w:val="20"/>
                <w:szCs w:val="20"/>
                <w:color w:val="auto"/>
              </w:rPr>
            </w:pPr>
            <w:r>
              <w:rPr>
                <w:rFonts w:ascii="Arial" w:cs="Arial" w:eastAsia="Arial" w:hAnsi="Arial"/>
                <w:sz w:val="16"/>
                <w:szCs w:val="16"/>
                <w:color w:val="auto"/>
              </w:rPr>
              <w:t>respectively)</w:t>
            </w:r>
            <w:r>
              <w:rPr>
                <w:rFonts w:ascii="Arial" w:cs="Arial" w:eastAsia="Arial" w:hAnsi="Arial"/>
                <w:sz w:val="26"/>
                <w:szCs w:val="26"/>
                <w:color w:val="auto"/>
                <w:vertAlign w:val="superscript"/>
              </w:rPr>
              <w:t>(1)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25,066,337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19,037,566</w:t>
            </w: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8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Investments in treasury bill (cost of $99,991,125 and $29,998,750, respectively)</w:t>
            </w: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99,994,000</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29,998,490</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20" w:type="dxa"/>
            <w:vAlign w:val="bottom"/>
            <w:gridSpan w:val="2"/>
          </w:tcPr>
          <w:p>
            <w:pPr>
              <w:ind w:left="360"/>
              <w:spacing w:after="0"/>
              <w:rPr>
                <w:sz w:val="20"/>
                <w:szCs w:val="20"/>
                <w:color w:val="auto"/>
              </w:rPr>
            </w:pPr>
            <w:r>
              <w:rPr>
                <w:rFonts w:ascii="Arial" w:cs="Arial" w:eastAsia="Arial" w:hAnsi="Arial"/>
                <w:sz w:val="16"/>
                <w:szCs w:val="16"/>
                <w:color w:val="auto"/>
              </w:rPr>
              <w:t>Total Investments (cost of $344,853,994 and $308,767,024, respectively)</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389,770,082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292,013,636</w:t>
            </w:r>
          </w:p>
        </w:tc>
        <w:tc>
          <w:tcPr>
            <w:tcW w:w="0" w:type="dxa"/>
            <w:vAlign w:val="bottom"/>
          </w:tcPr>
          <w:p>
            <w:pPr>
              <w:spacing w:after="0"/>
              <w:rPr>
                <w:sz w:val="1"/>
                <w:szCs w:val="1"/>
                <w:color w:val="auto"/>
              </w:rPr>
            </w:pPr>
          </w:p>
        </w:tc>
      </w:tr>
      <w:tr>
        <w:trPr>
          <w:trHeight w:val="201"/>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5,154,436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8,332,634</w:t>
            </w:r>
          </w:p>
        </w:tc>
        <w:tc>
          <w:tcPr>
            <w:tcW w:w="0" w:type="dxa"/>
            <w:vAlign w:val="bottom"/>
          </w:tcPr>
          <w:p>
            <w:pPr>
              <w:spacing w:after="0"/>
              <w:rPr>
                <w:sz w:val="1"/>
                <w:szCs w:val="1"/>
                <w:color w:val="auto"/>
              </w:rPr>
            </w:pPr>
          </w:p>
        </w:tc>
      </w:tr>
      <w:tr>
        <w:trPr>
          <w:trHeight w:val="201"/>
        </w:trPr>
        <w:tc>
          <w:tcPr>
            <w:tcW w:w="8040" w:type="dxa"/>
            <w:vAlign w:val="bottom"/>
            <w:gridSpan w:val="3"/>
          </w:tcPr>
          <w:p>
            <w:pPr>
              <w:ind w:left="20"/>
              <w:spacing w:after="0"/>
              <w:rPr>
                <w:sz w:val="20"/>
                <w:szCs w:val="20"/>
                <w:color w:val="auto"/>
              </w:rPr>
            </w:pPr>
            <w:r>
              <w:rPr>
                <w:rFonts w:ascii="Arial" w:cs="Arial" w:eastAsia="Arial" w:hAnsi="Arial"/>
                <w:sz w:val="16"/>
                <w:szCs w:val="16"/>
                <w:color w:val="auto"/>
              </w:rPr>
              <w:t>Interest and dividends receivable</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218,437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92,946</w:t>
            </w:r>
          </w:p>
        </w:tc>
        <w:tc>
          <w:tcPr>
            <w:tcW w:w="0" w:type="dxa"/>
            <w:vAlign w:val="bottom"/>
          </w:tcPr>
          <w:p>
            <w:pPr>
              <w:spacing w:after="0"/>
              <w:rPr>
                <w:sz w:val="1"/>
                <w:szCs w:val="1"/>
                <w:color w:val="auto"/>
              </w:rPr>
            </w:pPr>
          </w:p>
        </w:tc>
      </w:tr>
      <w:tr>
        <w:trPr>
          <w:trHeight w:val="201"/>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Prepaid expenses and other assets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213,942</w:t>
            </w:r>
          </w:p>
        </w:tc>
        <w:tc>
          <w:tcPr>
            <w:tcW w:w="0" w:type="dxa"/>
            <w:vAlign w:val="bottom"/>
          </w:tcPr>
          <w:p>
            <w:pPr>
              <w:spacing w:after="0"/>
              <w:rPr>
                <w:sz w:val="1"/>
                <w:szCs w:val="1"/>
                <w:color w:val="auto"/>
              </w:rPr>
            </w:pPr>
          </w:p>
        </w:tc>
      </w:tr>
      <w:tr>
        <w:trPr>
          <w:trHeight w:val="201"/>
        </w:trPr>
        <w:tc>
          <w:tcPr>
            <w:tcW w:w="8040" w:type="dxa"/>
            <w:vAlign w:val="bottom"/>
            <w:gridSpan w:val="3"/>
          </w:tcPr>
          <w:p>
            <w:pPr>
              <w:ind w:left="20"/>
              <w:spacing w:after="0"/>
              <w:rPr>
                <w:sz w:val="20"/>
                <w:szCs w:val="20"/>
                <w:color w:val="auto"/>
              </w:rPr>
            </w:pPr>
            <w:r>
              <w:rPr>
                <w:rFonts w:ascii="Arial" w:cs="Arial" w:eastAsia="Arial" w:hAnsi="Arial"/>
                <w:sz w:val="16"/>
                <w:szCs w:val="16"/>
                <w:color w:val="auto"/>
              </w:rPr>
              <w:t>Deferred financing costs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425,316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802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Total Assets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395,866,056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300,964,426</w:t>
            </w:r>
          </w:p>
        </w:tc>
        <w:tc>
          <w:tcPr>
            <w:tcW w:w="0" w:type="dxa"/>
            <w:vAlign w:val="bottom"/>
          </w:tcPr>
          <w:p>
            <w:pPr>
              <w:spacing w:after="0"/>
              <w:rPr>
                <w:sz w:val="1"/>
                <w:szCs w:val="1"/>
                <w:color w:val="auto"/>
              </w:rPr>
            </w:pPr>
          </w:p>
        </w:tc>
      </w:tr>
      <w:tr>
        <w:trPr>
          <w:trHeight w:val="195"/>
        </w:trPr>
        <w:tc>
          <w:tcPr>
            <w:tcW w:w="804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Due to:</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20" w:type="dxa"/>
            <w:vAlign w:val="bottom"/>
            <w:gridSpan w:val="2"/>
          </w:tcPr>
          <w:p>
            <w:pPr>
              <w:ind w:left="180"/>
              <w:spacing w:after="0" w:line="241" w:lineRule="exact"/>
              <w:rPr>
                <w:sz w:val="20"/>
                <w:szCs w:val="20"/>
                <w:color w:val="auto"/>
              </w:rPr>
            </w:pPr>
            <w:r>
              <w:rPr>
                <w:rFonts w:ascii="Arial" w:cs="Arial" w:eastAsia="Arial" w:hAnsi="Arial"/>
                <w:sz w:val="16"/>
                <w:szCs w:val="16"/>
                <w:color w:val="auto"/>
              </w:rPr>
              <w:t>GSV Asset Management</w:t>
            </w:r>
            <w:r>
              <w:rPr>
                <w:rFonts w:ascii="Arial" w:cs="Arial" w:eastAsia="Arial" w:hAnsi="Arial"/>
                <w:sz w:val="26"/>
                <w:szCs w:val="26"/>
                <w:color w:val="auto"/>
                <w:vertAlign w:val="superscript"/>
              </w:rPr>
              <w:t>(1)</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323,897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422,025</w:t>
            </w:r>
          </w:p>
        </w:tc>
        <w:tc>
          <w:tcPr>
            <w:tcW w:w="0" w:type="dxa"/>
            <w:vAlign w:val="bottom"/>
          </w:tcPr>
          <w:p>
            <w:pPr>
              <w:spacing w:after="0"/>
              <w:rPr>
                <w:sz w:val="1"/>
                <w:szCs w:val="1"/>
                <w:color w:val="auto"/>
              </w:rPr>
            </w:pPr>
          </w:p>
        </w:tc>
      </w:tr>
      <w:tr>
        <w:trPr>
          <w:trHeight w:val="201"/>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257,386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335,611</w:t>
            </w:r>
          </w:p>
        </w:tc>
        <w:tc>
          <w:tcPr>
            <w:tcW w:w="0" w:type="dxa"/>
            <w:vAlign w:val="bottom"/>
          </w:tcPr>
          <w:p>
            <w:pPr>
              <w:spacing w:after="0"/>
              <w:rPr>
                <w:sz w:val="1"/>
                <w:szCs w:val="1"/>
                <w:color w:val="auto"/>
              </w:rPr>
            </w:pPr>
          </w:p>
        </w:tc>
      </w:tr>
      <w:tr>
        <w:trPr>
          <w:trHeight w:val="241"/>
        </w:trPr>
        <w:tc>
          <w:tcPr>
            <w:tcW w:w="8040" w:type="dxa"/>
            <w:vAlign w:val="bottom"/>
            <w:gridSpan w:val="3"/>
          </w:tcPr>
          <w:p>
            <w:pPr>
              <w:ind w:left="20"/>
              <w:spacing w:after="0" w:line="241" w:lineRule="exact"/>
              <w:rPr>
                <w:sz w:val="20"/>
                <w:szCs w:val="20"/>
                <w:color w:val="auto"/>
              </w:rPr>
            </w:pPr>
            <w:r>
              <w:rPr>
                <w:rFonts w:ascii="Arial" w:cs="Arial" w:eastAsia="Arial" w:hAnsi="Arial"/>
                <w:sz w:val="16"/>
                <w:szCs w:val="16"/>
                <w:color w:val="auto"/>
              </w:rPr>
              <w:t>Accrued incentive fees</w:t>
            </w:r>
            <w:r>
              <w:rPr>
                <w:rFonts w:ascii="Arial" w:cs="Arial" w:eastAsia="Arial" w:hAnsi="Arial"/>
                <w:sz w:val="26"/>
                <w:szCs w:val="26"/>
                <w:color w:val="auto"/>
                <w:vertAlign w:val="superscript"/>
              </w:rPr>
              <w:t>(1)</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9,608,629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2,126,444</w:t>
            </w:r>
          </w:p>
        </w:tc>
        <w:tc>
          <w:tcPr>
            <w:tcW w:w="0" w:type="dxa"/>
            <w:vAlign w:val="bottom"/>
          </w:tcPr>
          <w:p>
            <w:pPr>
              <w:spacing w:after="0"/>
              <w:rPr>
                <w:sz w:val="1"/>
                <w:szCs w:val="1"/>
                <w:color w:val="auto"/>
              </w:rPr>
            </w:pPr>
          </w:p>
        </w:tc>
      </w:tr>
      <w:tr>
        <w:trPr>
          <w:trHeight w:val="241"/>
        </w:trPr>
        <w:tc>
          <w:tcPr>
            <w:tcW w:w="8040" w:type="dxa"/>
            <w:vAlign w:val="bottom"/>
            <w:gridSpan w:val="3"/>
            <w:shd w:val="clear" w:color="auto" w:fill="CCEEFF"/>
          </w:tcPr>
          <w:p>
            <w:pPr>
              <w:ind w:left="20"/>
              <w:spacing w:after="0" w:line="241" w:lineRule="exact"/>
              <w:rPr>
                <w:sz w:val="20"/>
                <w:szCs w:val="20"/>
                <w:color w:val="auto"/>
              </w:rPr>
            </w:pPr>
            <w:r>
              <w:rPr>
                <w:rFonts w:ascii="Arial" w:cs="Arial" w:eastAsia="Arial" w:hAnsi="Arial"/>
                <w:sz w:val="16"/>
                <w:szCs w:val="16"/>
                <w:color w:val="auto"/>
              </w:rPr>
              <w:t>Accrued management fees</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524,054</w:t>
            </w:r>
          </w:p>
        </w:tc>
        <w:tc>
          <w:tcPr>
            <w:tcW w:w="0" w:type="dxa"/>
            <w:vAlign w:val="bottom"/>
          </w:tcPr>
          <w:p>
            <w:pPr>
              <w:spacing w:after="0"/>
              <w:rPr>
                <w:sz w:val="1"/>
                <w:szCs w:val="1"/>
                <w:color w:val="auto"/>
              </w:rPr>
            </w:pPr>
          </w:p>
        </w:tc>
      </w:tr>
      <w:tr>
        <w:trPr>
          <w:trHeight w:val="201"/>
        </w:trPr>
        <w:tc>
          <w:tcPr>
            <w:tcW w:w="8040" w:type="dxa"/>
            <w:vAlign w:val="bottom"/>
            <w:gridSpan w:val="3"/>
          </w:tcPr>
          <w:p>
            <w:pPr>
              <w:ind w:left="20"/>
              <w:spacing w:after="0"/>
              <w:rPr>
                <w:sz w:val="20"/>
                <w:szCs w:val="20"/>
                <w:color w:val="auto"/>
              </w:rPr>
            </w:pPr>
            <w:r>
              <w:rPr>
                <w:rFonts w:ascii="Arial" w:cs="Arial" w:eastAsia="Arial" w:hAnsi="Arial"/>
                <w:sz w:val="16"/>
                <w:szCs w:val="16"/>
                <w:color w:val="auto"/>
              </w:rPr>
              <w:t>Accrued interest payable</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156,104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1,056,563</w:t>
            </w:r>
          </w:p>
        </w:tc>
        <w:tc>
          <w:tcPr>
            <w:tcW w:w="0" w:type="dxa"/>
            <w:vAlign w:val="bottom"/>
          </w:tcPr>
          <w:p>
            <w:pPr>
              <w:spacing w:after="0"/>
              <w:rPr>
                <w:sz w:val="1"/>
                <w:szCs w:val="1"/>
                <w:color w:val="auto"/>
              </w:rPr>
            </w:pPr>
          </w:p>
        </w:tc>
      </w:tr>
      <w:tr>
        <w:trPr>
          <w:trHeight w:val="201"/>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Payable for shares repurchased</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153,560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8040" w:type="dxa"/>
            <w:vAlign w:val="bottom"/>
            <w:gridSpan w:val="3"/>
          </w:tcPr>
          <w:p>
            <w:pPr>
              <w:ind w:left="20"/>
              <w:spacing w:after="0"/>
              <w:rPr>
                <w:sz w:val="20"/>
                <w:szCs w:val="20"/>
                <w:color w:val="auto"/>
              </w:rPr>
            </w:pPr>
            <w:r>
              <w:rPr>
                <w:rFonts w:ascii="Arial" w:cs="Arial" w:eastAsia="Arial" w:hAnsi="Arial"/>
                <w:sz w:val="16"/>
                <w:szCs w:val="16"/>
                <w:color w:val="auto"/>
              </w:rPr>
              <w:t>Payable for securities purchased</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89,491,125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26,498,750</w:t>
            </w:r>
          </w:p>
        </w:tc>
        <w:tc>
          <w:tcPr>
            <w:tcW w:w="0" w:type="dxa"/>
            <w:vAlign w:val="bottom"/>
          </w:tcPr>
          <w:p>
            <w:pPr>
              <w:spacing w:after="0"/>
              <w:rPr>
                <w:sz w:val="1"/>
                <w:szCs w:val="1"/>
                <w:color w:val="auto"/>
              </w:rPr>
            </w:pPr>
          </w:p>
        </w:tc>
      </w:tr>
      <w:tr>
        <w:trPr>
          <w:trHeight w:val="201"/>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10,332,666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10,359,371</w:t>
            </w:r>
          </w:p>
        </w:tc>
        <w:tc>
          <w:tcPr>
            <w:tcW w:w="0" w:type="dxa"/>
            <w:vAlign w:val="bottom"/>
          </w:tcPr>
          <w:p>
            <w:pPr>
              <w:spacing w:after="0"/>
              <w:rPr>
                <w:sz w:val="1"/>
                <w:szCs w:val="1"/>
                <w:color w:val="auto"/>
              </w:rPr>
            </w:pPr>
          </w:p>
        </w:tc>
      </w:tr>
      <w:tr>
        <w:trPr>
          <w:trHeight w:val="201"/>
        </w:trPr>
        <w:tc>
          <w:tcPr>
            <w:tcW w:w="8040" w:type="dxa"/>
            <w:vAlign w:val="bottom"/>
            <w:gridSpan w:val="3"/>
          </w:tcPr>
          <w:p>
            <w:pPr>
              <w:ind w:left="20"/>
              <w:spacing w:after="0"/>
              <w:rPr>
                <w:sz w:val="20"/>
                <w:szCs w:val="20"/>
                <w:color w:val="auto"/>
              </w:rPr>
            </w:pPr>
            <w:r>
              <w:rPr>
                <w:rFonts w:ascii="Arial" w:cs="Arial" w:eastAsia="Arial" w:hAnsi="Arial"/>
                <w:sz w:val="16"/>
                <w:szCs w:val="16"/>
                <w:color w:val="auto"/>
              </w:rPr>
              <w:t>Credit facility payable</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8,000,000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8040" w:type="dxa"/>
            <w:vAlign w:val="bottom"/>
            <w:tcBorders>
              <w:bottom w:val="single" w:sz="8" w:color="CCEEFF"/>
            </w:tcBorders>
            <w:gridSpan w:val="3"/>
            <w:shd w:val="clear" w:color="auto" w:fill="CCEEFF"/>
          </w:tcPr>
          <w:p>
            <w:pPr>
              <w:ind w:left="20"/>
              <w:spacing w:after="0" w:line="241" w:lineRule="exact"/>
              <w:rPr>
                <w:sz w:val="20"/>
                <w:szCs w:val="20"/>
                <w:color w:val="auto"/>
              </w:rPr>
            </w:pPr>
            <w:r>
              <w:rPr>
                <w:rFonts w:ascii="Arial" w:cs="Arial" w:eastAsia="Arial" w:hAnsi="Arial"/>
                <w:sz w:val="16"/>
                <w:szCs w:val="16"/>
                <w:color w:val="auto"/>
              </w:rPr>
              <w:t>Convertible Senior Notes Payable 5.25% due September 15, 2018</w:t>
            </w:r>
            <w:r>
              <w:rPr>
                <w:rFonts w:ascii="Arial" w:cs="Arial" w:eastAsia="Arial" w:hAnsi="Arial"/>
                <w:sz w:val="26"/>
                <w:szCs w:val="26"/>
                <w:color w:val="auto"/>
                <w:vertAlign w:val="superscript"/>
              </w:rPr>
              <w:t>(2)</w:t>
            </w:r>
          </w:p>
        </w:tc>
        <w:tc>
          <w:tcPr>
            <w:tcW w:w="1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68,162,724</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67,512,798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20" w:type="dxa"/>
            <w:vAlign w:val="bottom"/>
            <w:gridSpan w:val="2"/>
          </w:tcPr>
          <w:p>
            <w:pPr>
              <w:ind w:left="360"/>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186,486,091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108,835,616</w:t>
            </w:r>
          </w:p>
        </w:tc>
        <w:tc>
          <w:tcPr>
            <w:tcW w:w="0" w:type="dxa"/>
            <w:vAlign w:val="bottom"/>
          </w:tcPr>
          <w:p>
            <w:pPr>
              <w:spacing w:after="0"/>
              <w:rPr>
                <w:sz w:val="1"/>
                <w:szCs w:val="1"/>
                <w:color w:val="auto"/>
              </w:rPr>
            </w:pPr>
          </w:p>
        </w:tc>
      </w:tr>
      <w:tr>
        <w:trPr>
          <w:trHeight w:val="195"/>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(Notes 6 and 9)</w:t>
            </w: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4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209,379,965</w:t>
            </w:r>
          </w:p>
        </w:tc>
        <w:tc>
          <w:tcPr>
            <w:tcW w:w="16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192,128,810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NET ASSETS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40" w:type="dxa"/>
            <w:vAlign w:val="bottom"/>
            <w:gridSpan w:val="3"/>
          </w:tcPr>
          <w:p>
            <w:pPr>
              <w:ind w:left="20"/>
              <w:spacing w:after="0"/>
              <w:rPr>
                <w:sz w:val="20"/>
                <w:szCs w:val="20"/>
                <w:color w:val="auto"/>
              </w:rPr>
            </w:pPr>
            <w:r>
              <w:rPr>
                <w:rFonts w:ascii="Arial" w:cs="Arial" w:eastAsia="Arial" w:hAnsi="Arial"/>
                <w:sz w:val="16"/>
                <w:szCs w:val="16"/>
                <w:color w:val="auto"/>
              </w:rPr>
              <w:t>Common stock, par value $0.01 per share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2"/>
          </w:tcPr>
          <w:p>
            <w:pPr>
              <w:ind w:left="180"/>
              <w:spacing w:after="0"/>
              <w:rPr>
                <w:sz w:val="20"/>
                <w:szCs w:val="20"/>
                <w:color w:val="auto"/>
              </w:rPr>
            </w:pPr>
            <w:r>
              <w:rPr>
                <w:rFonts w:ascii="Arial" w:cs="Arial" w:eastAsia="Arial" w:hAnsi="Arial"/>
                <w:sz w:val="16"/>
                <w:szCs w:val="16"/>
                <w:color w:val="auto"/>
              </w:rPr>
              <w:t>(100,000,000 authorized; 21,606,894 and 22,181,003 issued and outstanding, 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216,069</w:t>
            </w:r>
          </w:p>
        </w:tc>
        <w:tc>
          <w:tcPr>
            <w:tcW w:w="16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221,810</w:t>
            </w:r>
          </w:p>
        </w:tc>
        <w:tc>
          <w:tcPr>
            <w:tcW w:w="0" w:type="dxa"/>
            <w:vAlign w:val="bottom"/>
          </w:tcPr>
          <w:p>
            <w:pPr>
              <w:spacing w:after="0"/>
              <w:rPr>
                <w:sz w:val="1"/>
                <w:szCs w:val="1"/>
                <w:color w:val="auto"/>
              </w:rPr>
            </w:pPr>
          </w:p>
        </w:tc>
      </w:tr>
      <w:tr>
        <w:trPr>
          <w:trHeight w:val="204"/>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Paid-in capital in excess of par</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218,442,567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221,237,636</w:t>
            </w:r>
          </w:p>
        </w:tc>
        <w:tc>
          <w:tcPr>
            <w:tcW w:w="0" w:type="dxa"/>
            <w:vAlign w:val="bottom"/>
          </w:tcPr>
          <w:p>
            <w:pPr>
              <w:spacing w:after="0"/>
              <w:rPr>
                <w:sz w:val="1"/>
                <w:szCs w:val="1"/>
                <w:color w:val="auto"/>
              </w:rPr>
            </w:pPr>
          </w:p>
        </w:tc>
      </w:tr>
      <w:tr>
        <w:trPr>
          <w:trHeight w:val="201"/>
        </w:trPr>
        <w:tc>
          <w:tcPr>
            <w:tcW w:w="8040" w:type="dxa"/>
            <w:vAlign w:val="bottom"/>
            <w:gridSpan w:val="3"/>
          </w:tcPr>
          <w:p>
            <w:pPr>
              <w:ind w:left="20"/>
              <w:spacing w:after="0"/>
              <w:rPr>
                <w:sz w:val="20"/>
                <w:szCs w:val="20"/>
                <w:color w:val="auto"/>
              </w:rPr>
            </w:pPr>
            <w:r>
              <w:rPr>
                <w:rFonts w:ascii="Arial" w:cs="Arial" w:eastAsia="Arial" w:hAnsi="Arial"/>
                <w:sz w:val="16"/>
                <w:szCs w:val="16"/>
                <w:color w:val="auto"/>
              </w:rPr>
              <w:t>Accumulated net investment loss</w:t>
            </w:r>
          </w:p>
        </w:tc>
        <w:tc>
          <w:tcPr>
            <w:tcW w:w="10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(18,761,130)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(1,443,996)</w:t>
            </w:r>
          </w:p>
        </w:tc>
        <w:tc>
          <w:tcPr>
            <w:tcW w:w="0" w:type="dxa"/>
            <w:vAlign w:val="bottom"/>
          </w:tcPr>
          <w:p>
            <w:pPr>
              <w:spacing w:after="0"/>
              <w:rPr>
                <w:sz w:val="1"/>
                <w:szCs w:val="1"/>
                <w:color w:val="auto"/>
              </w:rPr>
            </w:pPr>
          </w:p>
        </w:tc>
      </w:tr>
      <w:tr>
        <w:trPr>
          <w:trHeight w:val="201"/>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Accumulated net realized losses on investments</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(25,100,964)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(773,882)</w:t>
            </w:r>
          </w:p>
        </w:tc>
        <w:tc>
          <w:tcPr>
            <w:tcW w:w="0" w:type="dxa"/>
            <w:vAlign w:val="bottom"/>
          </w:tcPr>
          <w:p>
            <w:pPr>
              <w:spacing w:after="0"/>
              <w:rPr>
                <w:sz w:val="1"/>
                <w:szCs w:val="1"/>
                <w:color w:val="auto"/>
              </w:rPr>
            </w:pPr>
          </w:p>
        </w:tc>
      </w:tr>
      <w:tr>
        <w:trPr>
          <w:trHeight w:val="201"/>
        </w:trPr>
        <w:tc>
          <w:tcPr>
            <w:tcW w:w="8040" w:type="dxa"/>
            <w:vAlign w:val="bottom"/>
            <w:gridSpan w:val="3"/>
          </w:tcPr>
          <w:p>
            <w:pPr>
              <w:ind w:left="20"/>
              <w:spacing w:after="0"/>
              <w:rPr>
                <w:sz w:val="20"/>
                <w:szCs w:val="20"/>
                <w:color w:val="auto"/>
              </w:rPr>
            </w:pPr>
            <w:r>
              <w:rPr>
                <w:rFonts w:ascii="Arial" w:cs="Arial" w:eastAsia="Arial" w:hAnsi="Arial"/>
                <w:sz w:val="16"/>
                <w:szCs w:val="16"/>
                <w:color w:val="auto"/>
              </w:rPr>
              <w:t>Accumulated net unrealized appreciation/(depreciation) of investments</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34,583,423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(27,112,758)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209,379,965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192,128,810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020" w:type="dxa"/>
            <w:vAlign w:val="bottom"/>
            <w:gridSpan w:val="2"/>
          </w:tcPr>
          <w:p>
            <w:pPr>
              <w:ind w:left="360"/>
              <w:spacing w:after="0"/>
              <w:rPr>
                <w:sz w:val="20"/>
                <w:szCs w:val="20"/>
                <w:color w:val="auto"/>
              </w:rPr>
            </w:pPr>
            <w:r>
              <w:rPr>
                <w:rFonts w:ascii="Arial" w:cs="Arial" w:eastAsia="Arial" w:hAnsi="Arial"/>
                <w:sz w:val="16"/>
                <w:szCs w:val="16"/>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9.69</w:t>
            </w:r>
          </w:p>
        </w:tc>
        <w:tc>
          <w:tcPr>
            <w:tcW w:w="160" w:type="dxa"/>
            <w:vAlign w:val="bottom"/>
          </w:tcPr>
          <w:p>
            <w:pPr>
              <w:spacing w:after="0"/>
              <w:rPr>
                <w:sz w:val="16"/>
                <w:szCs w:val="16"/>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7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-4265930</wp:posOffset>
            </wp:positionV>
            <wp:extent cx="7026275"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627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-3482340</wp:posOffset>
            </wp:positionV>
            <wp:extent cx="702627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6275" cy="1365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-1838960</wp:posOffset>
            </wp:positionV>
            <wp:extent cx="7026275" cy="144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7026275" cy="195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6275" cy="195580"/>
                    </a:xfrm>
                    <a:prstGeom prst="rect">
                      <a:avLst/>
                    </a:prstGeom>
                    <a:noFill/>
                  </pic:spPr>
                </pic:pic>
              </a:graphicData>
            </a:graphic>
          </wp:anchor>
        </w:drawing>
      </w:r>
    </w:p>
    <w:p>
      <w:pPr>
        <w:spacing w:after="0" w:line="234" w:lineRule="exact"/>
        <w:rPr>
          <w:sz w:val="20"/>
          <w:szCs w:val="20"/>
          <w:color w:val="auto"/>
        </w:rPr>
      </w:pPr>
    </w:p>
    <w:p>
      <w:pPr>
        <w:ind w:left="300" w:hanging="274"/>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4" w:lineRule="exact"/>
        <w:rPr>
          <w:rFonts w:ascii="Arial" w:cs="Arial" w:eastAsia="Arial" w:hAnsi="Arial"/>
          <w:sz w:val="18"/>
          <w:szCs w:val="18"/>
          <w:color w:val="auto"/>
        </w:rPr>
      </w:pPr>
    </w:p>
    <w:p>
      <w:pPr>
        <w:ind w:left="300" w:hanging="274"/>
        <w:spacing w:after="0" w:line="272"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Convertible Senior Notes have a face value of $69,000,000. Refer to “Note 9 — Debt Capital Activities” for a reconciliation of the carrying value to the face value.</w:t>
      </w:r>
    </w:p>
    <w:p>
      <w:pPr>
        <w:spacing w:after="0" w:line="200" w:lineRule="exact"/>
        <w:rPr>
          <w:sz w:val="20"/>
          <w:szCs w:val="20"/>
          <w:color w:val="auto"/>
        </w:rPr>
      </w:pPr>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240"/>
          </w:cols>
          <w:pgMar w:left="360" w:top="787" w:right="299" w:bottom="1440" w:gutter="0" w:footer="0" w:header="0"/>
        </w:sectPr>
      </w:pPr>
    </w:p>
    <w:bookmarkStart w:id="3" w:name="page4"/>
    <w:bookmarkEnd w:id="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1545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4555"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31115</wp:posOffset>
            </wp:positionV>
            <wp:extent cx="3235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5960"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5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 INCOME</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Non-controlled/non-affiliate investments: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380"/>
              <w:spacing w:after="0"/>
              <w:rPr>
                <w:sz w:val="20"/>
                <w:szCs w:val="20"/>
                <w:color w:val="auto"/>
              </w:rPr>
            </w:pPr>
            <w:r>
              <w:rPr>
                <w:rFonts w:ascii="Arial" w:cs="Arial" w:eastAsia="Arial" w:hAnsi="Arial"/>
                <w:sz w:val="18"/>
                <w:szCs w:val="18"/>
                <w:color w:val="auto"/>
              </w:rPr>
              <w:t>Interest income/(reversal of interest accrual)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(21,447)</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(4,640)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11,906</w:t>
            </w:r>
          </w:p>
        </w:tc>
        <w:tc>
          <w:tcPr>
            <w:tcW w:w="0" w:type="dxa"/>
            <w:vAlign w:val="bottom"/>
          </w:tcPr>
          <w:p>
            <w:pPr>
              <w:spacing w:after="0"/>
              <w:rPr>
                <w:sz w:val="1"/>
                <w:szCs w:val="1"/>
                <w:color w:val="auto"/>
              </w:rPr>
            </w:pPr>
          </w:p>
        </w:tc>
      </w:tr>
      <w:tr>
        <w:trPr>
          <w:trHeight w:val="215"/>
        </w:trPr>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8"/>
                <w:szCs w:val="18"/>
                <w:color w:val="auto"/>
              </w:rPr>
              <w:t>Non-controlled/affiliate investments: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380"/>
              <w:spacing w:after="0" w:line="255" w:lineRule="exact"/>
              <w:rPr>
                <w:sz w:val="20"/>
                <w:szCs w:val="20"/>
                <w:color w:val="auto"/>
              </w:rPr>
            </w:pPr>
            <w:r>
              <w:rPr>
                <w:rFonts w:ascii="Arial" w:cs="Arial" w:eastAsia="Arial" w:hAnsi="Arial"/>
                <w:sz w:val="18"/>
                <w:szCs w:val="18"/>
                <w:color w:val="auto"/>
              </w:rPr>
              <w:t>Interest income/(reversal of interest accrual)</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(48,398)</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61,145</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143,974</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79,858</w:t>
            </w: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8"/>
                <w:szCs w:val="18"/>
                <w:color w:val="auto"/>
              </w:rPr>
              <w:t>Controlled investments: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380"/>
              <w:spacing w:after="0" w:line="255" w:lineRule="exact"/>
              <w:rPr>
                <w:sz w:val="20"/>
                <w:szCs w:val="20"/>
                <w:color w:val="auto"/>
              </w:rPr>
            </w:pPr>
            <w:r>
              <w:rPr>
                <w:rFonts w:ascii="Arial" w:cs="Arial" w:eastAsia="Arial" w:hAnsi="Arial"/>
                <w:sz w:val="18"/>
                <w:szCs w:val="18"/>
                <w:color w:val="auto"/>
              </w:rPr>
              <w:t>Interest income</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69,757</w:t>
            </w:r>
          </w:p>
        </w:tc>
        <w:tc>
          <w:tcPr>
            <w:tcW w:w="120" w:type="dxa"/>
            <w:vAlign w:val="bottom"/>
            <w:tcBorders>
              <w:lef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196,534</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43,417</w:t>
            </w:r>
          </w:p>
        </w:tc>
        <w:tc>
          <w:tcPr>
            <w:tcW w:w="0" w:type="dxa"/>
            <w:vAlign w:val="bottom"/>
          </w:tcPr>
          <w:p>
            <w:pPr>
              <w:spacing w:after="0"/>
              <w:rPr>
                <w:sz w:val="1"/>
                <w:szCs w:val="1"/>
                <w:color w:val="auto"/>
              </w:rPr>
            </w:pPr>
          </w:p>
        </w:tc>
      </w:tr>
      <w:tr>
        <w:trPr>
          <w:trHeight w:val="255"/>
        </w:trPr>
        <w:tc>
          <w:tcPr>
            <w:tcW w:w="5720" w:type="dxa"/>
            <w:vAlign w:val="bottom"/>
          </w:tcPr>
          <w:p>
            <w:pPr>
              <w:ind w:left="380"/>
              <w:spacing w:after="0" w:line="255" w:lineRule="exact"/>
              <w:rPr>
                <w:sz w:val="20"/>
                <w:szCs w:val="20"/>
                <w:color w:val="auto"/>
              </w:rPr>
            </w:pPr>
            <w:r>
              <w:rPr>
                <w:rFonts w:ascii="Arial" w:cs="Arial" w:eastAsia="Arial" w:hAnsi="Arial"/>
                <w:sz w:val="18"/>
                <w:szCs w:val="18"/>
                <w:color w:val="auto"/>
              </w:rPr>
              <w:t>Dividend income</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475,000</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174,912</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883,964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135,181</w:t>
            </w:r>
          </w:p>
        </w:tc>
        <w:tc>
          <w:tcPr>
            <w:tcW w:w="0" w:type="dxa"/>
            <w:vAlign w:val="bottom"/>
          </w:tcPr>
          <w:p>
            <w:pPr>
              <w:spacing w:after="0"/>
              <w:rPr>
                <w:sz w:val="1"/>
                <w:szCs w:val="1"/>
                <w:color w:val="auto"/>
              </w:rPr>
            </w:pPr>
          </w:p>
        </w:tc>
      </w:tr>
      <w:tr>
        <w:trPr>
          <w:trHeight w:val="208"/>
        </w:trPr>
        <w:tc>
          <w:tcPr>
            <w:tcW w:w="57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20"/>
              <w:spacing w:after="0" w:line="255" w:lineRule="exact"/>
              <w:rPr>
                <w:sz w:val="20"/>
                <w:szCs w:val="20"/>
                <w:color w:val="auto"/>
              </w:rPr>
            </w:pPr>
            <w:r>
              <w:rPr>
                <w:rFonts w:ascii="Arial" w:cs="Arial" w:eastAsia="Arial" w:hAnsi="Arial"/>
                <w:sz w:val="18"/>
                <w:szCs w:val="18"/>
                <w:color w:val="auto"/>
              </w:rPr>
              <w:t>Management fees</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1,397,332</w:t>
            </w:r>
          </w:p>
        </w:tc>
        <w:tc>
          <w:tcPr>
            <w:tcW w:w="120" w:type="dxa"/>
            <w:vAlign w:val="bottom"/>
            <w:tcBorders>
              <w:lef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1,625,963</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4,210,932</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5,324,186</w:t>
            </w:r>
          </w:p>
        </w:tc>
        <w:tc>
          <w:tcPr>
            <w:tcW w:w="0" w:type="dxa"/>
            <w:vAlign w:val="bottom"/>
          </w:tcPr>
          <w:p>
            <w:pPr>
              <w:spacing w:after="0"/>
              <w:rPr>
                <w:sz w:val="1"/>
                <w:szCs w:val="1"/>
                <w:color w:val="auto"/>
              </w:rPr>
            </w:pPr>
          </w:p>
        </w:tc>
      </w:tr>
      <w:tr>
        <w:trPr>
          <w:trHeight w:val="255"/>
        </w:trPr>
        <w:tc>
          <w:tcPr>
            <w:tcW w:w="5720" w:type="dxa"/>
            <w:vAlign w:val="bottom"/>
          </w:tcPr>
          <w:p>
            <w:pPr>
              <w:ind w:left="20"/>
              <w:spacing w:after="0" w:line="255" w:lineRule="exact"/>
              <w:rPr>
                <w:sz w:val="20"/>
                <w:szCs w:val="20"/>
                <w:color w:val="auto"/>
              </w:rPr>
            </w:pPr>
            <w:r>
              <w:rPr>
                <w:rFonts w:ascii="Arial" w:cs="Arial" w:eastAsia="Arial" w:hAnsi="Arial"/>
                <w:sz w:val="18"/>
                <w:szCs w:val="18"/>
                <w:color w:val="auto"/>
              </w:rPr>
              <w:t>Incentive fees/(reversal of incentive fee accrual)</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3,334,052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220,719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7,482,185</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(7,805,089)</w:t>
            </w:r>
          </w:p>
        </w:tc>
        <w:tc>
          <w:tcPr>
            <w:tcW w:w="0" w:type="dxa"/>
            <w:vAlign w:val="bottom"/>
          </w:tcPr>
          <w:p>
            <w:pPr>
              <w:spacing w:after="0"/>
              <w:rPr>
                <w:sz w:val="1"/>
                <w:szCs w:val="1"/>
                <w:color w:val="auto"/>
              </w:rPr>
            </w:pPr>
          </w:p>
        </w:tc>
      </w:tr>
      <w:tr>
        <w:trPr>
          <w:trHeight w:val="255"/>
        </w:trPr>
        <w:tc>
          <w:tcPr>
            <w:tcW w:w="5720" w:type="dxa"/>
            <w:vAlign w:val="bottom"/>
            <w:shd w:val="clear" w:color="auto" w:fill="CCEEFF"/>
          </w:tcPr>
          <w:p>
            <w:pPr>
              <w:ind w:left="20"/>
              <w:spacing w:after="0" w:line="255" w:lineRule="exact"/>
              <w:rPr>
                <w:sz w:val="20"/>
                <w:szCs w:val="20"/>
                <w:color w:val="auto"/>
              </w:rPr>
            </w:pPr>
            <w:r>
              <w:rPr>
                <w:rFonts w:ascii="Arial" w:cs="Arial" w:eastAsia="Arial" w:hAnsi="Arial"/>
                <w:sz w:val="18"/>
                <w:szCs w:val="18"/>
                <w:color w:val="auto"/>
              </w:rPr>
              <w:t>Costs incurred under administration agreement</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472,413</w:t>
            </w:r>
          </w:p>
        </w:tc>
        <w:tc>
          <w:tcPr>
            <w:tcW w:w="120" w:type="dxa"/>
            <w:vAlign w:val="bottom"/>
            <w:tcBorders>
              <w:lef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627,444</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1,453,007</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1,926,085</w:t>
            </w: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8"/>
                <w:szCs w:val="18"/>
                <w:color w:val="auto"/>
              </w:rPr>
              <w:t>Directors’ fees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86,250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242,230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258,750</w:t>
            </w:r>
          </w:p>
        </w:tc>
        <w:tc>
          <w:tcPr>
            <w:tcW w:w="0" w:type="dxa"/>
            <w:vAlign w:val="bottom"/>
          </w:tcPr>
          <w:p>
            <w:pPr>
              <w:spacing w:after="0"/>
              <w:rPr>
                <w:sz w:val="1"/>
                <w:szCs w:val="1"/>
                <w:color w:val="auto"/>
              </w:rPr>
            </w:pP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353,933</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416,353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1,318,931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1,441,856</w:t>
            </w: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1,207,548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1,189,736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3,489,381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3,557,225</w:t>
            </w:r>
          </w:p>
        </w:tc>
        <w:tc>
          <w:tcPr>
            <w:tcW w:w="0" w:type="dxa"/>
            <w:vAlign w:val="bottom"/>
          </w:tcPr>
          <w:p>
            <w:pPr>
              <w:spacing w:after="0"/>
              <w:rPr>
                <w:sz w:val="1"/>
                <w:szCs w:val="1"/>
                <w:color w:val="auto"/>
              </w:rPr>
            </w:pPr>
          </w:p>
        </w:tc>
      </w:tr>
      <w:tr>
        <w:trPr>
          <w:trHeight w:val="215"/>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141,838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479,419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558,856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6,975,539</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4,308,303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18,727,464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5,261,869</w:t>
            </w:r>
          </w:p>
        </w:tc>
        <w:tc>
          <w:tcPr>
            <w:tcW w:w="0" w:type="dxa"/>
            <w:vAlign w:val="bottom"/>
          </w:tcPr>
          <w:p>
            <w:pPr>
              <w:spacing w:after="0"/>
              <w:rPr>
                <w:sz w:val="1"/>
                <w:szCs w:val="1"/>
                <w:color w:val="auto"/>
              </w:rPr>
            </w:pPr>
          </w:p>
        </w:tc>
      </w:tr>
      <w:tr>
        <w:trPr>
          <w:trHeight w:val="215"/>
        </w:trPr>
        <w:tc>
          <w:tcPr>
            <w:tcW w:w="5720" w:type="dxa"/>
            <w:vAlign w:val="bottom"/>
          </w:tcPr>
          <w:p>
            <w:pPr>
              <w:ind w:left="380"/>
              <w:spacing w:after="0"/>
              <w:rPr>
                <w:sz w:val="20"/>
                <w:szCs w:val="20"/>
                <w:color w:val="auto"/>
              </w:rPr>
            </w:pPr>
            <w:r>
              <w:rPr>
                <w:rFonts w:ascii="Arial" w:cs="Arial" w:eastAsia="Arial" w:hAnsi="Arial"/>
                <w:sz w:val="18"/>
                <w:szCs w:val="18"/>
                <w:color w:val="auto"/>
              </w:rPr>
              <w:t>Management fee waiver</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(174,666)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(526,366)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 net of waiver of management fees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6,800,873</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4,308,303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18,201,098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5,261,869</w:t>
            </w:r>
          </w:p>
        </w:tc>
        <w:tc>
          <w:tcPr>
            <w:tcW w:w="0" w:type="dxa"/>
            <w:vAlign w:val="bottom"/>
          </w:tcPr>
          <w:p>
            <w:pPr>
              <w:spacing w:after="0"/>
              <w:rPr>
                <w:sz w:val="1"/>
                <w:szCs w:val="1"/>
                <w:color w:val="auto"/>
              </w:rPr>
            </w:pPr>
          </w:p>
        </w:tc>
      </w:tr>
      <w:tr>
        <w:trPr>
          <w:trHeight w:val="20"/>
        </w:trPr>
        <w:tc>
          <w:tcPr>
            <w:tcW w:w="57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tcPr>
          <w:p>
            <w:pPr>
              <w:ind w:left="200"/>
              <w:spacing w:after="0"/>
              <w:rPr>
                <w:sz w:val="20"/>
                <w:szCs w:val="20"/>
                <w:color w:val="auto"/>
              </w:rPr>
            </w:pPr>
            <w:r>
              <w:rPr>
                <w:rFonts w:ascii="Arial" w:cs="Arial" w:eastAsia="Arial" w:hAnsi="Arial"/>
                <w:sz w:val="18"/>
                <w:szCs w:val="18"/>
                <w:b w:val="1"/>
                <w:bCs w:val="1"/>
                <w:color w:val="auto"/>
              </w:rPr>
              <w:t>Net Investment Loss</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(6,625,961)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(4,221,655)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(17,317,134)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(5,126,688)</w:t>
            </w:r>
          </w:p>
        </w:tc>
        <w:tc>
          <w:tcPr>
            <w:tcW w:w="0" w:type="dxa"/>
            <w:vAlign w:val="bottom"/>
          </w:tcPr>
          <w:p>
            <w:pPr>
              <w:spacing w:after="0"/>
              <w:rPr>
                <w:sz w:val="1"/>
                <w:szCs w:val="1"/>
                <w:color w:val="auto"/>
              </w:rPr>
            </w:pPr>
          </w:p>
        </w:tc>
      </w:tr>
      <w:tr>
        <w:trPr>
          <w:trHeight w:val="215"/>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Realized Gains/(Losses):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0"/>
              <w:spacing w:after="0"/>
              <w:rPr>
                <w:sz w:val="20"/>
                <w:szCs w:val="20"/>
                <w:color w:val="auto"/>
              </w:rPr>
            </w:pPr>
            <w:r>
              <w:rPr>
                <w:rFonts w:ascii="Arial" w:cs="Arial" w:eastAsia="Arial" w:hAnsi="Arial"/>
                <w:sz w:val="18"/>
                <w:szCs w:val="18"/>
                <w:color w:val="auto"/>
              </w:rPr>
              <w:t>Non-controlled/non-affiliate investments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1,033,577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2,658,715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(21,748,173)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(2,311,994)</w:t>
            </w:r>
          </w:p>
        </w:tc>
        <w:tc>
          <w:tcPr>
            <w:tcW w:w="0" w:type="dxa"/>
            <w:vAlign w:val="bottom"/>
          </w:tcPr>
          <w:p>
            <w:pPr>
              <w:spacing w:after="0"/>
              <w:rPr>
                <w:sz w:val="1"/>
                <w:szCs w:val="1"/>
                <w:color w:val="auto"/>
              </w:rPr>
            </w:pPr>
          </w:p>
        </w:tc>
      </w:tr>
      <w:tr>
        <w:trPr>
          <w:trHeight w:val="215"/>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Non-controlled/affiliate investments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(2,578,909)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tcPr>
          <w:p>
            <w:pPr>
              <w:ind w:left="200"/>
              <w:spacing w:after="0"/>
              <w:rPr>
                <w:sz w:val="20"/>
                <w:szCs w:val="20"/>
                <w:color w:val="auto"/>
              </w:rPr>
            </w:pPr>
            <w:r>
              <w:rPr>
                <w:rFonts w:ascii="Arial" w:cs="Arial" w:eastAsia="Arial" w:hAnsi="Arial"/>
                <w:sz w:val="18"/>
                <w:szCs w:val="18"/>
                <w:b w:val="1"/>
                <w:bCs w:val="1"/>
                <w:color w:val="auto"/>
              </w:rPr>
              <w:t>Net Realized Gains/(Losses)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1,033,577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2,658,715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(24,327,082)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(2,311,994)</w:t>
            </w:r>
          </w:p>
        </w:tc>
        <w:tc>
          <w:tcPr>
            <w:tcW w:w="0" w:type="dxa"/>
            <w:vAlign w:val="bottom"/>
          </w:tcPr>
          <w:p>
            <w:pPr>
              <w:spacing w:after="0"/>
              <w:rPr>
                <w:sz w:val="1"/>
                <w:szCs w:val="1"/>
                <w:color w:val="auto"/>
              </w:rPr>
            </w:pPr>
          </w:p>
        </w:tc>
      </w:tr>
      <w:tr>
        <w:trPr>
          <w:trHeight w:val="208"/>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Change in Unrealized Appreciation/(Depreciation):</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0"/>
              <w:spacing w:after="0"/>
              <w:rPr>
                <w:sz w:val="20"/>
                <w:szCs w:val="20"/>
                <w:color w:val="auto"/>
              </w:rPr>
            </w:pPr>
            <w:r>
              <w:rPr>
                <w:rFonts w:ascii="Arial" w:cs="Arial" w:eastAsia="Arial" w:hAnsi="Arial"/>
                <w:sz w:val="18"/>
                <w:szCs w:val="18"/>
                <w:color w:val="auto"/>
              </w:rPr>
              <w:t>Non-controlled/non-affiliate investments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5"/>
              </w:rPr>
              <w:t>20,367,064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938,936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65,931,446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(27,841,477)</w:t>
            </w:r>
          </w:p>
        </w:tc>
        <w:tc>
          <w:tcPr>
            <w:tcW w:w="0" w:type="dxa"/>
            <w:vAlign w:val="bottom"/>
          </w:tcPr>
          <w:p>
            <w:pPr>
              <w:spacing w:after="0"/>
              <w:rPr>
                <w:sz w:val="1"/>
                <w:szCs w:val="1"/>
                <w:color w:val="auto"/>
              </w:rPr>
            </w:pPr>
          </w:p>
        </w:tc>
      </w:tr>
      <w:tr>
        <w:trPr>
          <w:trHeight w:val="215"/>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Non-controlled/affiliate investments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(9,822,081)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(584,077)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(10,082,924)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(6,951,895)</w:t>
            </w:r>
          </w:p>
        </w:tc>
        <w:tc>
          <w:tcPr>
            <w:tcW w:w="0" w:type="dxa"/>
            <w:vAlign w:val="bottom"/>
          </w:tcPr>
          <w:p>
            <w:pPr>
              <w:spacing w:after="0"/>
              <w:rPr>
                <w:sz w:val="1"/>
                <w:szCs w:val="1"/>
                <w:color w:val="auto"/>
              </w:rPr>
            </w:pPr>
          </w:p>
        </w:tc>
      </w:tr>
      <w:tr>
        <w:trPr>
          <w:trHeight w:val="215"/>
        </w:trPr>
        <w:tc>
          <w:tcPr>
            <w:tcW w:w="5720" w:type="dxa"/>
            <w:vAlign w:val="bottom"/>
          </w:tcPr>
          <w:p>
            <w:pPr>
              <w:ind w:left="200"/>
              <w:spacing w:after="0"/>
              <w:rPr>
                <w:sz w:val="20"/>
                <w:szCs w:val="20"/>
                <w:color w:val="auto"/>
              </w:rPr>
            </w:pPr>
            <w:r>
              <w:rPr>
                <w:rFonts w:ascii="Arial" w:cs="Arial" w:eastAsia="Arial" w:hAnsi="Arial"/>
                <w:sz w:val="18"/>
                <w:szCs w:val="18"/>
                <w:color w:val="auto"/>
              </w:rPr>
              <w:t>Controlled investments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5,091,700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(1,616,568)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5,820,954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(1,823,224)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Change in Unrealized Appreciation/(Depreciation)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15,636,683</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(1,261,709)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61,669,476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(36,616,596)</w:t>
            </w:r>
          </w:p>
        </w:tc>
        <w:tc>
          <w:tcPr>
            <w:tcW w:w="0" w:type="dxa"/>
            <w:vAlign w:val="bottom"/>
          </w:tcPr>
          <w:p>
            <w:pPr>
              <w:spacing w:after="0"/>
              <w:rPr>
                <w:sz w:val="1"/>
                <w:szCs w:val="1"/>
                <w:color w:val="auto"/>
              </w:rPr>
            </w:pPr>
          </w:p>
        </w:tc>
      </w:tr>
      <w:tr>
        <w:trPr>
          <w:trHeight w:val="194"/>
        </w:trPr>
        <w:tc>
          <w:tcPr>
            <w:tcW w:w="5720" w:type="dxa"/>
            <w:vAlign w:val="bottom"/>
            <w:tcBorders>
              <w:top w:val="single" w:sz="8" w:color="CCEEFF"/>
            </w:tcBorders>
          </w:tcPr>
          <w:p>
            <w:pPr>
              <w:ind w:left="200"/>
              <w:spacing w:after="0" w:line="194" w:lineRule="exact"/>
              <w:rPr>
                <w:sz w:val="20"/>
                <w:szCs w:val="20"/>
                <w:color w:val="auto"/>
              </w:rPr>
            </w:pPr>
            <w:r>
              <w:rPr>
                <w:rFonts w:ascii="Arial" w:cs="Arial" w:eastAsia="Arial" w:hAnsi="Arial"/>
                <w:sz w:val="18"/>
                <w:szCs w:val="18"/>
                <w:color w:val="auto"/>
              </w:rPr>
              <w:t>Benefit from taxes on unrealized</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20" w:type="dxa"/>
            <w:vAlign w:val="bottom"/>
          </w:tcPr>
          <w:p>
            <w:pPr>
              <w:ind w:left="380"/>
              <w:spacing w:after="0"/>
              <w:rPr>
                <w:sz w:val="20"/>
                <w:szCs w:val="20"/>
                <w:color w:val="auto"/>
              </w:rPr>
            </w:pPr>
            <w:r>
              <w:rPr>
                <w:rFonts w:ascii="Arial" w:cs="Arial" w:eastAsia="Arial" w:hAnsi="Arial"/>
                <w:sz w:val="18"/>
                <w:szCs w:val="18"/>
                <w:color w:val="auto"/>
              </w:rPr>
              <w:t>depreciation of investments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26,705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551,310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26,705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551,310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-3423285</wp:posOffset>
            </wp:positionV>
            <wp:extent cx="7026275" cy="144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-1685925</wp:posOffset>
            </wp:positionV>
            <wp:extent cx="7026275" cy="144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-1132205</wp:posOffset>
            </wp:positionV>
            <wp:extent cx="7026275" cy="153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026275" cy="289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6275" cy="28956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4" w:name="page5"/>
    <w:bookmarkEnd w:id="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 (Continued)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1545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4555" cy="8255"/>
                    </a:xfrm>
                    <a:prstGeom prst="rect">
                      <a:avLst/>
                    </a:prstGeom>
                    <a:noFill/>
                  </pic:spPr>
                </pic:pic>
              </a:graphicData>
            </a:graphic>
          </wp:anchor>
        </w:drawing>
        <w:drawing>
          <wp:anchor simplePos="0" relativeHeight="251657728" behindDoc="1" locked="0" layoutInCell="0" allowOverlap="1">
            <wp:simplePos x="0" y="0"/>
            <wp:positionH relativeFrom="column">
              <wp:posOffset>4195445</wp:posOffset>
            </wp:positionH>
            <wp:positionV relativeFrom="paragraph">
              <wp:posOffset>31115</wp:posOffset>
            </wp:positionV>
            <wp:extent cx="2818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18765"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Net Increase/(Decrease) in Net Assets</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580" w:type="dxa"/>
            <w:vAlign w:val="bottom"/>
            <w:gridSpan w:val="2"/>
          </w:tcPr>
          <w:p>
            <w:pPr>
              <w:ind w:left="360"/>
              <w:spacing w:after="0"/>
              <w:rPr>
                <w:sz w:val="20"/>
                <w:szCs w:val="20"/>
                <w:color w:val="auto"/>
              </w:rPr>
            </w:pPr>
            <w:r>
              <w:rPr>
                <w:rFonts w:ascii="Arial" w:cs="Arial" w:eastAsia="Arial" w:hAnsi="Arial"/>
                <w:sz w:val="18"/>
                <w:szCs w:val="18"/>
                <w:b w:val="1"/>
                <w:bCs w:val="1"/>
                <w:color w:val="auto"/>
              </w:rPr>
              <w:t>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10,071,004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(2,273,339)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20,051,965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(43,503,968)</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580" w:type="dxa"/>
            <w:vAlign w:val="bottom"/>
            <w:gridSpan w:val="2"/>
            <w:shd w:val="clear" w:color="auto" w:fill="CCEEFF"/>
          </w:tcPr>
          <w:p>
            <w:pPr>
              <w:ind w:left="180"/>
              <w:spacing w:after="0" w:line="197" w:lineRule="exact"/>
              <w:rPr>
                <w:sz w:val="20"/>
                <w:szCs w:val="20"/>
                <w:color w:val="auto"/>
              </w:rPr>
            </w:pPr>
            <w:r>
              <w:rPr>
                <w:rFonts w:ascii="Arial" w:cs="Arial" w:eastAsia="Arial" w:hAnsi="Arial"/>
                <w:sz w:val="18"/>
                <w:szCs w:val="18"/>
                <w:b w:val="1"/>
                <w:bCs w:val="1"/>
                <w:color w:val="auto"/>
                <w:w w:val="95"/>
              </w:rPr>
              <w:t>Net Increase/(Decrease) in Net Assets Resulting from Operations per Common</w:t>
            </w: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65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Share</w:t>
            </w: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80" w:type="dxa"/>
            <w:vAlign w:val="bottom"/>
            <w:gridSpan w:val="2"/>
          </w:tcPr>
          <w:p>
            <w:pPr>
              <w:ind w:left="520"/>
              <w:spacing w:after="0"/>
              <w:rPr>
                <w:sz w:val="20"/>
                <w:szCs w:val="20"/>
                <w:color w:val="auto"/>
              </w:rPr>
            </w:pPr>
            <w:r>
              <w:rPr>
                <w:rFonts w:ascii="Arial" w:cs="Arial" w:eastAsia="Arial" w:hAnsi="Arial"/>
                <w:sz w:val="18"/>
                <w:szCs w:val="18"/>
                <w:b w:val="1"/>
                <w:bCs w:val="1"/>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ind w:left="520"/>
              <w:spacing w:after="0" w:line="249" w:lineRule="exact"/>
              <w:rPr>
                <w:sz w:val="20"/>
                <w:szCs w:val="20"/>
                <w:color w:val="auto"/>
              </w:rPr>
            </w:pPr>
            <w:r>
              <w:rPr>
                <w:rFonts w:ascii="Arial" w:cs="Arial" w:eastAsia="Arial" w:hAnsi="Arial"/>
                <w:sz w:val="17"/>
                <w:szCs w:val="17"/>
                <w:b w:val="1"/>
                <w:bCs w:val="1"/>
                <w:color w:val="auto"/>
              </w:rPr>
              <w:t>Diluted</w:t>
            </w:r>
            <w:r>
              <w:rPr>
                <w:rFonts w:ascii="Arial" w:cs="Arial" w:eastAsia="Arial" w:hAnsi="Arial"/>
                <w:sz w:val="28"/>
                <w:szCs w:val="28"/>
                <w:b w:val="1"/>
                <w:bCs w:val="1"/>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8"/>
        </w:trPr>
        <w:tc>
          <w:tcPr>
            <w:tcW w:w="20" w:type="dxa"/>
            <w:vAlign w:val="bottom"/>
            <w:tcBorders>
              <w:top w:val="single" w:sz="8" w:color="CCEEFF"/>
            </w:tcBorders>
          </w:tcPr>
          <w:p>
            <w:pPr>
              <w:spacing w:after="0"/>
              <w:rPr>
                <w:sz w:val="18"/>
                <w:szCs w:val="18"/>
                <w:color w:val="auto"/>
              </w:rPr>
            </w:pPr>
          </w:p>
        </w:tc>
        <w:tc>
          <w:tcPr>
            <w:tcW w:w="65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Weighted-Average Common Shares Outstanding</w:t>
            </w: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658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Basic</w:t>
            </w: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22,000,571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22,181,003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22,120,198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22,181,003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580" w:type="dxa"/>
            <w:vAlign w:val="bottom"/>
            <w:gridSpan w:val="2"/>
          </w:tcPr>
          <w:p>
            <w:pPr>
              <w:ind w:left="520"/>
              <w:spacing w:after="0" w:line="249" w:lineRule="exact"/>
              <w:rPr>
                <w:sz w:val="20"/>
                <w:szCs w:val="20"/>
                <w:color w:val="auto"/>
              </w:rPr>
            </w:pPr>
            <w:r>
              <w:rPr>
                <w:rFonts w:ascii="Arial" w:cs="Arial" w:eastAsia="Arial" w:hAnsi="Arial"/>
                <w:sz w:val="17"/>
                <w:szCs w:val="17"/>
                <w:b w:val="1"/>
                <w:bCs w:val="1"/>
                <w:color w:val="auto"/>
              </w:rPr>
              <w:t>Diluted</w:t>
            </w:r>
            <w:r>
              <w:rPr>
                <w:rFonts w:ascii="Arial" w:cs="Arial" w:eastAsia="Arial" w:hAnsi="Arial"/>
                <w:sz w:val="28"/>
                <w:szCs w:val="28"/>
                <w:b w:val="1"/>
                <w:bCs w:val="1"/>
                <w:color w:val="auto"/>
                <w:vertAlign w:val="superscript"/>
              </w:rPr>
              <w:t>(2)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27,752,386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22,181,003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27,872,013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22,181,003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-715010</wp:posOffset>
            </wp:positionV>
            <wp:extent cx="7026275" cy="170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026275" cy="229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6275" cy="229870"/>
                    </a:xfrm>
                    <a:prstGeom prst="rect">
                      <a:avLst/>
                    </a:prstGeom>
                    <a:noFill/>
                  </pic:spPr>
                </pic:pic>
              </a:graphicData>
            </a:graphic>
          </wp:anchor>
        </w:drawing>
      </w:r>
    </w:p>
    <w:p>
      <w:pPr>
        <w:spacing w:after="0" w:line="234" w:lineRule="exact"/>
        <w:rPr>
          <w:sz w:val="20"/>
          <w:szCs w:val="20"/>
          <w:color w:val="auto"/>
        </w:rPr>
      </w:pPr>
    </w:p>
    <w:p>
      <w:pPr>
        <w:ind w:left="300" w:hanging="274"/>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4" w:lineRule="exact"/>
        <w:rPr>
          <w:rFonts w:ascii="Arial" w:cs="Arial" w:eastAsia="Arial" w:hAnsi="Arial"/>
          <w:sz w:val="18"/>
          <w:szCs w:val="18"/>
          <w:color w:val="auto"/>
        </w:rPr>
      </w:pPr>
    </w:p>
    <w:p>
      <w:pPr>
        <w:ind w:left="300" w:hanging="274"/>
        <w:spacing w:after="0" w:line="256"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2016, 5,710,212 potentially dilutive common shares were excluded from the weighted-average common shares outstanding for diluted net increase in net assets resulting from operations per common share because the effect of these shares would have been anti-dilutive. Refer to “Note 5 — Net Increase/(Decrease) in Net Assets Resulting from Operations per Common Share — Basic and Diluted” for further detail.</w:t>
      </w: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5" w:name="page6"/>
    <w:bookmarkEnd w:id="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STATEMENTS OF CHANGES IN NET ASSETS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4747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4720" cy="8255"/>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31115</wp:posOffset>
            </wp:positionV>
            <wp:extent cx="17970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97050"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Nine Months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Nine Months</w:t>
            </w:r>
          </w:p>
        </w:tc>
      </w:tr>
      <w:tr>
        <w:trPr>
          <w:trHeight w:val="148"/>
        </w:trPr>
        <w:tc>
          <w:tcPr>
            <w:tcW w:w="7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7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September 30,</w:t>
            </w:r>
          </w:p>
        </w:tc>
      </w:tr>
      <w:tr>
        <w:trPr>
          <w:trHeight w:val="170"/>
        </w:trPr>
        <w:tc>
          <w:tcPr>
            <w:tcW w:w="78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14"/>
                <w:szCs w:val="14"/>
                <w:color w:val="auto"/>
              </w:rPr>
            </w:pPr>
          </w:p>
        </w:tc>
      </w:tr>
      <w:tr>
        <w:trPr>
          <w:trHeight w:val="208"/>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Assets Resulting from Operations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5"/>
        </w:trPr>
        <w:tc>
          <w:tcPr>
            <w:tcW w:w="7800" w:type="dxa"/>
            <w:vAlign w:val="bottom"/>
          </w:tcPr>
          <w:p>
            <w:pPr>
              <w:ind w:left="200"/>
              <w:spacing w:after="0"/>
              <w:rPr>
                <w:sz w:val="20"/>
                <w:szCs w:val="20"/>
                <w:color w:val="auto"/>
              </w:rPr>
            </w:pPr>
            <w:r>
              <w:rPr>
                <w:rFonts w:ascii="Arial" w:cs="Arial" w:eastAsia="Arial" w:hAnsi="Arial"/>
                <w:sz w:val="18"/>
                <w:szCs w:val="18"/>
                <w:color w:val="auto"/>
              </w:rPr>
              <w:t>Net investment loss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(17,317,134)</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(5,126,688)</w:t>
            </w:r>
          </w:p>
        </w:tc>
      </w:tr>
      <w:tr>
        <w:trPr>
          <w:trHeight w:val="215"/>
        </w:trPr>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realized losses on investments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(24,327,082)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(2,311,994)</w:t>
            </w:r>
          </w:p>
        </w:tc>
      </w:tr>
      <w:tr>
        <w:trPr>
          <w:trHeight w:val="215"/>
        </w:trPr>
        <w:tc>
          <w:tcPr>
            <w:tcW w:w="7800" w:type="dxa"/>
            <w:vAlign w:val="bottom"/>
          </w:tcPr>
          <w:p>
            <w:pPr>
              <w:ind w:left="200"/>
              <w:spacing w:after="0"/>
              <w:rPr>
                <w:sz w:val="20"/>
                <w:szCs w:val="20"/>
                <w:color w:val="auto"/>
              </w:rPr>
            </w:pPr>
            <w:r>
              <w:rPr>
                <w:rFonts w:ascii="Arial" w:cs="Arial" w:eastAsia="Arial" w:hAnsi="Arial"/>
                <w:sz w:val="18"/>
                <w:szCs w:val="18"/>
                <w:color w:val="auto"/>
              </w:rPr>
              <w:t>Net change in unrealized appreciation/(depreciation) of investments</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61,669,476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(36,616,596)</w:t>
            </w:r>
          </w:p>
        </w:tc>
      </w:tr>
      <w:tr>
        <w:trPr>
          <w:trHeight w:val="215"/>
        </w:trPr>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 from taxes on unrealized depreciation of investments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551,310</w:t>
            </w:r>
          </w:p>
        </w:tc>
      </w:tr>
      <w:tr>
        <w:trPr>
          <w:trHeight w:val="20"/>
        </w:trPr>
        <w:tc>
          <w:tcPr>
            <w:tcW w:w="7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8"/>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Net Increase/(Decrease) in Net Assets Resulting from Operations</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20,051,965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(43,503,968)</w:t>
            </w:r>
          </w:p>
        </w:tc>
      </w:tr>
      <w:tr>
        <w:trPr>
          <w:trHeight w:val="21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Assets Resulting from Capital Transactions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5"/>
        </w:trPr>
        <w:tc>
          <w:tcPr>
            <w:tcW w:w="7800" w:type="dxa"/>
            <w:vAlign w:val="bottom"/>
          </w:tcPr>
          <w:p>
            <w:pPr>
              <w:ind w:left="200"/>
              <w:spacing w:after="0"/>
              <w:rPr>
                <w:sz w:val="20"/>
                <w:szCs w:val="20"/>
                <w:color w:val="auto"/>
              </w:rPr>
            </w:pPr>
            <w:r>
              <w:rPr>
                <w:rFonts w:ascii="Arial" w:cs="Arial" w:eastAsia="Arial" w:hAnsi="Arial"/>
                <w:sz w:val="18"/>
                <w:szCs w:val="18"/>
                <w:color w:val="auto"/>
              </w:rPr>
              <w:t>Distributions from realized gains</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(820,753)</w:t>
            </w:r>
          </w:p>
        </w:tc>
      </w:tr>
      <w:tr>
        <w:trPr>
          <w:trHeight w:val="215"/>
        </w:trPr>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from return of capital</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(66,487)</w:t>
            </w:r>
          </w:p>
        </w:tc>
      </w:tr>
      <w:tr>
        <w:trPr>
          <w:trHeight w:val="20"/>
        </w:trPr>
        <w:tc>
          <w:tcPr>
            <w:tcW w:w="7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8"/>
        </w:trPr>
        <w:tc>
          <w:tcPr>
            <w:tcW w:w="7800" w:type="dxa"/>
            <w:vAlign w:val="bottom"/>
          </w:tcPr>
          <w:p>
            <w:pPr>
              <w:ind w:left="380"/>
              <w:spacing w:after="0"/>
              <w:rPr>
                <w:sz w:val="20"/>
                <w:szCs w:val="20"/>
                <w:color w:val="auto"/>
              </w:rPr>
            </w:pPr>
            <w:r>
              <w:rPr>
                <w:rFonts w:ascii="Arial" w:cs="Arial" w:eastAsia="Arial" w:hAnsi="Arial"/>
                <w:sz w:val="18"/>
                <w:szCs w:val="18"/>
                <w:color w:val="auto"/>
              </w:rPr>
              <w:t>Total distributions</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(887,240)</w:t>
            </w:r>
          </w:p>
        </w:tc>
      </w:tr>
      <w:tr>
        <w:trPr>
          <w:trHeight w:val="215"/>
        </w:trPr>
        <w:tc>
          <w:tcPr>
            <w:tcW w:w="7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(2,800,810)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7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8"/>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Net Decrease in Net Assets Resulting from Capital Transactions</w:t>
            </w:r>
          </w:p>
        </w:tc>
        <w:tc>
          <w:tcPr>
            <w:tcW w:w="2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(2,800,810)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(887,240)</w:t>
            </w:r>
          </w:p>
        </w:tc>
      </w:tr>
      <w:tr>
        <w:trPr>
          <w:trHeight w:val="21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Increase/(Decrease) in Net Assets</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17,251,155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(44,391,208)</w:t>
            </w:r>
          </w:p>
        </w:tc>
      </w:tr>
      <w:tr>
        <w:trPr>
          <w:trHeight w:val="215"/>
        </w:trPr>
        <w:tc>
          <w:tcPr>
            <w:tcW w:w="7800" w:type="dxa"/>
            <w:vAlign w:val="bottom"/>
          </w:tcPr>
          <w:p>
            <w:pPr>
              <w:ind w:left="20"/>
              <w:spacing w:after="0"/>
              <w:rPr>
                <w:sz w:val="20"/>
                <w:szCs w:val="20"/>
                <w:color w:val="auto"/>
              </w:rPr>
            </w:pPr>
            <w:r>
              <w:rPr>
                <w:rFonts w:ascii="Arial" w:cs="Arial" w:eastAsia="Arial" w:hAnsi="Arial"/>
                <w:sz w:val="18"/>
                <w:szCs w:val="18"/>
                <w:color w:val="auto"/>
              </w:rPr>
              <w:t>Net assets at beginning of period</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192,128,810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268,010,945</w:t>
            </w:r>
          </w:p>
        </w:tc>
      </w:tr>
      <w:tr>
        <w:trPr>
          <w:trHeight w:val="20"/>
        </w:trPr>
        <w:tc>
          <w:tcPr>
            <w:tcW w:w="7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8"/>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at End of Period</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209,379,965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223,619,737</w:t>
            </w:r>
          </w:p>
        </w:tc>
      </w:tr>
      <w:tr>
        <w:trPr>
          <w:trHeight w:val="208"/>
        </w:trPr>
        <w:tc>
          <w:tcPr>
            <w:tcW w:w="78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Capital Share Activity</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1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(574,109)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5"/>
        </w:trPr>
        <w:tc>
          <w:tcPr>
            <w:tcW w:w="7800" w:type="dxa"/>
            <w:vAlign w:val="bottom"/>
          </w:tcPr>
          <w:p>
            <w:pPr>
              <w:ind w:left="20"/>
              <w:spacing w:after="0"/>
              <w:rPr>
                <w:sz w:val="20"/>
                <w:szCs w:val="20"/>
                <w:color w:val="auto"/>
              </w:rPr>
            </w:pPr>
            <w:r>
              <w:rPr>
                <w:rFonts w:ascii="Arial" w:cs="Arial" w:eastAsia="Arial" w:hAnsi="Arial"/>
                <w:sz w:val="18"/>
                <w:szCs w:val="18"/>
                <w:color w:val="auto"/>
              </w:rPr>
              <w:t>Shares outstanding at beginning of period</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22,181,003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22,181,003</w:t>
            </w:r>
          </w:p>
        </w:tc>
      </w:tr>
      <w:tr>
        <w:trPr>
          <w:trHeight w:val="20"/>
        </w:trPr>
        <w:tc>
          <w:tcPr>
            <w:tcW w:w="7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8"/>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Shares Outstanding at End of Period</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21,606,894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22,181,003</w:t>
            </w:r>
          </w:p>
        </w:tc>
      </w:tr>
      <w:tr>
        <w:trPr>
          <w:trHeight w:val="20"/>
        </w:trPr>
        <w:tc>
          <w:tcPr>
            <w:tcW w:w="7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-2018030</wp:posOffset>
            </wp:positionV>
            <wp:extent cx="7026275" cy="144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-1464310</wp:posOffset>
            </wp:positionV>
            <wp:extent cx="7026275" cy="144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-1183005</wp:posOffset>
            </wp:positionV>
            <wp:extent cx="7026275" cy="144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026275" cy="170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6" w:name="page7"/>
    <w:bookmarkEnd w:id="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4747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4720" cy="8255"/>
                    </a:xfrm>
                    <a:prstGeom prst="rect">
                      <a:avLst/>
                    </a:prstGeom>
                    <a:noFill/>
                  </pic:spPr>
                </pic:pic>
              </a:graphicData>
            </a:graphic>
          </wp:anchor>
        </w:drawing>
        <w:drawing>
          <wp:anchor simplePos="0" relativeHeight="251657728" behindDoc="1" locked="0" layoutInCell="0" allowOverlap="1">
            <wp:simplePos x="0" y="0"/>
            <wp:positionH relativeFrom="column">
              <wp:posOffset>5438775</wp:posOffset>
            </wp:positionH>
            <wp:positionV relativeFrom="paragraph">
              <wp:posOffset>31115</wp:posOffset>
            </wp:positionV>
            <wp:extent cx="1592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Nine Months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Nine Months</w:t>
            </w:r>
          </w:p>
        </w:tc>
      </w:tr>
      <w:tr>
        <w:trPr>
          <w:trHeight w:val="148"/>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September 30,</w:t>
            </w:r>
          </w:p>
        </w:tc>
      </w:tr>
      <w:tr>
        <w:trPr>
          <w:trHeight w:val="170"/>
        </w:trPr>
        <w:tc>
          <w:tcPr>
            <w:tcW w:w="8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14"/>
                <w:szCs w:val="14"/>
                <w:color w:val="auto"/>
              </w:rPr>
            </w:pPr>
          </w:p>
        </w:tc>
      </w:tr>
      <w:tr>
        <w:trPr>
          <w:trHeight w:val="20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8560" w:type="dxa"/>
            <w:vAlign w:val="bottom"/>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20,051,965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(43,503,968)</w:t>
            </w:r>
          </w:p>
        </w:tc>
      </w:tr>
      <w:tr>
        <w:trPr>
          <w:trHeight w:val="200"/>
        </w:trPr>
        <w:tc>
          <w:tcPr>
            <w:tcW w:w="85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Adjustments to reconcile net increase/(decrease) in net assets resulting from operations to net cash used in operating</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9"/>
        </w:trPr>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5"/>
        </w:trPr>
        <w:tc>
          <w:tcPr>
            <w:tcW w:w="8560" w:type="dxa"/>
            <w:vAlign w:val="bottom"/>
          </w:tcPr>
          <w:p>
            <w:pPr>
              <w:ind w:left="380"/>
              <w:spacing w:after="0"/>
              <w:rPr>
                <w:sz w:val="20"/>
                <w:szCs w:val="20"/>
                <w:color w:val="auto"/>
              </w:rPr>
            </w:pPr>
            <w:r>
              <w:rPr>
                <w:rFonts w:ascii="Arial" w:cs="Arial" w:eastAsia="Arial" w:hAnsi="Arial"/>
                <w:sz w:val="18"/>
                <w:szCs w:val="18"/>
                <w:color w:val="auto"/>
              </w:rPr>
              <w:t>Net realized losses on investments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24,327,082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2,311,994</w:t>
            </w:r>
          </w:p>
        </w:tc>
      </w:tr>
      <w:tr>
        <w:trPr>
          <w:trHeight w:val="215"/>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change in unrealized (appreciation)/depreciation of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(61,669,476)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36,616,596</w:t>
            </w:r>
          </w:p>
        </w:tc>
      </w:tr>
      <w:tr>
        <w:trPr>
          <w:trHeight w:val="215"/>
        </w:trPr>
        <w:tc>
          <w:tcPr>
            <w:tcW w:w="8560" w:type="dxa"/>
            <w:vAlign w:val="bottom"/>
          </w:tcPr>
          <w:p>
            <w:pPr>
              <w:ind w:left="38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(26,705)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(551,310)</w:t>
            </w:r>
          </w:p>
        </w:tc>
      </w:tr>
      <w:tr>
        <w:trPr>
          <w:trHeight w:val="215"/>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discount on Convertible Senior Notes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649,926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645,891</w:t>
            </w:r>
          </w:p>
        </w:tc>
      </w:tr>
      <w:tr>
        <w:trPr>
          <w:trHeight w:val="215"/>
        </w:trPr>
        <w:tc>
          <w:tcPr>
            <w:tcW w:w="856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27,751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165,999</w:t>
            </w:r>
          </w:p>
        </w:tc>
      </w:tr>
      <w:tr>
        <w:trPr>
          <w:trHeight w:val="215"/>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fixed income security premiums and discounts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(9,808)</w:t>
            </w:r>
          </w:p>
        </w:tc>
      </w:tr>
      <w:tr>
        <w:trPr>
          <w:trHeight w:val="215"/>
        </w:trPr>
        <w:tc>
          <w:tcPr>
            <w:tcW w:w="8560" w:type="dxa"/>
            <w:vAlign w:val="bottom"/>
          </w:tcPr>
          <w:p>
            <w:pPr>
              <w:ind w:left="380"/>
              <w:spacing w:after="0"/>
              <w:rPr>
                <w:sz w:val="20"/>
                <w:szCs w:val="20"/>
                <w:color w:val="auto"/>
              </w:rPr>
            </w:pPr>
            <w:r>
              <w:rPr>
                <w:rFonts w:ascii="Arial" w:cs="Arial" w:eastAsia="Arial" w:hAnsi="Arial"/>
                <w:sz w:val="18"/>
                <w:szCs w:val="18"/>
                <w:color w:val="auto"/>
              </w:rPr>
              <w:t>Paid-in-kind-interest</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(24,564)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(62,500)</w:t>
            </w:r>
          </w:p>
        </w:tc>
      </w:tr>
      <w:tr>
        <w:trPr>
          <w:trHeight w:val="215"/>
        </w:trPr>
        <w:tc>
          <w:tcPr>
            <w:tcW w:w="8560" w:type="dxa"/>
            <w:vAlign w:val="bottom"/>
          </w:tcPr>
          <w:p>
            <w:pPr>
              <w:ind w:left="380"/>
              <w:spacing w:after="0"/>
              <w:rPr>
                <w:sz w:val="20"/>
                <w:szCs w:val="20"/>
                <w:color w:val="auto"/>
              </w:rPr>
            </w:pPr>
            <w:r>
              <w:rPr>
                <w:rFonts w:ascii="Arial" w:cs="Arial" w:eastAsia="Arial" w:hAnsi="Arial"/>
                <w:sz w:val="18"/>
                <w:szCs w:val="18"/>
                <w:color w:val="auto"/>
              </w:rPr>
              <w:t>Purchases of investments in:</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8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(13,019,822)</w:t>
            </w:r>
          </w:p>
        </w:tc>
      </w:tr>
      <w:tr>
        <w:trPr>
          <w:trHeight w:val="215"/>
        </w:trPr>
        <w:tc>
          <w:tcPr>
            <w:tcW w:w="8560" w:type="dxa"/>
            <w:vAlign w:val="bottom"/>
          </w:tcPr>
          <w:p>
            <w:pPr>
              <w:ind w:left="540"/>
              <w:spacing w:after="0"/>
              <w:rPr>
                <w:sz w:val="20"/>
                <w:szCs w:val="20"/>
                <w:color w:val="auto"/>
              </w:rPr>
            </w:pPr>
            <w:r>
              <w:rPr>
                <w:rFonts w:ascii="Arial" w:cs="Arial" w:eastAsia="Arial" w:hAnsi="Arial"/>
                <w:sz w:val="18"/>
                <w:szCs w:val="18"/>
                <w:color w:val="auto"/>
              </w:rPr>
              <w:t>United States treasury bills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(260,045,503)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(89,999,458)</w:t>
            </w:r>
          </w:p>
        </w:tc>
      </w:tr>
      <w:tr>
        <w:trPr>
          <w:trHeight w:val="215"/>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sales or maturity of investments in:</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8560" w:type="dxa"/>
            <w:vAlign w:val="bottom"/>
          </w:tcPr>
          <w:p>
            <w:pPr>
              <w:ind w:left="540"/>
              <w:spacing w:after="0"/>
              <w:rPr>
                <w:sz w:val="20"/>
                <w:szCs w:val="20"/>
                <w:color w:val="auto"/>
              </w:rPr>
            </w:pPr>
            <w:r>
              <w:rPr>
                <w:rFonts w:ascii="Arial" w:cs="Arial" w:eastAsia="Arial" w:hAnsi="Arial"/>
                <w:sz w:val="18"/>
                <w:szCs w:val="18"/>
                <w:color w:val="auto"/>
              </w:rPr>
              <w:t>Portfolio investments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9,773,257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25,631,067</w:t>
            </w:r>
          </w:p>
        </w:tc>
      </w:tr>
      <w:tr>
        <w:trPr>
          <w:trHeight w:val="215"/>
        </w:trPr>
        <w:tc>
          <w:tcPr>
            <w:tcW w:w="8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United States treasury bills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190,000,000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3,685,000</w:t>
            </w:r>
          </w:p>
        </w:tc>
      </w:tr>
      <w:tr>
        <w:trPr>
          <w:trHeight w:val="215"/>
        </w:trPr>
        <w:tc>
          <w:tcPr>
            <w:tcW w:w="8560" w:type="dxa"/>
            <w:vAlign w:val="bottom"/>
          </w:tcPr>
          <w:p>
            <w:pPr>
              <w:ind w:left="540"/>
              <w:spacing w:after="0"/>
              <w:rPr>
                <w:sz w:val="20"/>
                <w:szCs w:val="20"/>
                <w:color w:val="auto"/>
              </w:rPr>
            </w:pPr>
            <w:r>
              <w:rPr>
                <w:rFonts w:ascii="Arial" w:cs="Arial" w:eastAsia="Arial" w:hAnsi="Arial"/>
                <w:sz w:val="18"/>
                <w:szCs w:val="18"/>
                <w:color w:val="auto"/>
              </w:rPr>
              <w:t>United States treasuries strips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90,000,000</w:t>
            </w:r>
          </w:p>
        </w:tc>
      </w:tr>
      <w:tr>
        <w:trPr>
          <w:trHeight w:val="21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55"/>
        </w:trPr>
        <w:tc>
          <w:tcPr>
            <w:tcW w:w="8560" w:type="dxa"/>
            <w:vAlign w:val="bottom"/>
          </w:tcPr>
          <w:p>
            <w:pPr>
              <w:ind w:left="380"/>
              <w:spacing w:after="0" w:line="255" w:lineRule="exact"/>
              <w:rPr>
                <w:sz w:val="20"/>
                <w:szCs w:val="20"/>
                <w:color w:val="auto"/>
              </w:rPr>
            </w:pPr>
            <w:r>
              <w:rPr>
                <w:rFonts w:ascii="Arial" w:cs="Arial" w:eastAsia="Arial" w:hAnsi="Arial"/>
                <w:sz w:val="18"/>
                <w:szCs w:val="18"/>
                <w:color w:val="auto"/>
              </w:rPr>
              <w:t>Due from 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143,749</w:t>
            </w:r>
          </w:p>
        </w:tc>
      </w:tr>
      <w:tr>
        <w:trPr>
          <w:trHeight w:val="255"/>
        </w:trPr>
        <w:tc>
          <w:tcPr>
            <w:tcW w:w="8560" w:type="dxa"/>
            <w:vAlign w:val="bottom"/>
            <w:shd w:val="clear" w:color="auto" w:fill="CCEEFF"/>
          </w:tcPr>
          <w:p>
            <w:pPr>
              <w:ind w:left="380"/>
              <w:spacing w:after="0" w:line="255" w:lineRule="exact"/>
              <w:rPr>
                <w:sz w:val="20"/>
                <w:szCs w:val="20"/>
                <w:color w:val="auto"/>
              </w:rPr>
            </w:pPr>
            <w:r>
              <w:rPr>
                <w:rFonts w:ascii="Arial" w:cs="Arial" w:eastAsia="Arial" w:hAnsi="Arial"/>
                <w:sz w:val="18"/>
                <w:szCs w:val="18"/>
                <w:color w:val="auto"/>
              </w:rPr>
              <w:t>Due from portfolio companies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55,692</w:t>
            </w:r>
          </w:p>
        </w:tc>
      </w:tr>
      <w:tr>
        <w:trPr>
          <w:trHeight w:val="215"/>
        </w:trPr>
        <w:tc>
          <w:tcPr>
            <w:tcW w:w="856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(83,843)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(87,412)</w:t>
            </w:r>
          </w:p>
        </w:tc>
      </w:tr>
      <w:tr>
        <w:trPr>
          <w:trHeight w:val="215"/>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(125,178)</w:t>
            </w:r>
          </w:p>
        </w:tc>
      </w:tr>
      <w:tr>
        <w:trPr>
          <w:trHeight w:val="255"/>
        </w:trPr>
        <w:tc>
          <w:tcPr>
            <w:tcW w:w="8560" w:type="dxa"/>
            <w:vAlign w:val="bottom"/>
          </w:tcPr>
          <w:p>
            <w:pPr>
              <w:ind w:left="380"/>
              <w:spacing w:after="0" w:line="255" w:lineRule="exact"/>
              <w:rPr>
                <w:sz w:val="20"/>
                <w:szCs w:val="20"/>
                <w:color w:val="auto"/>
              </w:rPr>
            </w:pPr>
            <w:r>
              <w:rPr>
                <w:rFonts w:ascii="Arial" w:cs="Arial" w:eastAsia="Arial" w:hAnsi="Arial"/>
                <w:sz w:val="18"/>
                <w:szCs w:val="18"/>
                <w:color w:val="auto"/>
              </w:rPr>
              <w:t>Due to 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(98,128)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(4,151,497)</w:t>
            </w:r>
          </w:p>
        </w:tc>
      </w:tr>
      <w:tr>
        <w:trPr>
          <w:trHeight w:val="215"/>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62,992,375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w:t>
            </w:r>
          </w:p>
        </w:tc>
      </w:tr>
      <w:tr>
        <w:trPr>
          <w:trHeight w:val="215"/>
        </w:trPr>
        <w:tc>
          <w:tcPr>
            <w:tcW w:w="856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(78,225)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258,652</w:t>
            </w:r>
          </w:p>
        </w:tc>
      </w:tr>
      <w:tr>
        <w:trPr>
          <w:trHeight w:val="255"/>
        </w:trPr>
        <w:tc>
          <w:tcPr>
            <w:tcW w:w="8560" w:type="dxa"/>
            <w:vAlign w:val="bottom"/>
            <w:shd w:val="clear" w:color="auto" w:fill="CCEEFF"/>
          </w:tcPr>
          <w:p>
            <w:pPr>
              <w:ind w:left="380"/>
              <w:spacing w:after="0" w:line="255"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7,482,185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(7,805,089)</w:t>
            </w:r>
          </w:p>
        </w:tc>
      </w:tr>
      <w:tr>
        <w:trPr>
          <w:trHeight w:val="255"/>
        </w:trPr>
        <w:tc>
          <w:tcPr>
            <w:tcW w:w="8560" w:type="dxa"/>
            <w:vAlign w:val="bottom"/>
          </w:tcPr>
          <w:p>
            <w:pPr>
              <w:ind w:left="380"/>
              <w:spacing w:after="0" w:line="255"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(524,054)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(141,435)</w:t>
            </w:r>
          </w:p>
        </w:tc>
      </w:tr>
      <w:tr>
        <w:trPr>
          <w:trHeight w:val="215"/>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(900,459)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(905,625)</w:t>
            </w:r>
          </w:p>
        </w:tc>
      </w:tr>
      <w:tr>
        <w:trPr>
          <w:trHeight w:val="20"/>
        </w:trPr>
        <w:tc>
          <w:tcPr>
            <w:tcW w:w="8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8"/>
        </w:trPr>
        <w:tc>
          <w:tcPr>
            <w:tcW w:w="8560" w:type="dxa"/>
            <w:vAlign w:val="bottom"/>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(8,389,149)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(847,910)</w:t>
            </w:r>
          </w:p>
        </w:tc>
      </w:tr>
      <w:tr>
        <w:trPr>
          <w:trHeight w:val="20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8560" w:type="dxa"/>
            <w:vAlign w:val="bottom"/>
          </w:tcPr>
          <w:p>
            <w:pPr>
              <w:ind w:left="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3,500,000</w:t>
            </w:r>
          </w:p>
        </w:tc>
      </w:tr>
      <w:tr>
        <w:trPr>
          <w:trHeight w:val="21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(3,500,000)</w:t>
            </w:r>
          </w:p>
        </w:tc>
      </w:tr>
      <w:tr>
        <w:trPr>
          <w:trHeight w:val="215"/>
        </w:trPr>
        <w:tc>
          <w:tcPr>
            <w:tcW w:w="856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(2,647,250)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credit facility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856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(100,313)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(169,614)</w:t>
            </w:r>
          </w:p>
        </w:tc>
      </w:tr>
      <w:tr>
        <w:trPr>
          <w:trHeight w:val="21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distributed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(887,240)</w:t>
            </w:r>
          </w:p>
        </w:tc>
      </w:tr>
      <w:tr>
        <w:trPr>
          <w:trHeight w:val="20"/>
        </w:trPr>
        <w:tc>
          <w:tcPr>
            <w:tcW w:w="85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8"/>
        </w:trPr>
        <w:tc>
          <w:tcPr>
            <w:tcW w:w="8560" w:type="dxa"/>
            <w:vAlign w:val="bottom"/>
          </w:tcPr>
          <w:p>
            <w:pPr>
              <w:ind w:left="200"/>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5,210,951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(1,056,854)</w:t>
            </w:r>
          </w:p>
        </w:tc>
      </w:tr>
      <w:tr>
        <w:trPr>
          <w:trHeight w:val="20"/>
        </w:trPr>
        <w:tc>
          <w:tcPr>
            <w:tcW w:w="8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Decrease in Cash Balance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(3,178,198)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(1,904,764)</w:t>
            </w:r>
          </w:p>
        </w:tc>
      </w:tr>
      <w:tr>
        <w:trPr>
          <w:trHeight w:val="215"/>
        </w:trPr>
        <w:tc>
          <w:tcPr>
            <w:tcW w:w="8560" w:type="dxa"/>
            <w:vAlign w:val="bottom"/>
          </w:tcPr>
          <w:p>
            <w:pPr>
              <w:ind w:left="20"/>
              <w:spacing w:after="0"/>
              <w:rPr>
                <w:sz w:val="20"/>
                <w:szCs w:val="20"/>
                <w:color w:val="auto"/>
              </w:rPr>
            </w:pPr>
            <w:r>
              <w:rPr>
                <w:rFonts w:ascii="Arial" w:cs="Arial" w:eastAsia="Arial" w:hAnsi="Arial"/>
                <w:sz w:val="18"/>
                <w:szCs w:val="18"/>
                <w:color w:val="auto"/>
              </w:rPr>
              <w:t>Cash Balance at Beginning of Period</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8,332,634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13,349,877</w:t>
            </w:r>
          </w:p>
        </w:tc>
      </w:tr>
      <w:tr>
        <w:trPr>
          <w:trHeight w:val="20"/>
        </w:trPr>
        <w:tc>
          <w:tcPr>
            <w:tcW w:w="8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Balance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5,154,436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11,445,113</w:t>
            </w:r>
          </w:p>
        </w:tc>
      </w:tr>
      <w:tr>
        <w:trPr>
          <w:trHeight w:val="208"/>
        </w:trPr>
        <w:tc>
          <w:tcPr>
            <w:tcW w:w="85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5"/>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3,679,244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3,650,961</w:t>
            </w:r>
          </w:p>
        </w:tc>
      </w:tr>
      <w:tr>
        <w:trPr>
          <w:trHeight w:val="227"/>
        </w:trPr>
        <w:tc>
          <w:tcPr>
            <w:tcW w:w="8560" w:type="dxa"/>
            <w:vAlign w:val="bottom"/>
          </w:tcPr>
          <w:p>
            <w:pPr>
              <w:ind w:left="20"/>
              <w:spacing w:after="0"/>
              <w:rPr>
                <w:sz w:val="20"/>
                <w:szCs w:val="20"/>
                <w:color w:val="auto"/>
              </w:rPr>
            </w:pPr>
            <w:r>
              <w:rPr>
                <w:rFonts w:ascii="Arial" w:cs="Arial" w:eastAsia="Arial" w:hAnsi="Arial"/>
                <w:sz w:val="18"/>
                <w:szCs w:val="18"/>
                <w:color w:val="auto"/>
              </w:rPr>
              <w:t>Taxes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52,481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-2102485</wp:posOffset>
            </wp:positionV>
            <wp:extent cx="7026275" cy="153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-995045</wp:posOffset>
            </wp:positionV>
            <wp:extent cx="7026275" cy="153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026275" cy="144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162560</wp:posOffset>
            </wp:positionV>
            <wp:extent cx="6134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341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3140" w:right="2720" w:hanging="3114"/>
        <w:spacing w:after="0" w:line="988" w:lineRule="auto"/>
        <w:tabs>
          <w:tab w:leader="none" w:pos="29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This balance is a related-party transaction. Refer to “Note 2 — Related-Party Arrangements” for more detail. </w:t>
      </w:r>
      <w:r>
        <w:rPr>
          <w:rFonts w:ascii="Arial" w:cs="Arial" w:eastAsia="Arial" w:hAnsi="Arial"/>
          <w:sz w:val="16"/>
          <w:szCs w:val="16"/>
          <w:i w:val="1"/>
          <w:iCs w:val="1"/>
          <w:color w:val="auto"/>
        </w:rPr>
        <w:t>See accompanying notes to condensed consolidated financial statements.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7" w:name="page8"/>
    <w:bookmarkEnd w:id="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669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6941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31115</wp:posOffset>
            </wp:positionV>
            <wp:extent cx="42754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75455"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 of</w:t>
            </w:r>
          </w:p>
        </w:tc>
      </w:tr>
      <w:tr>
        <w:trPr>
          <w:trHeight w:val="152"/>
        </w:trPr>
        <w:tc>
          <w:tcPr>
            <w:tcW w:w="4080" w:type="dxa"/>
            <w:vAlign w:val="bottom"/>
            <w:tcBorders>
              <w:bottom w:val="single" w:sz="8" w:color="auto"/>
            </w:tcBorders>
            <w:gridSpan w:val="12"/>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60" w:type="dxa"/>
            <w:vAlign w:val="bottom"/>
          </w:tcPr>
          <w:p>
            <w:pPr>
              <w:spacing w:after="0"/>
              <w:rPr>
                <w:sz w:val="13"/>
                <w:szCs w:val="13"/>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60" w:type="dxa"/>
            <w:vAlign w:val="bottom"/>
          </w:tcPr>
          <w:p>
            <w:pPr>
              <w:spacing w:after="0"/>
              <w:rPr>
                <w:sz w:val="13"/>
                <w:szCs w:val="13"/>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5"/>
              </w:rPr>
              <w:t>Net Assets</w:t>
            </w:r>
          </w:p>
        </w:tc>
      </w:tr>
      <w:tr>
        <w:trPr>
          <w:trHeight w:val="168"/>
        </w:trPr>
        <w:tc>
          <w:tcPr>
            <w:tcW w:w="4080" w:type="dxa"/>
            <w:vAlign w:val="bottom"/>
            <w:gridSpan w:val="12"/>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Palantir Technologies, Inc.</w:t>
            </w:r>
          </w:p>
        </w:tc>
        <w:tc>
          <w:tcPr>
            <w:tcW w:w="160" w:type="dxa"/>
            <w:vAlign w:val="bottom"/>
            <w:shd w:val="clear" w:color="auto" w:fill="CCEEFF"/>
          </w:tcPr>
          <w:p>
            <w:pPr>
              <w:spacing w:after="0"/>
              <w:rPr>
                <w:sz w:val="14"/>
                <w:szCs w:val="14"/>
                <w:color w:val="auto"/>
              </w:rPr>
            </w:pPr>
          </w:p>
        </w:tc>
        <w:tc>
          <w:tcPr>
            <w:tcW w:w="246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5"/>
              </w:rPr>
              <w:t>Palo Alto, CA</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G</w:t>
            </w:r>
          </w:p>
        </w:tc>
        <w:tc>
          <w:tcPr>
            <w:tcW w:w="1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0"/>
              </w:rPr>
              <w:t>Data Analysis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326,797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1,008,968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1,955,290</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0.93%</w:t>
            </w:r>
          </w:p>
        </w:tc>
      </w:tr>
      <w:tr>
        <w:trPr>
          <w:trHeight w:val="215"/>
        </w:trPr>
        <w:tc>
          <w:tcPr>
            <w:tcW w:w="408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Common shares, Class A</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5,773,690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16,189,935</w:t>
            </w:r>
          </w:p>
        </w:tc>
        <w:tc>
          <w:tcPr>
            <w:tcW w:w="20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34,545,111</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16.49%</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17,198,903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36,500,401</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17.42%</w:t>
            </w:r>
          </w:p>
        </w:tc>
      </w:tr>
      <w:tr>
        <w:trPr>
          <w:trHeight w:val="208"/>
        </w:trPr>
        <w:tc>
          <w:tcPr>
            <w:tcW w:w="4080" w:type="dxa"/>
            <w:vAlign w:val="bottom"/>
            <w:gridSpan w:val="12"/>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JAMF Holdings, Inc.</w:t>
            </w:r>
            <w:r>
              <w:rPr>
                <w:rFonts w:ascii="Arial" w:cs="Arial" w:eastAsia="Arial" w:hAnsi="Arial"/>
                <w:sz w:val="24"/>
                <w:szCs w:val="24"/>
                <w:b w:val="1"/>
                <w:bCs w:val="1"/>
                <w:color w:val="auto"/>
                <w:vertAlign w:val="superscript"/>
              </w:rPr>
              <w:t>(14)</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Minneapolis, MN</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Mobile Device Management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1,468,800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9,999,928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35,177,778</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16.79%</w:t>
            </w:r>
          </w:p>
        </w:tc>
      </w:tr>
      <w:tr>
        <w:trPr>
          <w:trHeight w:val="174"/>
        </w:trPr>
        <w:tc>
          <w:tcPr>
            <w:tcW w:w="4080" w:type="dxa"/>
            <w:vAlign w:val="bottom"/>
            <w:gridSpan w:val="12"/>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Spotify Technology S.A.**</w:t>
            </w:r>
          </w:p>
        </w:tc>
        <w:tc>
          <w:tcPr>
            <w:tcW w:w="160" w:type="dxa"/>
            <w:vAlign w:val="bottom"/>
            <w:shd w:val="clear" w:color="auto" w:fill="CCEEFF"/>
          </w:tcPr>
          <w:p>
            <w:pPr>
              <w:spacing w:after="0"/>
              <w:rPr>
                <w:sz w:val="15"/>
                <w:szCs w:val="15"/>
                <w:color w:val="auto"/>
              </w:rPr>
            </w:pPr>
          </w:p>
        </w:tc>
        <w:tc>
          <w:tcPr>
            <w:tcW w:w="24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0"/>
              </w:rPr>
              <w:t>Stockholm, Sweden</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On-Demand Music Streaming</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9,541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13,599,572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32,283,584</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15.41%</w:t>
            </w:r>
          </w:p>
        </w:tc>
      </w:tr>
      <w:tr>
        <w:trPr>
          <w:trHeight w:val="174"/>
        </w:trPr>
        <w:tc>
          <w:tcPr>
            <w:tcW w:w="4080" w:type="dxa"/>
            <w:vAlign w:val="bottom"/>
            <w:gridSpan w:val="12"/>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Coursera, Inc.</w:t>
            </w:r>
          </w:p>
        </w:tc>
        <w:tc>
          <w:tcPr>
            <w:tcW w:w="160" w:type="dxa"/>
            <w:vAlign w:val="bottom"/>
            <w:shd w:val="clear" w:color="auto" w:fill="CCEEFF"/>
          </w:tcPr>
          <w:p>
            <w:pPr>
              <w:spacing w:after="0"/>
              <w:rPr>
                <w:sz w:val="15"/>
                <w:szCs w:val="15"/>
                <w:color w:val="auto"/>
              </w:rPr>
            </w:pPr>
          </w:p>
        </w:tc>
        <w:tc>
          <w:tcPr>
            <w:tcW w:w="24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4"/>
              </w:rPr>
              <w:t>Mountain View, CA</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2,961,399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14,519,519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18,364,968</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8.77%</w:t>
            </w:r>
          </w:p>
        </w:tc>
      </w:tr>
      <w:tr>
        <w:trPr>
          <w:trHeight w:val="174"/>
        </w:trPr>
        <w:tc>
          <w:tcPr>
            <w:tcW w:w="4080" w:type="dxa"/>
            <w:vAlign w:val="bottom"/>
            <w:gridSpan w:val="12"/>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Dropbox, Inc.</w:t>
            </w:r>
          </w:p>
        </w:tc>
        <w:tc>
          <w:tcPr>
            <w:tcW w:w="160" w:type="dxa"/>
            <w:vAlign w:val="bottom"/>
            <w:shd w:val="clear" w:color="auto" w:fill="CCEEFF"/>
          </w:tcPr>
          <w:p>
            <w:pPr>
              <w:spacing w:after="0"/>
              <w:rPr>
                <w:sz w:val="15"/>
                <w:szCs w:val="15"/>
                <w:color w:val="auto"/>
              </w:rPr>
            </w:pPr>
          </w:p>
        </w:tc>
        <w:tc>
          <w:tcPr>
            <w:tcW w:w="24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San Francisco, CA</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A-1</w:t>
            </w:r>
          </w:p>
        </w:tc>
        <w:tc>
          <w:tcPr>
            <w:tcW w:w="1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Cloud Computing Services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552,486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5,015,773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6,954,844</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3.32%</w:t>
            </w:r>
          </w:p>
        </w:tc>
      </w:tr>
      <w:tr>
        <w:trPr>
          <w:trHeight w:val="215"/>
        </w:trPr>
        <w:tc>
          <w:tcPr>
            <w:tcW w:w="408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760,000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8,641,153</w:t>
            </w:r>
          </w:p>
        </w:tc>
        <w:tc>
          <w:tcPr>
            <w:tcW w:w="20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9,567,086</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4.57%</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06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13,656,926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16,521,930</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7.89%</w:t>
            </w:r>
          </w:p>
        </w:tc>
      </w:tr>
      <w:tr>
        <w:trPr>
          <w:trHeight w:val="208"/>
        </w:trPr>
        <w:tc>
          <w:tcPr>
            <w:tcW w:w="4080" w:type="dxa"/>
            <w:vAlign w:val="bottom"/>
            <w:gridSpan w:val="12"/>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StormWind, LLC</w:t>
            </w:r>
            <w:r>
              <w:rPr>
                <w:rFonts w:ascii="Arial" w:cs="Arial" w:eastAsia="Arial" w:hAnsi="Arial"/>
                <w:sz w:val="24"/>
                <w:szCs w:val="24"/>
                <w:b w:val="1"/>
                <w:bCs w:val="1"/>
                <w:color w:val="auto"/>
                <w:vertAlign w:val="superscript"/>
              </w:rPr>
              <w:t>(2)(6)</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Scottsdale, AZ</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C</w:t>
            </w:r>
          </w:p>
        </w:tc>
        <w:tc>
          <w:tcPr>
            <w:tcW w:w="1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2"/>
              </w:rPr>
              <w:t>Interactive Learning</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2,779,134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4,000,787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7,856,020</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3.75%</w:t>
            </w:r>
          </w:p>
        </w:tc>
      </w:tr>
      <w:tr>
        <w:trPr>
          <w:trHeight w:val="215"/>
        </w:trPr>
        <w:tc>
          <w:tcPr>
            <w:tcW w:w="408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3,279,629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2,019,687</w:t>
            </w:r>
          </w:p>
        </w:tc>
        <w:tc>
          <w:tcPr>
            <w:tcW w:w="1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6,000,048</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366,666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110,000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508,741</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0.24%</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06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6,130,474</w:t>
            </w:r>
          </w:p>
        </w:tc>
        <w:tc>
          <w:tcPr>
            <w:tcW w:w="20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14,364,809</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6.85%</w:t>
            </w:r>
          </w:p>
        </w:tc>
      </w:tr>
      <w:tr>
        <w:trPr>
          <w:trHeight w:val="168"/>
        </w:trPr>
        <w:tc>
          <w:tcPr>
            <w:tcW w:w="4080" w:type="dxa"/>
            <w:vAlign w:val="bottom"/>
            <w:tcBorders>
              <w:top w:val="single" w:sz="8" w:color="CCEEFF"/>
            </w:tcBorders>
            <w:gridSpan w:val="12"/>
          </w:tcPr>
          <w:p>
            <w:pPr>
              <w:ind w:left="20"/>
              <w:spacing w:after="0" w:line="168" w:lineRule="exact"/>
              <w:rPr>
                <w:sz w:val="20"/>
                <w:szCs w:val="20"/>
                <w:color w:val="auto"/>
              </w:rPr>
            </w:pPr>
            <w:r>
              <w:rPr>
                <w:rFonts w:ascii="Arial" w:cs="Arial" w:eastAsia="Arial" w:hAnsi="Arial"/>
                <w:sz w:val="18"/>
                <w:szCs w:val="18"/>
                <w:b w:val="1"/>
                <w:bCs w:val="1"/>
                <w:color w:val="auto"/>
              </w:rPr>
              <w:t>General Assembly Space, Inc.</w:t>
            </w:r>
          </w:p>
        </w:tc>
        <w:tc>
          <w:tcPr>
            <w:tcW w:w="160" w:type="dxa"/>
            <w:vAlign w:val="bottom"/>
            <w:tcBorders>
              <w:top w:val="single" w:sz="8" w:color="CCEEFF"/>
            </w:tcBorders>
          </w:tcPr>
          <w:p>
            <w:pPr>
              <w:spacing w:after="0"/>
              <w:rPr>
                <w:sz w:val="14"/>
                <w:szCs w:val="14"/>
                <w:color w:val="auto"/>
              </w:rPr>
            </w:pPr>
          </w:p>
        </w:tc>
        <w:tc>
          <w:tcPr>
            <w:tcW w:w="2460" w:type="dxa"/>
            <w:vAlign w:val="bottom"/>
            <w:tcBorders>
              <w:top w:val="single" w:sz="8" w:color="CCEEFF"/>
            </w:tcBorders>
          </w:tcPr>
          <w:p>
            <w:pPr>
              <w:jc w:val="center"/>
              <w:spacing w:after="0" w:line="168" w:lineRule="exact"/>
              <w:rPr>
                <w:sz w:val="20"/>
                <w:szCs w:val="20"/>
                <w:color w:val="auto"/>
              </w:rPr>
            </w:pPr>
            <w:r>
              <w:rPr>
                <w:rFonts w:ascii="Arial" w:cs="Arial" w:eastAsia="Arial" w:hAnsi="Arial"/>
                <w:sz w:val="18"/>
                <w:szCs w:val="18"/>
                <w:color w:val="auto"/>
                <w:w w:val="95"/>
              </w:rPr>
              <w:t>New York, NY</w:t>
            </w:r>
          </w:p>
        </w:tc>
        <w:tc>
          <w:tcPr>
            <w:tcW w:w="16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5"/>
        </w:trPr>
        <w:tc>
          <w:tcPr>
            <w:tcW w:w="408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C</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126,552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2,999,978</w:t>
            </w:r>
          </w:p>
        </w:tc>
        <w:tc>
          <w:tcPr>
            <w:tcW w:w="1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5,924,582</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133,213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2,999,983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5,960,277</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2.85%</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06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5,999,961</w:t>
            </w:r>
          </w:p>
        </w:tc>
        <w:tc>
          <w:tcPr>
            <w:tcW w:w="20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11,884,859</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5.68%</w:t>
            </w:r>
          </w:p>
        </w:tc>
      </w:tr>
      <w:tr>
        <w:trPr>
          <w:trHeight w:val="168"/>
        </w:trPr>
        <w:tc>
          <w:tcPr>
            <w:tcW w:w="4080" w:type="dxa"/>
            <w:vAlign w:val="bottom"/>
            <w:tcBorders>
              <w:top w:val="single" w:sz="8" w:color="CCEEFF"/>
            </w:tcBorders>
            <w:gridSpan w:val="12"/>
          </w:tcPr>
          <w:p>
            <w:pPr>
              <w:ind w:left="20"/>
              <w:spacing w:after="0" w:line="168" w:lineRule="exact"/>
              <w:rPr>
                <w:sz w:val="20"/>
                <w:szCs w:val="20"/>
                <w:color w:val="auto"/>
              </w:rPr>
            </w:pPr>
            <w:r>
              <w:rPr>
                <w:rFonts w:ascii="Arial" w:cs="Arial" w:eastAsia="Arial" w:hAnsi="Arial"/>
                <w:sz w:val="18"/>
                <w:szCs w:val="18"/>
                <w:b w:val="1"/>
                <w:bCs w:val="1"/>
                <w:color w:val="auto"/>
              </w:rPr>
              <w:t>Chegg, Inc.**</w:t>
            </w:r>
          </w:p>
        </w:tc>
        <w:tc>
          <w:tcPr>
            <w:tcW w:w="160" w:type="dxa"/>
            <w:vAlign w:val="bottom"/>
            <w:tcBorders>
              <w:top w:val="single" w:sz="8" w:color="CCEEFF"/>
            </w:tcBorders>
          </w:tcPr>
          <w:p>
            <w:pPr>
              <w:spacing w:after="0"/>
              <w:rPr>
                <w:sz w:val="14"/>
                <w:szCs w:val="14"/>
                <w:color w:val="auto"/>
              </w:rPr>
            </w:pPr>
          </w:p>
        </w:tc>
        <w:tc>
          <w:tcPr>
            <w:tcW w:w="2460" w:type="dxa"/>
            <w:vAlign w:val="bottom"/>
            <w:tcBorders>
              <w:top w:val="single" w:sz="8" w:color="CCEEFF"/>
            </w:tcBorders>
          </w:tcPr>
          <w:p>
            <w:pPr>
              <w:jc w:val="center"/>
              <w:spacing w:after="0" w:line="168" w:lineRule="exact"/>
              <w:rPr>
                <w:sz w:val="20"/>
                <w:szCs w:val="20"/>
                <w:color w:val="auto"/>
              </w:rPr>
            </w:pPr>
            <w:r>
              <w:rPr>
                <w:rFonts w:ascii="Arial" w:cs="Arial" w:eastAsia="Arial" w:hAnsi="Arial"/>
                <w:sz w:val="18"/>
                <w:szCs w:val="18"/>
                <w:color w:val="auto"/>
                <w:w w:val="89"/>
              </w:rPr>
              <w:t>Santa Clara, CA</w:t>
            </w:r>
          </w:p>
        </w:tc>
        <w:tc>
          <w:tcPr>
            <w:tcW w:w="16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5"/>
        </w:trPr>
        <w:tc>
          <w:tcPr>
            <w:tcW w:w="4080" w:type="dxa"/>
            <w:vAlign w:val="bottom"/>
            <w:gridSpan w:val="12"/>
            <w:shd w:val="clear" w:color="auto" w:fill="CCEEFF"/>
          </w:tcPr>
          <w:p>
            <w:pPr>
              <w:ind w:left="20"/>
              <w:spacing w:after="0" w:line="255"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(3)(13)</w:t>
            </w:r>
          </w:p>
        </w:tc>
        <w:tc>
          <w:tcPr>
            <w:tcW w:w="160" w:type="dxa"/>
            <w:vAlign w:val="bottom"/>
            <w:shd w:val="clear" w:color="auto" w:fill="CCEEFF"/>
          </w:tcPr>
          <w:p>
            <w:pPr>
              <w:spacing w:after="0"/>
              <w:rPr>
                <w:sz w:val="22"/>
                <w:szCs w:val="22"/>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Online Education Services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782,192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9,273,458</w:t>
            </w:r>
          </w:p>
        </w:tc>
        <w:tc>
          <w:tcPr>
            <w:tcW w:w="1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11,607,729</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5.54%</w:t>
            </w:r>
          </w:p>
        </w:tc>
      </w:tr>
      <w:tr>
        <w:trPr>
          <w:trHeight w:val="174"/>
        </w:trPr>
        <w:tc>
          <w:tcPr>
            <w:tcW w:w="4080" w:type="dxa"/>
            <w:vAlign w:val="bottom"/>
            <w:gridSpan w:val="12"/>
          </w:tcPr>
          <w:p>
            <w:pPr>
              <w:ind w:left="20"/>
              <w:spacing w:after="0" w:line="175" w:lineRule="exact"/>
              <w:rPr>
                <w:sz w:val="20"/>
                <w:szCs w:val="20"/>
                <w:color w:val="auto"/>
              </w:rPr>
            </w:pPr>
            <w:r>
              <w:rPr>
                <w:rFonts w:ascii="Arial" w:cs="Arial" w:eastAsia="Arial" w:hAnsi="Arial"/>
                <w:sz w:val="18"/>
                <w:szCs w:val="18"/>
                <w:b w:val="1"/>
                <w:bCs w:val="1"/>
                <w:color w:val="auto"/>
              </w:rPr>
              <w:t>Lytro, Inc.</w:t>
            </w:r>
          </w:p>
        </w:tc>
        <w:tc>
          <w:tcPr>
            <w:tcW w:w="160" w:type="dxa"/>
            <w:vAlign w:val="bottom"/>
          </w:tcPr>
          <w:p>
            <w:pPr>
              <w:spacing w:after="0"/>
              <w:rPr>
                <w:sz w:val="15"/>
                <w:szCs w:val="15"/>
                <w:color w:val="auto"/>
              </w:rPr>
            </w:pPr>
          </w:p>
        </w:tc>
        <w:tc>
          <w:tcPr>
            <w:tcW w:w="2460" w:type="dxa"/>
            <w:vAlign w:val="bottom"/>
          </w:tcPr>
          <w:p>
            <w:pPr>
              <w:jc w:val="center"/>
              <w:spacing w:after="0" w:line="175" w:lineRule="exact"/>
              <w:rPr>
                <w:sz w:val="20"/>
                <w:szCs w:val="20"/>
                <w:color w:val="auto"/>
              </w:rPr>
            </w:pPr>
            <w:r>
              <w:rPr>
                <w:rFonts w:ascii="Arial" w:cs="Arial" w:eastAsia="Arial" w:hAnsi="Arial"/>
                <w:sz w:val="18"/>
                <w:szCs w:val="18"/>
                <w:color w:val="auto"/>
                <w:w w:val="94"/>
              </w:rPr>
              <w:t>Mountain View, CA</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5"/>
        </w:trPr>
        <w:tc>
          <w:tcPr>
            <w:tcW w:w="408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D</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Light Field Imaging Platform</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159,160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502,081</w:t>
            </w:r>
          </w:p>
        </w:tc>
        <w:tc>
          <w:tcPr>
            <w:tcW w:w="1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0.24%</w:t>
            </w: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C-1</w:t>
            </w: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3,378,379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10,000,002</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10,000,002</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4.77%</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06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10,502,083</w:t>
            </w:r>
          </w:p>
        </w:tc>
        <w:tc>
          <w:tcPr>
            <w:tcW w:w="20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10,500,003</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5.01%</w:t>
            </w:r>
          </w:p>
        </w:tc>
      </w:tr>
      <w:tr>
        <w:trPr>
          <w:trHeight w:val="168"/>
        </w:trPr>
        <w:tc>
          <w:tcPr>
            <w:tcW w:w="4080" w:type="dxa"/>
            <w:vAlign w:val="bottom"/>
            <w:tcBorders>
              <w:top w:val="single" w:sz="8" w:color="CCEEFF"/>
            </w:tcBorders>
            <w:gridSpan w:val="12"/>
          </w:tcPr>
          <w:p>
            <w:pPr>
              <w:ind w:left="20"/>
              <w:spacing w:after="0" w:line="168" w:lineRule="exact"/>
              <w:rPr>
                <w:sz w:val="20"/>
                <w:szCs w:val="20"/>
                <w:color w:val="auto"/>
              </w:rPr>
            </w:pPr>
            <w:r>
              <w:rPr>
                <w:rFonts w:ascii="Arial" w:cs="Arial" w:eastAsia="Arial" w:hAnsi="Arial"/>
                <w:sz w:val="18"/>
                <w:szCs w:val="18"/>
                <w:b w:val="1"/>
                <w:bCs w:val="1"/>
                <w:color w:val="auto"/>
              </w:rPr>
              <w:t>Course Hero, Inc.</w:t>
            </w:r>
          </w:p>
        </w:tc>
        <w:tc>
          <w:tcPr>
            <w:tcW w:w="160" w:type="dxa"/>
            <w:vAlign w:val="bottom"/>
            <w:tcBorders>
              <w:top w:val="single" w:sz="8" w:color="CCEEFF"/>
            </w:tcBorders>
          </w:tcPr>
          <w:p>
            <w:pPr>
              <w:spacing w:after="0"/>
              <w:rPr>
                <w:sz w:val="14"/>
                <w:szCs w:val="14"/>
                <w:color w:val="auto"/>
              </w:rPr>
            </w:pPr>
          </w:p>
        </w:tc>
        <w:tc>
          <w:tcPr>
            <w:tcW w:w="2460" w:type="dxa"/>
            <w:vAlign w:val="bottom"/>
            <w:tcBorders>
              <w:top w:val="single" w:sz="8" w:color="CCEEFF"/>
            </w:tcBorders>
          </w:tcPr>
          <w:p>
            <w:pPr>
              <w:jc w:val="center"/>
              <w:spacing w:after="0" w:line="168" w:lineRule="exact"/>
              <w:rPr>
                <w:sz w:val="20"/>
                <w:szCs w:val="20"/>
                <w:color w:val="auto"/>
              </w:rPr>
            </w:pPr>
            <w:r>
              <w:rPr>
                <w:rFonts w:ascii="Arial" w:cs="Arial" w:eastAsia="Arial" w:hAnsi="Arial"/>
                <w:sz w:val="18"/>
                <w:szCs w:val="18"/>
                <w:color w:val="auto"/>
                <w:w w:val="92"/>
              </w:rPr>
              <w:t>Redwood City, CA</w:t>
            </w:r>
          </w:p>
        </w:tc>
        <w:tc>
          <w:tcPr>
            <w:tcW w:w="16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5"/>
        </w:trPr>
        <w:tc>
          <w:tcPr>
            <w:tcW w:w="408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Online Education</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2,145,509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10,405,629</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r>
      <w:tr>
        <w:trPr>
          <w:trHeight w:val="215"/>
        </w:trPr>
        <w:tc>
          <w:tcPr>
            <w:tcW w:w="4080" w:type="dxa"/>
            <w:vAlign w:val="bottom"/>
            <w:gridSpan w:val="12"/>
          </w:tcPr>
          <w:p>
            <w:pPr>
              <w:ind w:left="20"/>
              <w:spacing w:after="0" w:line="214" w:lineRule="exact"/>
              <w:rPr>
                <w:sz w:val="20"/>
                <w:szCs w:val="20"/>
                <w:color w:val="auto"/>
              </w:rPr>
            </w:pPr>
            <w:r>
              <w:rPr>
                <w:rFonts w:ascii="Arial" w:cs="Arial" w:eastAsia="Arial" w:hAnsi="Arial"/>
                <w:sz w:val="15"/>
                <w:szCs w:val="15"/>
                <w:b w:val="1"/>
                <w:bCs w:val="1"/>
                <w:color w:val="auto"/>
              </w:rPr>
              <w:t>Ozy Media, Inc.</w:t>
            </w:r>
            <w:r>
              <w:rPr>
                <w:rFonts w:ascii="Arial" w:cs="Arial" w:eastAsia="Arial" w:hAnsi="Arial"/>
                <w:sz w:val="24"/>
                <w:szCs w:val="24"/>
                <w:b w:val="1"/>
                <w:bCs w:val="1"/>
                <w:color w:val="auto"/>
                <w:vertAlign w:val="superscript"/>
              </w:rPr>
              <w:t>(1)</w:t>
            </w:r>
          </w:p>
        </w:tc>
        <w:tc>
          <w:tcPr>
            <w:tcW w:w="1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4"/>
              </w:rPr>
              <w:t>Mountain View, CA</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5"/>
        </w:trPr>
        <w:tc>
          <w:tcPr>
            <w:tcW w:w="408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w w:val="99"/>
              </w:rPr>
              <w:t>Convertible Promissory Note 5% Due 2/28/2018***</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Digital Media Platform</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0.95%</w:t>
            </w: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922,509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4,999,999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4,390,887</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2.10%</w:t>
            </w:r>
          </w:p>
        </w:tc>
      </w:tr>
      <w:tr>
        <w:trPr>
          <w:trHeight w:val="215"/>
        </w:trPr>
        <w:tc>
          <w:tcPr>
            <w:tcW w:w="408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1,090,909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3,000,200</w:t>
            </w:r>
          </w:p>
        </w:tc>
        <w:tc>
          <w:tcPr>
            <w:tcW w:w="11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2,633,784</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r>
      <w:tr>
        <w:trPr>
          <w:trHeight w:val="215"/>
        </w:trPr>
        <w:tc>
          <w:tcPr>
            <w:tcW w:w="408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Seed</w:t>
            </w: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438,964</w:t>
            </w: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0.21%</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060" w:type="dxa"/>
            <w:vAlign w:val="bottom"/>
            <w:gridSpan w:val="11"/>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10,500,199</w:t>
            </w:r>
          </w:p>
        </w:tc>
        <w:tc>
          <w:tcPr>
            <w:tcW w:w="200" w:type="dxa"/>
            <w:vAlign w:val="bottom"/>
            <w:tcBorders>
              <w:left w:val="single" w:sz="8" w:color="CCEEFF"/>
            </w:tcBorders>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9,463,635</w:t>
            </w:r>
          </w:p>
        </w:tc>
        <w:tc>
          <w:tcPr>
            <w:tcW w:w="980" w:type="dxa"/>
            <w:vAlign w:val="bottom"/>
            <w:tcBorders>
              <w:lef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-4836795</wp:posOffset>
            </wp:positionV>
            <wp:extent cx="7026275" cy="153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-3431540</wp:posOffset>
            </wp:positionV>
            <wp:extent cx="7026275" cy="153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-2562860</wp:posOffset>
            </wp:positionV>
            <wp:extent cx="7026275" cy="1447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-2000885</wp:posOffset>
            </wp:positionV>
            <wp:extent cx="7026275" cy="144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-1140460</wp:posOffset>
            </wp:positionV>
            <wp:extent cx="7026275" cy="144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0262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8" w:name="page9"/>
    <w:bookmarkEnd w:id="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6694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69415" cy="825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31115</wp:posOffset>
            </wp:positionV>
            <wp:extent cx="40195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019550"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 of</w:t>
            </w:r>
          </w:p>
        </w:tc>
      </w:tr>
      <w:tr>
        <w:trPr>
          <w:trHeight w:val="152"/>
        </w:trPr>
        <w:tc>
          <w:tcPr>
            <w:tcW w:w="448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60" w:type="dxa"/>
            <w:vAlign w:val="bottom"/>
          </w:tcPr>
          <w:p>
            <w:pPr>
              <w:spacing w:after="0"/>
              <w:rPr>
                <w:sz w:val="13"/>
                <w:szCs w:val="13"/>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Headquarters/Industry</w:t>
            </w:r>
          </w:p>
        </w:tc>
        <w:tc>
          <w:tcPr>
            <w:tcW w:w="160" w:type="dxa"/>
            <w:vAlign w:val="bottom"/>
          </w:tcPr>
          <w:p>
            <w:pPr>
              <w:spacing w:after="0"/>
              <w:rPr>
                <w:sz w:val="13"/>
                <w:szCs w:val="13"/>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7"/>
              </w:rPr>
              <w:t>Shares/ Principal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22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5"/>
              </w:rPr>
              <w:t>Net Assets</w:t>
            </w:r>
          </w:p>
        </w:tc>
      </w:tr>
      <w:tr>
        <w:trPr>
          <w:trHeight w:val="208"/>
        </w:trPr>
        <w:tc>
          <w:tcPr>
            <w:tcW w:w="4480" w:type="dxa"/>
            <w:vAlign w:val="bottom"/>
            <w:gridSpan w:val="11"/>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NestGSV, Inc. (d/b/a GSV Labs, Inc.)</w:t>
            </w:r>
            <w:r>
              <w:rPr>
                <w:rFonts w:ascii="Arial" w:cs="Arial" w:eastAsia="Arial" w:hAnsi="Arial"/>
                <w:sz w:val="24"/>
                <w:szCs w:val="24"/>
                <w:b w:val="1"/>
                <w:bCs w:val="1"/>
                <w:color w:val="auto"/>
                <w:vertAlign w:val="superscript"/>
              </w:rPr>
              <w:t>(2)</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Redwood City, CA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55"/>
        </w:trPr>
        <w:tc>
          <w:tcPr>
            <w:tcW w:w="4480" w:type="dxa"/>
            <w:vAlign w:val="bottom"/>
            <w:gridSpan w:val="11"/>
          </w:tcPr>
          <w:p>
            <w:pPr>
              <w:ind w:left="20"/>
              <w:spacing w:after="0" w:line="255" w:lineRule="exact"/>
              <w:rPr>
                <w:sz w:val="20"/>
                <w:szCs w:val="20"/>
                <w:color w:val="auto"/>
              </w:rPr>
            </w:pPr>
            <w:r>
              <w:rPr>
                <w:rFonts w:ascii="Arial" w:cs="Arial" w:eastAsia="Arial" w:hAnsi="Arial"/>
                <w:sz w:val="18"/>
                <w:szCs w:val="18"/>
                <w:color w:val="auto"/>
              </w:rPr>
              <w:t>Convertible Promissory Note 8% Due 7/31/2018***</w:t>
            </w:r>
            <w:r>
              <w:rPr>
                <w:rFonts w:ascii="Arial" w:cs="Arial" w:eastAsia="Arial" w:hAnsi="Arial"/>
                <w:sz w:val="29"/>
                <w:szCs w:val="29"/>
                <w:color w:val="auto"/>
                <w:vertAlign w:val="superscript"/>
              </w:rPr>
              <w:t>(15)</w:t>
            </w:r>
          </w:p>
        </w:tc>
        <w:tc>
          <w:tcPr>
            <w:tcW w:w="160" w:type="dxa"/>
            <w:vAlign w:val="bottom"/>
          </w:tcPr>
          <w:p>
            <w:pPr>
              <w:spacing w:after="0"/>
              <w:rPr>
                <w:sz w:val="22"/>
                <w:szCs w:val="22"/>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Global Innovation Platform</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560,199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563,479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560,199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0.27%</w:t>
            </w:r>
          </w:p>
        </w:tc>
      </w:tr>
      <w:tr>
        <w:trPr>
          <w:trHeight w:val="255"/>
        </w:trPr>
        <w:tc>
          <w:tcPr>
            <w:tcW w:w="4480" w:type="dxa"/>
            <w:vAlign w:val="bottom"/>
            <w:gridSpan w:val="11"/>
            <w:shd w:val="clear" w:color="auto" w:fill="CCEEFF"/>
          </w:tcPr>
          <w:p>
            <w:pPr>
              <w:ind w:left="20"/>
              <w:spacing w:after="0" w:line="255" w:lineRule="exact"/>
              <w:rPr>
                <w:sz w:val="20"/>
                <w:szCs w:val="20"/>
                <w:color w:val="auto"/>
              </w:rPr>
            </w:pPr>
            <w:r>
              <w:rPr>
                <w:rFonts w:ascii="Arial" w:cs="Arial" w:eastAsia="Arial" w:hAnsi="Arial"/>
                <w:sz w:val="18"/>
                <w:szCs w:val="18"/>
                <w:color w:val="auto"/>
                <w:w w:val="97"/>
              </w:rPr>
              <w:t>Unsecured Promissory Note 12% Due 11/29/2017***</w:t>
            </w:r>
            <w:r>
              <w:rPr>
                <w:rFonts w:ascii="Arial" w:cs="Arial" w:eastAsia="Arial" w:hAnsi="Arial"/>
                <w:sz w:val="29"/>
                <w:szCs w:val="29"/>
                <w:color w:val="auto"/>
                <w:w w:val="97"/>
                <w:vertAlign w:val="superscript"/>
              </w:rPr>
              <w:t>(11)</w:t>
            </w:r>
          </w:p>
        </w:tc>
        <w:tc>
          <w:tcPr>
            <w:tcW w:w="16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557,735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533,353</w:t>
            </w:r>
          </w:p>
        </w:tc>
        <w:tc>
          <w:tcPr>
            <w:tcW w:w="20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533,353</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r>
      <w:tr>
        <w:trPr>
          <w:trHeight w:val="215"/>
        </w:trPr>
        <w:tc>
          <w:tcPr>
            <w:tcW w:w="4480" w:type="dxa"/>
            <w:vAlign w:val="bottom"/>
            <w:gridSpan w:val="11"/>
          </w:tcPr>
          <w:p>
            <w:pPr>
              <w:ind w:left="20"/>
              <w:spacing w:after="0"/>
              <w:rPr>
                <w:sz w:val="20"/>
                <w:szCs w:val="20"/>
                <w:color w:val="auto"/>
              </w:rPr>
            </w:pPr>
            <w:r>
              <w:rPr>
                <w:rFonts w:ascii="Arial" w:cs="Arial" w:eastAsia="Arial" w:hAnsi="Arial"/>
                <w:sz w:val="18"/>
                <w:szCs w:val="18"/>
                <w:color w:val="auto"/>
              </w:rPr>
              <w:t>Preferred shares, Series A-4</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3,720,424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4,904,498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5,189,348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2.48%</w:t>
            </w:r>
          </w:p>
        </w:tc>
      </w:tr>
      <w:tr>
        <w:trPr>
          <w:trHeight w:val="215"/>
        </w:trPr>
        <w:tc>
          <w:tcPr>
            <w:tcW w:w="448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Preferred shares, Series A-3</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1,561,625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2,005,730</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1,815,164</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0.87%</w:t>
            </w:r>
          </w:p>
        </w:tc>
      </w:tr>
      <w:tr>
        <w:trPr>
          <w:trHeight w:val="215"/>
        </w:trPr>
        <w:tc>
          <w:tcPr>
            <w:tcW w:w="4480" w:type="dxa"/>
            <w:vAlign w:val="bottom"/>
            <w:gridSpan w:val="11"/>
          </w:tcPr>
          <w:p>
            <w:pPr>
              <w:ind w:left="20"/>
              <w:spacing w:after="0"/>
              <w:rPr>
                <w:sz w:val="20"/>
                <w:szCs w:val="20"/>
                <w:color w:val="auto"/>
              </w:rPr>
            </w:pPr>
            <w:r>
              <w:rPr>
                <w:rFonts w:ascii="Arial" w:cs="Arial" w:eastAsia="Arial" w:hAnsi="Arial"/>
                <w:sz w:val="18"/>
                <w:szCs w:val="18"/>
                <w:color w:val="auto"/>
              </w:rPr>
              <w:t>Preferred shares, Series A-2</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313,836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0.15%</w:t>
            </w:r>
          </w:p>
        </w:tc>
      </w:tr>
      <w:tr>
        <w:trPr>
          <w:trHeight w:val="215"/>
        </w:trPr>
        <w:tc>
          <w:tcPr>
            <w:tcW w:w="448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Preferred shares, Series A-1</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1,021,778</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523,060</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r>
      <w:tr>
        <w:trPr>
          <w:trHeight w:val="215"/>
        </w:trPr>
        <w:tc>
          <w:tcPr>
            <w:tcW w:w="4480" w:type="dxa"/>
            <w:vAlign w:val="bottom"/>
            <w:gridSpan w:val="11"/>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0"/>
        </w:trPr>
        <w:tc>
          <w:tcPr>
            <w:tcW w:w="4480" w:type="dxa"/>
            <w:vAlign w:val="bottom"/>
            <w:gridSpan w:val="11"/>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Series A-3 – Strike Price $1.33 –</w:t>
            </w:r>
          </w:p>
        </w:tc>
        <w:tc>
          <w:tcPr>
            <w:tcW w:w="1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10"/>
            <w:shd w:val="clear" w:color="auto" w:fill="CCEEFF"/>
          </w:tcPr>
          <w:p>
            <w:pPr>
              <w:ind w:left="220"/>
              <w:spacing w:after="0"/>
              <w:rPr>
                <w:sz w:val="20"/>
                <w:szCs w:val="20"/>
                <w:color w:val="auto"/>
              </w:rPr>
            </w:pPr>
            <w:r>
              <w:rPr>
                <w:rFonts w:ascii="Arial" w:cs="Arial" w:eastAsia="Arial" w:hAnsi="Arial"/>
                <w:sz w:val="18"/>
                <w:szCs w:val="18"/>
                <w:color w:val="auto"/>
              </w:rPr>
              <w:t>Expiration Date 4/4/2019</w:t>
            </w:r>
          </w:p>
        </w:tc>
        <w:tc>
          <w:tcPr>
            <w:tcW w:w="1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00"/>
        </w:trPr>
        <w:tc>
          <w:tcPr>
            <w:tcW w:w="448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Preferred Warrants Series A-4 – Strike Price $1.33 –</w:t>
            </w: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460" w:type="dxa"/>
            <w:vAlign w:val="bottom"/>
            <w:gridSpan w:val="10"/>
          </w:tcPr>
          <w:p>
            <w:pPr>
              <w:ind w:left="220"/>
              <w:spacing w:after="0"/>
              <w:rPr>
                <w:sz w:val="20"/>
                <w:szCs w:val="20"/>
                <w:color w:val="auto"/>
              </w:rPr>
            </w:pPr>
            <w:r>
              <w:rPr>
                <w:rFonts w:ascii="Arial" w:cs="Arial" w:eastAsia="Arial" w:hAnsi="Arial"/>
                <w:sz w:val="18"/>
                <w:szCs w:val="18"/>
                <w:color w:val="auto"/>
              </w:rPr>
              <w:t>Expiration Date 10/6/2019</w:t>
            </w: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0.08%</w:t>
            </w:r>
          </w:p>
        </w:tc>
      </w:tr>
      <w:tr>
        <w:trPr>
          <w:trHeight w:val="201"/>
        </w:trPr>
        <w:tc>
          <w:tcPr>
            <w:tcW w:w="4480" w:type="dxa"/>
            <w:vAlign w:val="bottom"/>
            <w:gridSpan w:val="11"/>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Series A-4 – Strike Price $1.33 –</w:t>
            </w:r>
          </w:p>
        </w:tc>
        <w:tc>
          <w:tcPr>
            <w:tcW w:w="1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10"/>
            <w:shd w:val="clear" w:color="auto" w:fill="CCEEFF"/>
          </w:tcPr>
          <w:p>
            <w:pPr>
              <w:ind w:left="220"/>
              <w:spacing w:after="0"/>
              <w:rPr>
                <w:sz w:val="20"/>
                <w:szCs w:val="20"/>
                <w:color w:val="auto"/>
              </w:rPr>
            </w:pPr>
            <w:r>
              <w:rPr>
                <w:rFonts w:ascii="Arial" w:cs="Arial" w:eastAsia="Arial" w:hAnsi="Arial"/>
                <w:sz w:val="18"/>
                <w:szCs w:val="18"/>
                <w:color w:val="auto"/>
              </w:rPr>
              <w:t>Expiration Date 7/18/2021</w:t>
            </w:r>
          </w:p>
        </w:tc>
        <w:tc>
          <w:tcPr>
            <w:tcW w:w="1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74,380</w:t>
            </w:r>
          </w:p>
        </w:tc>
        <w:tc>
          <w:tcPr>
            <w:tcW w:w="2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r>
      <w:tr>
        <w:trPr>
          <w:trHeight w:val="200"/>
        </w:trPr>
        <w:tc>
          <w:tcPr>
            <w:tcW w:w="448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Preferred Warrants Series A-4 – Strike Price $1.33 –</w:t>
            </w: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460" w:type="dxa"/>
            <w:vAlign w:val="bottom"/>
            <w:gridSpan w:val="10"/>
          </w:tcPr>
          <w:p>
            <w:pPr>
              <w:ind w:left="220"/>
              <w:spacing w:after="0"/>
              <w:rPr>
                <w:sz w:val="20"/>
                <w:szCs w:val="20"/>
                <w:color w:val="auto"/>
              </w:rPr>
            </w:pPr>
            <w:r>
              <w:rPr>
                <w:rFonts w:ascii="Arial" w:cs="Arial" w:eastAsia="Arial" w:hAnsi="Arial"/>
                <w:sz w:val="18"/>
                <w:szCs w:val="18"/>
                <w:color w:val="auto"/>
              </w:rPr>
              <w:t>Expiration Date 11/29/2021</w:t>
            </w: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29,275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r>
      <w:tr>
        <w:trPr>
          <w:trHeight w:val="205"/>
        </w:trPr>
        <w:tc>
          <w:tcPr>
            <w:tcW w:w="4480" w:type="dxa"/>
            <w:vAlign w:val="bottom"/>
            <w:gridSpan w:val="11"/>
            <w:shd w:val="clear" w:color="auto" w:fill="CCEEFF"/>
          </w:tcPr>
          <w:p>
            <w:pPr>
              <w:ind w:left="20"/>
              <w:spacing w:after="0" w:line="205" w:lineRule="exact"/>
              <w:rPr>
                <w:sz w:val="20"/>
                <w:szCs w:val="20"/>
                <w:color w:val="auto"/>
              </w:rPr>
            </w:pPr>
            <w:r>
              <w:rPr>
                <w:rFonts w:ascii="Arial" w:cs="Arial" w:eastAsia="Arial" w:hAnsi="Arial"/>
                <w:sz w:val="18"/>
                <w:szCs w:val="18"/>
                <w:color w:val="auto"/>
                <w:w w:val="94"/>
              </w:rPr>
              <w:t>Preferred Warrant Series B – Strike Price $2.31, Expiration</w:t>
            </w:r>
          </w:p>
        </w:tc>
        <w:tc>
          <w:tcPr>
            <w:tcW w:w="1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65"/>
        </w:trPr>
        <w:tc>
          <w:tcPr>
            <w:tcW w:w="20" w:type="dxa"/>
            <w:vAlign w:val="bottom"/>
            <w:shd w:val="clear" w:color="auto" w:fill="CCEEFF"/>
          </w:tcPr>
          <w:p>
            <w:pPr>
              <w:spacing w:after="0"/>
              <w:rPr>
                <w:sz w:val="23"/>
                <w:szCs w:val="23"/>
                <w:color w:val="auto"/>
              </w:rPr>
            </w:pPr>
          </w:p>
        </w:tc>
        <w:tc>
          <w:tcPr>
            <w:tcW w:w="4460" w:type="dxa"/>
            <w:vAlign w:val="bottom"/>
            <w:gridSpan w:val="10"/>
            <w:shd w:val="clear" w:color="auto" w:fill="CCEEFF"/>
          </w:tcPr>
          <w:p>
            <w:pPr>
              <w:ind w:left="180"/>
              <w:spacing w:after="0" w:line="266" w:lineRule="exact"/>
              <w:rPr>
                <w:sz w:val="20"/>
                <w:szCs w:val="20"/>
                <w:color w:val="auto"/>
              </w:rPr>
            </w:pPr>
            <w:r>
              <w:rPr>
                <w:rFonts w:ascii="Arial" w:cs="Arial" w:eastAsia="Arial" w:hAnsi="Arial"/>
                <w:sz w:val="18"/>
                <w:szCs w:val="18"/>
                <w:color w:val="auto"/>
              </w:rPr>
              <w:t>Date 5/29/2022</w:t>
            </w:r>
            <w:r>
              <w:rPr>
                <w:rFonts w:ascii="Arial" w:cs="Arial" w:eastAsia="Arial" w:hAnsi="Arial"/>
                <w:sz w:val="29"/>
                <w:szCs w:val="29"/>
                <w:color w:val="auto"/>
                <w:vertAlign w:val="superscript"/>
              </w:rPr>
              <w:t>(11)</w:t>
            </w:r>
          </w:p>
        </w:tc>
        <w:tc>
          <w:tcPr>
            <w:tcW w:w="16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70,379</w:t>
            </w:r>
          </w:p>
        </w:tc>
        <w:tc>
          <w:tcPr>
            <w:tcW w:w="200" w:type="dxa"/>
            <w:vAlign w:val="bottom"/>
            <w:tcBorders>
              <w:lef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gridSpan w:val="10"/>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9,809,372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9,334,335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4.47%</w:t>
            </w:r>
          </w:p>
        </w:tc>
      </w:tr>
      <w:tr>
        <w:trPr>
          <w:trHeight w:val="168"/>
        </w:trPr>
        <w:tc>
          <w:tcPr>
            <w:tcW w:w="4480" w:type="dxa"/>
            <w:vAlign w:val="bottom"/>
            <w:gridSpan w:val="11"/>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Lyft, Inc.</w:t>
            </w:r>
          </w:p>
        </w:tc>
        <w:tc>
          <w:tcPr>
            <w:tcW w:w="160" w:type="dxa"/>
            <w:vAlign w:val="bottom"/>
            <w:shd w:val="clear" w:color="auto" w:fill="CCEEFF"/>
          </w:tcPr>
          <w:p>
            <w:pPr>
              <w:spacing w:after="0"/>
              <w:rPr>
                <w:sz w:val="14"/>
                <w:szCs w:val="14"/>
                <w:color w:val="auto"/>
              </w:rPr>
            </w:pPr>
          </w:p>
        </w:tc>
        <w:tc>
          <w:tcPr>
            <w:tcW w:w="226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89"/>
              </w:rPr>
              <w:t>San Francisco, CA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448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Preferred shares, Series E</w:t>
            </w:r>
          </w:p>
        </w:tc>
        <w:tc>
          <w:tcPr>
            <w:tcW w:w="160" w:type="dxa"/>
            <w:vAlign w:val="bottom"/>
          </w:tcPr>
          <w:p>
            <w:pPr>
              <w:spacing w:after="0"/>
              <w:rPr>
                <w:sz w:val="17"/>
                <w:szCs w:val="17"/>
                <w:color w:val="auto"/>
              </w:rPr>
            </w:pP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90"/>
              </w:rPr>
              <w:t>On-Demand Transportation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128,563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2,503,585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3,709,840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1.77%</w:t>
            </w:r>
          </w:p>
        </w:tc>
      </w:tr>
      <w:tr>
        <w:trPr>
          <w:trHeight w:val="215"/>
        </w:trPr>
        <w:tc>
          <w:tcPr>
            <w:tcW w:w="448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Preferred shares, Series D</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1,792,749</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5,086,367</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2.43%</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gridSpan w:val="10"/>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4,296,334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8,796,207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4.20%</w:t>
            </w:r>
          </w:p>
        </w:tc>
      </w:tr>
      <w:tr>
        <w:trPr>
          <w:trHeight w:val="168"/>
        </w:trPr>
        <w:tc>
          <w:tcPr>
            <w:tcW w:w="4480" w:type="dxa"/>
            <w:vAlign w:val="bottom"/>
            <w:gridSpan w:val="11"/>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SugarCRM, Inc.</w:t>
            </w:r>
          </w:p>
        </w:tc>
        <w:tc>
          <w:tcPr>
            <w:tcW w:w="160" w:type="dxa"/>
            <w:vAlign w:val="bottom"/>
            <w:shd w:val="clear" w:color="auto" w:fill="CCEEFF"/>
          </w:tcPr>
          <w:p>
            <w:pPr>
              <w:spacing w:after="0"/>
              <w:rPr>
                <w:sz w:val="14"/>
                <w:szCs w:val="14"/>
                <w:color w:val="auto"/>
              </w:rPr>
            </w:pPr>
          </w:p>
        </w:tc>
        <w:tc>
          <w:tcPr>
            <w:tcW w:w="226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3"/>
              </w:rPr>
              <w:t>Cupertino, CA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448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Preferred shares, Series E</w:t>
            </w:r>
          </w:p>
        </w:tc>
        <w:tc>
          <w:tcPr>
            <w:tcW w:w="160" w:type="dxa"/>
            <w:vAlign w:val="bottom"/>
          </w:tcPr>
          <w:p>
            <w:pPr>
              <w:spacing w:after="0"/>
              <w:rPr>
                <w:sz w:val="17"/>
                <w:szCs w:val="17"/>
                <w:color w:val="auto"/>
              </w:rPr>
            </w:pP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90"/>
              </w:rPr>
              <w:t>Customer Relationship</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Manager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373,134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1,500,522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2,408,120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r>
      <w:tr>
        <w:trPr>
          <w:trHeight w:val="215"/>
        </w:trPr>
        <w:tc>
          <w:tcPr>
            <w:tcW w:w="448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1,524,799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5,476,502</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3,711,007</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gridSpan w:val="10"/>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6,977,024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6,119,127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2.92%</w:t>
            </w:r>
          </w:p>
        </w:tc>
      </w:tr>
      <w:tr>
        <w:trPr>
          <w:trHeight w:val="208"/>
        </w:trPr>
        <w:tc>
          <w:tcPr>
            <w:tcW w:w="4480" w:type="dxa"/>
            <w:vAlign w:val="bottom"/>
            <w:gridSpan w:val="11"/>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Curious.com, Inc.</w:t>
            </w:r>
            <w:r>
              <w:rPr>
                <w:rFonts w:ascii="Arial" w:cs="Arial" w:eastAsia="Arial" w:hAnsi="Arial"/>
                <w:sz w:val="24"/>
                <w:szCs w:val="24"/>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Menlo Park, CA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480" w:type="dxa"/>
            <w:vAlign w:val="bottom"/>
            <w:gridSpan w:val="11"/>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3,407,834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12,000,006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5,960,187</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2.85%</w:t>
            </w:r>
          </w:p>
        </w:tc>
      </w:tr>
      <w:tr>
        <w:trPr>
          <w:trHeight w:val="174"/>
        </w:trPr>
        <w:tc>
          <w:tcPr>
            <w:tcW w:w="4480" w:type="dxa"/>
            <w:vAlign w:val="bottom"/>
            <w:gridSpan w:val="11"/>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Enjoy Technology, Inc.</w:t>
            </w:r>
          </w:p>
        </w:tc>
        <w:tc>
          <w:tcPr>
            <w:tcW w:w="160" w:type="dxa"/>
            <w:vAlign w:val="bottom"/>
            <w:shd w:val="clear" w:color="auto" w:fill="CCEEFF"/>
          </w:tcPr>
          <w:p>
            <w:pPr>
              <w:spacing w:after="0"/>
              <w:rPr>
                <w:sz w:val="15"/>
                <w:szCs w:val="15"/>
                <w:color w:val="auto"/>
              </w:rPr>
            </w:pPr>
          </w:p>
        </w:tc>
        <w:tc>
          <w:tcPr>
            <w:tcW w:w="22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3"/>
              </w:rPr>
              <w:t>Menlo Park, CA</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480" w:type="dxa"/>
            <w:vAlign w:val="bottom"/>
            <w:gridSpan w:val="11"/>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On-Demand Commerce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1,681,520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4,000,280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4,000,000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1.91%</w:t>
            </w:r>
          </w:p>
        </w:tc>
      </w:tr>
      <w:tr>
        <w:trPr>
          <w:trHeight w:val="215"/>
        </w:trPr>
        <w:tc>
          <w:tcPr>
            <w:tcW w:w="448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1,002,440</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1,447,844</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0.69%</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gridSpan w:val="10"/>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5,002,720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5,447,844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2.60%</w:t>
            </w:r>
          </w:p>
        </w:tc>
      </w:tr>
      <w:tr>
        <w:trPr>
          <w:trHeight w:val="168"/>
        </w:trPr>
        <w:tc>
          <w:tcPr>
            <w:tcW w:w="4480" w:type="dxa"/>
            <w:vAlign w:val="bottom"/>
            <w:gridSpan w:val="11"/>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Dataminr, Inc.</w:t>
            </w:r>
          </w:p>
        </w:tc>
        <w:tc>
          <w:tcPr>
            <w:tcW w:w="160" w:type="dxa"/>
            <w:vAlign w:val="bottom"/>
            <w:shd w:val="clear" w:color="auto" w:fill="CCEEFF"/>
          </w:tcPr>
          <w:p>
            <w:pPr>
              <w:spacing w:after="0"/>
              <w:rPr>
                <w:sz w:val="14"/>
                <w:szCs w:val="14"/>
                <w:color w:val="auto"/>
              </w:rPr>
            </w:pPr>
          </w:p>
        </w:tc>
        <w:tc>
          <w:tcPr>
            <w:tcW w:w="226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5"/>
              </w:rPr>
              <w:t>New York, NY</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480" w:type="dxa"/>
            <w:vAlign w:val="bottom"/>
            <w:gridSpan w:val="11"/>
          </w:tcPr>
          <w:p>
            <w:pPr>
              <w:ind w:left="20"/>
              <w:spacing w:after="0"/>
              <w:rPr>
                <w:sz w:val="20"/>
                <w:szCs w:val="20"/>
                <w:color w:val="auto"/>
              </w:rPr>
            </w:pPr>
            <w:r>
              <w:rPr>
                <w:rFonts w:ascii="Arial" w:cs="Arial" w:eastAsia="Arial" w:hAnsi="Arial"/>
                <w:sz w:val="18"/>
                <w:szCs w:val="18"/>
                <w:color w:val="auto"/>
              </w:rPr>
              <w:t>Preferred shares, Series C</w:t>
            </w:r>
          </w:p>
        </w:tc>
        <w:tc>
          <w:tcPr>
            <w:tcW w:w="1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Social Media Analytics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1,100,909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1,205,476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0.58%</w:t>
            </w:r>
          </w:p>
        </w:tc>
      </w:tr>
      <w:tr>
        <w:trPr>
          <w:trHeight w:val="215"/>
        </w:trPr>
        <w:tc>
          <w:tcPr>
            <w:tcW w:w="448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2,063,356</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3,619,908</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gridSpan w:val="10"/>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3,164,265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4,825,384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2.31%</w:t>
            </w:r>
          </w:p>
        </w:tc>
      </w:tr>
      <w:tr>
        <w:trPr>
          <w:trHeight w:val="168"/>
        </w:trPr>
        <w:tc>
          <w:tcPr>
            <w:tcW w:w="4480" w:type="dxa"/>
            <w:vAlign w:val="bottom"/>
            <w:gridSpan w:val="11"/>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Parchment, Inc.</w:t>
            </w:r>
          </w:p>
        </w:tc>
        <w:tc>
          <w:tcPr>
            <w:tcW w:w="160" w:type="dxa"/>
            <w:vAlign w:val="bottom"/>
            <w:shd w:val="clear" w:color="auto" w:fill="CCEEFF"/>
          </w:tcPr>
          <w:p>
            <w:pPr>
              <w:spacing w:after="0"/>
              <w:rPr>
                <w:sz w:val="14"/>
                <w:szCs w:val="14"/>
                <w:color w:val="auto"/>
              </w:rPr>
            </w:pPr>
          </w:p>
        </w:tc>
        <w:tc>
          <w:tcPr>
            <w:tcW w:w="226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0"/>
              </w:rPr>
              <w:t>Scottsdale, AZ</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480" w:type="dxa"/>
            <w:vAlign w:val="bottom"/>
            <w:gridSpan w:val="11"/>
          </w:tcPr>
          <w:p>
            <w:pPr>
              <w:ind w:left="20"/>
              <w:spacing w:after="0"/>
              <w:rPr>
                <w:sz w:val="20"/>
                <w:szCs w:val="20"/>
                <w:color w:val="auto"/>
              </w:rPr>
            </w:pPr>
            <w:r>
              <w:rPr>
                <w:rFonts w:ascii="Arial" w:cs="Arial" w:eastAsia="Arial" w:hAnsi="Arial"/>
                <w:sz w:val="18"/>
                <w:szCs w:val="18"/>
                <w:color w:val="auto"/>
              </w:rPr>
              <w:t>Preferred shares, Series D</w:t>
            </w:r>
          </w:p>
        </w:tc>
        <w:tc>
          <w:tcPr>
            <w:tcW w:w="1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E-Transcript Exchange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3,200,512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4,000,982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4,592,322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2.19%</w:t>
            </w:r>
          </w:p>
        </w:tc>
      </w:tr>
      <w:tr>
        <w:trPr>
          <w:trHeight w:val="215"/>
        </w:trPr>
        <w:tc>
          <w:tcPr>
            <w:tcW w:w="4480" w:type="dxa"/>
            <w:vAlign w:val="bottom"/>
            <w:gridSpan w:val="11"/>
            <w:shd w:val="clear" w:color="auto" w:fill="CCEEFF"/>
          </w:tcPr>
          <w:p>
            <w:pPr>
              <w:ind w:left="20"/>
              <w:spacing w:after="0" w:line="214" w:lineRule="exact"/>
              <w:rPr>
                <w:sz w:val="20"/>
                <w:szCs w:val="20"/>
                <w:color w:val="auto"/>
              </w:rPr>
            </w:pPr>
            <w:r>
              <w:rPr>
                <w:rFonts w:ascii="Arial" w:cs="Arial" w:eastAsia="Arial" w:hAnsi="Arial"/>
                <w:sz w:val="15"/>
                <w:szCs w:val="15"/>
                <w:b w:val="1"/>
                <w:bCs w:val="1"/>
                <w:color w:val="auto"/>
              </w:rPr>
              <w:t>Avenues Global Holdings, LLC</w:t>
            </w:r>
            <w:r>
              <w:rPr>
                <w:rFonts w:ascii="Arial" w:cs="Arial" w:eastAsia="Arial" w:hAnsi="Arial"/>
                <w:sz w:val="24"/>
                <w:szCs w:val="24"/>
                <w:b w:val="1"/>
                <w:bCs w:val="1"/>
                <w:color w:val="auto"/>
                <w:vertAlign w:val="superscript"/>
              </w:rPr>
              <w:t>(4)</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448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Preferred shares, Junior Preferred Stock</w:t>
            </w:r>
          </w:p>
        </w:tc>
        <w:tc>
          <w:tcPr>
            <w:tcW w:w="160" w:type="dxa"/>
            <w:vAlign w:val="bottom"/>
          </w:tcPr>
          <w:p>
            <w:pPr>
              <w:spacing w:after="0"/>
              <w:rPr>
                <w:sz w:val="17"/>
                <w:szCs w:val="17"/>
                <w:color w:val="auto"/>
              </w:rPr>
            </w:pP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90"/>
              </w:rPr>
              <w:t>Globally-Focused Private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School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10,014,270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10,151,854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4,514,409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2.16%</w:t>
            </w:r>
          </w:p>
        </w:tc>
      </w:tr>
      <w:tr>
        <w:trPr>
          <w:trHeight w:val="215"/>
        </w:trPr>
        <w:tc>
          <w:tcPr>
            <w:tcW w:w="4480" w:type="dxa"/>
            <w:vAlign w:val="bottom"/>
            <w:gridSpan w:val="11"/>
            <w:shd w:val="clear" w:color="auto" w:fill="CCEEFF"/>
          </w:tcPr>
          <w:p>
            <w:pPr>
              <w:ind w:left="20"/>
              <w:spacing w:after="0" w:line="216" w:lineRule="exact"/>
              <w:rPr>
                <w:sz w:val="20"/>
                <w:szCs w:val="20"/>
                <w:color w:val="auto"/>
              </w:rPr>
            </w:pPr>
            <w:r>
              <w:rPr>
                <w:rFonts w:ascii="Arial" w:cs="Arial" w:eastAsia="Arial" w:hAnsi="Arial"/>
                <w:sz w:val="15"/>
                <w:szCs w:val="15"/>
                <w:b w:val="1"/>
                <w:bCs w:val="1"/>
                <w:color w:val="auto"/>
              </w:rPr>
              <w:t>Whittle Schools, LLC</w:t>
            </w:r>
            <w:r>
              <w:rPr>
                <w:rFonts w:ascii="Arial" w:cs="Arial" w:eastAsia="Arial" w:hAnsi="Arial"/>
                <w:sz w:val="24"/>
                <w:szCs w:val="24"/>
                <w:b w:val="1"/>
                <w:bCs w:val="1"/>
                <w:color w:val="auto"/>
                <w:vertAlign w:val="superscript"/>
              </w:rPr>
              <w:t>(1)(5)</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448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7"/>
                <w:szCs w:val="17"/>
                <w:color w:val="auto"/>
              </w:rPr>
            </w:pPr>
          </w:p>
        </w:tc>
        <w:tc>
          <w:tcPr>
            <w:tcW w:w="2260" w:type="dxa"/>
            <w:vAlign w:val="bottom"/>
          </w:tcPr>
          <w:p>
            <w:pPr>
              <w:jc w:val="center"/>
              <w:spacing w:after="0" w:line="201" w:lineRule="exact"/>
              <w:rPr>
                <w:sz w:val="20"/>
                <w:szCs w:val="20"/>
                <w:color w:val="auto"/>
              </w:rPr>
            </w:pPr>
            <w:r>
              <w:rPr>
                <w:rFonts w:ascii="Arial" w:cs="Arial" w:eastAsia="Arial" w:hAnsi="Arial"/>
                <w:sz w:val="18"/>
                <w:szCs w:val="18"/>
                <w:color w:val="auto"/>
                <w:w w:val="90"/>
              </w:rPr>
              <w:t>Globally-Focused Private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School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3,000,000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3,000,000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1.43%</w:t>
            </w:r>
          </w:p>
        </w:tc>
      </w:tr>
      <w:tr>
        <w:trPr>
          <w:trHeight w:val="215"/>
        </w:trPr>
        <w:tc>
          <w:tcPr>
            <w:tcW w:w="4480" w:type="dxa"/>
            <w:vAlign w:val="bottom"/>
            <w:gridSpan w:val="11"/>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1,577,097</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gridSpan w:val="10"/>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4,577,097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9"/>
              </w:rPr>
              <w:t>4,500,000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2.15%</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-4402455</wp:posOffset>
            </wp:positionV>
            <wp:extent cx="7026275" cy="153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-3703955</wp:posOffset>
            </wp:positionV>
            <wp:extent cx="7026275" cy="153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-3005455</wp:posOffset>
            </wp:positionV>
            <wp:extent cx="7026275" cy="153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-2145665</wp:posOffset>
            </wp:positionV>
            <wp:extent cx="7026275" cy="153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-1583690</wp:posOffset>
            </wp:positionV>
            <wp:extent cx="7026275" cy="153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026275" cy="153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6275" cy="153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041" w:gutter="0" w:footer="0" w:header="0"/>
        </w:sectPr>
      </w:pPr>
    </w:p>
    <w:bookmarkStart w:id="9" w:name="page10"/>
    <w:bookmarkEnd w:id="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6694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6941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-36195</wp:posOffset>
            </wp:positionV>
            <wp:extent cx="38322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32225"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2"/>
        </w:trPr>
        <w:tc>
          <w:tcPr>
            <w:tcW w:w="4760" w:type="dxa"/>
            <w:vAlign w:val="bottom"/>
            <w:tcBorders>
              <w:bottom w:val="single" w:sz="8" w:color="auto"/>
            </w:tcBorders>
            <w:gridSpan w:val="14"/>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80" w:type="dxa"/>
            <w:vAlign w:val="bottom"/>
          </w:tcPr>
          <w:p>
            <w:pPr>
              <w:spacing w:after="0"/>
              <w:rPr>
                <w:sz w:val="13"/>
                <w:szCs w:val="13"/>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Headquarters/Industry</w:t>
            </w:r>
          </w:p>
        </w:tc>
        <w:tc>
          <w:tcPr>
            <w:tcW w:w="160" w:type="dxa"/>
            <w:vAlign w:val="bottom"/>
          </w:tcPr>
          <w:p>
            <w:pPr>
              <w:spacing w:after="0"/>
              <w:rPr>
                <w:sz w:val="13"/>
                <w:szCs w:val="13"/>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7"/>
              </w:rPr>
              <w:t>Shares/ Principal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5"/>
              </w:rPr>
              <w:t>Net Assets</w:t>
            </w:r>
          </w:p>
        </w:tc>
        <w:tc>
          <w:tcPr>
            <w:tcW w:w="0" w:type="dxa"/>
            <w:vAlign w:val="bottom"/>
          </w:tcPr>
          <w:p>
            <w:pPr>
              <w:spacing w:after="0"/>
              <w:rPr>
                <w:sz w:val="1"/>
                <w:szCs w:val="1"/>
                <w:color w:val="auto"/>
              </w:rPr>
            </w:pPr>
          </w:p>
        </w:tc>
      </w:tr>
      <w:tr>
        <w:trPr>
          <w:trHeight w:val="168"/>
        </w:trPr>
        <w:tc>
          <w:tcPr>
            <w:tcW w:w="4760" w:type="dxa"/>
            <w:vAlign w:val="bottom"/>
            <w:gridSpan w:val="14"/>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Knewton, Inc.</w:t>
            </w: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5"/>
              </w:rPr>
              <w:t>New York, NY</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E</w:t>
            </w:r>
          </w:p>
        </w:tc>
        <w:tc>
          <w:tcPr>
            <w:tcW w:w="1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375,985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4,999,999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$3,688,268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5"/>
        </w:trPr>
        <w:tc>
          <w:tcPr>
            <w:tcW w:w="4760" w:type="dxa"/>
            <w:vAlign w:val="bottom"/>
            <w:gridSpan w:val="14"/>
            <w:shd w:val="clear" w:color="auto" w:fill="CCEEFF"/>
          </w:tcPr>
          <w:p>
            <w:pPr>
              <w:ind w:left="20"/>
              <w:spacing w:after="0" w:line="214" w:lineRule="exact"/>
              <w:rPr>
                <w:sz w:val="20"/>
                <w:szCs w:val="20"/>
                <w:color w:val="auto"/>
              </w:rPr>
            </w:pPr>
            <w:r>
              <w:rPr>
                <w:rFonts w:ascii="Arial" w:cs="Arial" w:eastAsia="Arial" w:hAnsi="Arial"/>
                <w:sz w:val="15"/>
                <w:szCs w:val="15"/>
                <w:b w:val="1"/>
                <w:bCs w:val="1"/>
                <w:color w:val="auto"/>
              </w:rPr>
              <w:t>CUX, Inc. (d/b/a CorpU)</w:t>
            </w:r>
            <w:r>
              <w:rPr>
                <w:rFonts w:ascii="Arial" w:cs="Arial" w:eastAsia="Arial" w:hAnsi="Arial"/>
                <w:sz w:val="24"/>
                <w:szCs w:val="24"/>
                <w:b w:val="1"/>
                <w:bCs w:val="1"/>
                <w:color w:val="auto"/>
                <w:vertAlign w:val="superscript"/>
              </w:rPr>
              <w:t>(1)</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Philadelphia, PA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60" w:type="dxa"/>
            <w:vAlign w:val="bottom"/>
            <w:gridSpan w:val="14"/>
          </w:tcPr>
          <w:p>
            <w:pPr>
              <w:ind w:left="20"/>
              <w:spacing w:after="0" w:line="204" w:lineRule="exact"/>
              <w:rPr>
                <w:sz w:val="20"/>
                <w:szCs w:val="20"/>
                <w:color w:val="auto"/>
              </w:rPr>
            </w:pPr>
            <w:r>
              <w:rPr>
                <w:rFonts w:ascii="Arial" w:cs="Arial" w:eastAsia="Arial" w:hAnsi="Arial"/>
                <w:sz w:val="18"/>
                <w:szCs w:val="18"/>
                <w:color w:val="auto"/>
                <w:w w:val="99"/>
              </w:rPr>
              <w:t>Senior Subordinated Convertible Promissory Note 8%, Due</w:t>
            </w: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900" w:type="dxa"/>
            <w:vAlign w:val="bottom"/>
            <w:gridSpan w:val="7"/>
          </w:tcPr>
          <w:p>
            <w:pPr>
              <w:ind w:left="200"/>
              <w:spacing w:after="0" w:line="266" w:lineRule="exact"/>
              <w:rPr>
                <w:sz w:val="20"/>
                <w:szCs w:val="20"/>
                <w:color w:val="auto"/>
              </w:rPr>
            </w:pPr>
            <w:r>
              <w:rPr>
                <w:rFonts w:ascii="Arial" w:cs="Arial" w:eastAsia="Arial" w:hAnsi="Arial"/>
                <w:sz w:val="18"/>
                <w:szCs w:val="18"/>
                <w:color w:val="auto"/>
              </w:rPr>
              <w:t>11/26/2018***</w:t>
            </w:r>
            <w:r>
              <w:rPr>
                <w:rFonts w:ascii="Arial" w:cs="Arial" w:eastAsia="Arial" w:hAnsi="Arial"/>
                <w:sz w:val="29"/>
                <w:szCs w:val="29"/>
                <w:color w:val="auto"/>
                <w:vertAlign w:val="superscript"/>
              </w:rPr>
              <w:t>(8)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Corporate Education</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1,166,400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1,166,400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1,166,400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5"/>
        </w:trPr>
        <w:tc>
          <w:tcPr>
            <w:tcW w:w="476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Convertible preferred shares, Series D</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778,607</w:t>
            </w:r>
          </w:p>
        </w:tc>
        <w:tc>
          <w:tcPr>
            <w:tcW w:w="10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775,861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5"/>
        </w:trPr>
        <w:tc>
          <w:tcPr>
            <w:tcW w:w="4760" w:type="dxa"/>
            <w:vAlign w:val="bottom"/>
            <w:gridSpan w:val="14"/>
          </w:tcPr>
          <w:p>
            <w:pPr>
              <w:ind w:left="20"/>
              <w:spacing w:after="0"/>
              <w:rPr>
                <w:sz w:val="20"/>
                <w:szCs w:val="20"/>
                <w:color w:val="auto"/>
              </w:rPr>
            </w:pPr>
            <w:r>
              <w:rPr>
                <w:rFonts w:ascii="Arial" w:cs="Arial" w:eastAsia="Arial" w:hAnsi="Arial"/>
                <w:sz w:val="18"/>
                <w:szCs w:val="18"/>
                <w:color w:val="auto"/>
              </w:rPr>
              <w:t>Convertible preferred shares, Series C</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615,763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2,006,077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1,306,396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00"/>
        </w:trPr>
        <w:tc>
          <w:tcPr>
            <w:tcW w:w="4760" w:type="dxa"/>
            <w:vAlign w:val="bottom"/>
            <w:gridSpan w:val="14"/>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Preferred Warrants Series D – Strike Price $4.59 – Expiration</w:t>
            </w:r>
          </w:p>
        </w:tc>
        <w:tc>
          <w:tcPr>
            <w:tcW w:w="18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740" w:type="dxa"/>
            <w:vAlign w:val="bottom"/>
            <w:gridSpan w:val="13"/>
            <w:shd w:val="clear" w:color="auto" w:fill="CCEEFF"/>
          </w:tcPr>
          <w:p>
            <w:pPr>
              <w:ind w:left="180"/>
              <w:spacing w:after="0"/>
              <w:rPr>
                <w:sz w:val="20"/>
                <w:szCs w:val="20"/>
                <w:color w:val="auto"/>
              </w:rPr>
            </w:pPr>
            <w:r>
              <w:rPr>
                <w:rFonts w:ascii="Arial" w:cs="Arial" w:eastAsia="Arial" w:hAnsi="Arial"/>
                <w:sz w:val="18"/>
                <w:szCs w:val="18"/>
                <w:color w:val="auto"/>
              </w:rPr>
              <w:t>Date 2/25/2018</w:t>
            </w: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3,951,084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3,251,192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8"/>
        </w:trPr>
        <w:tc>
          <w:tcPr>
            <w:tcW w:w="4760" w:type="dxa"/>
            <w:vAlign w:val="bottom"/>
            <w:gridSpan w:val="14"/>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A Place for Rover Inc. (f/k/a DogVacay, Inc.)</w:t>
            </w:r>
            <w:r>
              <w:rPr>
                <w:rFonts w:ascii="Arial" w:cs="Arial" w:eastAsia="Arial" w:hAnsi="Arial"/>
                <w:sz w:val="24"/>
                <w:szCs w:val="24"/>
                <w:b w:val="1"/>
                <w:bCs w:val="1"/>
                <w:color w:val="auto"/>
                <w:vertAlign w:val="superscript"/>
              </w:rPr>
              <w:t>(10)</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Seattle, WA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60" w:type="dxa"/>
            <w:vAlign w:val="bottom"/>
            <w:gridSpan w:val="14"/>
          </w:tcPr>
          <w:p>
            <w:pPr>
              <w:ind w:left="20"/>
              <w:spacing w:after="0"/>
              <w:rPr>
                <w:sz w:val="20"/>
                <w:szCs w:val="20"/>
                <w:color w:val="auto"/>
              </w:rPr>
            </w:pPr>
            <w:r>
              <w:rPr>
                <w:rFonts w:ascii="Arial" w:cs="Arial" w:eastAsia="Arial" w:hAnsi="Arial"/>
                <w:sz w:val="18"/>
                <w:szCs w:val="18"/>
                <w:color w:val="auto"/>
              </w:rPr>
              <w:t>Common shares</w:t>
            </w:r>
          </w:p>
        </w:tc>
        <w:tc>
          <w:tcPr>
            <w:tcW w:w="1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Peer-to-Peer Pet Services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707,991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2,506,119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3,069,644</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5"/>
        </w:trPr>
        <w:tc>
          <w:tcPr>
            <w:tcW w:w="4760" w:type="dxa"/>
            <w:vAlign w:val="bottom"/>
            <w:gridSpan w:val="14"/>
            <w:shd w:val="clear" w:color="auto" w:fill="CCEEFF"/>
          </w:tcPr>
          <w:p>
            <w:pPr>
              <w:ind w:left="20"/>
              <w:spacing w:after="0" w:line="214" w:lineRule="exact"/>
              <w:rPr>
                <w:sz w:val="20"/>
                <w:szCs w:val="20"/>
                <w:color w:val="auto"/>
              </w:rPr>
            </w:pPr>
            <w:r>
              <w:rPr>
                <w:rFonts w:ascii="Arial" w:cs="Arial" w:eastAsia="Arial" w:hAnsi="Arial"/>
                <w:sz w:val="15"/>
                <w:szCs w:val="15"/>
                <w:b w:val="1"/>
                <w:bCs w:val="1"/>
                <w:color w:val="auto"/>
              </w:rPr>
              <w:t>Declara, Inc.</w:t>
            </w:r>
            <w:r>
              <w:rPr>
                <w:rFonts w:ascii="Arial" w:cs="Arial" w:eastAsia="Arial" w:hAnsi="Arial"/>
                <w:sz w:val="24"/>
                <w:szCs w:val="24"/>
                <w:b w:val="1"/>
                <w:bCs w:val="1"/>
                <w:color w:val="auto"/>
                <w:vertAlign w:val="superscript"/>
              </w:rPr>
              <w:t>(1)</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Palo Alto, CA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60" w:type="dxa"/>
            <w:vAlign w:val="bottom"/>
            <w:gridSpan w:val="14"/>
          </w:tcPr>
          <w:p>
            <w:pPr>
              <w:ind w:left="20"/>
              <w:spacing w:after="0" w:line="201" w:lineRule="exact"/>
              <w:rPr>
                <w:sz w:val="20"/>
                <w:szCs w:val="20"/>
                <w:color w:val="auto"/>
              </w:rPr>
            </w:pPr>
            <w:r>
              <w:rPr>
                <w:rFonts w:ascii="Arial" w:cs="Arial" w:eastAsia="Arial" w:hAnsi="Arial"/>
                <w:sz w:val="15"/>
                <w:szCs w:val="15"/>
                <w:color w:val="auto"/>
              </w:rPr>
              <w:t>Convertible Promissory Note 9% Due 12/31/2017</w:t>
            </w:r>
            <w:r>
              <w:rPr>
                <w:rFonts w:ascii="Arial" w:cs="Arial" w:eastAsia="Arial" w:hAnsi="Arial"/>
                <w:sz w:val="23"/>
                <w:szCs w:val="23"/>
                <w:color w:val="auto"/>
                <w:vertAlign w:val="superscript"/>
              </w:rPr>
              <w:t>(12)(16)</w:t>
            </w:r>
          </w:p>
        </w:tc>
        <w:tc>
          <w:tcPr>
            <w:tcW w:w="180" w:type="dxa"/>
            <w:vAlign w:val="bottom"/>
          </w:tcPr>
          <w:p>
            <w:pPr>
              <w:spacing w:after="0"/>
              <w:rPr>
                <w:sz w:val="17"/>
                <w:szCs w:val="17"/>
                <w:color w:val="auto"/>
              </w:rPr>
            </w:pP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2"/>
              </w:rPr>
              <w:t>Social Cognitive</w:t>
            </w:r>
          </w:p>
        </w:tc>
        <w:tc>
          <w:tcPr>
            <w:tcW w:w="260" w:type="dxa"/>
            <w:vAlign w:val="bottom"/>
            <w:gridSpan w:val="2"/>
            <w:vMerge w:val="restart"/>
          </w:tcPr>
          <w:p>
            <w:pPr>
              <w:ind w:left="160"/>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7"/>
              </w:rPr>
              <w:t>2,120,658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7"/>
              </w:rPr>
              <w:t>2,121,458</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2,210,411</w:t>
            </w:r>
          </w:p>
        </w:tc>
        <w:tc>
          <w:tcPr>
            <w:tcW w:w="9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Learning</w:t>
            </w:r>
          </w:p>
        </w:tc>
        <w:tc>
          <w:tcPr>
            <w:tcW w:w="26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10,716,390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9,999,999</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794,769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12,121,457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3,005,180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68"/>
        </w:trPr>
        <w:tc>
          <w:tcPr>
            <w:tcW w:w="4760" w:type="dxa"/>
            <w:vAlign w:val="bottom"/>
            <w:gridSpan w:val="14"/>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DreamBox Learning, Inc.</w:t>
            </w: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2"/>
              </w:rPr>
              <w:t>Bellevue, WA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A-1</w:t>
            </w:r>
          </w:p>
        </w:tc>
        <w:tc>
          <w:tcPr>
            <w:tcW w:w="1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Education Technology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7,159,221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1,502,362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1,650,687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5"/>
        </w:trPr>
        <w:tc>
          <w:tcPr>
            <w:tcW w:w="476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3,579,610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758,017</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825,343</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2,260,379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2,476,030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68"/>
        </w:trPr>
        <w:tc>
          <w:tcPr>
            <w:tcW w:w="4760" w:type="dxa"/>
            <w:vAlign w:val="bottom"/>
            <w:gridSpan w:val="14"/>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SharesPost, Inc.</w:t>
            </w: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89"/>
              </w:rPr>
              <w:t>San Francisco, CA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60" w:type="dxa"/>
            <w:vAlign w:val="bottom"/>
            <w:gridSpan w:val="14"/>
          </w:tcPr>
          <w:p>
            <w:pPr>
              <w:ind w:left="20"/>
              <w:spacing w:after="0" w:line="201" w:lineRule="exact"/>
              <w:rPr>
                <w:sz w:val="20"/>
                <w:szCs w:val="20"/>
                <w:color w:val="auto"/>
              </w:rPr>
            </w:pPr>
            <w:r>
              <w:rPr>
                <w:rFonts w:ascii="Arial" w:cs="Arial" w:eastAsia="Arial" w:hAnsi="Arial"/>
                <w:sz w:val="18"/>
                <w:szCs w:val="18"/>
                <w:color w:val="auto"/>
              </w:rPr>
              <w:t>Preferred shares, Series B</w:t>
            </w:r>
          </w:p>
        </w:tc>
        <w:tc>
          <w:tcPr>
            <w:tcW w:w="180" w:type="dxa"/>
            <w:vAlign w:val="bottom"/>
          </w:tcPr>
          <w:p>
            <w:pPr>
              <w:spacing w:after="0"/>
              <w:rPr>
                <w:sz w:val="17"/>
                <w:szCs w:val="17"/>
                <w:color w:val="auto"/>
              </w:rPr>
            </w:pP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1"/>
              </w:rPr>
              <w:t>Online Marketplace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Finance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1,771,653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2,259,716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2,326,864</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5"/>
        </w:trPr>
        <w:tc>
          <w:tcPr>
            <w:tcW w:w="476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w w:val="91"/>
              </w:rPr>
              <w:t>Common warrants, $0.13 Strike Price, Expiration Date 6/15/2018</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23,128</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69,384</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2,282,844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2,396,248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8"/>
        </w:trPr>
        <w:tc>
          <w:tcPr>
            <w:tcW w:w="4760" w:type="dxa"/>
            <w:vAlign w:val="bottom"/>
            <w:gridSpan w:val="14"/>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Strategic Data Command, LLC</w:t>
            </w:r>
            <w:r>
              <w:rPr>
                <w:rFonts w:ascii="Arial" w:cs="Arial" w:eastAsia="Arial" w:hAnsi="Arial"/>
                <w:sz w:val="24"/>
                <w:szCs w:val="24"/>
                <w:b w:val="1"/>
                <w:bCs w:val="1"/>
                <w:color w:val="auto"/>
                <w:vertAlign w:val="superscript"/>
              </w:rPr>
              <w:t>(1)(7)</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Sunnyvale, CA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60" w:type="dxa"/>
            <w:vAlign w:val="bottom"/>
            <w:gridSpan w:val="14"/>
          </w:tcPr>
          <w:p>
            <w:pPr>
              <w:ind w:left="20"/>
              <w:spacing w:after="0"/>
              <w:rPr>
                <w:sz w:val="20"/>
                <w:szCs w:val="20"/>
                <w:color w:val="auto"/>
              </w:rPr>
            </w:pPr>
            <w:r>
              <w:rPr>
                <w:rFonts w:ascii="Arial" w:cs="Arial" w:eastAsia="Arial" w:hAnsi="Arial"/>
                <w:sz w:val="18"/>
                <w:szCs w:val="18"/>
                <w:color w:val="auto"/>
              </w:rPr>
              <w:t>Common shares</w:t>
            </w:r>
          </w:p>
        </w:tc>
        <w:tc>
          <w:tcPr>
            <w:tcW w:w="1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Big Data Consulting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2,400,000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989,277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2,057,155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74"/>
        </w:trPr>
        <w:tc>
          <w:tcPr>
            <w:tcW w:w="4760" w:type="dxa"/>
            <w:vAlign w:val="bottom"/>
            <w:gridSpan w:val="14"/>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Clever, Inc.</w:t>
            </w:r>
          </w:p>
        </w:tc>
        <w:tc>
          <w:tcPr>
            <w:tcW w:w="18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San Francisco, CA</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B</w:t>
            </w:r>
          </w:p>
        </w:tc>
        <w:tc>
          <w:tcPr>
            <w:tcW w:w="1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Education Software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1,799,047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2,000,601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2,000,001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74"/>
        </w:trPr>
        <w:tc>
          <w:tcPr>
            <w:tcW w:w="4760" w:type="dxa"/>
            <w:vAlign w:val="bottom"/>
            <w:gridSpan w:val="14"/>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Aspiration Partners, Inc.</w:t>
            </w:r>
          </w:p>
        </w:tc>
        <w:tc>
          <w:tcPr>
            <w:tcW w:w="180" w:type="dxa"/>
            <w:vAlign w:val="bottom"/>
            <w:shd w:val="clear" w:color="auto" w:fill="CCEEFF"/>
          </w:tcPr>
          <w:p>
            <w:pPr>
              <w:spacing w:after="0"/>
              <w:rPr>
                <w:sz w:val="15"/>
                <w:szCs w:val="15"/>
                <w:color w:val="auto"/>
              </w:rPr>
            </w:pPr>
          </w:p>
        </w:tc>
        <w:tc>
          <w:tcPr>
            <w:tcW w:w="19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3"/>
              </w:rPr>
              <w:t>Marina Del Rey, CA</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1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Financial Services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540,270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1,001,815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1,759,577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5"/>
        </w:trPr>
        <w:tc>
          <w:tcPr>
            <w:tcW w:w="4760" w:type="dxa"/>
            <w:vAlign w:val="bottom"/>
            <w:gridSpan w:val="14"/>
            <w:shd w:val="clear" w:color="auto" w:fill="CCEEFF"/>
          </w:tcPr>
          <w:p>
            <w:pPr>
              <w:ind w:left="20"/>
              <w:spacing w:after="0" w:line="214" w:lineRule="exact"/>
              <w:rPr>
                <w:sz w:val="20"/>
                <w:szCs w:val="20"/>
                <w:color w:val="auto"/>
              </w:rPr>
            </w:pPr>
            <w:r>
              <w:rPr>
                <w:rFonts w:ascii="Arial" w:cs="Arial" w:eastAsia="Arial" w:hAnsi="Arial"/>
                <w:sz w:val="15"/>
                <w:szCs w:val="15"/>
                <w:b w:val="1"/>
                <w:bCs w:val="1"/>
                <w:color w:val="auto"/>
              </w:rPr>
              <w:t>SPBRX, INC. (f/k/a GSV Sustainability Partners, Inc.)</w:t>
            </w:r>
            <w:r>
              <w:rPr>
                <w:rFonts w:ascii="Arial" w:cs="Arial" w:eastAsia="Arial" w:hAnsi="Arial"/>
                <w:sz w:val="24"/>
                <w:szCs w:val="24"/>
                <w:b w:val="1"/>
                <w:bCs w:val="1"/>
                <w:color w:val="auto"/>
                <w:vertAlign w:val="superscript"/>
              </w:rPr>
              <w:t>(2)</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Woodside, CA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60" w:type="dxa"/>
            <w:vAlign w:val="bottom"/>
            <w:gridSpan w:val="14"/>
          </w:tcPr>
          <w:p>
            <w:pPr>
              <w:ind w:left="20"/>
              <w:spacing w:after="0"/>
              <w:rPr>
                <w:sz w:val="20"/>
                <w:szCs w:val="20"/>
                <w:color w:val="auto"/>
              </w:rPr>
            </w:pPr>
            <w:r>
              <w:rPr>
                <w:rFonts w:ascii="Arial" w:cs="Arial" w:eastAsia="Arial" w:hAnsi="Arial"/>
                <w:sz w:val="18"/>
                <w:szCs w:val="18"/>
                <w:color w:val="auto"/>
              </w:rPr>
              <w:t>Preferred shares, Class A***</w:t>
            </w:r>
          </w:p>
        </w:tc>
        <w:tc>
          <w:tcPr>
            <w:tcW w:w="1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Clean Technology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6"/>
              </w:rPr>
              <w:t>14,300,000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7,151,412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1,367,193</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5"/>
        </w:trPr>
        <w:tc>
          <w:tcPr>
            <w:tcW w:w="476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7,161,412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1,367,193</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8"/>
        </w:trPr>
        <w:tc>
          <w:tcPr>
            <w:tcW w:w="4760" w:type="dxa"/>
            <w:vAlign w:val="bottom"/>
            <w:gridSpan w:val="14"/>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EdSurge, Inc.</w:t>
            </w:r>
            <w:r>
              <w:rPr>
                <w:rFonts w:ascii="Arial" w:cs="Arial" w:eastAsia="Arial" w:hAnsi="Arial"/>
                <w:sz w:val="24"/>
                <w:szCs w:val="24"/>
                <w:b w:val="1"/>
                <w:bCs w:val="1"/>
                <w:color w:val="auto"/>
                <w:vertAlign w:val="superscript"/>
              </w:rPr>
              <w:t>(1)</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Burlingame, CA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760" w:type="dxa"/>
            <w:vAlign w:val="bottom"/>
            <w:gridSpan w:val="14"/>
          </w:tcPr>
          <w:p>
            <w:pPr>
              <w:ind w:left="20"/>
              <w:spacing w:after="0" w:line="201" w:lineRule="exact"/>
              <w:rPr>
                <w:sz w:val="20"/>
                <w:szCs w:val="20"/>
                <w:color w:val="auto"/>
              </w:rPr>
            </w:pPr>
            <w:r>
              <w:rPr>
                <w:rFonts w:ascii="Arial" w:cs="Arial" w:eastAsia="Arial" w:hAnsi="Arial"/>
                <w:sz w:val="18"/>
                <w:szCs w:val="18"/>
                <w:color w:val="auto"/>
              </w:rPr>
              <w:t>Preferred shares, Series A-1</w:t>
            </w:r>
          </w:p>
        </w:tc>
        <w:tc>
          <w:tcPr>
            <w:tcW w:w="180" w:type="dxa"/>
            <w:vAlign w:val="bottom"/>
          </w:tcPr>
          <w:p>
            <w:pPr>
              <w:spacing w:after="0"/>
              <w:rPr>
                <w:sz w:val="17"/>
                <w:szCs w:val="17"/>
                <w:color w:val="auto"/>
              </w:rPr>
            </w:pP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90"/>
              </w:rPr>
              <w:t>Education Media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Platform</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378,788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501,360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5"/>
        </w:trPr>
        <w:tc>
          <w:tcPr>
            <w:tcW w:w="476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500,801</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1,002,161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1,000,001</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168"/>
        </w:trPr>
        <w:tc>
          <w:tcPr>
            <w:tcW w:w="4760" w:type="dxa"/>
            <w:vAlign w:val="bottom"/>
            <w:gridSpan w:val="14"/>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Tynker (f/k/a Neuron Fuel, Inc.)</w:t>
            </w: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4"/>
              </w:rPr>
              <w:t>Mountain View, CA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6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18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Computer Software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534,162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309,310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849,550</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-4870450</wp:posOffset>
            </wp:positionV>
            <wp:extent cx="7026275" cy="153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-3848100</wp:posOffset>
            </wp:positionV>
            <wp:extent cx="7026275" cy="153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-3286125</wp:posOffset>
            </wp:positionV>
            <wp:extent cx="7026275" cy="153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-2587625</wp:posOffset>
            </wp:positionV>
            <wp:extent cx="7026275" cy="153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-1156970</wp:posOffset>
            </wp:positionV>
            <wp:extent cx="7026275" cy="153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026275" cy="153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26275" cy="1530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6694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69415" cy="825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-36195</wp:posOffset>
            </wp:positionV>
            <wp:extent cx="39687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 of</w:t>
            </w:r>
          </w:p>
        </w:tc>
      </w:tr>
      <w:tr>
        <w:trPr>
          <w:trHeight w:val="152"/>
        </w:trPr>
        <w:tc>
          <w:tcPr>
            <w:tcW w:w="452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6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Headquarters/Industry</w:t>
            </w:r>
          </w:p>
        </w:tc>
        <w:tc>
          <w:tcPr>
            <w:tcW w:w="160" w:type="dxa"/>
            <w:vAlign w:val="bottom"/>
          </w:tcPr>
          <w:p>
            <w:pPr>
              <w:spacing w:after="0"/>
              <w:rPr>
                <w:sz w:val="13"/>
                <w:szCs w:val="1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Shares/ Principal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3"/>
                <w:szCs w:val="13"/>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95"/>
              </w:rPr>
              <w:t>Net Assets</w:t>
            </w:r>
          </w:p>
        </w:tc>
      </w:tr>
      <w:tr>
        <w:trPr>
          <w:trHeight w:val="168"/>
        </w:trPr>
        <w:tc>
          <w:tcPr>
            <w:tcW w:w="4520" w:type="dxa"/>
            <w:vAlign w:val="bottom"/>
            <w:gridSpan w:val="9"/>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4C Insights (f/k/a The Echo Systems Corp.)</w:t>
            </w:r>
          </w:p>
        </w:tc>
        <w:tc>
          <w:tcPr>
            <w:tcW w:w="16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2"/>
              </w:rPr>
              <w:t>Chicago, IL</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520" w:type="dxa"/>
            <w:vAlign w:val="bottom"/>
            <w:gridSpan w:val="9"/>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Social Data Platform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436,219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1,436,404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591,004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0.28%</w:t>
            </w:r>
          </w:p>
        </w:tc>
      </w:tr>
      <w:tr>
        <w:trPr>
          <w:trHeight w:val="174"/>
        </w:trPr>
        <w:tc>
          <w:tcPr>
            <w:tcW w:w="4520" w:type="dxa"/>
            <w:vAlign w:val="bottom"/>
            <w:gridSpan w:val="9"/>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Fullbridge, Inc.</w:t>
            </w:r>
          </w:p>
        </w:tc>
        <w:tc>
          <w:tcPr>
            <w:tcW w:w="16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2"/>
              </w:rPr>
              <w:t>Cambridge, MA</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520" w:type="dxa"/>
            <w:vAlign w:val="bottom"/>
            <w:gridSpan w:val="9"/>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Business Education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517,917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6,150,506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5"/>
        </w:trPr>
        <w:tc>
          <w:tcPr>
            <w:tcW w:w="4520" w:type="dxa"/>
            <w:vAlign w:val="bottom"/>
            <w:gridSpan w:val="9"/>
            <w:shd w:val="clear" w:color="auto" w:fill="CCEEFF"/>
          </w:tcPr>
          <w:p>
            <w:pPr>
              <w:ind w:left="20"/>
              <w:spacing w:after="0" w:line="255" w:lineRule="exact"/>
              <w:rPr>
                <w:sz w:val="20"/>
                <w:szCs w:val="20"/>
                <w:color w:val="auto"/>
              </w:rPr>
            </w:pPr>
            <w:r>
              <w:rPr>
                <w:rFonts w:ascii="Arial" w:cs="Arial" w:eastAsia="Arial" w:hAnsi="Arial"/>
                <w:sz w:val="18"/>
                <w:szCs w:val="18"/>
                <w:color w:val="auto"/>
              </w:rPr>
              <w:t>Promissory note 1.47%, Due 11/9/2021***</w:t>
            </w:r>
            <w:r>
              <w:rPr>
                <w:rFonts w:ascii="Arial" w:cs="Arial" w:eastAsia="Arial" w:hAnsi="Arial"/>
                <w:sz w:val="29"/>
                <w:szCs w:val="29"/>
                <w:color w:val="auto"/>
                <w:vertAlign w:val="superscript"/>
              </w:rPr>
              <w:t>(16)</w:t>
            </w:r>
          </w:p>
        </w:tc>
        <w:tc>
          <w:tcPr>
            <w:tcW w:w="16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2,270,458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2,270,858</w:t>
            </w:r>
          </w:p>
        </w:tc>
        <w:tc>
          <w:tcPr>
            <w:tcW w:w="20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550,023</w:t>
            </w:r>
          </w:p>
        </w:tc>
        <w:tc>
          <w:tcPr>
            <w:tcW w:w="100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r>
      <w:tr>
        <w:trPr>
          <w:trHeight w:val="20"/>
        </w:trPr>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8,421,364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550,023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r>
      <w:tr>
        <w:trPr>
          <w:trHeight w:val="208"/>
        </w:trPr>
        <w:tc>
          <w:tcPr>
            <w:tcW w:w="4520" w:type="dxa"/>
            <w:vAlign w:val="bottom"/>
            <w:gridSpan w:val="9"/>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Maven Research, Inc.</w:t>
            </w:r>
            <w:r>
              <w:rPr>
                <w:rFonts w:ascii="Arial" w:cs="Arial" w:eastAsia="Arial" w:hAnsi="Arial"/>
                <w:sz w:val="24"/>
                <w:szCs w:val="24"/>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San Francisco, CA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520" w:type="dxa"/>
            <w:vAlign w:val="bottom"/>
            <w:gridSpan w:val="9"/>
          </w:tcPr>
          <w:p>
            <w:pPr>
              <w:ind w:left="20"/>
              <w:spacing w:after="0"/>
              <w:rPr>
                <w:sz w:val="20"/>
                <w:szCs w:val="20"/>
                <w:color w:val="auto"/>
              </w:rPr>
            </w:pPr>
            <w:r>
              <w:rPr>
                <w:rFonts w:ascii="Arial" w:cs="Arial" w:eastAsia="Arial" w:hAnsi="Arial"/>
                <w:sz w:val="18"/>
                <w:szCs w:val="18"/>
                <w:color w:val="auto"/>
              </w:rPr>
              <w:t>Preferred shares, Series C</w:t>
            </w:r>
          </w:p>
        </w:tc>
        <w:tc>
          <w:tcPr>
            <w:tcW w:w="1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Knowledge Networks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318,979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2,000,447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0.24%</w:t>
            </w:r>
          </w:p>
        </w:tc>
      </w:tr>
      <w:tr>
        <w:trPr>
          <w:trHeight w:val="215"/>
        </w:trPr>
        <w:tc>
          <w:tcPr>
            <w:tcW w:w="452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217,206</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49,876</w:t>
            </w:r>
          </w:p>
        </w:tc>
        <w:tc>
          <w:tcPr>
            <w:tcW w:w="100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r>
      <w:tr>
        <w:trPr>
          <w:trHeight w:val="20"/>
        </w:trPr>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2,217,653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549,876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r>
      <w:tr>
        <w:trPr>
          <w:trHeight w:val="208"/>
        </w:trPr>
        <w:tc>
          <w:tcPr>
            <w:tcW w:w="4520" w:type="dxa"/>
            <w:vAlign w:val="bottom"/>
            <w:gridSpan w:val="9"/>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Circle Media (f/k/a S3 Digital Corp. (d/b/a S3i))</w:t>
            </w:r>
            <w:r>
              <w:rPr>
                <w:rFonts w:ascii="Arial" w:cs="Arial" w:eastAsia="Arial" w:hAnsi="Arial"/>
                <w:sz w:val="24"/>
                <w:szCs w:val="24"/>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6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55"/>
        </w:trPr>
        <w:tc>
          <w:tcPr>
            <w:tcW w:w="4520" w:type="dxa"/>
            <w:vAlign w:val="bottom"/>
            <w:gridSpan w:val="9"/>
          </w:tcPr>
          <w:p>
            <w:pPr>
              <w:ind w:left="20"/>
              <w:spacing w:after="0" w:line="255" w:lineRule="exact"/>
              <w:rPr>
                <w:sz w:val="20"/>
                <w:szCs w:val="20"/>
                <w:color w:val="auto"/>
              </w:rPr>
            </w:pPr>
            <w:r>
              <w:rPr>
                <w:rFonts w:ascii="Arial" w:cs="Arial" w:eastAsia="Arial" w:hAnsi="Arial"/>
                <w:sz w:val="18"/>
                <w:szCs w:val="18"/>
                <w:color w:val="auto"/>
              </w:rPr>
              <w:t>Promissory Note 12%, Due 11/17/2017***</w:t>
            </w:r>
            <w:r>
              <w:rPr>
                <w:rFonts w:ascii="Arial" w:cs="Arial" w:eastAsia="Arial" w:hAnsi="Arial"/>
                <w:sz w:val="29"/>
                <w:szCs w:val="29"/>
                <w:color w:val="auto"/>
                <w:vertAlign w:val="superscript"/>
              </w:rPr>
              <w:t>(16)</w:t>
            </w:r>
          </w:p>
        </w:tc>
        <w:tc>
          <w:tcPr>
            <w:tcW w:w="16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Sports Analytics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28,008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30,408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52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1,864,495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1,777,576</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0"/>
        </w:trPr>
        <w:tc>
          <w:tcPr>
            <w:tcW w:w="4520" w:type="dxa"/>
            <w:vAlign w:val="bottom"/>
            <w:gridSpan w:val="9"/>
          </w:tcPr>
          <w:p>
            <w:pPr>
              <w:ind w:left="20"/>
              <w:spacing w:after="0" w:line="201" w:lineRule="exact"/>
              <w:rPr>
                <w:sz w:val="20"/>
                <w:szCs w:val="20"/>
                <w:color w:val="auto"/>
              </w:rPr>
            </w:pPr>
            <w:r>
              <w:rPr>
                <w:rFonts w:ascii="Arial" w:cs="Arial" w:eastAsia="Arial" w:hAnsi="Arial"/>
                <w:sz w:val="18"/>
                <w:szCs w:val="18"/>
                <w:color w:val="auto"/>
              </w:rPr>
              <w:t>Preferred warrants, $1.17 Strike Price, Expiration Date</w:t>
            </w: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1060" w:type="dxa"/>
            <w:vAlign w:val="bottom"/>
            <w:gridSpan w:val="3"/>
          </w:tcPr>
          <w:p>
            <w:pPr>
              <w:ind w:left="200"/>
              <w:spacing w:after="0"/>
              <w:rPr>
                <w:sz w:val="20"/>
                <w:szCs w:val="20"/>
                <w:color w:val="auto"/>
              </w:rPr>
            </w:pPr>
            <w:r>
              <w:rPr>
                <w:rFonts w:ascii="Arial" w:cs="Arial" w:eastAsia="Arial" w:hAnsi="Arial"/>
                <w:sz w:val="18"/>
                <w:szCs w:val="18"/>
                <w:color w:val="auto"/>
                <w:w w:val="93"/>
              </w:rPr>
              <w:t>11/18/2022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1"/>
        </w:trPr>
        <w:tc>
          <w:tcPr>
            <w:tcW w:w="4520" w:type="dxa"/>
            <w:vAlign w:val="bottom"/>
            <w:gridSpan w:val="9"/>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$1.17 Strike Price, Expiration Date</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9"/>
        </w:trPr>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8/29/2021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175,815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0"/>
        </w:trPr>
        <w:tc>
          <w:tcPr>
            <w:tcW w:w="4520" w:type="dxa"/>
            <w:vAlign w:val="bottom"/>
            <w:gridSpan w:val="9"/>
          </w:tcPr>
          <w:p>
            <w:pPr>
              <w:ind w:left="20"/>
              <w:spacing w:after="0" w:line="201" w:lineRule="exact"/>
              <w:rPr>
                <w:sz w:val="20"/>
                <w:szCs w:val="20"/>
                <w:color w:val="auto"/>
              </w:rPr>
            </w:pPr>
            <w:r>
              <w:rPr>
                <w:rFonts w:ascii="Arial" w:cs="Arial" w:eastAsia="Arial" w:hAnsi="Arial"/>
                <w:sz w:val="18"/>
                <w:szCs w:val="18"/>
                <w:color w:val="auto"/>
              </w:rPr>
              <w:t>Preferred warrants, $1.17 Strike Price, Expiration Date</w:t>
            </w: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980" w:type="dxa"/>
            <w:vAlign w:val="bottom"/>
            <w:gridSpan w:val="2"/>
          </w:tcPr>
          <w:p>
            <w:pPr>
              <w:ind w:left="200"/>
              <w:spacing w:after="0"/>
              <w:rPr>
                <w:sz w:val="20"/>
                <w:szCs w:val="20"/>
                <w:color w:val="auto"/>
              </w:rPr>
            </w:pPr>
            <w:r>
              <w:rPr>
                <w:rFonts w:ascii="Arial" w:cs="Arial" w:eastAsia="Arial" w:hAnsi="Arial"/>
                <w:sz w:val="18"/>
                <w:szCs w:val="18"/>
                <w:color w:val="auto"/>
                <w:w w:val="94"/>
              </w:rPr>
              <w:t>6/26/2021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1"/>
        </w:trPr>
        <w:tc>
          <w:tcPr>
            <w:tcW w:w="4520" w:type="dxa"/>
            <w:vAlign w:val="bottom"/>
            <w:gridSpan w:val="9"/>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$1.17 Strike Price, Expiration Date</w:t>
            </w: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9"/>
        </w:trPr>
        <w:tc>
          <w:tcPr>
            <w:tcW w:w="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9/30/2020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0"/>
        </w:trPr>
        <w:tc>
          <w:tcPr>
            <w:tcW w:w="4520" w:type="dxa"/>
            <w:vAlign w:val="bottom"/>
            <w:gridSpan w:val="9"/>
          </w:tcPr>
          <w:p>
            <w:pPr>
              <w:ind w:left="20"/>
              <w:spacing w:after="0" w:line="201" w:lineRule="exact"/>
              <w:rPr>
                <w:sz w:val="20"/>
                <w:szCs w:val="20"/>
                <w:color w:val="auto"/>
              </w:rPr>
            </w:pPr>
            <w:r>
              <w:rPr>
                <w:rFonts w:ascii="Arial" w:cs="Arial" w:eastAsia="Arial" w:hAnsi="Arial"/>
                <w:sz w:val="18"/>
                <w:szCs w:val="18"/>
                <w:color w:val="auto"/>
              </w:rPr>
              <w:t>Preferred warrants, $1.00 Strike Price, Expiration Date</w:t>
            </w: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1060" w:type="dxa"/>
            <w:vAlign w:val="bottom"/>
            <w:gridSpan w:val="3"/>
          </w:tcPr>
          <w:p>
            <w:pPr>
              <w:ind w:left="200"/>
              <w:spacing w:after="0"/>
              <w:rPr>
                <w:sz w:val="20"/>
                <w:szCs w:val="20"/>
                <w:color w:val="auto"/>
              </w:rPr>
            </w:pPr>
            <w:r>
              <w:rPr>
                <w:rFonts w:ascii="Arial" w:cs="Arial" w:eastAsia="Arial" w:hAnsi="Arial"/>
                <w:sz w:val="18"/>
                <w:szCs w:val="18"/>
                <w:color w:val="auto"/>
                <w:w w:val="93"/>
              </w:rPr>
              <w:t>11/21/2017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50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1,839,914</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8"/>
        </w:trPr>
        <w:tc>
          <w:tcPr>
            <w:tcW w:w="4520" w:type="dxa"/>
            <w:vAlign w:val="bottom"/>
            <w:tcBorders>
              <w:top w:val="single" w:sz="8" w:color="CCEEFF"/>
            </w:tcBorders>
            <w:gridSpan w:val="9"/>
          </w:tcPr>
          <w:p>
            <w:pPr>
              <w:ind w:left="20"/>
              <w:spacing w:after="0" w:line="207" w:lineRule="exact"/>
              <w:rPr>
                <w:sz w:val="20"/>
                <w:szCs w:val="20"/>
                <w:color w:val="auto"/>
              </w:rPr>
            </w:pPr>
            <w:r>
              <w:rPr>
                <w:rFonts w:ascii="Arial" w:cs="Arial" w:eastAsia="Arial" w:hAnsi="Arial"/>
                <w:sz w:val="15"/>
                <w:szCs w:val="15"/>
                <w:b w:val="1"/>
                <w:bCs w:val="1"/>
                <w:color w:val="auto"/>
              </w:rPr>
              <w:t>Handle Financial, Inc. (f/k/a PayNearMe, Inc.)</w:t>
            </w:r>
            <w:r>
              <w:rPr>
                <w:rFonts w:ascii="Arial" w:cs="Arial" w:eastAsia="Arial" w:hAnsi="Arial"/>
                <w:sz w:val="24"/>
                <w:szCs w:val="24"/>
                <w:b w:val="1"/>
                <w:bCs w:val="1"/>
                <w:color w:val="auto"/>
                <w:vertAlign w:val="superscript"/>
              </w:rPr>
              <w:t>(9)</w:t>
            </w:r>
          </w:p>
        </w:tc>
        <w:tc>
          <w:tcPr>
            <w:tcW w:w="16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Sunnyvale, CA</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Cash Payment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8"/>
        </w:trPr>
        <w:tc>
          <w:tcPr>
            <w:tcW w:w="452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Network</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548,034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14,000,398</w:t>
            </w:r>
          </w:p>
        </w:tc>
        <w:tc>
          <w:tcPr>
            <w:tcW w:w="2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9"/>
        </w:trPr>
        <w:tc>
          <w:tcPr>
            <w:tcW w:w="4520" w:type="dxa"/>
            <w:vAlign w:val="bottom"/>
            <w:gridSpan w:val="9"/>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244,862,869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289,776,082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138.35%</w:t>
            </w:r>
          </w:p>
        </w:tc>
      </w:tr>
      <w:tr>
        <w:trPr>
          <w:trHeight w:val="168"/>
        </w:trPr>
        <w:tc>
          <w:tcPr>
            <w:tcW w:w="4520" w:type="dxa"/>
            <w:vAlign w:val="bottom"/>
            <w:gridSpan w:val="9"/>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U.S. Treasury</w:t>
            </w:r>
          </w:p>
        </w:tc>
        <w:tc>
          <w:tcPr>
            <w:tcW w:w="16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55"/>
        </w:trPr>
        <w:tc>
          <w:tcPr>
            <w:tcW w:w="4520" w:type="dxa"/>
            <w:vAlign w:val="bottom"/>
            <w:gridSpan w:val="9"/>
          </w:tcPr>
          <w:p>
            <w:pPr>
              <w:ind w:left="20"/>
              <w:spacing w:after="0" w:line="255" w:lineRule="exact"/>
              <w:rPr>
                <w:sz w:val="20"/>
                <w:szCs w:val="20"/>
                <w:color w:val="auto"/>
              </w:rPr>
            </w:pPr>
            <w:r>
              <w:rPr>
                <w:rFonts w:ascii="Arial" w:cs="Arial" w:eastAsia="Arial" w:hAnsi="Arial"/>
                <w:sz w:val="18"/>
                <w:szCs w:val="18"/>
                <w:color w:val="auto"/>
              </w:rPr>
              <w:t>U.S. Treasury Bill, 0%, due 10/5/2017***</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7"/>
              </w:rPr>
              <w:t>100,000,000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99,991,125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99,994,000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47.74%</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8"/>
        </w:trPr>
        <w:tc>
          <w:tcPr>
            <w:tcW w:w="4520" w:type="dxa"/>
            <w:vAlign w:val="bottom"/>
            <w:gridSpan w:val="9"/>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344,853,994</w:t>
            </w:r>
          </w:p>
        </w:tc>
        <w:tc>
          <w:tcPr>
            <w:tcW w:w="20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389,770,082</w:t>
            </w:r>
          </w:p>
        </w:tc>
        <w:tc>
          <w:tcPr>
            <w:tcW w:w="100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186.09%</w:t>
            </w:r>
          </w:p>
        </w:tc>
      </w:tr>
      <w:tr>
        <w:trPr>
          <w:trHeight w:val="262"/>
        </w:trPr>
        <w:tc>
          <w:tcPr>
            <w:tcW w:w="20" w:type="dxa"/>
            <w:vAlign w:val="bottom"/>
            <w:tcBorders>
              <w:top w:val="single" w:sz="8" w:color="CCEEFF"/>
            </w:tcBorders>
          </w:tcPr>
          <w:p>
            <w:pPr>
              <w:spacing w:after="0"/>
              <w:rPr>
                <w:sz w:val="22"/>
                <w:szCs w:val="22"/>
                <w:color w:val="auto"/>
              </w:rPr>
            </w:pPr>
          </w:p>
        </w:tc>
        <w:tc>
          <w:tcPr>
            <w:tcW w:w="960" w:type="dxa"/>
            <w:vAlign w:val="bottom"/>
            <w:tcBorders>
              <w:top w:val="single" w:sz="8" w:color="CCEEFF"/>
              <w:bottom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16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-3959225</wp:posOffset>
            </wp:positionV>
            <wp:extent cx="7026275" cy="153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-3371850</wp:posOffset>
            </wp:positionV>
            <wp:extent cx="7026275" cy="153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-1251585</wp:posOffset>
            </wp:positionV>
            <wp:extent cx="7026275" cy="170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026275" cy="153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026275"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34" w:lineRule="exact"/>
        <w:rPr>
          <w:sz w:val="20"/>
          <w:szCs w:val="20"/>
          <w:color w:val="auto"/>
        </w:rPr>
      </w:pPr>
    </w:p>
    <w:p>
      <w:pPr>
        <w:ind w:left="300" w:hanging="274"/>
        <w:spacing w:after="0" w:line="253" w:lineRule="auto"/>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non-income-producing, unless otherwise identified. Equity investments are subject to lock-up restrictions upon their initial public offering (“IPO”). The Company’s and GSV Asset Management LLC’s officers and staff, as applicable, may serve on the board of directors of the Company’s portfolio investments. (Refer to “Note 2 — Related Party Arrangements”). All portfolio investments are considered Level 3 and valued using significant unobservable inputs, unless otherwise noted. (Refer to “Note 3 — Investments at Fair Value”). All investments are restricted as to resale, unless otherwise noted, and were valued at fair value as determined in good faith by the Company’s board of directors.</w:t>
      </w:r>
    </w:p>
    <w:p>
      <w:pPr>
        <w:spacing w:after="0" w:line="86" w:lineRule="exact"/>
        <w:rPr>
          <w:sz w:val="20"/>
          <w:szCs w:val="20"/>
          <w:color w:val="auto"/>
        </w:rPr>
      </w:pPr>
    </w:p>
    <w:p>
      <w:pPr>
        <w:ind w:left="300" w:right="220" w:hanging="274"/>
        <w:spacing w:after="0" w:line="336" w:lineRule="auto"/>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(the “1940 Act”). Of GSV Capital Corp.’s total portfolio as of September 30, 2017, 11.26% of its total investments are non-qualifying assets.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income-producing.</w:t>
      </w:r>
    </w:p>
    <w:p>
      <w:pPr>
        <w:spacing w:after="0" w:line="200" w:lineRule="exact"/>
        <w:rPr>
          <w:sz w:val="20"/>
          <w:szCs w:val="20"/>
          <w:color w:val="auto"/>
        </w:rPr>
      </w:pPr>
    </w:p>
    <w:p>
      <w:pPr>
        <w:spacing w:after="0" w:line="344"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00"/>
          </w:cols>
          <w:pgMar w:left="360" w:top="787"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102" w:lineRule="exact"/>
        <w:rPr>
          <w:sz w:val="20"/>
          <w:szCs w:val="20"/>
          <w:color w:val="auto"/>
        </w:rPr>
      </w:pPr>
    </w:p>
    <w:p>
      <w:pPr>
        <w:ind w:left="280" w:right="80" w:hanging="274"/>
        <w:spacing w:after="0" w:line="256"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 For the Schedule of Investments In and Advances To Affiliates, as required by SEC Regulation S-X, Rule 12-14, refer to “Note 3 — Investments at Fair Value”.</w:t>
      </w:r>
    </w:p>
    <w:p>
      <w:pPr>
        <w:spacing w:after="0" w:line="82" w:lineRule="exact"/>
        <w:rPr>
          <w:rFonts w:ascii="Arial" w:cs="Arial" w:eastAsia="Arial" w:hAnsi="Arial"/>
          <w:sz w:val="18"/>
          <w:szCs w:val="18"/>
          <w:color w:val="auto"/>
        </w:rPr>
      </w:pPr>
    </w:p>
    <w:p>
      <w:pPr>
        <w:ind w:left="280" w:right="140" w:hanging="274"/>
        <w:spacing w:after="0" w:line="254"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3 — Investments at Fair Value”.</w:t>
      </w:r>
    </w:p>
    <w:p>
      <w:pPr>
        <w:spacing w:after="0" w:line="84" w:lineRule="exact"/>
        <w:rPr>
          <w:rFonts w:ascii="Arial" w:cs="Arial" w:eastAsia="Arial" w:hAnsi="Arial"/>
          <w:sz w:val="18"/>
          <w:szCs w:val="18"/>
          <w:color w:val="auto"/>
        </w:rPr>
      </w:pPr>
    </w:p>
    <w:p>
      <w:pPr>
        <w:ind w:left="280" w:hanging="27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Denotes an investment considered Level 1 valued using observable inputs.</w:t>
      </w:r>
    </w:p>
    <w:p>
      <w:pPr>
        <w:spacing w:after="0" w:line="114" w:lineRule="exact"/>
        <w:rPr>
          <w:rFonts w:ascii="Arial" w:cs="Arial" w:eastAsia="Arial" w:hAnsi="Arial"/>
          <w:sz w:val="18"/>
          <w:szCs w:val="18"/>
          <w:color w:val="auto"/>
        </w:rPr>
      </w:pPr>
    </w:p>
    <w:p>
      <w:pPr>
        <w:ind w:left="280" w:hanging="27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114" w:lineRule="exact"/>
        <w:rPr>
          <w:rFonts w:ascii="Arial" w:cs="Arial" w:eastAsia="Arial" w:hAnsi="Arial"/>
          <w:sz w:val="18"/>
          <w:szCs w:val="18"/>
          <w:color w:val="auto"/>
        </w:rPr>
      </w:pPr>
    </w:p>
    <w:p>
      <w:pPr>
        <w:jc w:val="both"/>
        <w:ind w:left="280" w:right="80" w:hanging="274"/>
        <w:spacing w:after="0" w:line="260"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that is collateralized by Avenues Global Holdings, LLC, as well as the personal collateral of Chris Whittle, the former chairman of Avenues Global Holdings, LLC.</w:t>
      </w:r>
    </w:p>
    <w:p>
      <w:pPr>
        <w:spacing w:after="0" w:line="78" w:lineRule="exact"/>
        <w:rPr>
          <w:rFonts w:ascii="Arial" w:cs="Arial" w:eastAsia="Arial" w:hAnsi="Arial"/>
          <w:sz w:val="18"/>
          <w:szCs w:val="18"/>
          <w:color w:val="auto"/>
        </w:rPr>
      </w:pPr>
    </w:p>
    <w:p>
      <w:pPr>
        <w:ind w:left="280" w:hanging="27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StormWind, LLC is held through its wholly-owned subsidiary, GSVC SW Holdings, Inc.</w:t>
      </w:r>
    </w:p>
    <w:p>
      <w:pPr>
        <w:spacing w:after="0" w:line="114" w:lineRule="exact"/>
        <w:rPr>
          <w:rFonts w:ascii="Arial" w:cs="Arial" w:eastAsia="Arial" w:hAnsi="Arial"/>
          <w:sz w:val="18"/>
          <w:szCs w:val="18"/>
          <w:color w:val="auto"/>
        </w:rPr>
      </w:pPr>
    </w:p>
    <w:p>
      <w:pPr>
        <w:ind w:left="280" w:hanging="27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114" w:lineRule="exact"/>
        <w:rPr>
          <w:rFonts w:ascii="Arial" w:cs="Arial" w:eastAsia="Arial" w:hAnsi="Arial"/>
          <w:sz w:val="18"/>
          <w:szCs w:val="18"/>
          <w:color w:val="auto"/>
        </w:rPr>
      </w:pPr>
    </w:p>
    <w:p>
      <w:pPr>
        <w:jc w:val="both"/>
        <w:ind w:left="280" w:hanging="274"/>
        <w:spacing w:after="0" w:line="336" w:lineRule="auto"/>
        <w:tabs>
          <w:tab w:leader="none" w:pos="2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1" w:lineRule="exact"/>
        <w:rPr>
          <w:rFonts w:ascii="Arial" w:cs="Arial" w:eastAsia="Arial" w:hAnsi="Arial"/>
          <w:sz w:val="16"/>
          <w:szCs w:val="16"/>
          <w:color w:val="auto"/>
        </w:rPr>
      </w:pPr>
    </w:p>
    <w:p>
      <w:pPr>
        <w:ind w:left="280" w:right="240" w:hanging="274"/>
        <w:spacing w:after="0" w:line="272"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March 28, 2017, PayNearMe, Inc. changed its name to Handle Financial, Inc. As part of the company’s restructuring process, Handle Financial, Inc. initiated a 10:1 reverse stock split.</w:t>
      </w:r>
    </w:p>
    <w:p>
      <w:pPr>
        <w:spacing w:after="0" w:line="67" w:lineRule="exact"/>
        <w:rPr>
          <w:sz w:val="20"/>
          <w:szCs w:val="20"/>
          <w:color w:val="auto"/>
        </w:rPr>
      </w:pPr>
    </w:p>
    <w:p>
      <w:pPr>
        <w:ind w:left="320" w:right="140" w:hanging="307"/>
        <w:spacing w:after="0" w:line="272" w:lineRule="auto"/>
        <w:rPr>
          <w:sz w:val="20"/>
          <w:szCs w:val="20"/>
          <w:color w:val="auto"/>
        </w:rPr>
      </w:pPr>
      <w:r>
        <w:rPr>
          <w:rFonts w:ascii="Arial" w:cs="Arial" w:eastAsia="Arial" w:hAnsi="Arial"/>
          <w:sz w:val="18"/>
          <w:szCs w:val="18"/>
          <w:color w:val="auto"/>
        </w:rPr>
        <w:t>(10)On March 29, 2017, A Place for Rover, Inc. acquired DogVacay, Inc. and, pursuant to a plan of reorganization, the Company received common shares of A Place for Rover Inc. in exchange for the Company’s previously held Series B-1 preferred shares of DogVacay, Inc.</w:t>
      </w:r>
    </w:p>
    <w:p>
      <w:pPr>
        <w:spacing w:after="0" w:line="67" w:lineRule="exact"/>
        <w:rPr>
          <w:sz w:val="20"/>
          <w:szCs w:val="20"/>
          <w:color w:val="auto"/>
        </w:rPr>
      </w:pPr>
    </w:p>
    <w:p>
      <w:pPr>
        <w:ind w:left="300" w:right="60" w:hanging="294"/>
        <w:spacing w:after="0" w:line="260" w:lineRule="auto"/>
        <w:rPr>
          <w:sz w:val="20"/>
          <w:szCs w:val="20"/>
          <w:color w:val="auto"/>
        </w:rPr>
      </w:pPr>
      <w:r>
        <w:rPr>
          <w:rFonts w:ascii="Arial" w:cs="Arial" w:eastAsia="Arial" w:hAnsi="Arial"/>
          <w:sz w:val="18"/>
          <w:szCs w:val="18"/>
          <w:color w:val="auto"/>
        </w:rPr>
        <w:t>(11)On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 Refer to “Note 3 — Investments at Fair Value.”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(12)On July 1, 2017, the maturity date of the convertible promissory note to Declara, Inc. was extended to December 31, 2017.</w:t>
      </w:r>
    </w:p>
    <w:p>
      <w:pPr>
        <w:spacing w:after="0" w:line="115" w:lineRule="exact"/>
        <w:rPr>
          <w:sz w:val="20"/>
          <w:szCs w:val="20"/>
          <w:color w:val="auto"/>
        </w:rPr>
      </w:pPr>
    </w:p>
    <w:p>
      <w:pPr>
        <w:ind w:left="320" w:right="20" w:hanging="307"/>
        <w:spacing w:after="0" w:line="272" w:lineRule="auto"/>
        <w:rPr>
          <w:sz w:val="20"/>
          <w:szCs w:val="20"/>
          <w:color w:val="auto"/>
        </w:rPr>
      </w:pPr>
      <w:r>
        <w:rPr>
          <w:rFonts w:ascii="Arial" w:cs="Arial" w:eastAsia="Arial" w:hAnsi="Arial"/>
          <w:sz w:val="18"/>
          <w:szCs w:val="18"/>
          <w:color w:val="auto"/>
        </w:rPr>
        <w:t>(13)On November 12, 2013, Chegg, Inc. priced its IPO. The lock-up agreement for the Company’s Chegg, Inc. common shares expired on May 11, 2014. As a result, the Company’s Chegg, Inc. common shares are considered unrestricted.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(14)In April 2017, JAMF Holdings, Inc. initiated a 20:1 stock split.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(15)On July 31, 2017, the maturity date of the convertible promissory note to NestGSV, Inc. (d/b/a GSV Labs, Inc.) was extended to July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(16)As of September 30, 2017, the investments noted had been placed on non-accrual status.</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2" w:name="page13"/>
    <w:bookmarkEnd w:id="1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7030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03070" cy="825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31115</wp:posOffset>
            </wp:positionV>
            <wp:extent cx="42157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15765"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 of</w:t>
            </w:r>
          </w:p>
        </w:tc>
      </w:tr>
      <w:tr>
        <w:trPr>
          <w:trHeight w:val="152"/>
        </w:trPr>
        <w:tc>
          <w:tcPr>
            <w:tcW w:w="4200" w:type="dxa"/>
            <w:vAlign w:val="bottom"/>
            <w:tcBorders>
              <w:bottom w:val="single" w:sz="8" w:color="auto"/>
            </w:tcBorders>
            <w:gridSpan w:val="14"/>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60" w:type="dxa"/>
            <w:vAlign w:val="bottom"/>
          </w:tcPr>
          <w:p>
            <w:pPr>
              <w:spacing w:after="0"/>
              <w:rPr>
                <w:sz w:val="13"/>
                <w:szCs w:val="13"/>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3"/>
                <w:szCs w:val="13"/>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5"/>
              </w:rPr>
              <w:t>Net Assets</w:t>
            </w:r>
          </w:p>
        </w:tc>
      </w:tr>
      <w:tr>
        <w:trPr>
          <w:trHeight w:val="168"/>
        </w:trPr>
        <w:tc>
          <w:tcPr>
            <w:tcW w:w="4200" w:type="dxa"/>
            <w:vAlign w:val="bottom"/>
            <w:gridSpan w:val="14"/>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Palantir Technologies, Inc.</w:t>
            </w:r>
          </w:p>
        </w:tc>
        <w:tc>
          <w:tcPr>
            <w:tcW w:w="160" w:type="dxa"/>
            <w:vAlign w:val="bottom"/>
            <w:shd w:val="clear" w:color="auto" w:fill="CCEEFF"/>
          </w:tcPr>
          <w:p>
            <w:pPr>
              <w:spacing w:after="0"/>
              <w:rPr>
                <w:sz w:val="14"/>
                <w:szCs w:val="14"/>
                <w:color w:val="auto"/>
              </w:rPr>
            </w:pPr>
          </w:p>
        </w:tc>
        <w:tc>
          <w:tcPr>
            <w:tcW w:w="238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5"/>
              </w:rPr>
              <w:t>Palo Alto, CA</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G</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0"/>
              </w:rPr>
              <w:t>Data Analysis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326,797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1,008,968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2,223,594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r>
      <w:tr>
        <w:trPr>
          <w:trHeight w:val="215"/>
        </w:trPr>
        <w:tc>
          <w:tcPr>
            <w:tcW w:w="420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Common shares, Class A</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5,773,690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16,189,935</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39,285,371</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20.45%</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17,198,903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41,508,965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21.61%</w:t>
            </w:r>
          </w:p>
        </w:tc>
      </w:tr>
      <w:tr>
        <w:trPr>
          <w:trHeight w:val="168"/>
        </w:trPr>
        <w:tc>
          <w:tcPr>
            <w:tcW w:w="4200" w:type="dxa"/>
            <w:vAlign w:val="bottom"/>
            <w:gridSpan w:val="14"/>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Spotify Technology S.A.**</w:t>
            </w:r>
          </w:p>
        </w:tc>
        <w:tc>
          <w:tcPr>
            <w:tcW w:w="160" w:type="dxa"/>
            <w:vAlign w:val="bottom"/>
            <w:shd w:val="clear" w:color="auto" w:fill="CCEEFF"/>
          </w:tcPr>
          <w:p>
            <w:pPr>
              <w:spacing w:after="0"/>
              <w:rPr>
                <w:sz w:val="14"/>
                <w:szCs w:val="14"/>
                <w:color w:val="auto"/>
              </w:rPr>
            </w:pPr>
          </w:p>
        </w:tc>
        <w:tc>
          <w:tcPr>
            <w:tcW w:w="238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0"/>
              </w:rPr>
              <w:t>Stockholm, Sweden</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On-Demand Music Streaming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13,599,572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18,931,691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9.85%</w:t>
            </w:r>
          </w:p>
        </w:tc>
      </w:tr>
      <w:tr>
        <w:trPr>
          <w:trHeight w:val="174"/>
        </w:trPr>
        <w:tc>
          <w:tcPr>
            <w:tcW w:w="4200" w:type="dxa"/>
            <w:vAlign w:val="bottom"/>
            <w:gridSpan w:val="14"/>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Coursera, Inc.</w:t>
            </w:r>
          </w:p>
        </w:tc>
        <w:tc>
          <w:tcPr>
            <w:tcW w:w="160" w:type="dxa"/>
            <w:vAlign w:val="bottom"/>
            <w:shd w:val="clear" w:color="auto" w:fill="CCEEFF"/>
          </w:tcPr>
          <w:p>
            <w:pPr>
              <w:spacing w:after="0"/>
              <w:rPr>
                <w:sz w:val="15"/>
                <w:szCs w:val="15"/>
                <w:color w:val="auto"/>
              </w:rPr>
            </w:pPr>
          </w:p>
        </w:tc>
        <w:tc>
          <w:tcPr>
            <w:tcW w:w="238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4"/>
              </w:rPr>
              <w:t>Mountain View, CA</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2,961,399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14,519,519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14,510,855</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7.55%</w:t>
            </w:r>
          </w:p>
        </w:tc>
      </w:tr>
      <w:tr>
        <w:trPr>
          <w:trHeight w:val="174"/>
        </w:trPr>
        <w:tc>
          <w:tcPr>
            <w:tcW w:w="4200" w:type="dxa"/>
            <w:vAlign w:val="bottom"/>
            <w:gridSpan w:val="14"/>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JAMF Holdings, Inc.</w:t>
            </w:r>
          </w:p>
        </w:tc>
        <w:tc>
          <w:tcPr>
            <w:tcW w:w="160" w:type="dxa"/>
            <w:vAlign w:val="bottom"/>
            <w:shd w:val="clear" w:color="auto" w:fill="CCEEFF"/>
          </w:tcPr>
          <w:p>
            <w:pPr>
              <w:spacing w:after="0"/>
              <w:rPr>
                <w:sz w:val="15"/>
                <w:szCs w:val="15"/>
                <w:color w:val="auto"/>
              </w:rPr>
            </w:pPr>
          </w:p>
        </w:tc>
        <w:tc>
          <w:tcPr>
            <w:tcW w:w="238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5"/>
              </w:rPr>
              <w:t>Minneapolis, MN</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Mobile Device Management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9,999,928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13,856,754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7.21%</w:t>
            </w:r>
          </w:p>
        </w:tc>
      </w:tr>
      <w:tr>
        <w:trPr>
          <w:trHeight w:val="174"/>
        </w:trPr>
        <w:tc>
          <w:tcPr>
            <w:tcW w:w="4200" w:type="dxa"/>
            <w:vAlign w:val="bottom"/>
            <w:gridSpan w:val="14"/>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General Assembly Space, Inc.</w:t>
            </w:r>
          </w:p>
        </w:tc>
        <w:tc>
          <w:tcPr>
            <w:tcW w:w="160" w:type="dxa"/>
            <w:vAlign w:val="bottom"/>
            <w:shd w:val="clear" w:color="auto" w:fill="CCEEFF"/>
          </w:tcPr>
          <w:p>
            <w:pPr>
              <w:spacing w:after="0"/>
              <w:rPr>
                <w:sz w:val="15"/>
                <w:szCs w:val="15"/>
                <w:color w:val="auto"/>
              </w:rPr>
            </w:pPr>
          </w:p>
        </w:tc>
        <w:tc>
          <w:tcPr>
            <w:tcW w:w="238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5"/>
              </w:rPr>
              <w:t>New York, NY</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C</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126,552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2,999,978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6,697,132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3.49%</w:t>
            </w:r>
          </w:p>
        </w:tc>
      </w:tr>
      <w:tr>
        <w:trPr>
          <w:trHeight w:val="215"/>
        </w:trPr>
        <w:tc>
          <w:tcPr>
            <w:tcW w:w="420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2,999,983</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7,049,632</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5,999,961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13,746,764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7.16%</w:t>
            </w:r>
          </w:p>
        </w:tc>
      </w:tr>
      <w:tr>
        <w:trPr>
          <w:trHeight w:val="168"/>
        </w:trPr>
        <w:tc>
          <w:tcPr>
            <w:tcW w:w="4200" w:type="dxa"/>
            <w:vAlign w:val="bottom"/>
            <w:gridSpan w:val="14"/>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Dropbox, Inc.</w:t>
            </w:r>
          </w:p>
        </w:tc>
        <w:tc>
          <w:tcPr>
            <w:tcW w:w="160" w:type="dxa"/>
            <w:vAlign w:val="bottom"/>
            <w:shd w:val="clear" w:color="auto" w:fill="CCEEFF"/>
          </w:tcPr>
          <w:p>
            <w:pPr>
              <w:spacing w:after="0"/>
              <w:rPr>
                <w:sz w:val="14"/>
                <w:szCs w:val="14"/>
                <w:color w:val="auto"/>
              </w:rPr>
            </w:pPr>
          </w:p>
        </w:tc>
        <w:tc>
          <w:tcPr>
            <w:tcW w:w="238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89"/>
              </w:rPr>
              <w:t>San Francisco, CA</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A-1</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Cloud Computing Services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5,015,773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5,552,484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2.89%</w:t>
            </w:r>
          </w:p>
        </w:tc>
      </w:tr>
      <w:tr>
        <w:trPr>
          <w:trHeight w:val="215"/>
        </w:trPr>
        <w:tc>
          <w:tcPr>
            <w:tcW w:w="420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8,641,153</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7,638,000</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13,656,926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13,190,484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6.87%</w:t>
            </w:r>
          </w:p>
        </w:tc>
      </w:tr>
      <w:tr>
        <w:trPr>
          <w:trHeight w:val="168"/>
        </w:trPr>
        <w:tc>
          <w:tcPr>
            <w:tcW w:w="4200" w:type="dxa"/>
            <w:vAlign w:val="bottom"/>
            <w:gridSpan w:val="14"/>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Lytro, Inc.</w:t>
            </w:r>
          </w:p>
        </w:tc>
        <w:tc>
          <w:tcPr>
            <w:tcW w:w="160" w:type="dxa"/>
            <w:vAlign w:val="bottom"/>
            <w:shd w:val="clear" w:color="auto" w:fill="CCEEFF"/>
          </w:tcPr>
          <w:p>
            <w:pPr>
              <w:spacing w:after="0"/>
              <w:rPr>
                <w:sz w:val="14"/>
                <w:szCs w:val="14"/>
                <w:color w:val="auto"/>
              </w:rPr>
            </w:pPr>
          </w:p>
        </w:tc>
        <w:tc>
          <w:tcPr>
            <w:tcW w:w="238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4"/>
              </w:rPr>
              <w:t>Mountain View, CA</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D</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3"/>
              </w:rPr>
              <w:t>Light Field Imaging Platform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159,160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502,081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r>
      <w:tr>
        <w:trPr>
          <w:trHeight w:val="215"/>
        </w:trPr>
        <w:tc>
          <w:tcPr>
            <w:tcW w:w="420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C-1</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3,378,379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10,000,002</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10,408,150</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5.42%</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10,502,083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10,908,151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5.68%</w:t>
            </w:r>
          </w:p>
        </w:tc>
      </w:tr>
      <w:tr>
        <w:trPr>
          <w:trHeight w:val="208"/>
        </w:trPr>
        <w:tc>
          <w:tcPr>
            <w:tcW w:w="4200" w:type="dxa"/>
            <w:vAlign w:val="bottom"/>
            <w:gridSpan w:val="14"/>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Ozy Media, Inc.</w:t>
            </w:r>
            <w:r>
              <w:rPr>
                <w:rFonts w:ascii="Arial" w:cs="Arial" w:eastAsia="Arial" w:hAnsi="Arial"/>
                <w:sz w:val="24"/>
                <w:szCs w:val="24"/>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Mountain View, CA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Convertible Promissory Note 5% Due 2/28/2018***</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4"/>
              </w:rPr>
              <w:t>Digital Media Platform</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r>
      <w:tr>
        <w:trPr>
          <w:trHeight w:val="215"/>
        </w:trPr>
        <w:tc>
          <w:tcPr>
            <w:tcW w:w="420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4,999,999</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4,999,999</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1,090,909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3,000,200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3,000,000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1.56%</w:t>
            </w:r>
          </w:p>
        </w:tc>
      </w:tr>
      <w:tr>
        <w:trPr>
          <w:trHeight w:val="215"/>
        </w:trPr>
        <w:tc>
          <w:tcPr>
            <w:tcW w:w="420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Seed</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0.32%</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13"/>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10,500,199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10,609,999</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5.52%</w:t>
            </w:r>
          </w:p>
        </w:tc>
      </w:tr>
      <w:tr>
        <w:trPr>
          <w:trHeight w:val="168"/>
        </w:trPr>
        <w:tc>
          <w:tcPr>
            <w:tcW w:w="4200" w:type="dxa"/>
            <w:vAlign w:val="bottom"/>
            <w:gridSpan w:val="14"/>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Course Hero, Inc.</w:t>
            </w:r>
          </w:p>
        </w:tc>
        <w:tc>
          <w:tcPr>
            <w:tcW w:w="160" w:type="dxa"/>
            <w:vAlign w:val="bottom"/>
            <w:shd w:val="clear" w:color="auto" w:fill="CCEEFF"/>
          </w:tcPr>
          <w:p>
            <w:pPr>
              <w:spacing w:after="0"/>
              <w:rPr>
                <w:sz w:val="14"/>
                <w:szCs w:val="14"/>
                <w:color w:val="auto"/>
              </w:rPr>
            </w:pPr>
          </w:p>
        </w:tc>
        <w:tc>
          <w:tcPr>
            <w:tcW w:w="238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2"/>
              </w:rPr>
              <w:t>Redwood City, CA</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2,145,509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5,000,001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10,532,304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5.48%</w:t>
            </w:r>
          </w:p>
        </w:tc>
      </w:tr>
      <w:tr>
        <w:trPr>
          <w:trHeight w:val="215"/>
        </w:trPr>
        <w:tc>
          <w:tcPr>
            <w:tcW w:w="4200" w:type="dxa"/>
            <w:vAlign w:val="bottom"/>
            <w:gridSpan w:val="14"/>
            <w:shd w:val="clear" w:color="auto" w:fill="CCEEFF"/>
          </w:tcPr>
          <w:p>
            <w:pPr>
              <w:ind w:left="20"/>
              <w:spacing w:after="0" w:line="214" w:lineRule="exact"/>
              <w:rPr>
                <w:sz w:val="20"/>
                <w:szCs w:val="20"/>
                <w:color w:val="auto"/>
              </w:rPr>
            </w:pPr>
            <w:r>
              <w:rPr>
                <w:rFonts w:ascii="Arial" w:cs="Arial" w:eastAsia="Arial" w:hAnsi="Arial"/>
                <w:sz w:val="15"/>
                <w:szCs w:val="15"/>
                <w:b w:val="1"/>
                <w:bCs w:val="1"/>
                <w:color w:val="auto"/>
              </w:rPr>
              <w:t>Curious.com Inc.</w:t>
            </w:r>
            <w:r>
              <w:rPr>
                <w:rFonts w:ascii="Arial" w:cs="Arial" w:eastAsia="Arial" w:hAnsi="Arial"/>
                <w:sz w:val="24"/>
                <w:szCs w:val="24"/>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Menlo Park, CA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3,407,834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12,000,006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9,984,954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5.20%</w:t>
            </w:r>
          </w:p>
        </w:tc>
      </w:tr>
      <w:tr>
        <w:trPr>
          <w:trHeight w:val="215"/>
        </w:trPr>
        <w:tc>
          <w:tcPr>
            <w:tcW w:w="4200" w:type="dxa"/>
            <w:vAlign w:val="bottom"/>
            <w:gridSpan w:val="14"/>
            <w:shd w:val="clear" w:color="auto" w:fill="CCEEFF"/>
          </w:tcPr>
          <w:p>
            <w:pPr>
              <w:ind w:left="20"/>
              <w:spacing w:after="0" w:line="214" w:lineRule="exact"/>
              <w:rPr>
                <w:sz w:val="20"/>
                <w:szCs w:val="20"/>
                <w:color w:val="auto"/>
              </w:rPr>
            </w:pPr>
            <w:r>
              <w:rPr>
                <w:rFonts w:ascii="Arial" w:cs="Arial" w:eastAsia="Arial" w:hAnsi="Arial"/>
                <w:sz w:val="15"/>
                <w:szCs w:val="15"/>
                <w:b w:val="1"/>
                <w:bCs w:val="1"/>
                <w:color w:val="auto"/>
              </w:rPr>
              <w:t>StormWind, LLC</w:t>
            </w:r>
            <w:r>
              <w:rPr>
                <w:rFonts w:ascii="Arial" w:cs="Arial" w:eastAsia="Arial" w:hAnsi="Arial"/>
                <w:sz w:val="24"/>
                <w:szCs w:val="24"/>
                <w:b w:val="1"/>
                <w:bCs w:val="1"/>
                <w:color w:val="auto"/>
                <w:vertAlign w:val="superscript"/>
              </w:rPr>
              <w:t>(2)(6)</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Scottsdale, AZ</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C</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2"/>
              </w:rPr>
              <w:t>Interactive Learning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2,779,134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4,000,787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4,650,838</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2.42%</w:t>
            </w:r>
          </w:p>
        </w:tc>
      </w:tr>
      <w:tr>
        <w:trPr>
          <w:trHeight w:val="215"/>
        </w:trPr>
        <w:tc>
          <w:tcPr>
            <w:tcW w:w="420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3,279,629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2,019,687</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4,470,403</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499,796</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180" w:type="dxa"/>
            <w:vAlign w:val="bottom"/>
            <w:gridSpan w:val="1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6,130,474</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9,621,037</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r>
      <w:tr>
        <w:trPr>
          <w:trHeight w:val="208"/>
        </w:trPr>
        <w:tc>
          <w:tcPr>
            <w:tcW w:w="4200" w:type="dxa"/>
            <w:vAlign w:val="bottom"/>
            <w:tcBorders>
              <w:top w:val="single" w:sz="8" w:color="CCEEFF"/>
            </w:tcBorders>
            <w:gridSpan w:val="14"/>
          </w:tcPr>
          <w:p>
            <w:pPr>
              <w:ind w:left="20"/>
              <w:spacing w:after="0" w:line="207" w:lineRule="exact"/>
              <w:rPr>
                <w:sz w:val="20"/>
                <w:szCs w:val="20"/>
                <w:color w:val="auto"/>
              </w:rPr>
            </w:pPr>
            <w:r>
              <w:rPr>
                <w:rFonts w:ascii="Arial" w:cs="Arial" w:eastAsia="Arial" w:hAnsi="Arial"/>
                <w:sz w:val="15"/>
                <w:szCs w:val="15"/>
                <w:b w:val="1"/>
                <w:bCs w:val="1"/>
                <w:color w:val="auto"/>
              </w:rPr>
              <w:t>Chegg, Inc.**</w:t>
            </w:r>
            <w:r>
              <w:rPr>
                <w:rFonts w:ascii="Arial" w:cs="Arial" w:eastAsia="Arial" w:hAnsi="Arial"/>
                <w:sz w:val="24"/>
                <w:szCs w:val="24"/>
                <w:b w:val="1"/>
                <w:bCs w:val="1"/>
                <w:color w:val="auto"/>
                <w:vertAlign w:val="superscript"/>
              </w:rPr>
              <w:t>(18)</w:t>
            </w:r>
          </w:p>
        </w:tc>
        <w:tc>
          <w:tcPr>
            <w:tcW w:w="1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9"/>
              </w:rPr>
              <w:t>Santa Clara, CA</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5"/>
        </w:trPr>
        <w:tc>
          <w:tcPr>
            <w:tcW w:w="420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Online Education Services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1,182,792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14,022,863</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8,729,005</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r>
      <w:tr>
        <w:trPr>
          <w:trHeight w:val="215"/>
        </w:trPr>
        <w:tc>
          <w:tcPr>
            <w:tcW w:w="4200" w:type="dxa"/>
            <w:vAlign w:val="bottom"/>
            <w:gridSpan w:val="14"/>
          </w:tcPr>
          <w:p>
            <w:pPr>
              <w:ind w:left="20"/>
              <w:spacing w:after="0" w:line="214" w:lineRule="exact"/>
              <w:rPr>
                <w:sz w:val="20"/>
                <w:szCs w:val="20"/>
                <w:color w:val="auto"/>
              </w:rPr>
            </w:pPr>
            <w:r>
              <w:rPr>
                <w:rFonts w:ascii="Arial" w:cs="Arial" w:eastAsia="Arial" w:hAnsi="Arial"/>
                <w:sz w:val="15"/>
                <w:szCs w:val="15"/>
                <w:b w:val="1"/>
                <w:bCs w:val="1"/>
                <w:color w:val="auto"/>
              </w:rPr>
              <w:t>Declara, Inc.</w:t>
            </w:r>
            <w:r>
              <w:rPr>
                <w:rFonts w:ascii="Arial" w:cs="Arial" w:eastAsia="Arial" w:hAnsi="Arial"/>
                <w:sz w:val="24"/>
                <w:szCs w:val="24"/>
                <w:b w:val="1"/>
                <w:bCs w:val="1"/>
                <w:color w:val="auto"/>
                <w:vertAlign w:val="superscript"/>
              </w:rPr>
              <w:t>(1)</w:t>
            </w:r>
          </w:p>
        </w:tc>
        <w:tc>
          <w:tcPr>
            <w:tcW w:w="16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5"/>
              </w:rPr>
              <w:t>Palo Alto, CA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5"/>
        </w:trPr>
        <w:tc>
          <w:tcPr>
            <w:tcW w:w="4200" w:type="dxa"/>
            <w:vAlign w:val="bottom"/>
            <w:gridSpan w:val="14"/>
            <w:shd w:val="clear" w:color="auto" w:fill="CCEEFF"/>
          </w:tcPr>
          <w:p>
            <w:pPr>
              <w:ind w:left="20"/>
              <w:spacing w:after="0" w:line="255" w:lineRule="exact"/>
              <w:rPr>
                <w:sz w:val="20"/>
                <w:szCs w:val="20"/>
                <w:color w:val="auto"/>
              </w:rPr>
            </w:pPr>
            <w:r>
              <w:rPr>
                <w:rFonts w:ascii="Arial" w:cs="Arial" w:eastAsia="Arial" w:hAnsi="Arial"/>
                <w:sz w:val="18"/>
                <w:szCs w:val="18"/>
                <w:color w:val="auto"/>
                <w:w w:val="94"/>
              </w:rPr>
              <w:t>Convertible Promissory Note 9% Due 6/30/2017***</w:t>
            </w:r>
            <w:r>
              <w:rPr>
                <w:rFonts w:ascii="Arial" w:cs="Arial" w:eastAsia="Arial" w:hAnsi="Arial"/>
                <w:sz w:val="29"/>
                <w:szCs w:val="29"/>
                <w:color w:val="auto"/>
                <w:w w:val="94"/>
                <w:vertAlign w:val="superscript"/>
              </w:rPr>
              <w:t>(12)</w:t>
            </w:r>
          </w:p>
        </w:tc>
        <w:tc>
          <w:tcPr>
            <w:tcW w:w="160" w:type="dxa"/>
            <w:vAlign w:val="bottom"/>
            <w:shd w:val="clear" w:color="auto" w:fill="CCEEFF"/>
          </w:tcPr>
          <w:p>
            <w:pPr>
              <w:spacing w:after="0"/>
              <w:rPr>
                <w:sz w:val="22"/>
                <w:szCs w:val="22"/>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Social Cognitive Learning</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2,120,658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2,120,658</w:t>
            </w:r>
          </w:p>
        </w:tc>
        <w:tc>
          <w:tcPr>
            <w:tcW w:w="220" w:type="dxa"/>
            <w:vAlign w:val="bottom"/>
            <w:tcBorders>
              <w:lef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2,827,020</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r>
      <w:tr>
        <w:trPr>
          <w:trHeight w:val="215"/>
        </w:trPr>
        <w:tc>
          <w:tcPr>
            <w:tcW w:w="4200" w:type="dxa"/>
            <w:vAlign w:val="bottom"/>
            <w:gridSpan w:val="14"/>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10,716,390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9,999,999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4,786,654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180" w:type="dxa"/>
            <w:vAlign w:val="bottom"/>
            <w:gridSpan w:val="1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12,120,657</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7,613,674</w:t>
            </w:r>
          </w:p>
        </w:tc>
        <w:tc>
          <w:tcPr>
            <w:tcW w:w="9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r>
      <w:tr>
        <w:trPr>
          <w:trHeight w:val="20"/>
        </w:trPr>
        <w:tc>
          <w:tcPr>
            <w:tcW w:w="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-5722620</wp:posOffset>
            </wp:positionV>
            <wp:extent cx="7026275" cy="153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-4342765</wp:posOffset>
            </wp:positionV>
            <wp:extent cx="7026275" cy="153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-3780790</wp:posOffset>
            </wp:positionV>
            <wp:extent cx="7026275" cy="153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-3218815</wp:posOffset>
            </wp:positionV>
            <wp:extent cx="7026275" cy="153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-2358390</wp:posOffset>
            </wp:positionV>
            <wp:extent cx="7026275" cy="153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-918845</wp:posOffset>
            </wp:positionV>
            <wp:extent cx="7026275" cy="170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0262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17030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03070" cy="825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31115</wp:posOffset>
            </wp:positionV>
            <wp:extent cx="40195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19550"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 of</w:t>
            </w:r>
          </w:p>
        </w:tc>
      </w:tr>
      <w:tr>
        <w:trPr>
          <w:trHeight w:val="152"/>
        </w:trPr>
        <w:tc>
          <w:tcPr>
            <w:tcW w:w="44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60" w:type="dxa"/>
            <w:vAlign w:val="bottom"/>
          </w:tcPr>
          <w:p>
            <w:pPr>
              <w:spacing w:after="0"/>
              <w:rPr>
                <w:sz w:val="13"/>
                <w:szCs w:val="13"/>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Headquarters/Industry</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99"/>
              </w:rPr>
              <w:t>Fair Value</w:t>
            </w:r>
          </w:p>
        </w:tc>
        <w:tc>
          <w:tcPr>
            <w:tcW w:w="22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5"/>
              </w:rPr>
              <w:t>Net Assets</w:t>
            </w:r>
          </w:p>
        </w:tc>
      </w:tr>
      <w:tr>
        <w:trPr>
          <w:trHeight w:val="168"/>
        </w:trPr>
        <w:tc>
          <w:tcPr>
            <w:tcW w:w="4480" w:type="dxa"/>
            <w:vAlign w:val="bottom"/>
            <w:gridSpan w:val="9"/>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Lyft, Inc.</w:t>
            </w:r>
          </w:p>
        </w:tc>
        <w:tc>
          <w:tcPr>
            <w:tcW w:w="16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jc w:val="center"/>
              <w:ind w:right="220"/>
              <w:spacing w:after="0" w:line="168" w:lineRule="exact"/>
              <w:rPr>
                <w:sz w:val="20"/>
                <w:szCs w:val="20"/>
                <w:color w:val="auto"/>
              </w:rPr>
            </w:pPr>
            <w:r>
              <w:rPr>
                <w:rFonts w:ascii="Arial" w:cs="Arial" w:eastAsia="Arial" w:hAnsi="Arial"/>
                <w:sz w:val="18"/>
                <w:szCs w:val="18"/>
                <w:color w:val="auto"/>
                <w:w w:val="89"/>
              </w:rPr>
              <w:t>San Francisco, CA</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4480" w:type="dxa"/>
            <w:vAlign w:val="bottom"/>
            <w:gridSpan w:val="9"/>
          </w:tcPr>
          <w:p>
            <w:pPr>
              <w:ind w:left="20"/>
              <w:spacing w:after="0" w:line="201" w:lineRule="exact"/>
              <w:rPr>
                <w:sz w:val="20"/>
                <w:szCs w:val="20"/>
                <w:color w:val="auto"/>
              </w:rPr>
            </w:pPr>
            <w:r>
              <w:rPr>
                <w:rFonts w:ascii="Arial" w:cs="Arial" w:eastAsia="Arial" w:hAnsi="Arial"/>
                <w:sz w:val="18"/>
                <w:szCs w:val="18"/>
                <w:color w:val="auto"/>
              </w:rPr>
              <w:t>Preferred shares, Series E</w:t>
            </w:r>
          </w:p>
        </w:tc>
        <w:tc>
          <w:tcPr>
            <w:tcW w:w="160" w:type="dxa"/>
            <w:vAlign w:val="bottom"/>
          </w:tcPr>
          <w:p>
            <w:pPr>
              <w:spacing w:after="0"/>
              <w:rPr>
                <w:sz w:val="17"/>
                <w:szCs w:val="17"/>
                <w:color w:val="auto"/>
              </w:rPr>
            </w:pPr>
          </w:p>
        </w:tc>
        <w:tc>
          <w:tcPr>
            <w:tcW w:w="2520" w:type="dxa"/>
            <w:vAlign w:val="bottom"/>
            <w:gridSpan w:val="3"/>
          </w:tcPr>
          <w:p>
            <w:pPr>
              <w:jc w:val="center"/>
              <w:ind w:right="220"/>
              <w:spacing w:after="0" w:line="201" w:lineRule="exact"/>
              <w:rPr>
                <w:sz w:val="20"/>
                <w:szCs w:val="20"/>
                <w:color w:val="auto"/>
              </w:rPr>
            </w:pPr>
            <w:r>
              <w:rPr>
                <w:rFonts w:ascii="Arial" w:cs="Arial" w:eastAsia="Arial" w:hAnsi="Arial"/>
                <w:sz w:val="18"/>
                <w:szCs w:val="18"/>
                <w:color w:val="auto"/>
                <w:w w:val="90"/>
              </w:rPr>
              <w:t>On-Demand Transportation</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Services</w:t>
            </w:r>
          </w:p>
        </w:tc>
        <w:tc>
          <w:tcPr>
            <w:tcW w:w="860" w:type="dxa"/>
            <w:vAlign w:val="bottom"/>
          </w:tcPr>
          <w:p>
            <w:pPr>
              <w:jc w:val="right"/>
              <w:spacing w:after="0"/>
              <w:rPr>
                <w:sz w:val="20"/>
                <w:szCs w:val="20"/>
                <w:color w:val="auto"/>
              </w:rPr>
            </w:pPr>
            <w:r>
              <w:rPr>
                <w:rFonts w:ascii="Arial" w:cs="Arial" w:eastAsia="Arial" w:hAnsi="Arial"/>
                <w:sz w:val="18"/>
                <w:szCs w:val="18"/>
                <w:color w:val="auto"/>
              </w:rPr>
              <w:t>128,563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2,503,585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$3,249,430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1.69%</w:t>
            </w:r>
          </w:p>
        </w:tc>
      </w:tr>
      <w:tr>
        <w:trPr>
          <w:trHeight w:val="215"/>
        </w:trPr>
        <w:tc>
          <w:tcPr>
            <w:tcW w:w="448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Preferred shares, Series D</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1,792,749</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4,203,062</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gridSpan w:val="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4,296,334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7,452,492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3.88%</w:t>
            </w:r>
          </w:p>
        </w:tc>
      </w:tr>
      <w:tr>
        <w:trPr>
          <w:trHeight w:val="208"/>
        </w:trPr>
        <w:tc>
          <w:tcPr>
            <w:tcW w:w="4480" w:type="dxa"/>
            <w:vAlign w:val="bottom"/>
            <w:gridSpan w:val="9"/>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Avenues Global Holdings, LLC</w:t>
            </w:r>
            <w:r>
              <w:rPr>
                <w:rFonts w:ascii="Arial" w:cs="Arial" w:eastAsia="Arial" w:hAnsi="Arial"/>
                <w:sz w:val="24"/>
                <w:szCs w:val="24"/>
                <w:b w:val="1"/>
                <w:bCs w:val="1"/>
                <w:color w:val="auto"/>
                <w:vertAlign w:val="superscript"/>
              </w:rPr>
              <w:t>(4)</w:t>
            </w:r>
          </w:p>
        </w:tc>
        <w:tc>
          <w:tcPr>
            <w:tcW w:w="1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5"/>
              </w:rPr>
              <w:t>New York, NY</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4480" w:type="dxa"/>
            <w:vAlign w:val="bottom"/>
            <w:gridSpan w:val="9"/>
          </w:tcPr>
          <w:p>
            <w:pPr>
              <w:ind w:left="20"/>
              <w:spacing w:after="0" w:line="201" w:lineRule="exact"/>
              <w:rPr>
                <w:sz w:val="20"/>
                <w:szCs w:val="20"/>
                <w:color w:val="auto"/>
              </w:rPr>
            </w:pPr>
            <w:r>
              <w:rPr>
                <w:rFonts w:ascii="Arial" w:cs="Arial" w:eastAsia="Arial" w:hAnsi="Arial"/>
                <w:sz w:val="18"/>
                <w:szCs w:val="18"/>
                <w:color w:val="auto"/>
              </w:rPr>
              <w:t>Preferred shares, Junior Preferred Stock</w:t>
            </w:r>
          </w:p>
        </w:tc>
        <w:tc>
          <w:tcPr>
            <w:tcW w:w="160" w:type="dxa"/>
            <w:vAlign w:val="bottom"/>
          </w:tcPr>
          <w:p>
            <w:pPr>
              <w:spacing w:after="0"/>
              <w:rPr>
                <w:sz w:val="17"/>
                <w:szCs w:val="17"/>
                <w:color w:val="auto"/>
              </w:rPr>
            </w:pPr>
          </w:p>
        </w:tc>
        <w:tc>
          <w:tcPr>
            <w:tcW w:w="2520" w:type="dxa"/>
            <w:vAlign w:val="bottom"/>
            <w:gridSpan w:val="3"/>
          </w:tcPr>
          <w:p>
            <w:pPr>
              <w:jc w:val="center"/>
              <w:ind w:right="220"/>
              <w:spacing w:after="0" w:line="201" w:lineRule="exact"/>
              <w:rPr>
                <w:sz w:val="20"/>
                <w:szCs w:val="20"/>
                <w:color w:val="auto"/>
              </w:rPr>
            </w:pPr>
            <w:r>
              <w:rPr>
                <w:rFonts w:ascii="Arial" w:cs="Arial" w:eastAsia="Arial" w:hAnsi="Arial"/>
                <w:sz w:val="18"/>
                <w:szCs w:val="18"/>
                <w:color w:val="auto"/>
                <w:w w:val="90"/>
              </w:rPr>
              <w:t>Globally-Focused Private</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School</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10,014,270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10,151,854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6,128,733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3.19%</w:t>
            </w:r>
          </w:p>
        </w:tc>
      </w:tr>
      <w:tr>
        <w:trPr>
          <w:trHeight w:val="175"/>
        </w:trPr>
        <w:tc>
          <w:tcPr>
            <w:tcW w:w="4480" w:type="dxa"/>
            <w:vAlign w:val="bottom"/>
            <w:gridSpan w:val="9"/>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SugarCRM, Inc.</w:t>
            </w:r>
          </w:p>
        </w:tc>
        <w:tc>
          <w:tcPr>
            <w:tcW w:w="160" w:type="dxa"/>
            <w:vAlign w:val="bottom"/>
            <w:shd w:val="clear" w:color="auto" w:fill="CCEEFF"/>
          </w:tcPr>
          <w:p>
            <w:pPr>
              <w:spacing w:after="0"/>
              <w:rPr>
                <w:sz w:val="15"/>
                <w:szCs w:val="15"/>
                <w:color w:val="auto"/>
              </w:rPr>
            </w:pPr>
          </w:p>
        </w:tc>
        <w:tc>
          <w:tcPr>
            <w:tcW w:w="2520" w:type="dxa"/>
            <w:vAlign w:val="bottom"/>
            <w:gridSpan w:val="3"/>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93"/>
              </w:rPr>
              <w:t>Cupertino, CA</w:t>
            </w: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4480" w:type="dxa"/>
            <w:vAlign w:val="bottom"/>
            <w:gridSpan w:val="9"/>
          </w:tcPr>
          <w:p>
            <w:pPr>
              <w:ind w:left="20"/>
              <w:spacing w:after="0" w:line="201" w:lineRule="exact"/>
              <w:rPr>
                <w:sz w:val="20"/>
                <w:szCs w:val="20"/>
                <w:color w:val="auto"/>
              </w:rPr>
            </w:pPr>
            <w:r>
              <w:rPr>
                <w:rFonts w:ascii="Arial" w:cs="Arial" w:eastAsia="Arial" w:hAnsi="Arial"/>
                <w:sz w:val="18"/>
                <w:szCs w:val="18"/>
                <w:color w:val="auto"/>
              </w:rPr>
              <w:t>Preferred shares, Series E</w:t>
            </w:r>
          </w:p>
        </w:tc>
        <w:tc>
          <w:tcPr>
            <w:tcW w:w="160" w:type="dxa"/>
            <w:vAlign w:val="bottom"/>
          </w:tcPr>
          <w:p>
            <w:pPr>
              <w:spacing w:after="0"/>
              <w:rPr>
                <w:sz w:val="17"/>
                <w:szCs w:val="17"/>
                <w:color w:val="auto"/>
              </w:rPr>
            </w:pPr>
          </w:p>
        </w:tc>
        <w:tc>
          <w:tcPr>
            <w:tcW w:w="2520" w:type="dxa"/>
            <w:vAlign w:val="bottom"/>
            <w:gridSpan w:val="3"/>
          </w:tcPr>
          <w:p>
            <w:pPr>
              <w:jc w:val="center"/>
              <w:ind w:right="240"/>
              <w:spacing w:after="0" w:line="201" w:lineRule="exact"/>
              <w:rPr>
                <w:sz w:val="20"/>
                <w:szCs w:val="20"/>
                <w:color w:val="auto"/>
              </w:rPr>
            </w:pPr>
            <w:r>
              <w:rPr>
                <w:rFonts w:ascii="Arial" w:cs="Arial" w:eastAsia="Arial" w:hAnsi="Arial"/>
                <w:sz w:val="18"/>
                <w:szCs w:val="18"/>
                <w:color w:val="auto"/>
                <w:w w:val="90"/>
              </w:rPr>
              <w:t>Customer Relationship</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2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Manager</w:t>
            </w:r>
          </w:p>
        </w:tc>
        <w:tc>
          <w:tcPr>
            <w:tcW w:w="860" w:type="dxa"/>
            <w:vAlign w:val="bottom"/>
          </w:tcPr>
          <w:p>
            <w:pPr>
              <w:jc w:val="right"/>
              <w:spacing w:after="0"/>
              <w:rPr>
                <w:sz w:val="20"/>
                <w:szCs w:val="20"/>
                <w:color w:val="auto"/>
              </w:rPr>
            </w:pPr>
            <w:r>
              <w:rPr>
                <w:rFonts w:ascii="Arial" w:cs="Arial" w:eastAsia="Arial" w:hAnsi="Arial"/>
                <w:sz w:val="18"/>
                <w:szCs w:val="18"/>
                <w:color w:val="auto"/>
              </w:rPr>
              <w:t>373,134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1,500,522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2,354,476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1.23%</w:t>
            </w:r>
          </w:p>
        </w:tc>
      </w:tr>
      <w:tr>
        <w:trPr>
          <w:trHeight w:val="215"/>
        </w:trPr>
        <w:tc>
          <w:tcPr>
            <w:tcW w:w="448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1,524,799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5,476,502</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3,762,442</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gridSpan w:val="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6,977,024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6,116,918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3.19%</w:t>
            </w:r>
          </w:p>
        </w:tc>
      </w:tr>
      <w:tr>
        <w:trPr>
          <w:trHeight w:val="168"/>
        </w:trPr>
        <w:tc>
          <w:tcPr>
            <w:tcW w:w="4480" w:type="dxa"/>
            <w:vAlign w:val="bottom"/>
            <w:gridSpan w:val="9"/>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Dataminr, Inc.</w:t>
            </w:r>
          </w:p>
        </w:tc>
        <w:tc>
          <w:tcPr>
            <w:tcW w:w="16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jc w:val="center"/>
              <w:ind w:right="240"/>
              <w:spacing w:after="0" w:line="168" w:lineRule="exact"/>
              <w:rPr>
                <w:sz w:val="20"/>
                <w:szCs w:val="20"/>
                <w:color w:val="auto"/>
              </w:rPr>
            </w:pPr>
            <w:r>
              <w:rPr>
                <w:rFonts w:ascii="Arial" w:cs="Arial" w:eastAsia="Arial" w:hAnsi="Arial"/>
                <w:sz w:val="18"/>
                <w:szCs w:val="18"/>
                <w:color w:val="auto"/>
                <w:w w:val="95"/>
              </w:rPr>
              <w:t>New York, NY</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480" w:type="dxa"/>
            <w:vAlign w:val="bottom"/>
            <w:gridSpan w:val="9"/>
          </w:tcPr>
          <w:p>
            <w:pPr>
              <w:ind w:left="20"/>
              <w:spacing w:after="0"/>
              <w:rPr>
                <w:sz w:val="20"/>
                <w:szCs w:val="20"/>
                <w:color w:val="auto"/>
              </w:rPr>
            </w:pPr>
            <w:r>
              <w:rPr>
                <w:rFonts w:ascii="Arial" w:cs="Arial" w:eastAsia="Arial" w:hAnsi="Arial"/>
                <w:sz w:val="18"/>
                <w:szCs w:val="18"/>
                <w:color w:val="auto"/>
              </w:rPr>
              <w:t>Preferred shares, Series C</w:t>
            </w:r>
          </w:p>
        </w:tc>
        <w:tc>
          <w:tcPr>
            <w:tcW w:w="160" w:type="dxa"/>
            <w:vAlign w:val="bottom"/>
          </w:tcPr>
          <w:p>
            <w:pPr>
              <w:spacing w:after="0"/>
              <w:rPr>
                <w:sz w:val="18"/>
                <w:szCs w:val="18"/>
                <w:color w:val="auto"/>
              </w:rPr>
            </w:pPr>
          </w:p>
        </w:tc>
        <w:tc>
          <w:tcPr>
            <w:tcW w:w="25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Social Media Analytics</w:t>
            </w:r>
          </w:p>
        </w:tc>
        <w:tc>
          <w:tcPr>
            <w:tcW w:w="860" w:type="dxa"/>
            <w:vAlign w:val="bottom"/>
          </w:tcPr>
          <w:p>
            <w:pPr>
              <w:jc w:val="right"/>
              <w:spacing w:after="0"/>
              <w:rPr>
                <w:sz w:val="20"/>
                <w:szCs w:val="20"/>
                <w:color w:val="auto"/>
              </w:rPr>
            </w:pPr>
            <w:r>
              <w:rPr>
                <w:rFonts w:ascii="Arial" w:cs="Arial" w:eastAsia="Arial" w:hAnsi="Arial"/>
                <w:sz w:val="18"/>
                <w:szCs w:val="18"/>
                <w:color w:val="auto"/>
              </w:rPr>
              <w:t>301,369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1,100,909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1,377,256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0.72%</w:t>
            </w:r>
          </w:p>
        </w:tc>
      </w:tr>
      <w:tr>
        <w:trPr>
          <w:trHeight w:val="215"/>
        </w:trPr>
        <w:tc>
          <w:tcPr>
            <w:tcW w:w="448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2,063,356</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4,135,745</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gridSpan w:val="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3,164,265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5,513,001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2.87%</w:t>
            </w:r>
          </w:p>
        </w:tc>
      </w:tr>
      <w:tr>
        <w:trPr>
          <w:trHeight w:val="168"/>
        </w:trPr>
        <w:tc>
          <w:tcPr>
            <w:tcW w:w="4480" w:type="dxa"/>
            <w:vAlign w:val="bottom"/>
            <w:gridSpan w:val="9"/>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Enjoy Technology, Inc.</w:t>
            </w:r>
          </w:p>
        </w:tc>
        <w:tc>
          <w:tcPr>
            <w:tcW w:w="160" w:type="dxa"/>
            <w:vAlign w:val="bottom"/>
            <w:shd w:val="clear" w:color="auto" w:fill="CCEEFF"/>
          </w:tcPr>
          <w:p>
            <w:pPr>
              <w:spacing w:after="0"/>
              <w:rPr>
                <w:sz w:val="14"/>
                <w:szCs w:val="14"/>
                <w:color w:val="auto"/>
              </w:rPr>
            </w:pPr>
          </w:p>
        </w:tc>
        <w:tc>
          <w:tcPr>
            <w:tcW w:w="2520" w:type="dxa"/>
            <w:vAlign w:val="bottom"/>
            <w:gridSpan w:val="3"/>
            <w:shd w:val="clear" w:color="auto" w:fill="CCEEFF"/>
          </w:tcPr>
          <w:p>
            <w:pPr>
              <w:jc w:val="center"/>
              <w:ind w:right="220"/>
              <w:spacing w:after="0" w:line="168" w:lineRule="exact"/>
              <w:rPr>
                <w:sz w:val="20"/>
                <w:szCs w:val="20"/>
                <w:color w:val="auto"/>
              </w:rPr>
            </w:pPr>
            <w:r>
              <w:rPr>
                <w:rFonts w:ascii="Arial" w:cs="Arial" w:eastAsia="Arial" w:hAnsi="Arial"/>
                <w:sz w:val="18"/>
                <w:szCs w:val="18"/>
                <w:color w:val="auto"/>
                <w:w w:val="93"/>
              </w:rPr>
              <w:t>Menlo Park, CA</w:t>
            </w: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480" w:type="dxa"/>
            <w:vAlign w:val="bottom"/>
            <w:gridSpan w:val="9"/>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8"/>
                <w:szCs w:val="18"/>
                <w:color w:val="auto"/>
              </w:rPr>
            </w:pPr>
          </w:p>
        </w:tc>
        <w:tc>
          <w:tcPr>
            <w:tcW w:w="25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On-Demand Commerce</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1,681,520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4,000,280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2.08%</w:t>
            </w:r>
          </w:p>
        </w:tc>
      </w:tr>
      <w:tr>
        <w:trPr>
          <w:trHeight w:val="215"/>
        </w:trPr>
        <w:tc>
          <w:tcPr>
            <w:tcW w:w="448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879,198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1,002,440</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1,443,091</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0.75%</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gridSpan w:val="8"/>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5,002,720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5,443,091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2.83%</w:t>
            </w:r>
          </w:p>
        </w:tc>
      </w:tr>
      <w:tr>
        <w:trPr>
          <w:trHeight w:val="208"/>
        </w:trPr>
        <w:tc>
          <w:tcPr>
            <w:tcW w:w="4480" w:type="dxa"/>
            <w:vAlign w:val="bottom"/>
            <w:gridSpan w:val="9"/>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NestGSV, Inc. (d/b/a GSV Labs, Inc.)</w:t>
            </w:r>
            <w:r>
              <w:rPr>
                <w:rFonts w:ascii="Arial" w:cs="Arial" w:eastAsia="Arial" w:hAnsi="Arial"/>
                <w:sz w:val="24"/>
                <w:szCs w:val="24"/>
                <w:b w:val="1"/>
                <w:bCs w:val="1"/>
                <w:color w:val="auto"/>
                <w:vertAlign w:val="superscript"/>
              </w:rPr>
              <w:t>(2)</w:t>
            </w:r>
          </w:p>
        </w:tc>
        <w:tc>
          <w:tcPr>
            <w:tcW w:w="1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2"/>
              </w:rPr>
              <w:t>Redwood City, CA</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480" w:type="dxa"/>
            <w:vAlign w:val="bottom"/>
            <w:gridSpan w:val="9"/>
          </w:tcPr>
          <w:p>
            <w:pPr>
              <w:ind w:left="20"/>
              <w:spacing w:after="0"/>
              <w:rPr>
                <w:sz w:val="20"/>
                <w:szCs w:val="20"/>
                <w:color w:val="auto"/>
              </w:rPr>
            </w:pPr>
            <w:r>
              <w:rPr>
                <w:rFonts w:ascii="Arial" w:cs="Arial" w:eastAsia="Arial" w:hAnsi="Arial"/>
                <w:sz w:val="18"/>
                <w:szCs w:val="18"/>
                <w:color w:val="auto"/>
              </w:rPr>
              <w:t>Convertible Promissory Note 8% Due 7/31/2017***</w:t>
            </w:r>
          </w:p>
        </w:tc>
        <w:tc>
          <w:tcPr>
            <w:tcW w:w="160" w:type="dxa"/>
            <w:vAlign w:val="bottom"/>
          </w:tcPr>
          <w:p>
            <w:pPr>
              <w:spacing w:after="0"/>
              <w:rPr>
                <w:sz w:val="18"/>
                <w:szCs w:val="18"/>
                <w:color w:val="auto"/>
              </w:rPr>
            </w:pPr>
          </w:p>
        </w:tc>
        <w:tc>
          <w:tcPr>
            <w:tcW w:w="2520" w:type="dxa"/>
            <w:vAlign w:val="bottom"/>
            <w:gridSpan w:val="3"/>
          </w:tcPr>
          <w:p>
            <w:pPr>
              <w:jc w:val="right"/>
              <w:spacing w:after="0"/>
              <w:rPr>
                <w:sz w:val="20"/>
                <w:szCs w:val="20"/>
                <w:color w:val="auto"/>
              </w:rPr>
            </w:pPr>
            <w:r>
              <w:rPr>
                <w:rFonts w:ascii="Arial" w:cs="Arial" w:eastAsia="Arial" w:hAnsi="Arial"/>
                <w:sz w:val="18"/>
                <w:szCs w:val="18"/>
                <w:color w:val="auto"/>
              </w:rPr>
              <w:t>Global Innovation Platform   $</w:t>
            </w: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457,592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427,900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0.22%</w:t>
            </w:r>
          </w:p>
        </w:tc>
      </w:tr>
      <w:tr>
        <w:trPr>
          <w:trHeight w:val="215"/>
        </w:trPr>
        <w:tc>
          <w:tcPr>
            <w:tcW w:w="448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Unsecured Promissory Note 12% Due 5/29/2017***</w:t>
            </w:r>
          </w:p>
        </w:tc>
        <w:tc>
          <w:tcPr>
            <w:tcW w:w="2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501,802</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496,725</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r>
      <w:tr>
        <w:trPr>
          <w:trHeight w:val="255"/>
        </w:trPr>
        <w:tc>
          <w:tcPr>
            <w:tcW w:w="4480" w:type="dxa"/>
            <w:vAlign w:val="bottom"/>
            <w:gridSpan w:val="9"/>
          </w:tcPr>
          <w:p>
            <w:pPr>
              <w:ind w:left="20"/>
              <w:spacing w:after="0" w:line="255" w:lineRule="exact"/>
              <w:rPr>
                <w:sz w:val="20"/>
                <w:szCs w:val="20"/>
                <w:color w:val="auto"/>
              </w:rPr>
            </w:pPr>
            <w:r>
              <w:rPr>
                <w:rFonts w:ascii="Arial" w:cs="Arial" w:eastAsia="Arial" w:hAnsi="Arial"/>
                <w:sz w:val="18"/>
                <w:szCs w:val="18"/>
                <w:color w:val="auto"/>
              </w:rPr>
              <w:t>Preferred shares, Series A-4</w:t>
            </w:r>
            <w:r>
              <w:rPr>
                <w:rFonts w:ascii="Arial" w:cs="Arial" w:eastAsia="Arial" w:hAnsi="Arial"/>
                <w:sz w:val="29"/>
                <w:szCs w:val="29"/>
                <w:color w:val="auto"/>
                <w:vertAlign w:val="superscript"/>
              </w:rPr>
              <w:t>(14)</w:t>
            </w:r>
          </w:p>
        </w:tc>
        <w:tc>
          <w:tcPr>
            <w:tcW w:w="1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3,720,424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4,904,498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2,715,910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1.41%</w:t>
            </w:r>
          </w:p>
        </w:tc>
      </w:tr>
      <w:tr>
        <w:trPr>
          <w:trHeight w:val="255"/>
        </w:trPr>
        <w:tc>
          <w:tcPr>
            <w:tcW w:w="4480" w:type="dxa"/>
            <w:vAlign w:val="bottom"/>
            <w:gridSpan w:val="9"/>
            <w:shd w:val="clear" w:color="auto" w:fill="CCEEFF"/>
          </w:tcPr>
          <w:p>
            <w:pPr>
              <w:ind w:left="20"/>
              <w:spacing w:after="0" w:line="255" w:lineRule="exact"/>
              <w:rPr>
                <w:sz w:val="20"/>
                <w:szCs w:val="20"/>
                <w:color w:val="auto"/>
              </w:rPr>
            </w:pPr>
            <w:r>
              <w:rPr>
                <w:rFonts w:ascii="Arial" w:cs="Arial" w:eastAsia="Arial" w:hAnsi="Arial"/>
                <w:sz w:val="18"/>
                <w:szCs w:val="18"/>
                <w:color w:val="auto"/>
              </w:rPr>
              <w:t>Preferred shares, Series A-3</w:t>
            </w:r>
            <w:r>
              <w:rPr>
                <w:rFonts w:ascii="Arial" w:cs="Arial" w:eastAsia="Arial" w:hAnsi="Arial"/>
                <w:sz w:val="29"/>
                <w:szCs w:val="29"/>
                <w:color w:val="auto"/>
                <w:vertAlign w:val="superscript"/>
              </w:rPr>
              <w:t>(14)</w:t>
            </w:r>
          </w:p>
        </w:tc>
        <w:tc>
          <w:tcPr>
            <w:tcW w:w="16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1,561,625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2,005,730</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952,591</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55"/>
        </w:trPr>
        <w:tc>
          <w:tcPr>
            <w:tcW w:w="4480" w:type="dxa"/>
            <w:vAlign w:val="bottom"/>
            <w:gridSpan w:val="9"/>
          </w:tcPr>
          <w:p>
            <w:pPr>
              <w:ind w:left="20"/>
              <w:spacing w:after="0" w:line="255" w:lineRule="exact"/>
              <w:rPr>
                <w:sz w:val="20"/>
                <w:szCs w:val="20"/>
                <w:color w:val="auto"/>
              </w:rPr>
            </w:pPr>
            <w:r>
              <w:rPr>
                <w:rFonts w:ascii="Arial" w:cs="Arial" w:eastAsia="Arial" w:hAnsi="Arial"/>
                <w:sz w:val="18"/>
                <w:szCs w:val="18"/>
                <w:color w:val="auto"/>
              </w:rPr>
              <w:t>Preferred shares, Series A-2</w:t>
            </w:r>
            <w:r>
              <w:rPr>
                <w:rFonts w:ascii="Arial" w:cs="Arial" w:eastAsia="Arial" w:hAnsi="Arial"/>
                <w:sz w:val="29"/>
                <w:szCs w:val="29"/>
                <w:color w:val="auto"/>
                <w:vertAlign w:val="superscript"/>
              </w:rPr>
              <w:t>(14)</w:t>
            </w:r>
          </w:p>
        </w:tc>
        <w:tc>
          <w:tcPr>
            <w:tcW w:w="1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450,001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166,500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0.09%</w:t>
            </w:r>
          </w:p>
        </w:tc>
      </w:tr>
      <w:tr>
        <w:trPr>
          <w:trHeight w:val="255"/>
        </w:trPr>
        <w:tc>
          <w:tcPr>
            <w:tcW w:w="4480" w:type="dxa"/>
            <w:vAlign w:val="bottom"/>
            <w:gridSpan w:val="9"/>
            <w:shd w:val="clear" w:color="auto" w:fill="CCEEFF"/>
          </w:tcPr>
          <w:p>
            <w:pPr>
              <w:ind w:left="20"/>
              <w:spacing w:after="0" w:line="255" w:lineRule="exact"/>
              <w:rPr>
                <w:sz w:val="20"/>
                <w:szCs w:val="20"/>
                <w:color w:val="auto"/>
              </w:rPr>
            </w:pPr>
            <w:r>
              <w:rPr>
                <w:rFonts w:ascii="Arial" w:cs="Arial" w:eastAsia="Arial" w:hAnsi="Arial"/>
                <w:sz w:val="18"/>
                <w:szCs w:val="18"/>
                <w:color w:val="auto"/>
              </w:rPr>
              <w:t>Preferred shares, Series A-1</w:t>
            </w:r>
            <w:r>
              <w:rPr>
                <w:rFonts w:ascii="Arial" w:cs="Arial" w:eastAsia="Arial" w:hAnsi="Arial"/>
                <w:sz w:val="29"/>
                <w:szCs w:val="29"/>
                <w:color w:val="auto"/>
                <w:vertAlign w:val="superscript"/>
              </w:rPr>
              <w:t>(14)</w:t>
            </w:r>
          </w:p>
        </w:tc>
        <w:tc>
          <w:tcPr>
            <w:tcW w:w="16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1,021,778</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r>
      <w:tr>
        <w:trPr>
          <w:trHeight w:val="215"/>
        </w:trPr>
        <w:tc>
          <w:tcPr>
            <w:tcW w:w="4480" w:type="dxa"/>
            <w:vAlign w:val="bottom"/>
            <w:gridSpan w:val="9"/>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r>
      <w:tr>
        <w:trPr>
          <w:trHeight w:val="200"/>
        </w:trPr>
        <w:tc>
          <w:tcPr>
            <w:tcW w:w="4480" w:type="dxa"/>
            <w:vAlign w:val="bottom"/>
            <w:gridSpan w:val="9"/>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Series A-3 – $1.33 Strike Price,</w:t>
            </w:r>
          </w:p>
        </w:tc>
        <w:tc>
          <w:tcPr>
            <w:tcW w:w="1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Expiration Date 4/4/2019</w:t>
            </w:r>
          </w:p>
        </w:tc>
        <w:tc>
          <w:tcPr>
            <w:tcW w:w="1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220" w:type="dxa"/>
            <w:vAlign w:val="bottom"/>
            <w:tcBorders>
              <w:lef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0"/>
        </w:trPr>
        <w:tc>
          <w:tcPr>
            <w:tcW w:w="4480" w:type="dxa"/>
            <w:vAlign w:val="bottom"/>
            <w:gridSpan w:val="9"/>
          </w:tcPr>
          <w:p>
            <w:pPr>
              <w:ind w:left="20"/>
              <w:spacing w:after="0" w:line="201" w:lineRule="exact"/>
              <w:rPr>
                <w:sz w:val="20"/>
                <w:szCs w:val="20"/>
                <w:color w:val="auto"/>
              </w:rPr>
            </w:pPr>
            <w:r>
              <w:rPr>
                <w:rFonts w:ascii="Arial" w:cs="Arial" w:eastAsia="Arial" w:hAnsi="Arial"/>
                <w:sz w:val="18"/>
                <w:szCs w:val="18"/>
                <w:color w:val="auto"/>
              </w:rPr>
              <w:t>Preferred warrants, Series A-4 – $1.33 Strike Price,</w:t>
            </w: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460" w:type="dxa"/>
            <w:vAlign w:val="bottom"/>
            <w:gridSpan w:val="8"/>
          </w:tcPr>
          <w:p>
            <w:pPr>
              <w:ind w:left="180"/>
              <w:spacing w:after="0"/>
              <w:rPr>
                <w:sz w:val="20"/>
                <w:szCs w:val="20"/>
                <w:color w:val="auto"/>
              </w:rPr>
            </w:pPr>
            <w:r>
              <w:rPr>
                <w:rFonts w:ascii="Arial" w:cs="Arial" w:eastAsia="Arial" w:hAnsi="Arial"/>
                <w:sz w:val="18"/>
                <w:szCs w:val="18"/>
                <w:color w:val="auto"/>
              </w:rPr>
              <w:t>Expiration Date 10/6/2019</w:t>
            </w: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r>
      <w:tr>
        <w:trPr>
          <w:trHeight w:val="201"/>
        </w:trPr>
        <w:tc>
          <w:tcPr>
            <w:tcW w:w="4480" w:type="dxa"/>
            <w:vAlign w:val="bottom"/>
            <w:gridSpan w:val="9"/>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warrants, Series A-4 – $1.33 Strike Price,</w:t>
            </w:r>
          </w:p>
        </w:tc>
        <w:tc>
          <w:tcPr>
            <w:tcW w:w="1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Expiration Date 7/18/2021</w:t>
            </w:r>
          </w:p>
        </w:tc>
        <w:tc>
          <w:tcPr>
            <w:tcW w:w="1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74,380</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r>
      <w:tr>
        <w:trPr>
          <w:trHeight w:val="200"/>
        </w:trPr>
        <w:tc>
          <w:tcPr>
            <w:tcW w:w="4480" w:type="dxa"/>
            <w:vAlign w:val="bottom"/>
            <w:gridSpan w:val="9"/>
          </w:tcPr>
          <w:p>
            <w:pPr>
              <w:ind w:left="20"/>
              <w:spacing w:after="0" w:line="201" w:lineRule="exact"/>
              <w:rPr>
                <w:sz w:val="20"/>
                <w:szCs w:val="20"/>
                <w:color w:val="auto"/>
              </w:rPr>
            </w:pPr>
            <w:r>
              <w:rPr>
                <w:rFonts w:ascii="Arial" w:cs="Arial" w:eastAsia="Arial" w:hAnsi="Arial"/>
                <w:sz w:val="18"/>
                <w:szCs w:val="18"/>
                <w:color w:val="auto"/>
              </w:rPr>
              <w:t>Preferred warrants, Series A-4 – $1.33 Strike Price,</w:t>
            </w:r>
          </w:p>
        </w:tc>
        <w:tc>
          <w:tcPr>
            <w:tcW w:w="1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4460" w:type="dxa"/>
            <w:vAlign w:val="bottom"/>
            <w:gridSpan w:val="8"/>
          </w:tcPr>
          <w:p>
            <w:pPr>
              <w:ind w:left="180"/>
              <w:spacing w:after="0"/>
              <w:rPr>
                <w:sz w:val="20"/>
                <w:szCs w:val="20"/>
                <w:color w:val="auto"/>
              </w:rPr>
            </w:pPr>
            <w:r>
              <w:rPr>
                <w:rFonts w:ascii="Arial" w:cs="Arial" w:eastAsia="Arial" w:hAnsi="Arial"/>
                <w:sz w:val="18"/>
                <w:szCs w:val="18"/>
                <w:color w:val="auto"/>
              </w:rPr>
              <w:t>Expiration Date 11/29/2021</w:t>
            </w:r>
          </w:p>
        </w:tc>
        <w:tc>
          <w:tcPr>
            <w:tcW w:w="1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29,275</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6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9,601,555</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5,106,751</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08"/>
        </w:trPr>
        <w:tc>
          <w:tcPr>
            <w:tcW w:w="4480" w:type="dxa"/>
            <w:vAlign w:val="bottom"/>
            <w:tcBorders>
              <w:top w:val="single" w:sz="8" w:color="CCEEFF"/>
            </w:tcBorders>
            <w:gridSpan w:val="9"/>
          </w:tcPr>
          <w:p>
            <w:pPr>
              <w:ind w:left="20"/>
              <w:spacing w:after="0" w:line="207" w:lineRule="exact"/>
              <w:rPr>
                <w:sz w:val="20"/>
                <w:szCs w:val="20"/>
                <w:color w:val="auto"/>
              </w:rPr>
            </w:pPr>
            <w:r>
              <w:rPr>
                <w:rFonts w:ascii="Arial" w:cs="Arial" w:eastAsia="Arial" w:hAnsi="Arial"/>
                <w:sz w:val="15"/>
                <w:szCs w:val="15"/>
                <w:b w:val="1"/>
                <w:bCs w:val="1"/>
                <w:color w:val="auto"/>
              </w:rPr>
              <w:t>Whittle Schools, LLC</w:t>
            </w:r>
            <w:r>
              <w:rPr>
                <w:rFonts w:ascii="Arial" w:cs="Arial" w:eastAsia="Arial" w:hAnsi="Arial"/>
                <w:sz w:val="24"/>
                <w:szCs w:val="24"/>
                <w:b w:val="1"/>
                <w:bCs w:val="1"/>
                <w:color w:val="auto"/>
                <w:vertAlign w:val="superscript"/>
              </w:rPr>
              <w:t>(1)(5)</w:t>
            </w:r>
          </w:p>
        </w:tc>
        <w:tc>
          <w:tcPr>
            <w:tcW w:w="160" w:type="dxa"/>
            <w:vAlign w:val="bottom"/>
            <w:tcBorders>
              <w:top w:val="single" w:sz="8" w:color="CCEEFF"/>
            </w:tcBorders>
          </w:tcPr>
          <w:p>
            <w:pPr>
              <w:spacing w:after="0"/>
              <w:rPr>
                <w:sz w:val="18"/>
                <w:szCs w:val="18"/>
                <w:color w:val="auto"/>
              </w:rPr>
            </w:pPr>
          </w:p>
        </w:tc>
        <w:tc>
          <w:tcPr>
            <w:tcW w:w="2520" w:type="dxa"/>
            <w:vAlign w:val="bottom"/>
            <w:tcBorders>
              <w:top w:val="single" w:sz="8" w:color="CCEEFF"/>
            </w:tcBorders>
            <w:gridSpan w:val="3"/>
          </w:tcPr>
          <w:p>
            <w:pPr>
              <w:jc w:val="center"/>
              <w:ind w:right="240"/>
              <w:spacing w:after="0"/>
              <w:rPr>
                <w:sz w:val="20"/>
                <w:szCs w:val="20"/>
                <w:color w:val="auto"/>
              </w:rPr>
            </w:pPr>
            <w:r>
              <w:rPr>
                <w:rFonts w:ascii="Arial" w:cs="Arial" w:eastAsia="Arial" w:hAnsi="Arial"/>
                <w:sz w:val="18"/>
                <w:szCs w:val="18"/>
                <w:color w:val="auto"/>
                <w:w w:val="95"/>
              </w:rPr>
              <w:t>New York, NY</w:t>
            </w:r>
          </w:p>
        </w:tc>
        <w:tc>
          <w:tcPr>
            <w:tcW w:w="8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0"/>
        </w:trPr>
        <w:tc>
          <w:tcPr>
            <w:tcW w:w="4480" w:type="dxa"/>
            <w:vAlign w:val="bottom"/>
            <w:gridSpan w:val="9"/>
            <w:shd w:val="clear" w:color="auto" w:fill="CCEEFF"/>
          </w:tcPr>
          <w:p>
            <w:pPr>
              <w:ind w:left="20"/>
              <w:spacing w:after="0" w:line="201" w:lineRule="exact"/>
              <w:rPr>
                <w:sz w:val="20"/>
                <w:szCs w:val="20"/>
                <w:color w:val="auto"/>
              </w:rPr>
            </w:pPr>
            <w:r>
              <w:rPr>
                <w:rFonts w:ascii="Arial" w:cs="Arial" w:eastAsia="Arial" w:hAnsi="Arial"/>
                <w:sz w:val="18"/>
                <w:szCs w:val="18"/>
                <w:color w:val="auto"/>
              </w:rPr>
              <w:t>Preferred shares, Series B</w:t>
            </w:r>
          </w:p>
        </w:tc>
        <w:tc>
          <w:tcPr>
            <w:tcW w:w="160" w:type="dxa"/>
            <w:vAlign w:val="bottom"/>
            <w:shd w:val="clear" w:color="auto" w:fill="CCEEFF"/>
          </w:tcPr>
          <w:p>
            <w:pPr>
              <w:spacing w:after="0"/>
              <w:rPr>
                <w:sz w:val="17"/>
                <w:szCs w:val="17"/>
                <w:color w:val="auto"/>
              </w:rPr>
            </w:pPr>
          </w:p>
        </w:tc>
        <w:tc>
          <w:tcPr>
            <w:tcW w:w="2520" w:type="dxa"/>
            <w:vAlign w:val="bottom"/>
            <w:gridSpan w:val="3"/>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0"/>
              </w:rPr>
              <w:t>Globally-Focused Private</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0"/>
              </w:rPr>
              <w:t>School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3,000,000</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r>
      <w:tr>
        <w:trPr>
          <w:trHeight w:val="215"/>
        </w:trPr>
        <w:tc>
          <w:tcPr>
            <w:tcW w:w="4480" w:type="dxa"/>
            <w:vAlign w:val="bottom"/>
            <w:gridSpan w:val="9"/>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1,577,097</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0.78%</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6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4,577,097</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2.34%</w:t>
            </w:r>
          </w:p>
        </w:tc>
      </w:tr>
      <w:tr>
        <w:trPr>
          <w:trHeight w:val="168"/>
        </w:trPr>
        <w:tc>
          <w:tcPr>
            <w:tcW w:w="4480" w:type="dxa"/>
            <w:vAlign w:val="bottom"/>
            <w:tcBorders>
              <w:top w:val="single" w:sz="8" w:color="CCEEFF"/>
            </w:tcBorders>
            <w:gridSpan w:val="9"/>
          </w:tcPr>
          <w:p>
            <w:pPr>
              <w:ind w:left="20"/>
              <w:spacing w:after="0" w:line="168" w:lineRule="exact"/>
              <w:rPr>
                <w:sz w:val="20"/>
                <w:szCs w:val="20"/>
                <w:color w:val="auto"/>
              </w:rPr>
            </w:pPr>
            <w:r>
              <w:rPr>
                <w:rFonts w:ascii="Arial" w:cs="Arial" w:eastAsia="Arial" w:hAnsi="Arial"/>
                <w:sz w:val="18"/>
                <w:szCs w:val="18"/>
                <w:b w:val="1"/>
                <w:bCs w:val="1"/>
                <w:color w:val="auto"/>
              </w:rPr>
              <w:t>Snap Inc. (f/k/a Snapchat, Inc.)</w:t>
            </w:r>
          </w:p>
        </w:tc>
        <w:tc>
          <w:tcPr>
            <w:tcW w:w="160" w:type="dxa"/>
            <w:vAlign w:val="bottom"/>
            <w:tcBorders>
              <w:top w:val="single" w:sz="8" w:color="CCEEFF"/>
            </w:tcBorders>
          </w:tcPr>
          <w:p>
            <w:pPr>
              <w:spacing w:after="0"/>
              <w:rPr>
                <w:sz w:val="14"/>
                <w:szCs w:val="14"/>
                <w:color w:val="auto"/>
              </w:rPr>
            </w:pPr>
          </w:p>
        </w:tc>
        <w:tc>
          <w:tcPr>
            <w:tcW w:w="2520" w:type="dxa"/>
            <w:vAlign w:val="bottom"/>
            <w:tcBorders>
              <w:top w:val="single" w:sz="8" w:color="CCEEFF"/>
            </w:tcBorders>
            <w:gridSpan w:val="3"/>
          </w:tcPr>
          <w:p>
            <w:pPr>
              <w:jc w:val="center"/>
              <w:ind w:right="220"/>
              <w:spacing w:after="0" w:line="168" w:lineRule="exact"/>
              <w:rPr>
                <w:sz w:val="20"/>
                <w:szCs w:val="20"/>
                <w:color w:val="auto"/>
              </w:rPr>
            </w:pPr>
            <w:r>
              <w:rPr>
                <w:rFonts w:ascii="Arial" w:cs="Arial" w:eastAsia="Arial" w:hAnsi="Arial"/>
                <w:sz w:val="18"/>
                <w:szCs w:val="18"/>
                <w:color w:val="auto"/>
                <w:w w:val="91"/>
              </w:rPr>
              <w:t>Venice, CA</w:t>
            </w:r>
          </w:p>
        </w:tc>
        <w:tc>
          <w:tcPr>
            <w:tcW w:w="8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5"/>
        </w:trPr>
        <w:tc>
          <w:tcPr>
            <w:tcW w:w="4480" w:type="dxa"/>
            <w:vAlign w:val="bottom"/>
            <w:gridSpan w:val="9"/>
            <w:shd w:val="clear" w:color="auto" w:fill="CCEEFF"/>
          </w:tcPr>
          <w:p>
            <w:pPr>
              <w:ind w:left="20"/>
              <w:spacing w:after="0" w:line="255" w:lineRule="exact"/>
              <w:rPr>
                <w:sz w:val="20"/>
                <w:szCs w:val="20"/>
                <w:color w:val="auto"/>
              </w:rPr>
            </w:pPr>
            <w:r>
              <w:rPr>
                <w:rFonts w:ascii="Arial" w:cs="Arial" w:eastAsia="Arial" w:hAnsi="Arial"/>
                <w:sz w:val="18"/>
                <w:szCs w:val="18"/>
                <w:color w:val="auto"/>
              </w:rPr>
              <w:t>Preferred shares, Series F</w:t>
            </w:r>
            <w:r>
              <w:rPr>
                <w:rFonts w:ascii="Arial" w:cs="Arial" w:eastAsia="Arial" w:hAnsi="Arial"/>
                <w:sz w:val="29"/>
                <w:szCs w:val="29"/>
                <w:color w:val="auto"/>
                <w:vertAlign w:val="superscript"/>
              </w:rPr>
              <w:t>(17)</w:t>
            </w:r>
          </w:p>
        </w:tc>
        <w:tc>
          <w:tcPr>
            <w:tcW w:w="160" w:type="dxa"/>
            <w:vAlign w:val="bottom"/>
            <w:shd w:val="clear" w:color="auto" w:fill="CCEEFF"/>
          </w:tcPr>
          <w:p>
            <w:pPr>
              <w:spacing w:after="0"/>
              <w:rPr>
                <w:sz w:val="22"/>
                <w:szCs w:val="22"/>
                <w:color w:val="auto"/>
              </w:rPr>
            </w:pPr>
          </w:p>
        </w:tc>
        <w:tc>
          <w:tcPr>
            <w:tcW w:w="25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1"/>
              </w:rPr>
              <w:t>Social Communication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2,001,135</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2,184,565</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55"/>
        </w:trPr>
        <w:tc>
          <w:tcPr>
            <w:tcW w:w="4480" w:type="dxa"/>
            <w:vAlign w:val="bottom"/>
            <w:gridSpan w:val="9"/>
          </w:tcPr>
          <w:p>
            <w:pPr>
              <w:ind w:left="20"/>
              <w:spacing w:after="0" w:line="255" w:lineRule="exact"/>
              <w:rPr>
                <w:sz w:val="20"/>
                <w:szCs w:val="20"/>
                <w:color w:val="auto"/>
              </w:rPr>
            </w:pPr>
            <w:r>
              <w:rPr>
                <w:rFonts w:ascii="Arial" w:cs="Arial" w:eastAsia="Arial" w:hAnsi="Arial"/>
                <w:sz w:val="18"/>
                <w:szCs w:val="18"/>
                <w:color w:val="auto"/>
              </w:rPr>
              <w:t>Common shares, Class A</w:t>
            </w:r>
            <w:r>
              <w:rPr>
                <w:rFonts w:ascii="Arial" w:cs="Arial" w:eastAsia="Arial" w:hAnsi="Arial"/>
                <w:sz w:val="29"/>
                <w:szCs w:val="29"/>
                <w:color w:val="auto"/>
                <w:vertAlign w:val="superscript"/>
              </w:rPr>
              <w:t>(17)</w:t>
            </w:r>
          </w:p>
        </w:tc>
        <w:tc>
          <w:tcPr>
            <w:tcW w:w="16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130,208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2,001,135</w:t>
            </w: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2,184,565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6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4,002,270</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4,369,130</w:t>
            </w:r>
          </w:p>
        </w:tc>
        <w:tc>
          <w:tcPr>
            <w:tcW w:w="980" w:type="dxa"/>
            <w:vAlign w:val="bottom"/>
            <w:tcBorders>
              <w:lef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-6207760</wp:posOffset>
            </wp:positionV>
            <wp:extent cx="7026275" cy="153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-5074920</wp:posOffset>
            </wp:positionV>
            <wp:extent cx="7026275" cy="153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-4512945</wp:posOffset>
            </wp:positionV>
            <wp:extent cx="7026275" cy="153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-3950970</wp:posOffset>
            </wp:positionV>
            <wp:extent cx="7026275" cy="153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026275" cy="170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026275" cy="144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0262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14" w:name="page15"/>
    <w:bookmarkEnd w:id="1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7030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03070"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-36195</wp:posOffset>
            </wp:positionV>
            <wp:extent cx="37896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78968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 of</w:t>
            </w:r>
          </w:p>
        </w:tc>
      </w:tr>
      <w:tr>
        <w:trPr>
          <w:trHeight w:val="152"/>
        </w:trPr>
        <w:tc>
          <w:tcPr>
            <w:tcW w:w="4840" w:type="dxa"/>
            <w:vAlign w:val="bottom"/>
            <w:tcBorders>
              <w:bottom w:val="single" w:sz="8" w:color="auto"/>
            </w:tcBorders>
            <w:gridSpan w:val="12"/>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60" w:type="dxa"/>
            <w:vAlign w:val="bottom"/>
          </w:tcPr>
          <w:p>
            <w:pPr>
              <w:spacing w:after="0"/>
              <w:rPr>
                <w:sz w:val="13"/>
                <w:szCs w:val="13"/>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Headquarters/Industry</w:t>
            </w:r>
          </w:p>
        </w:tc>
        <w:tc>
          <w:tcPr>
            <w:tcW w:w="160" w:type="dxa"/>
            <w:vAlign w:val="bottom"/>
          </w:tcPr>
          <w:p>
            <w:pPr>
              <w:spacing w:after="0"/>
              <w:rPr>
                <w:sz w:val="13"/>
                <w:szCs w:val="13"/>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99"/>
              </w:rPr>
              <w:t>Fair Value</w:t>
            </w:r>
          </w:p>
        </w:tc>
        <w:tc>
          <w:tcPr>
            <w:tcW w:w="220" w:type="dxa"/>
            <w:vAlign w:val="bottom"/>
          </w:tcPr>
          <w:p>
            <w:pPr>
              <w:spacing w:after="0"/>
              <w:rPr>
                <w:sz w:val="13"/>
                <w:szCs w:val="13"/>
                <w:color w:val="auto"/>
              </w:rPr>
            </w:pPr>
          </w:p>
        </w:tc>
        <w:tc>
          <w:tcPr>
            <w:tcW w:w="7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w w:val="95"/>
              </w:rPr>
              <w:t>Net Assets</w:t>
            </w:r>
          </w:p>
        </w:tc>
      </w:tr>
      <w:tr>
        <w:trPr>
          <w:trHeight w:val="208"/>
        </w:trPr>
        <w:tc>
          <w:tcPr>
            <w:tcW w:w="4840" w:type="dxa"/>
            <w:vAlign w:val="bottom"/>
            <w:gridSpan w:val="12"/>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SPBRX, INC. (f/k/a GSV Sustainability Partners, Inc.)</w:t>
            </w:r>
            <w:r>
              <w:rPr>
                <w:rFonts w:ascii="Arial" w:cs="Arial" w:eastAsia="Arial" w:hAnsi="Arial"/>
                <w:sz w:val="24"/>
                <w:szCs w:val="24"/>
                <w:b w:val="1"/>
                <w:bCs w:val="1"/>
                <w:color w:val="auto"/>
                <w:vertAlign w:val="superscript"/>
              </w:rPr>
              <w:t>(2)</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Woodside, CA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76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840" w:type="dxa"/>
            <w:vAlign w:val="bottom"/>
            <w:gridSpan w:val="12"/>
          </w:tcPr>
          <w:p>
            <w:pPr>
              <w:ind w:left="20"/>
              <w:spacing w:after="0"/>
              <w:rPr>
                <w:sz w:val="20"/>
                <w:szCs w:val="20"/>
                <w:color w:val="auto"/>
              </w:rPr>
            </w:pPr>
            <w:r>
              <w:rPr>
                <w:rFonts w:ascii="Arial" w:cs="Arial" w:eastAsia="Arial" w:hAnsi="Arial"/>
                <w:sz w:val="18"/>
                <w:szCs w:val="18"/>
                <w:color w:val="auto"/>
              </w:rPr>
              <w:t>Preferred shares, Class A</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Clean Technology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14,300,000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$7,151,412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$4,309,778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2.24%</w:t>
            </w:r>
          </w:p>
        </w:tc>
      </w:tr>
      <w:tr>
        <w:trPr>
          <w:trHeight w:val="215"/>
        </w:trPr>
        <w:tc>
          <w:tcPr>
            <w:tcW w:w="484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7,161,412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4,309,778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2.24%</w:t>
            </w:r>
          </w:p>
        </w:tc>
      </w:tr>
      <w:tr>
        <w:trPr>
          <w:trHeight w:val="168"/>
        </w:trPr>
        <w:tc>
          <w:tcPr>
            <w:tcW w:w="4840" w:type="dxa"/>
            <w:vAlign w:val="bottom"/>
            <w:gridSpan w:val="12"/>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Parchment, Inc.</w:t>
            </w:r>
          </w:p>
        </w:tc>
        <w:tc>
          <w:tcPr>
            <w:tcW w:w="16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0"/>
              </w:rPr>
              <w:t>Scottsdale, AZ</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84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D</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E-Transcript Exchange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3,200,512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4,000,982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4,000,000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2.08%</w:t>
            </w:r>
          </w:p>
        </w:tc>
      </w:tr>
      <w:tr>
        <w:trPr>
          <w:trHeight w:val="215"/>
        </w:trPr>
        <w:tc>
          <w:tcPr>
            <w:tcW w:w="4840" w:type="dxa"/>
            <w:vAlign w:val="bottom"/>
            <w:gridSpan w:val="12"/>
            <w:shd w:val="clear" w:color="auto" w:fill="CCEEFF"/>
          </w:tcPr>
          <w:p>
            <w:pPr>
              <w:ind w:left="20"/>
              <w:spacing w:after="0" w:line="214" w:lineRule="exact"/>
              <w:rPr>
                <w:sz w:val="20"/>
                <w:szCs w:val="20"/>
                <w:color w:val="auto"/>
              </w:rPr>
            </w:pPr>
            <w:r>
              <w:rPr>
                <w:rFonts w:ascii="Arial" w:cs="Arial" w:eastAsia="Arial" w:hAnsi="Arial"/>
                <w:sz w:val="15"/>
                <w:szCs w:val="15"/>
                <w:b w:val="1"/>
                <w:bCs w:val="1"/>
                <w:color w:val="auto"/>
              </w:rPr>
              <w:t>CUX, Inc. (d/b/a CorpU)</w:t>
            </w:r>
            <w:r>
              <w:rPr>
                <w:rFonts w:ascii="Arial" w:cs="Arial" w:eastAsia="Arial" w:hAnsi="Arial"/>
                <w:sz w:val="24"/>
                <w:szCs w:val="24"/>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Philadelphia, PA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4840" w:type="dxa"/>
            <w:vAlign w:val="bottom"/>
            <w:gridSpan w:val="12"/>
          </w:tcPr>
          <w:p>
            <w:pPr>
              <w:ind w:left="20"/>
              <w:spacing w:after="0" w:line="204" w:lineRule="exact"/>
              <w:rPr>
                <w:sz w:val="20"/>
                <w:szCs w:val="20"/>
                <w:color w:val="auto"/>
              </w:rPr>
            </w:pPr>
            <w:r>
              <w:rPr>
                <w:rFonts w:ascii="Arial" w:cs="Arial" w:eastAsia="Arial" w:hAnsi="Arial"/>
                <w:sz w:val="18"/>
                <w:szCs w:val="18"/>
                <w:color w:val="auto"/>
              </w:rPr>
              <w:t>Senior Subordinated Convertible Promissory Note 8%, Due</w:t>
            </w: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5"/>
        </w:trPr>
        <w:tc>
          <w:tcPr>
            <w:tcW w:w="1660" w:type="dxa"/>
            <w:vAlign w:val="bottom"/>
            <w:gridSpan w:val="7"/>
          </w:tcPr>
          <w:p>
            <w:pPr>
              <w:ind w:left="200"/>
              <w:spacing w:after="0" w:line="266" w:lineRule="exact"/>
              <w:rPr>
                <w:sz w:val="20"/>
                <w:szCs w:val="20"/>
                <w:color w:val="auto"/>
              </w:rPr>
            </w:pPr>
            <w:r>
              <w:rPr>
                <w:rFonts w:ascii="Arial" w:cs="Arial" w:eastAsia="Arial" w:hAnsi="Arial"/>
                <w:sz w:val="18"/>
                <w:szCs w:val="18"/>
                <w:color w:val="auto"/>
              </w:rPr>
              <w:t>11/26/2018***</w:t>
            </w:r>
            <w:r>
              <w:rPr>
                <w:rFonts w:ascii="Arial" w:cs="Arial" w:eastAsia="Arial" w:hAnsi="Arial"/>
                <w:sz w:val="29"/>
                <w:szCs w:val="29"/>
                <w:color w:val="auto"/>
                <w:vertAlign w:val="superscript"/>
              </w:rPr>
              <w:t>(8)</w:t>
            </w: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Corporate Education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$ 1,166,400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1,166,400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1,166,400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0.61%</w:t>
            </w:r>
          </w:p>
        </w:tc>
      </w:tr>
      <w:tr>
        <w:trPr>
          <w:trHeight w:val="215"/>
        </w:trPr>
        <w:tc>
          <w:tcPr>
            <w:tcW w:w="484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Convertible preferred shares, Series D</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778,607</w:t>
            </w:r>
          </w:p>
        </w:tc>
        <w:tc>
          <w:tcPr>
            <w:tcW w:w="10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775,861</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r>
      <w:tr>
        <w:trPr>
          <w:trHeight w:val="215"/>
        </w:trPr>
        <w:tc>
          <w:tcPr>
            <w:tcW w:w="4840" w:type="dxa"/>
            <w:vAlign w:val="bottom"/>
            <w:gridSpan w:val="12"/>
          </w:tcPr>
          <w:p>
            <w:pPr>
              <w:ind w:left="20"/>
              <w:spacing w:after="0"/>
              <w:rPr>
                <w:sz w:val="20"/>
                <w:szCs w:val="20"/>
                <w:color w:val="auto"/>
              </w:rPr>
            </w:pPr>
            <w:r>
              <w:rPr>
                <w:rFonts w:ascii="Arial" w:cs="Arial" w:eastAsia="Arial" w:hAnsi="Arial"/>
                <w:sz w:val="18"/>
                <w:szCs w:val="18"/>
                <w:color w:val="auto"/>
              </w:rPr>
              <w:t>Convertible preferred shares, Series C</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615,763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2,006,077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1,913,484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00"/>
        </w:trPr>
        <w:tc>
          <w:tcPr>
            <w:tcW w:w="4840" w:type="dxa"/>
            <w:vAlign w:val="bottom"/>
            <w:gridSpan w:val="12"/>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Preferred warrants, Series D, $4.59 Strike Price, Expiration Date</w:t>
            </w: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28"/>
        </w:trPr>
        <w:tc>
          <w:tcPr>
            <w:tcW w:w="10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2/25/2018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20" w:type="dxa"/>
            <w:vAlign w:val="bottom"/>
            <w:tcBorders>
              <w:left w:val="single" w:sz="8" w:color="CCEEFF"/>
            </w:tcBorders>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3,951,084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3,860,140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2.01%</w:t>
            </w:r>
          </w:p>
        </w:tc>
      </w:tr>
      <w:tr>
        <w:trPr>
          <w:trHeight w:val="168"/>
        </w:trPr>
        <w:tc>
          <w:tcPr>
            <w:tcW w:w="4840" w:type="dxa"/>
            <w:vAlign w:val="bottom"/>
            <w:gridSpan w:val="12"/>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Knewton, Inc.</w:t>
            </w:r>
          </w:p>
        </w:tc>
        <w:tc>
          <w:tcPr>
            <w:tcW w:w="16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5"/>
              </w:rPr>
              <w:t>New York, NY</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84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E</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375,985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4,999,999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3,782,409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r>
      <w:tr>
        <w:trPr>
          <w:trHeight w:val="174"/>
        </w:trPr>
        <w:tc>
          <w:tcPr>
            <w:tcW w:w="4840" w:type="dxa"/>
            <w:vAlign w:val="bottom"/>
            <w:gridSpan w:val="12"/>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DogVacay, Inc.</w:t>
            </w:r>
          </w:p>
        </w:tc>
        <w:tc>
          <w:tcPr>
            <w:tcW w:w="16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2"/>
              </w:rPr>
              <w:t>Santa Monica, CA</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84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B-1</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Peer-to-Peer Pet Services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514,562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2,506,119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2,500,771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1.30%</w:t>
            </w:r>
          </w:p>
        </w:tc>
      </w:tr>
      <w:tr>
        <w:trPr>
          <w:trHeight w:val="174"/>
        </w:trPr>
        <w:tc>
          <w:tcPr>
            <w:tcW w:w="4840" w:type="dxa"/>
            <w:vAlign w:val="bottom"/>
            <w:gridSpan w:val="12"/>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SharesPost, Inc.</w:t>
            </w:r>
          </w:p>
        </w:tc>
        <w:tc>
          <w:tcPr>
            <w:tcW w:w="16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1"/>
              </w:rPr>
              <w:t>San Bruno, CA</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484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1"/>
              </w:rPr>
              <w:t>Online Marketplace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Finance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1,771,653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2,259,716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2,249,999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1.17%</w:t>
            </w:r>
          </w:p>
        </w:tc>
      </w:tr>
      <w:tr>
        <w:trPr>
          <w:trHeight w:val="215"/>
        </w:trPr>
        <w:tc>
          <w:tcPr>
            <w:tcW w:w="484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w w:val="92"/>
              </w:rPr>
              <w:t>Common warrants, $0.13 Strike Price, Expiration Date 6/15/2018</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770,934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23,128</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69,384</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2,282,844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2,319,383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1.21%</w:t>
            </w:r>
          </w:p>
        </w:tc>
      </w:tr>
      <w:tr>
        <w:trPr>
          <w:trHeight w:val="168"/>
        </w:trPr>
        <w:tc>
          <w:tcPr>
            <w:tcW w:w="4840" w:type="dxa"/>
            <w:vAlign w:val="bottom"/>
            <w:gridSpan w:val="12"/>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DreamBox Learning, Inc.</w:t>
            </w:r>
          </w:p>
        </w:tc>
        <w:tc>
          <w:tcPr>
            <w:tcW w:w="16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2"/>
              </w:rPr>
              <w:t>Bellevue, WA</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84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A-1</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Education Technology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7,159,221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1,502,362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1,503,436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0.78%</w:t>
            </w:r>
          </w:p>
        </w:tc>
      </w:tr>
      <w:tr>
        <w:trPr>
          <w:trHeight w:val="215"/>
        </w:trPr>
        <w:tc>
          <w:tcPr>
            <w:tcW w:w="484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3,579,610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758,017</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751,718</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2,260,379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2,255,154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1.17%</w:t>
            </w:r>
          </w:p>
        </w:tc>
      </w:tr>
      <w:tr>
        <w:trPr>
          <w:trHeight w:val="208"/>
        </w:trPr>
        <w:tc>
          <w:tcPr>
            <w:tcW w:w="4840" w:type="dxa"/>
            <w:vAlign w:val="bottom"/>
            <w:gridSpan w:val="12"/>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Maven Research, Inc.</w:t>
            </w:r>
            <w:r>
              <w:rPr>
                <w:rFonts w:ascii="Arial" w:cs="Arial" w:eastAsia="Arial" w:hAnsi="Arial"/>
                <w:sz w:val="24"/>
                <w:szCs w:val="24"/>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San Francisco, CA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84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C</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Knowledge Networks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318,979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2,000,447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1,999,998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r>
      <w:tr>
        <w:trPr>
          <w:trHeight w:val="215"/>
        </w:trPr>
        <w:tc>
          <w:tcPr>
            <w:tcW w:w="484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217,206</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223,763</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2,217,653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2,223,761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1.16%</w:t>
            </w:r>
          </w:p>
        </w:tc>
      </w:tr>
      <w:tr>
        <w:trPr>
          <w:trHeight w:val="208"/>
        </w:trPr>
        <w:tc>
          <w:tcPr>
            <w:tcW w:w="4840" w:type="dxa"/>
            <w:vAlign w:val="bottom"/>
            <w:gridSpan w:val="12"/>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Strategic Data Command, LLC</w:t>
            </w:r>
            <w:r>
              <w:rPr>
                <w:rFonts w:ascii="Arial" w:cs="Arial" w:eastAsia="Arial" w:hAnsi="Arial"/>
                <w:sz w:val="24"/>
                <w:szCs w:val="24"/>
                <w:b w:val="1"/>
                <w:bCs w:val="1"/>
                <w:color w:val="auto"/>
                <w:vertAlign w:val="superscript"/>
              </w:rPr>
              <w:t>(1)(7)</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Sunnyvale, CA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840" w:type="dxa"/>
            <w:vAlign w:val="bottom"/>
            <w:gridSpan w:val="12"/>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Big Data Consulting</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989,277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2,052,555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1.07%</w:t>
            </w:r>
          </w:p>
        </w:tc>
      </w:tr>
      <w:tr>
        <w:trPr>
          <w:trHeight w:val="174"/>
        </w:trPr>
        <w:tc>
          <w:tcPr>
            <w:tcW w:w="4840" w:type="dxa"/>
            <w:vAlign w:val="bottom"/>
            <w:gridSpan w:val="12"/>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Clever, Inc.</w:t>
            </w:r>
          </w:p>
        </w:tc>
        <w:tc>
          <w:tcPr>
            <w:tcW w:w="16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San Francisco, CA</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840" w:type="dxa"/>
            <w:vAlign w:val="bottom"/>
            <w:gridSpan w:val="12"/>
          </w:tcPr>
          <w:p>
            <w:pPr>
              <w:ind w:left="20"/>
              <w:spacing w:after="0"/>
              <w:rPr>
                <w:sz w:val="20"/>
                <w:szCs w:val="20"/>
                <w:color w:val="auto"/>
              </w:rPr>
            </w:pPr>
            <w:r>
              <w:rPr>
                <w:rFonts w:ascii="Arial" w:cs="Arial" w:eastAsia="Arial" w:hAnsi="Arial"/>
                <w:sz w:val="18"/>
                <w:szCs w:val="18"/>
                <w:color w:val="auto"/>
              </w:rPr>
              <w:t>Preferred shares, Series B</w:t>
            </w:r>
          </w:p>
        </w:tc>
        <w:tc>
          <w:tcPr>
            <w:tcW w:w="1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Education Software</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1,799,047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2,000,601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2,000,001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r>
      <w:tr>
        <w:trPr>
          <w:trHeight w:val="215"/>
        </w:trPr>
        <w:tc>
          <w:tcPr>
            <w:tcW w:w="4840" w:type="dxa"/>
            <w:vAlign w:val="bottom"/>
            <w:gridSpan w:val="12"/>
            <w:shd w:val="clear" w:color="auto" w:fill="CCEEFF"/>
          </w:tcPr>
          <w:p>
            <w:pPr>
              <w:ind w:left="20"/>
              <w:spacing w:after="0" w:line="214" w:lineRule="exact"/>
              <w:rPr>
                <w:sz w:val="20"/>
                <w:szCs w:val="20"/>
                <w:color w:val="auto"/>
              </w:rPr>
            </w:pPr>
            <w:r>
              <w:rPr>
                <w:rFonts w:ascii="Arial" w:cs="Arial" w:eastAsia="Arial" w:hAnsi="Arial"/>
                <w:sz w:val="15"/>
                <w:szCs w:val="15"/>
                <w:b w:val="1"/>
                <w:bCs w:val="1"/>
                <w:color w:val="auto"/>
              </w:rPr>
              <w:t>EdSurge, Inc.</w:t>
            </w:r>
            <w:r>
              <w:rPr>
                <w:rFonts w:ascii="Arial" w:cs="Arial" w:eastAsia="Arial" w:hAnsi="Arial"/>
                <w:sz w:val="24"/>
                <w:szCs w:val="24"/>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Burlingame, CA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00"/>
        </w:trPr>
        <w:tc>
          <w:tcPr>
            <w:tcW w:w="4840" w:type="dxa"/>
            <w:vAlign w:val="bottom"/>
            <w:gridSpan w:val="12"/>
          </w:tcPr>
          <w:p>
            <w:pPr>
              <w:ind w:left="20"/>
              <w:spacing w:after="0" w:line="201" w:lineRule="exact"/>
              <w:rPr>
                <w:sz w:val="20"/>
                <w:szCs w:val="20"/>
                <w:color w:val="auto"/>
              </w:rPr>
            </w:pPr>
            <w:r>
              <w:rPr>
                <w:rFonts w:ascii="Arial" w:cs="Arial" w:eastAsia="Arial" w:hAnsi="Arial"/>
                <w:sz w:val="18"/>
                <w:szCs w:val="18"/>
                <w:color w:val="auto"/>
              </w:rPr>
              <w:t>Preferred shares, Series A-1</w:t>
            </w:r>
          </w:p>
        </w:tc>
        <w:tc>
          <w:tcPr>
            <w:tcW w:w="16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0"/>
              </w:rPr>
              <w:t>Education Media</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Platform</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378,788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501,360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r>
      <w:tr>
        <w:trPr>
          <w:trHeight w:val="215"/>
        </w:trPr>
        <w:tc>
          <w:tcPr>
            <w:tcW w:w="4840" w:type="dxa"/>
            <w:vAlign w:val="bottom"/>
            <w:gridSpan w:val="12"/>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494,365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500,801</w:t>
            </w:r>
          </w:p>
        </w:tc>
        <w:tc>
          <w:tcPr>
            <w:tcW w:w="20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588,294</w:t>
            </w:r>
          </w:p>
        </w:tc>
        <w:tc>
          <w:tcPr>
            <w:tcW w:w="9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0.31%</w:t>
            </w:r>
          </w:p>
        </w:tc>
      </w:tr>
      <w:tr>
        <w:trPr>
          <w:trHeight w:val="20"/>
        </w:trPr>
        <w:tc>
          <w:tcPr>
            <w:tcW w:w="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11"/>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1,002,161</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1,088,294</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0.57%</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-5271135</wp:posOffset>
            </wp:positionV>
            <wp:extent cx="7026275" cy="153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-3840480</wp:posOffset>
            </wp:positionV>
            <wp:extent cx="7026275" cy="153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-2597150</wp:posOffset>
            </wp:positionV>
            <wp:extent cx="7026275" cy="153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-2034540</wp:posOffset>
            </wp:positionV>
            <wp:extent cx="7026275" cy="153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-1447165</wp:posOffset>
            </wp:positionV>
            <wp:extent cx="7026275" cy="153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026275" cy="153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26275" cy="1530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15" w:name="page16"/>
    <w:bookmarkEnd w:id="1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7030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03070" cy="8255"/>
                    </a:xfrm>
                    <a:prstGeom prst="rect">
                      <a:avLst/>
                    </a:prstGeom>
                    <a:noFill/>
                  </pic:spPr>
                </pic:pic>
              </a:graphicData>
            </a:graphic>
          </wp:anchor>
        </w:drawing>
        <w:drawing>
          <wp:anchor simplePos="0" relativeHeight="251657728" behindDoc="1" locked="0" layoutInCell="0" allowOverlap="1">
            <wp:simplePos x="0" y="0"/>
            <wp:positionH relativeFrom="column">
              <wp:posOffset>3173095</wp:posOffset>
            </wp:positionH>
            <wp:positionV relativeFrom="paragraph">
              <wp:posOffset>-36195</wp:posOffset>
            </wp:positionV>
            <wp:extent cx="38582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5826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2"/>
        </w:trPr>
        <w:tc>
          <w:tcPr>
            <w:tcW w:w="484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60" w:type="dxa"/>
            <w:vAlign w:val="bottom"/>
          </w:tcPr>
          <w:p>
            <w:pPr>
              <w:spacing w:after="0"/>
              <w:rPr>
                <w:sz w:val="13"/>
                <w:szCs w:val="13"/>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Headquarters/Industry</w:t>
            </w:r>
          </w:p>
        </w:tc>
        <w:tc>
          <w:tcPr>
            <w:tcW w:w="16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3"/>
              </w:rPr>
              <w:t>Fair Value</w:t>
            </w:r>
          </w:p>
        </w:tc>
        <w:tc>
          <w:tcPr>
            <w:tcW w:w="2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8"/>
        </w:trPr>
        <w:tc>
          <w:tcPr>
            <w:tcW w:w="4840" w:type="dxa"/>
            <w:vAlign w:val="bottom"/>
            <w:gridSpan w:val="13"/>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Tynker (f/k/a Neuron Fuel, Inc.)</w:t>
            </w:r>
          </w:p>
        </w:tc>
        <w:tc>
          <w:tcPr>
            <w:tcW w:w="16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4"/>
              </w:rPr>
              <w:t>Mountain View, CA</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840" w:type="dxa"/>
            <w:vAlign w:val="bottom"/>
            <w:gridSpan w:val="13"/>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Computer Software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534,162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309,310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$ 881,367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0.46%</w:t>
            </w:r>
          </w:p>
        </w:tc>
      </w:tr>
      <w:tr>
        <w:trPr>
          <w:trHeight w:val="174"/>
        </w:trPr>
        <w:tc>
          <w:tcPr>
            <w:tcW w:w="4840" w:type="dxa"/>
            <w:vAlign w:val="bottom"/>
            <w:gridSpan w:val="13"/>
            <w:shd w:val="clear" w:color="auto" w:fill="CCEEFF"/>
          </w:tcPr>
          <w:p>
            <w:pPr>
              <w:ind w:left="20"/>
              <w:spacing w:after="0" w:line="175" w:lineRule="exact"/>
              <w:rPr>
                <w:sz w:val="20"/>
                <w:szCs w:val="20"/>
                <w:color w:val="auto"/>
              </w:rPr>
            </w:pPr>
            <w:r>
              <w:rPr>
                <w:rFonts w:ascii="Arial" w:cs="Arial" w:eastAsia="Arial" w:hAnsi="Arial"/>
                <w:sz w:val="18"/>
                <w:szCs w:val="18"/>
                <w:b w:val="1"/>
                <w:bCs w:val="1"/>
                <w:color w:val="auto"/>
              </w:rPr>
              <w:t>Fullbridge, Inc.</w:t>
            </w:r>
          </w:p>
        </w:tc>
        <w:tc>
          <w:tcPr>
            <w:tcW w:w="160" w:type="dxa"/>
            <w:vAlign w:val="bottom"/>
            <w:shd w:val="clear" w:color="auto" w:fill="CCEEFF"/>
          </w:tcPr>
          <w:p>
            <w:pPr>
              <w:spacing w:after="0"/>
              <w:rPr>
                <w:sz w:val="15"/>
                <w:szCs w:val="15"/>
                <w:color w:val="auto"/>
              </w:rPr>
            </w:pPr>
          </w:p>
        </w:tc>
        <w:tc>
          <w:tcPr>
            <w:tcW w:w="214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4"/>
              </w:rPr>
              <w:t>Cambridge, MA</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4840" w:type="dxa"/>
            <w:vAlign w:val="bottom"/>
            <w:gridSpan w:val="13"/>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Business Education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517,917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6,150,506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gridSpan w:val="13"/>
            <w:shd w:val="clear" w:color="auto" w:fill="CCEEFF"/>
          </w:tcPr>
          <w:p>
            <w:pPr>
              <w:ind w:left="20"/>
              <w:spacing w:after="0"/>
              <w:rPr>
                <w:sz w:val="20"/>
                <w:szCs w:val="20"/>
                <w:color w:val="auto"/>
              </w:rPr>
            </w:pPr>
            <w:r>
              <w:rPr>
                <w:rFonts w:ascii="Arial" w:cs="Arial" w:eastAsia="Arial" w:hAnsi="Arial"/>
                <w:sz w:val="18"/>
                <w:szCs w:val="18"/>
                <w:color w:val="auto"/>
              </w:rPr>
              <w:t>Junior note 1.49%, Due 11/9/2021</w:t>
            </w: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2,270,458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2,270,858</w:t>
            </w: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877,359</w:t>
            </w:r>
          </w:p>
        </w:tc>
        <w:tc>
          <w:tcPr>
            <w:tcW w:w="8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0.46%</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8,421,364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877,359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0.46%</w:t>
            </w:r>
          </w:p>
        </w:tc>
      </w:tr>
      <w:tr>
        <w:trPr>
          <w:trHeight w:val="208"/>
        </w:trPr>
        <w:tc>
          <w:tcPr>
            <w:tcW w:w="4840" w:type="dxa"/>
            <w:vAlign w:val="bottom"/>
            <w:gridSpan w:val="13"/>
            <w:shd w:val="clear" w:color="auto" w:fill="CCEEFF"/>
          </w:tcPr>
          <w:p>
            <w:pPr>
              <w:ind w:left="20"/>
              <w:spacing w:after="0" w:line="207" w:lineRule="exact"/>
              <w:rPr>
                <w:sz w:val="20"/>
                <w:szCs w:val="20"/>
                <w:color w:val="auto"/>
              </w:rPr>
            </w:pPr>
            <w:r>
              <w:rPr>
                <w:rFonts w:ascii="Arial" w:cs="Arial" w:eastAsia="Arial" w:hAnsi="Arial"/>
                <w:sz w:val="15"/>
                <w:szCs w:val="15"/>
                <w:b w:val="1"/>
                <w:bCs w:val="1"/>
                <w:color w:val="auto"/>
              </w:rPr>
              <w:t>Circle Media (f/k/a S3 Digital Corp. (d/b/a S3i))</w:t>
            </w:r>
            <w:r>
              <w:rPr>
                <w:rFonts w:ascii="Arial" w:cs="Arial" w:eastAsia="Arial" w:hAnsi="Arial"/>
                <w:sz w:val="24"/>
                <w:szCs w:val="24"/>
                <w:b w:val="1"/>
                <w:bCs w:val="1"/>
                <w:color w:val="auto"/>
                <w:vertAlign w:val="superscript"/>
              </w:rPr>
              <w:t>(1)</w:t>
            </w: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New York, NY</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55"/>
        </w:trPr>
        <w:tc>
          <w:tcPr>
            <w:tcW w:w="4840" w:type="dxa"/>
            <w:vAlign w:val="bottom"/>
            <w:gridSpan w:val="13"/>
          </w:tcPr>
          <w:p>
            <w:pPr>
              <w:ind w:left="20"/>
              <w:spacing w:after="0" w:line="255" w:lineRule="exact"/>
              <w:rPr>
                <w:sz w:val="20"/>
                <w:szCs w:val="20"/>
                <w:color w:val="auto"/>
              </w:rPr>
            </w:pPr>
            <w:r>
              <w:rPr>
                <w:rFonts w:ascii="Arial" w:cs="Arial" w:eastAsia="Arial" w:hAnsi="Arial"/>
                <w:sz w:val="18"/>
                <w:szCs w:val="18"/>
                <w:color w:val="auto"/>
              </w:rPr>
              <w:t>Promissory Note 12%, Due 11/17/2017***</w:t>
            </w:r>
            <w:r>
              <w:rPr>
                <w:rFonts w:ascii="Arial" w:cs="Arial" w:eastAsia="Arial" w:hAnsi="Arial"/>
                <w:sz w:val="29"/>
                <w:szCs w:val="29"/>
                <w:color w:val="auto"/>
                <w:vertAlign w:val="superscript"/>
              </w:rPr>
              <w:t>(15)</w:t>
            </w:r>
          </w:p>
        </w:tc>
        <w:tc>
          <w:tcPr>
            <w:tcW w:w="160" w:type="dxa"/>
            <w:vAlign w:val="bottom"/>
          </w:tcPr>
          <w:p>
            <w:pPr>
              <w:spacing w:after="0"/>
              <w:rPr>
                <w:sz w:val="22"/>
                <w:szCs w:val="22"/>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Sports Analytics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25,000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26,840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26,544</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0.01%</w:t>
            </w:r>
          </w:p>
        </w:tc>
      </w:tr>
      <w:tr>
        <w:trPr>
          <w:trHeight w:val="215"/>
        </w:trPr>
        <w:tc>
          <w:tcPr>
            <w:tcW w:w="4840" w:type="dxa"/>
            <w:vAlign w:val="bottom"/>
            <w:gridSpan w:val="13"/>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1,864,495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1,777,576</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484,769</w:t>
            </w:r>
          </w:p>
        </w:tc>
        <w:tc>
          <w:tcPr>
            <w:tcW w:w="8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r>
      <w:tr>
        <w:trPr>
          <w:trHeight w:val="215"/>
        </w:trPr>
        <w:tc>
          <w:tcPr>
            <w:tcW w:w="4840" w:type="dxa"/>
            <w:vAlign w:val="bottom"/>
            <w:gridSpan w:val="13"/>
          </w:tcPr>
          <w:p>
            <w:pPr>
              <w:ind w:left="20"/>
              <w:spacing w:after="0"/>
              <w:rPr>
                <w:sz w:val="20"/>
                <w:szCs w:val="20"/>
                <w:color w:val="auto"/>
              </w:rPr>
            </w:pPr>
            <w:r>
              <w:rPr>
                <w:rFonts w:ascii="Arial" w:cs="Arial" w:eastAsia="Arial" w:hAnsi="Arial"/>
                <w:sz w:val="18"/>
                <w:szCs w:val="18"/>
                <w:color w:val="auto"/>
                <w:w w:val="90"/>
              </w:rPr>
              <w:t>Preferred warrants, $1.17 Strike Price, Expiration Date 11/18/2022</w:t>
            </w: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5,360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gridSpan w:val="13"/>
            <w:shd w:val="clear" w:color="auto" w:fill="CCEEFF"/>
          </w:tcPr>
          <w:p>
            <w:pPr>
              <w:ind w:left="20"/>
              <w:spacing w:after="0"/>
              <w:rPr>
                <w:sz w:val="20"/>
                <w:szCs w:val="20"/>
                <w:color w:val="auto"/>
              </w:rPr>
            </w:pPr>
            <w:r>
              <w:rPr>
                <w:rFonts w:ascii="Arial" w:cs="Arial" w:eastAsia="Arial" w:hAnsi="Arial"/>
                <w:sz w:val="18"/>
                <w:szCs w:val="18"/>
                <w:color w:val="auto"/>
                <w:w w:val="92"/>
              </w:rPr>
              <w:t>Preferred warrants, $1.17 Strike Price, Expiration Date 8/29/2021</w:t>
            </w: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175,815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gridSpan w:val="13"/>
          </w:tcPr>
          <w:p>
            <w:pPr>
              <w:ind w:left="20"/>
              <w:spacing w:after="0"/>
              <w:rPr>
                <w:sz w:val="20"/>
                <w:szCs w:val="20"/>
                <w:color w:val="auto"/>
              </w:rPr>
            </w:pPr>
            <w:r>
              <w:rPr>
                <w:rFonts w:ascii="Arial" w:cs="Arial" w:eastAsia="Arial" w:hAnsi="Arial"/>
                <w:sz w:val="18"/>
                <w:szCs w:val="18"/>
                <w:color w:val="auto"/>
                <w:w w:val="92"/>
              </w:rPr>
              <w:t>Preferred warrants, $1.17 Strike Price, Expiration Date 6/26/2021</w:t>
            </w: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38,594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gridSpan w:val="13"/>
            <w:shd w:val="clear" w:color="auto" w:fill="CCEEFF"/>
          </w:tcPr>
          <w:p>
            <w:pPr>
              <w:ind w:left="20"/>
              <w:spacing w:after="0"/>
              <w:rPr>
                <w:sz w:val="20"/>
                <w:szCs w:val="20"/>
                <w:color w:val="auto"/>
              </w:rPr>
            </w:pPr>
            <w:r>
              <w:rPr>
                <w:rFonts w:ascii="Arial" w:cs="Arial" w:eastAsia="Arial" w:hAnsi="Arial"/>
                <w:sz w:val="18"/>
                <w:szCs w:val="18"/>
                <w:color w:val="auto"/>
                <w:w w:val="92"/>
              </w:rPr>
              <w:t>Preferred warrants, $1.17 Strike Price, Expiration Date 9/30/2020</w:t>
            </w: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160,806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gridSpan w:val="13"/>
          </w:tcPr>
          <w:p>
            <w:pPr>
              <w:ind w:left="20"/>
              <w:spacing w:after="0"/>
              <w:rPr>
                <w:sz w:val="20"/>
                <w:szCs w:val="20"/>
                <w:color w:val="auto"/>
              </w:rPr>
            </w:pPr>
            <w:r>
              <w:rPr>
                <w:rFonts w:ascii="Arial" w:cs="Arial" w:eastAsia="Arial" w:hAnsi="Arial"/>
                <w:sz w:val="18"/>
                <w:szCs w:val="18"/>
                <w:color w:val="auto"/>
                <w:w w:val="90"/>
              </w:rPr>
              <w:t>Preferred warrants, $1.00 Strike Price, Expiration Date 11/21/2017</w:t>
            </w: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31,354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4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1,836,346</w:t>
            </w: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511,313</w:t>
            </w:r>
          </w:p>
        </w:tc>
        <w:tc>
          <w:tcPr>
            <w:tcW w:w="8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r>
      <w:tr>
        <w:trPr>
          <w:trHeight w:val="168"/>
        </w:trPr>
        <w:tc>
          <w:tcPr>
            <w:tcW w:w="4840" w:type="dxa"/>
            <w:vAlign w:val="bottom"/>
            <w:tcBorders>
              <w:top w:val="single" w:sz="8" w:color="CCEEFF"/>
            </w:tcBorders>
            <w:gridSpan w:val="13"/>
          </w:tcPr>
          <w:p>
            <w:pPr>
              <w:ind w:left="20"/>
              <w:spacing w:after="0" w:line="168" w:lineRule="exact"/>
              <w:rPr>
                <w:sz w:val="20"/>
                <w:szCs w:val="20"/>
                <w:color w:val="auto"/>
              </w:rPr>
            </w:pPr>
            <w:r>
              <w:rPr>
                <w:rFonts w:ascii="Arial" w:cs="Arial" w:eastAsia="Arial" w:hAnsi="Arial"/>
                <w:sz w:val="18"/>
                <w:szCs w:val="18"/>
                <w:b w:val="1"/>
                <w:bCs w:val="1"/>
                <w:color w:val="auto"/>
              </w:rPr>
              <w:t>4C Insights (f/k/a The Echo Systems Corp.)</w:t>
            </w:r>
          </w:p>
        </w:tc>
        <w:tc>
          <w:tcPr>
            <w:tcW w:w="160" w:type="dxa"/>
            <w:vAlign w:val="bottom"/>
            <w:tcBorders>
              <w:top w:val="single" w:sz="8" w:color="CCEEFF"/>
            </w:tcBorders>
          </w:tcPr>
          <w:p>
            <w:pPr>
              <w:spacing w:after="0"/>
              <w:rPr>
                <w:sz w:val="14"/>
                <w:szCs w:val="14"/>
                <w:color w:val="auto"/>
              </w:rPr>
            </w:pPr>
          </w:p>
        </w:tc>
        <w:tc>
          <w:tcPr>
            <w:tcW w:w="2140" w:type="dxa"/>
            <w:vAlign w:val="bottom"/>
            <w:tcBorders>
              <w:top w:val="single" w:sz="8" w:color="CCEEFF"/>
            </w:tcBorders>
          </w:tcPr>
          <w:p>
            <w:pPr>
              <w:jc w:val="center"/>
              <w:spacing w:after="0" w:line="168" w:lineRule="exact"/>
              <w:rPr>
                <w:sz w:val="20"/>
                <w:szCs w:val="20"/>
                <w:color w:val="auto"/>
              </w:rPr>
            </w:pPr>
            <w:r>
              <w:rPr>
                <w:rFonts w:ascii="Arial" w:cs="Arial" w:eastAsia="Arial" w:hAnsi="Arial"/>
                <w:sz w:val="18"/>
                <w:szCs w:val="18"/>
                <w:color w:val="auto"/>
                <w:w w:val="94"/>
              </w:rPr>
              <w:t>Chicago, IL</w:t>
            </w:r>
          </w:p>
        </w:tc>
        <w:tc>
          <w:tcPr>
            <w:tcW w:w="1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5"/>
        </w:trPr>
        <w:tc>
          <w:tcPr>
            <w:tcW w:w="4840" w:type="dxa"/>
            <w:vAlign w:val="bottom"/>
            <w:gridSpan w:val="13"/>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Social Data Platform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436,219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1,436,404</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505,744</w:t>
            </w:r>
          </w:p>
        </w:tc>
        <w:tc>
          <w:tcPr>
            <w:tcW w:w="8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r>
      <w:tr>
        <w:trPr>
          <w:trHeight w:val="174"/>
        </w:trPr>
        <w:tc>
          <w:tcPr>
            <w:tcW w:w="4840" w:type="dxa"/>
            <w:vAlign w:val="bottom"/>
            <w:gridSpan w:val="13"/>
          </w:tcPr>
          <w:p>
            <w:pPr>
              <w:ind w:left="20"/>
              <w:spacing w:after="0" w:line="175" w:lineRule="exact"/>
              <w:rPr>
                <w:sz w:val="20"/>
                <w:szCs w:val="20"/>
                <w:color w:val="auto"/>
              </w:rPr>
            </w:pPr>
            <w:r>
              <w:rPr>
                <w:rFonts w:ascii="Arial" w:cs="Arial" w:eastAsia="Arial" w:hAnsi="Arial"/>
                <w:sz w:val="18"/>
                <w:szCs w:val="18"/>
                <w:b w:val="1"/>
                <w:bCs w:val="1"/>
                <w:color w:val="auto"/>
              </w:rPr>
              <w:t>Aspiration Partners, Inc.</w:t>
            </w:r>
          </w:p>
        </w:tc>
        <w:tc>
          <w:tcPr>
            <w:tcW w:w="160" w:type="dxa"/>
            <w:vAlign w:val="bottom"/>
          </w:tcPr>
          <w:p>
            <w:pPr>
              <w:spacing w:after="0"/>
              <w:rPr>
                <w:sz w:val="15"/>
                <w:szCs w:val="15"/>
                <w:color w:val="auto"/>
              </w:rPr>
            </w:pPr>
          </w:p>
        </w:tc>
        <w:tc>
          <w:tcPr>
            <w:tcW w:w="2140" w:type="dxa"/>
            <w:vAlign w:val="bottom"/>
          </w:tcPr>
          <w:p>
            <w:pPr>
              <w:jc w:val="center"/>
              <w:spacing w:after="0" w:line="175" w:lineRule="exact"/>
              <w:rPr>
                <w:sz w:val="20"/>
                <w:szCs w:val="20"/>
                <w:color w:val="auto"/>
              </w:rPr>
            </w:pPr>
            <w:r>
              <w:rPr>
                <w:rFonts w:ascii="Arial" w:cs="Arial" w:eastAsia="Arial" w:hAnsi="Arial"/>
                <w:sz w:val="18"/>
                <w:szCs w:val="18"/>
                <w:color w:val="auto"/>
                <w:w w:val="93"/>
              </w:rPr>
              <w:t>Marina Del Rey, CA</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5"/>
        </w:trPr>
        <w:tc>
          <w:tcPr>
            <w:tcW w:w="4840" w:type="dxa"/>
            <w:vAlign w:val="bottom"/>
            <w:gridSpan w:val="13"/>
            <w:shd w:val="clear" w:color="auto" w:fill="CCEEFF"/>
          </w:tcPr>
          <w:p>
            <w:pPr>
              <w:ind w:left="20"/>
              <w:spacing w:after="0" w:line="255" w:lineRule="exact"/>
              <w:rPr>
                <w:sz w:val="20"/>
                <w:szCs w:val="20"/>
                <w:color w:val="auto"/>
              </w:rPr>
            </w:pPr>
            <w:r>
              <w:rPr>
                <w:rFonts w:ascii="Arial" w:cs="Arial" w:eastAsia="Arial" w:hAnsi="Arial"/>
                <w:sz w:val="18"/>
                <w:szCs w:val="18"/>
                <w:color w:val="auto"/>
              </w:rPr>
              <w:t>Preferred shares, Series A</w:t>
            </w:r>
            <w:r>
              <w:rPr>
                <w:rFonts w:ascii="Arial" w:cs="Arial" w:eastAsia="Arial" w:hAnsi="Arial"/>
                <w:sz w:val="29"/>
                <w:szCs w:val="29"/>
                <w:color w:val="auto"/>
                <w:vertAlign w:val="superscript"/>
              </w:rPr>
              <w:t>(11)</w:t>
            </w:r>
          </w:p>
        </w:tc>
        <w:tc>
          <w:tcPr>
            <w:tcW w:w="160" w:type="dxa"/>
            <w:vAlign w:val="bottom"/>
            <w:shd w:val="clear" w:color="auto" w:fill="CCEEFF"/>
          </w:tcPr>
          <w:p>
            <w:pPr>
              <w:spacing w:after="0"/>
              <w:rPr>
                <w:sz w:val="22"/>
                <w:szCs w:val="22"/>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Financial Services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540,270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1,001,815</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307,954</w:t>
            </w:r>
          </w:p>
        </w:tc>
        <w:tc>
          <w:tcPr>
            <w:tcW w:w="8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0.16%</w:t>
            </w:r>
          </w:p>
        </w:tc>
      </w:tr>
      <w:tr>
        <w:trPr>
          <w:trHeight w:val="174"/>
        </w:trPr>
        <w:tc>
          <w:tcPr>
            <w:tcW w:w="4840" w:type="dxa"/>
            <w:vAlign w:val="bottom"/>
            <w:gridSpan w:val="13"/>
          </w:tcPr>
          <w:p>
            <w:pPr>
              <w:ind w:left="20"/>
              <w:spacing w:after="0" w:line="175" w:lineRule="exact"/>
              <w:rPr>
                <w:sz w:val="20"/>
                <w:szCs w:val="20"/>
                <w:color w:val="auto"/>
              </w:rPr>
            </w:pPr>
            <w:r>
              <w:rPr>
                <w:rFonts w:ascii="Arial" w:cs="Arial" w:eastAsia="Arial" w:hAnsi="Arial"/>
                <w:sz w:val="18"/>
                <w:szCs w:val="18"/>
                <w:b w:val="1"/>
                <w:bCs w:val="1"/>
                <w:color w:val="auto"/>
              </w:rPr>
              <w:t>Handle Financial, Inc. (f/k/a PayNearMe, Inc.)</w:t>
            </w:r>
          </w:p>
        </w:tc>
        <w:tc>
          <w:tcPr>
            <w:tcW w:w="160" w:type="dxa"/>
            <w:vAlign w:val="bottom"/>
          </w:tcPr>
          <w:p>
            <w:pPr>
              <w:spacing w:after="0"/>
              <w:rPr>
                <w:sz w:val="15"/>
                <w:szCs w:val="15"/>
                <w:color w:val="auto"/>
              </w:rPr>
            </w:pPr>
          </w:p>
        </w:tc>
        <w:tc>
          <w:tcPr>
            <w:tcW w:w="2140" w:type="dxa"/>
            <w:vAlign w:val="bottom"/>
          </w:tcPr>
          <w:p>
            <w:pPr>
              <w:jc w:val="center"/>
              <w:spacing w:after="0" w:line="175" w:lineRule="exact"/>
              <w:rPr>
                <w:sz w:val="20"/>
                <w:szCs w:val="20"/>
                <w:color w:val="auto"/>
              </w:rPr>
            </w:pPr>
            <w:r>
              <w:rPr>
                <w:rFonts w:ascii="Arial" w:cs="Arial" w:eastAsia="Arial" w:hAnsi="Arial"/>
                <w:sz w:val="18"/>
                <w:szCs w:val="18"/>
                <w:color w:val="auto"/>
                <w:w w:val="92"/>
              </w:rPr>
              <w:t>Sunnyvale, CA</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5"/>
        </w:trPr>
        <w:tc>
          <w:tcPr>
            <w:tcW w:w="4840" w:type="dxa"/>
            <w:vAlign w:val="bottom"/>
            <w:gridSpan w:val="13"/>
            <w:shd w:val="clear" w:color="auto" w:fill="CCEEFF"/>
          </w:tcPr>
          <w:p>
            <w:pPr>
              <w:ind w:left="20"/>
              <w:spacing w:after="0" w:line="255" w:lineRule="exact"/>
              <w:rPr>
                <w:sz w:val="20"/>
                <w:szCs w:val="20"/>
                <w:color w:val="auto"/>
              </w:rPr>
            </w:pPr>
            <w:r>
              <w:rPr>
                <w:rFonts w:ascii="Arial" w:cs="Arial" w:eastAsia="Arial" w:hAnsi="Arial"/>
                <w:sz w:val="18"/>
                <w:szCs w:val="18"/>
                <w:color w:val="auto"/>
              </w:rPr>
              <w:t>Common shares</w:t>
            </w:r>
            <w:r>
              <w:rPr>
                <w:rFonts w:ascii="Arial" w:cs="Arial" w:eastAsia="Arial" w:hAnsi="Arial"/>
                <w:sz w:val="29"/>
                <w:szCs w:val="29"/>
                <w:color w:val="auto"/>
                <w:vertAlign w:val="superscript"/>
              </w:rPr>
              <w:t>(13)</w:t>
            </w:r>
          </w:p>
        </w:tc>
        <w:tc>
          <w:tcPr>
            <w:tcW w:w="160" w:type="dxa"/>
            <w:vAlign w:val="bottom"/>
            <w:shd w:val="clear" w:color="auto" w:fill="CCEEFF"/>
          </w:tcPr>
          <w:p>
            <w:pPr>
              <w:spacing w:after="0"/>
              <w:rPr>
                <w:sz w:val="22"/>
                <w:szCs w:val="22"/>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Cash Payment Network</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5,480,348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14,000,398</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164,410</w:t>
            </w:r>
          </w:p>
        </w:tc>
        <w:tc>
          <w:tcPr>
            <w:tcW w:w="88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0.09%</w:t>
            </w:r>
          </w:p>
        </w:tc>
      </w:tr>
      <w:tr>
        <w:trPr>
          <w:trHeight w:val="215"/>
        </w:trPr>
        <w:tc>
          <w:tcPr>
            <w:tcW w:w="4840" w:type="dxa"/>
            <w:vAlign w:val="bottom"/>
            <w:gridSpan w:val="13"/>
          </w:tcPr>
          <w:p>
            <w:pPr>
              <w:ind w:left="20"/>
              <w:spacing w:after="0" w:line="214" w:lineRule="exact"/>
              <w:rPr>
                <w:sz w:val="20"/>
                <w:szCs w:val="20"/>
                <w:color w:val="auto"/>
              </w:rPr>
            </w:pPr>
            <w:r>
              <w:rPr>
                <w:rFonts w:ascii="Arial" w:cs="Arial" w:eastAsia="Arial" w:hAnsi="Arial"/>
                <w:sz w:val="15"/>
                <w:szCs w:val="15"/>
                <w:b w:val="1"/>
                <w:bCs w:val="1"/>
                <w:color w:val="auto"/>
              </w:rPr>
              <w:t>Global Education Learning (Holdings) Ltd.</w:t>
            </w:r>
            <w:r>
              <w:rPr>
                <w:rFonts w:ascii="Arial" w:cs="Arial" w:eastAsia="Arial" w:hAnsi="Arial"/>
                <w:sz w:val="24"/>
                <w:szCs w:val="24"/>
                <w:b w:val="1"/>
                <w:bCs w:val="1"/>
                <w:color w:val="auto"/>
                <w:vertAlign w:val="superscript"/>
              </w:rPr>
              <w:t>(1)</w:t>
            </w:r>
            <w:r>
              <w:rPr>
                <w:rFonts w:ascii="Arial" w:cs="Arial" w:eastAsia="Arial" w:hAnsi="Arial"/>
                <w:sz w:val="15"/>
                <w:szCs w:val="15"/>
                <w:b w:val="1"/>
                <w:bCs w:val="1"/>
                <w:color w:val="auto"/>
              </w:rPr>
              <w:t>**</w:t>
            </w: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3"/>
              </w:rPr>
              <w:t>Hong Kong</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5"/>
        </w:trPr>
        <w:tc>
          <w:tcPr>
            <w:tcW w:w="4840" w:type="dxa"/>
            <w:vAlign w:val="bottom"/>
            <w:gridSpan w:val="13"/>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Education Technology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2,126,475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675,495</w:t>
            </w: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gridSpan w:val="13"/>
          </w:tcPr>
          <w:p>
            <w:pPr>
              <w:ind w:left="20"/>
              <w:spacing w:after="0" w:line="214" w:lineRule="exact"/>
              <w:rPr>
                <w:sz w:val="20"/>
                <w:szCs w:val="20"/>
                <w:color w:val="auto"/>
              </w:rPr>
            </w:pPr>
            <w:r>
              <w:rPr>
                <w:rFonts w:ascii="Arial" w:cs="Arial" w:eastAsia="Arial" w:hAnsi="Arial"/>
                <w:sz w:val="15"/>
                <w:szCs w:val="15"/>
                <w:b w:val="1"/>
                <w:bCs w:val="1"/>
                <w:color w:val="auto"/>
              </w:rPr>
              <w:t>AlwaysOn, Inc.</w:t>
            </w:r>
            <w:r>
              <w:rPr>
                <w:rFonts w:ascii="Arial" w:cs="Arial" w:eastAsia="Arial" w:hAnsi="Arial"/>
                <w:sz w:val="24"/>
                <w:szCs w:val="24"/>
                <w:b w:val="1"/>
                <w:bCs w:val="1"/>
                <w:color w:val="auto"/>
                <w:vertAlign w:val="superscript"/>
              </w:rPr>
              <w:t>(1)</w:t>
            </w:r>
          </w:p>
        </w:tc>
        <w:tc>
          <w:tcPr>
            <w:tcW w:w="16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Woodside, CA</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5"/>
        </w:trPr>
        <w:tc>
          <w:tcPr>
            <w:tcW w:w="4840" w:type="dxa"/>
            <w:vAlign w:val="bottom"/>
            <w:gridSpan w:val="13"/>
            <w:shd w:val="clear" w:color="auto" w:fill="CCEEFF"/>
          </w:tcPr>
          <w:p>
            <w:pPr>
              <w:ind w:left="20"/>
              <w:spacing w:after="0"/>
              <w:rPr>
                <w:sz w:val="20"/>
                <w:szCs w:val="20"/>
                <w:color w:val="auto"/>
              </w:rPr>
            </w:pPr>
            <w:r>
              <w:rPr>
                <w:rFonts w:ascii="Arial" w:cs="Arial" w:eastAsia="Arial" w:hAnsi="Arial"/>
                <w:sz w:val="18"/>
                <w:szCs w:val="18"/>
                <w:color w:val="auto"/>
              </w:rPr>
              <w:t>Preferred shares, Series A-1</w:t>
            </w: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Social Media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4,465,925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876,023</w:t>
            </w: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gridSpan w:val="13"/>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1,066,626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1,027,391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0"/>
        </w:trPr>
        <w:tc>
          <w:tcPr>
            <w:tcW w:w="4840" w:type="dxa"/>
            <w:vAlign w:val="bottom"/>
            <w:gridSpan w:val="13"/>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Preferred warrants Series A, $1.00 Strike Price, Expiration Date</w:t>
            </w:r>
          </w:p>
        </w:tc>
        <w:tc>
          <w:tcPr>
            <w:tcW w:w="1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8"/>
        </w:trPr>
        <w:tc>
          <w:tcPr>
            <w:tcW w:w="11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1/9/2017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109,375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tcBorders>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40" w:type="dxa"/>
            <w:vAlign w:val="bottom"/>
            <w:gridSpan w:val="11"/>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1,903,414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68"/>
        </w:trPr>
        <w:tc>
          <w:tcPr>
            <w:tcW w:w="4840" w:type="dxa"/>
            <w:vAlign w:val="bottom"/>
            <w:gridSpan w:val="13"/>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Orchestra One, Inc. (f/k/a</w:t>
            </w:r>
          </w:p>
        </w:tc>
        <w:tc>
          <w:tcPr>
            <w:tcW w:w="1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15"/>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1"/>
              </w:rPr>
              <w:t>Learnist Inc.)</w:t>
            </w:r>
          </w:p>
        </w:tc>
        <w:tc>
          <w:tcPr>
            <w:tcW w:w="740" w:type="dxa"/>
            <w:vAlign w:val="bottom"/>
            <w:tcBorders>
              <w:top w:val="single" w:sz="8" w:color="auto"/>
              <w:bottom w:val="single" w:sz="8" w:color="CCEEFF"/>
            </w:tcBorders>
            <w:gridSpan w:val="2"/>
            <w:shd w:val="clear" w:color="auto" w:fill="CCEEFF"/>
          </w:tcPr>
          <w:p>
            <w:pPr>
              <w:spacing w:after="0"/>
              <w:rPr>
                <w:sz w:val="18"/>
                <w:szCs w:val="18"/>
                <w:color w:val="auto"/>
              </w:rPr>
            </w:pPr>
          </w:p>
        </w:tc>
        <w:tc>
          <w:tcPr>
            <w:tcW w:w="2860" w:type="dxa"/>
            <w:vAlign w:val="bottom"/>
            <w:tcBorders>
              <w:top w:val="single" w:sz="8" w:color="CCEEFF"/>
              <w:bottom w:val="single" w:sz="8" w:color="CCEEFF"/>
            </w:tcBorders>
            <w:gridSpan w:val="6"/>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140" w:type="dxa"/>
            <w:vAlign w:val="bottom"/>
            <w:tcBorders>
              <w:top w:val="single" w:sz="8" w:color="CCEEFF"/>
              <w:bottom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San Francisco, CA</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0"/>
        </w:trPr>
        <w:tc>
          <w:tcPr>
            <w:tcW w:w="4840" w:type="dxa"/>
            <w:vAlign w:val="bottom"/>
            <w:gridSpan w:val="13"/>
          </w:tcPr>
          <w:p>
            <w:pPr>
              <w:ind w:left="20"/>
              <w:spacing w:after="0" w:line="201" w:lineRule="exact"/>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7"/>
                <w:szCs w:val="17"/>
                <w:color w:val="auto"/>
              </w:rPr>
            </w:pPr>
          </w:p>
        </w:tc>
        <w:tc>
          <w:tcPr>
            <w:tcW w:w="2140" w:type="dxa"/>
            <w:vAlign w:val="bottom"/>
          </w:tcPr>
          <w:p>
            <w:pPr>
              <w:jc w:val="center"/>
              <w:spacing w:after="0" w:line="201" w:lineRule="exact"/>
              <w:rPr>
                <w:sz w:val="20"/>
                <w:szCs w:val="20"/>
                <w:color w:val="auto"/>
              </w:rPr>
            </w:pPr>
            <w:r>
              <w:rPr>
                <w:rFonts w:ascii="Arial" w:cs="Arial" w:eastAsia="Arial" w:hAnsi="Arial"/>
                <w:sz w:val="18"/>
                <w:szCs w:val="18"/>
                <w:color w:val="auto"/>
                <w:w w:val="89"/>
              </w:rPr>
              <w:t>Consumer Health</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Technology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57,026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4,959,614</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840" w:type="dxa"/>
            <w:vAlign w:val="bottom"/>
            <w:gridSpan w:val="13"/>
            <w:shd w:val="clear" w:color="auto" w:fill="CCEEFF"/>
          </w:tcPr>
          <w:p>
            <w:pPr>
              <w:ind w:left="20"/>
              <w:spacing w:after="0" w:line="216" w:lineRule="exact"/>
              <w:rPr>
                <w:sz w:val="20"/>
                <w:szCs w:val="20"/>
                <w:color w:val="auto"/>
              </w:rPr>
            </w:pPr>
            <w:r>
              <w:rPr>
                <w:rFonts w:ascii="Arial" w:cs="Arial" w:eastAsia="Arial" w:hAnsi="Arial"/>
                <w:sz w:val="15"/>
                <w:szCs w:val="15"/>
                <w:b w:val="1"/>
                <w:bCs w:val="1"/>
                <w:color w:val="auto"/>
              </w:rPr>
              <w:t>Cricket Media (f/k/a ePals Inc.)</w:t>
            </w:r>
            <w:r>
              <w:rPr>
                <w:rFonts w:ascii="Arial" w:cs="Arial" w:eastAsia="Arial" w:hAnsi="Arial"/>
                <w:sz w:val="24"/>
                <w:szCs w:val="24"/>
                <w:b w:val="1"/>
                <w:bCs w:val="1"/>
                <w:color w:val="auto"/>
                <w:vertAlign w:val="superscript"/>
              </w:rPr>
              <w:t>(10)</w:t>
            </w: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Herndon, VA</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4840" w:type="dxa"/>
            <w:vAlign w:val="bottom"/>
            <w:gridSpan w:val="13"/>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Online Education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133,333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2,448,959</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-4324985</wp:posOffset>
            </wp:positionV>
            <wp:extent cx="7026275" cy="153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-2886075</wp:posOffset>
            </wp:positionV>
            <wp:extent cx="7026275" cy="1447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-1003935</wp:posOffset>
            </wp:positionV>
            <wp:extent cx="7026275" cy="153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26275" cy="1530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1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7030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03070" cy="8255"/>
                    </a:xfrm>
                    <a:prstGeom prst="rect">
                      <a:avLst/>
                    </a:prstGeom>
                    <a:noFill/>
                  </pic:spPr>
                </pic:pic>
              </a:graphicData>
            </a:graphic>
          </wp:anchor>
        </w:drawing>
        <w:drawing>
          <wp:anchor simplePos="0" relativeHeight="251657728" behindDoc="1" locked="0" layoutInCell="0" allowOverlap="1">
            <wp:simplePos x="0" y="0"/>
            <wp:positionH relativeFrom="column">
              <wp:posOffset>2892425</wp:posOffset>
            </wp:positionH>
            <wp:positionV relativeFrom="paragraph">
              <wp:posOffset>-36195</wp:posOffset>
            </wp:positionV>
            <wp:extent cx="40284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28440" cy="825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 of</w:t>
            </w:r>
          </w:p>
        </w:tc>
      </w:tr>
      <w:tr>
        <w:trPr>
          <w:trHeight w:val="152"/>
        </w:trPr>
        <w:tc>
          <w:tcPr>
            <w:tcW w:w="440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60" w:type="dxa"/>
            <w:vAlign w:val="bottom"/>
          </w:tcPr>
          <w:p>
            <w:pPr>
              <w:spacing w:after="0"/>
              <w:rPr>
                <w:sz w:val="13"/>
                <w:szCs w:val="1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Headquarters/Industry</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3"/>
                <w:szCs w:val="13"/>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8"/>
              </w:rPr>
              <w:t>Net Assets</w:t>
            </w:r>
          </w:p>
        </w:tc>
      </w:tr>
      <w:tr>
        <w:trPr>
          <w:trHeight w:val="168"/>
        </w:trPr>
        <w:tc>
          <w:tcPr>
            <w:tcW w:w="4400" w:type="dxa"/>
            <w:vAlign w:val="bottom"/>
            <w:gridSpan w:val="7"/>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Earlyshares.com, Inc.</w:t>
            </w:r>
          </w:p>
        </w:tc>
        <w:tc>
          <w:tcPr>
            <w:tcW w:w="16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8"/>
              </w:rPr>
              <w:t>Miami, FL</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55"/>
        </w:trPr>
        <w:tc>
          <w:tcPr>
            <w:tcW w:w="4400" w:type="dxa"/>
            <w:vAlign w:val="bottom"/>
            <w:gridSpan w:val="7"/>
          </w:tcPr>
          <w:p>
            <w:pPr>
              <w:ind w:left="20"/>
              <w:spacing w:after="0" w:line="255" w:lineRule="exact"/>
              <w:rPr>
                <w:sz w:val="20"/>
                <w:szCs w:val="20"/>
                <w:color w:val="auto"/>
              </w:rPr>
            </w:pPr>
            <w:r>
              <w:rPr>
                <w:rFonts w:ascii="Arial" w:cs="Arial" w:eastAsia="Arial" w:hAnsi="Arial"/>
                <w:sz w:val="18"/>
                <w:szCs w:val="18"/>
                <w:color w:val="auto"/>
                <w:w w:val="94"/>
              </w:rPr>
              <w:t>Convertible Promissory Note 5%, Due 2/26/2017 ***</w:t>
            </w:r>
            <w:r>
              <w:rPr>
                <w:rFonts w:ascii="Arial" w:cs="Arial" w:eastAsia="Arial" w:hAnsi="Arial"/>
                <w:sz w:val="29"/>
                <w:szCs w:val="29"/>
                <w:color w:val="auto"/>
                <w:w w:val="94"/>
                <w:vertAlign w:val="superscript"/>
              </w:rPr>
              <w:t>(9)(3)</w:t>
            </w:r>
          </w:p>
        </w:tc>
        <w:tc>
          <w:tcPr>
            <w:tcW w:w="16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5"/>
              </w:rPr>
              <w:t>Equity Crowdfunding</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50,840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4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Preferred shares, Series A</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261,598</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380" w:type="dxa"/>
            <w:vAlign w:val="bottom"/>
            <w:gridSpan w:val="6"/>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312,438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68"/>
        </w:trPr>
        <w:tc>
          <w:tcPr>
            <w:tcW w:w="4400" w:type="dxa"/>
            <w:vAlign w:val="bottom"/>
            <w:gridSpan w:val="7"/>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Beamreach Solar, Inc. (f/k/a Solexel, Inc.)</w:t>
            </w:r>
          </w:p>
        </w:tc>
        <w:tc>
          <w:tcPr>
            <w:tcW w:w="16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line="168" w:lineRule="exact"/>
              <w:rPr>
                <w:sz w:val="20"/>
                <w:szCs w:val="20"/>
                <w:color w:val="auto"/>
              </w:rPr>
            </w:pPr>
            <w:r>
              <w:rPr>
                <w:rFonts w:ascii="Arial" w:cs="Arial" w:eastAsia="Arial" w:hAnsi="Arial"/>
                <w:sz w:val="18"/>
                <w:szCs w:val="18"/>
                <w:color w:val="auto"/>
                <w:w w:val="97"/>
              </w:rPr>
              <w:t>Milpitas, CA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55"/>
        </w:trPr>
        <w:tc>
          <w:tcPr>
            <w:tcW w:w="4400" w:type="dxa"/>
            <w:vAlign w:val="bottom"/>
            <w:gridSpan w:val="7"/>
          </w:tcPr>
          <w:p>
            <w:pPr>
              <w:ind w:left="20"/>
              <w:spacing w:after="0" w:line="255" w:lineRule="exact"/>
              <w:rPr>
                <w:sz w:val="20"/>
                <w:szCs w:val="20"/>
                <w:color w:val="auto"/>
              </w:rPr>
            </w:pPr>
            <w:r>
              <w:rPr>
                <w:rFonts w:ascii="Arial" w:cs="Arial" w:eastAsia="Arial" w:hAnsi="Arial"/>
                <w:sz w:val="18"/>
                <w:szCs w:val="18"/>
                <w:color w:val="auto"/>
                <w:w w:val="93"/>
              </w:rPr>
              <w:t>Convertible Promissory Note 9%, Due 5/10/2017***</w:t>
            </w:r>
            <w:r>
              <w:rPr>
                <w:rFonts w:ascii="Arial" w:cs="Arial" w:eastAsia="Arial" w:hAnsi="Arial"/>
                <w:sz w:val="29"/>
                <w:szCs w:val="29"/>
                <w:color w:val="auto"/>
                <w:w w:val="93"/>
                <w:vertAlign w:val="superscript"/>
              </w:rPr>
              <w:t>(3)(16)</w:t>
            </w:r>
          </w:p>
        </w:tc>
        <w:tc>
          <w:tcPr>
            <w:tcW w:w="160" w:type="dxa"/>
            <w:vAlign w:val="bottom"/>
          </w:tcPr>
          <w:p>
            <w:pPr>
              <w:spacing w:after="0"/>
              <w:rPr>
                <w:sz w:val="22"/>
                <w:szCs w:val="22"/>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Solar Power</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254,444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4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Preferred shares, Series D</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1,613,413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2,419,751</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5"/>
        </w:trPr>
        <w:tc>
          <w:tcPr>
            <w:tcW w:w="4400" w:type="dxa"/>
            <w:vAlign w:val="bottom"/>
            <w:gridSpan w:val="7"/>
          </w:tcPr>
          <w:p>
            <w:pPr>
              <w:ind w:left="20"/>
              <w:spacing w:after="0"/>
              <w:rPr>
                <w:sz w:val="20"/>
                <w:szCs w:val="20"/>
                <w:color w:val="auto"/>
              </w:rPr>
            </w:pPr>
            <w:r>
              <w:rPr>
                <w:rFonts w:ascii="Arial" w:cs="Arial" w:eastAsia="Arial" w:hAnsi="Arial"/>
                <w:sz w:val="18"/>
                <w:szCs w:val="18"/>
                <w:color w:val="auto"/>
              </w:rPr>
              <w:t>Preferred shares, Series C</w:t>
            </w: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5,300,158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11,598,648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3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14,272,843</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168"/>
        </w:trPr>
        <w:tc>
          <w:tcPr>
            <w:tcW w:w="4400" w:type="dxa"/>
            <w:vAlign w:val="bottom"/>
            <w:tcBorders>
              <w:top w:val="single" w:sz="8" w:color="CCEEFF"/>
            </w:tcBorders>
            <w:gridSpan w:val="7"/>
          </w:tcPr>
          <w:p>
            <w:pPr>
              <w:ind w:left="20"/>
              <w:spacing w:after="0" w:line="168" w:lineRule="exact"/>
              <w:rPr>
                <w:sz w:val="20"/>
                <w:szCs w:val="20"/>
                <w:color w:val="auto"/>
              </w:rPr>
            </w:pPr>
            <w:r>
              <w:rPr>
                <w:rFonts w:ascii="Arial" w:cs="Arial" w:eastAsia="Arial" w:hAnsi="Arial"/>
                <w:sz w:val="18"/>
                <w:szCs w:val="18"/>
                <w:b w:val="1"/>
                <w:bCs w:val="1"/>
                <w:color w:val="auto"/>
              </w:rPr>
              <w:t>AliphCom, Inc. (d/b/a Jawbone)</w:t>
            </w:r>
          </w:p>
        </w:tc>
        <w:tc>
          <w:tcPr>
            <w:tcW w:w="160" w:type="dxa"/>
            <w:vAlign w:val="bottom"/>
            <w:tcBorders>
              <w:top w:val="single" w:sz="8" w:color="CCEEFF"/>
            </w:tcBorders>
          </w:tcPr>
          <w:p>
            <w:pPr>
              <w:spacing w:after="0"/>
              <w:rPr>
                <w:sz w:val="14"/>
                <w:szCs w:val="14"/>
                <w:color w:val="auto"/>
              </w:rPr>
            </w:pPr>
          </w:p>
        </w:tc>
        <w:tc>
          <w:tcPr>
            <w:tcW w:w="1920" w:type="dxa"/>
            <w:vAlign w:val="bottom"/>
            <w:tcBorders>
              <w:top w:val="single" w:sz="8" w:color="CCEEFF"/>
            </w:tcBorders>
          </w:tcPr>
          <w:p>
            <w:pPr>
              <w:jc w:val="center"/>
              <w:spacing w:after="0" w:line="168" w:lineRule="exact"/>
              <w:rPr>
                <w:sz w:val="20"/>
                <w:szCs w:val="20"/>
                <w:color w:val="auto"/>
              </w:rPr>
            </w:pPr>
            <w:r>
              <w:rPr>
                <w:rFonts w:ascii="Arial" w:cs="Arial" w:eastAsia="Arial" w:hAnsi="Arial"/>
                <w:sz w:val="18"/>
                <w:szCs w:val="18"/>
                <w:color w:val="auto"/>
                <w:w w:val="89"/>
              </w:rPr>
              <w:t>San Francisco, CA</w:t>
            </w: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5"/>
        </w:trPr>
        <w:tc>
          <w:tcPr>
            <w:tcW w:w="440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Smart Device Company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793,152</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8"/>
        </w:trPr>
        <w:tc>
          <w:tcPr>
            <w:tcW w:w="4400" w:type="dxa"/>
            <w:vAlign w:val="bottom"/>
            <w:gridSpan w:val="7"/>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278,768,274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262,015,146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136.38%</w:t>
            </w:r>
          </w:p>
        </w:tc>
      </w:tr>
      <w:tr>
        <w:trPr>
          <w:trHeight w:val="168"/>
        </w:trPr>
        <w:tc>
          <w:tcPr>
            <w:tcW w:w="4400" w:type="dxa"/>
            <w:vAlign w:val="bottom"/>
            <w:gridSpan w:val="7"/>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U.S. Treasury</w:t>
            </w:r>
          </w:p>
        </w:tc>
        <w:tc>
          <w:tcPr>
            <w:tcW w:w="1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04"/>
        </w:trPr>
        <w:tc>
          <w:tcPr>
            <w:tcW w:w="4400" w:type="dxa"/>
            <w:vAlign w:val="bottom"/>
            <w:gridSpan w:val="7"/>
          </w:tcPr>
          <w:p>
            <w:pPr>
              <w:ind w:left="20"/>
              <w:spacing w:after="0" w:line="204" w:lineRule="exact"/>
              <w:rPr>
                <w:sz w:val="20"/>
                <w:szCs w:val="20"/>
                <w:color w:val="auto"/>
              </w:rPr>
            </w:pPr>
            <w:r>
              <w:rPr>
                <w:rFonts w:ascii="Arial" w:cs="Arial" w:eastAsia="Arial" w:hAnsi="Arial"/>
                <w:sz w:val="18"/>
                <w:szCs w:val="18"/>
                <w:color w:val="auto"/>
              </w:rPr>
              <w:t>U.S. Treasury Bill, 0%,</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4380" w:type="dxa"/>
            <w:vAlign w:val="bottom"/>
            <w:gridSpan w:val="6"/>
          </w:tcPr>
          <w:p>
            <w:pPr>
              <w:ind w:left="180"/>
              <w:spacing w:after="0" w:line="266" w:lineRule="exact"/>
              <w:rPr>
                <w:sz w:val="20"/>
                <w:szCs w:val="20"/>
                <w:color w:val="auto"/>
              </w:rPr>
            </w:pPr>
            <w:r>
              <w:rPr>
                <w:rFonts w:ascii="Arial" w:cs="Arial" w:eastAsia="Arial" w:hAnsi="Arial"/>
                <w:sz w:val="18"/>
                <w:szCs w:val="18"/>
                <w:color w:val="auto"/>
              </w:rPr>
              <w:t>due 1/5/2017***</w:t>
            </w:r>
            <w:r>
              <w:rPr>
                <w:rFonts w:ascii="Arial" w:cs="Arial" w:eastAsia="Arial" w:hAnsi="Arial"/>
                <w:sz w:val="29"/>
                <w:szCs w:val="29"/>
                <w:color w:val="auto"/>
                <w:vertAlign w:val="superscript"/>
              </w:rPr>
              <w:t>(18)</w:t>
            </w: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30,000,000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29,998,750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29,998,490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15.62%</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8"/>
        </w:trPr>
        <w:tc>
          <w:tcPr>
            <w:tcW w:w="4400" w:type="dxa"/>
            <w:vAlign w:val="bottom"/>
            <w:gridSpan w:val="7"/>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w:t>
            </w:r>
          </w:p>
        </w:tc>
        <w:tc>
          <w:tcPr>
            <w:tcW w:w="1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308,767,024</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292,013,636</w:t>
            </w:r>
          </w:p>
        </w:tc>
        <w:tc>
          <w:tcPr>
            <w:tcW w:w="10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152.00%</w:t>
            </w:r>
          </w:p>
        </w:tc>
      </w:tr>
      <w:tr>
        <w:trPr>
          <w:trHeight w:val="262"/>
        </w:trPr>
        <w:tc>
          <w:tcPr>
            <w:tcW w:w="20" w:type="dxa"/>
            <w:vAlign w:val="bottom"/>
            <w:tcBorders>
              <w:top w:val="single" w:sz="8" w:color="CCEEFF"/>
            </w:tcBorders>
          </w:tcPr>
          <w:p>
            <w:pPr>
              <w:spacing w:after="0"/>
              <w:rPr>
                <w:sz w:val="22"/>
                <w:szCs w:val="22"/>
                <w:color w:val="auto"/>
              </w:rPr>
            </w:pPr>
          </w:p>
        </w:tc>
        <w:tc>
          <w:tcPr>
            <w:tcW w:w="960" w:type="dxa"/>
            <w:vAlign w:val="bottom"/>
            <w:tcBorders>
              <w:top w:val="single" w:sz="8" w:color="CCEEFF"/>
              <w:bottom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60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12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9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-2094230</wp:posOffset>
            </wp:positionV>
            <wp:extent cx="7026275" cy="153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026275" cy="1447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-944880</wp:posOffset>
            </wp:positionV>
            <wp:extent cx="7026275" cy="153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026275"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34" w:lineRule="exact"/>
        <w:rPr>
          <w:sz w:val="20"/>
          <w:szCs w:val="20"/>
          <w:color w:val="auto"/>
        </w:rPr>
      </w:pPr>
    </w:p>
    <w:p>
      <w:pPr>
        <w:ind w:left="300" w:right="100" w:hanging="274"/>
        <w:spacing w:after="0" w:line="298" w:lineRule="auto"/>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portfolio investments are non-control/non-affiliated and non-income-producing, unless otherwise identified. Equity investments are subject to lock-up restrictions upon their initial public offering (“IPO”). The Company’s and GSV Asset Management LLC’s officers and staff, as applicable, may serve on the board of directors of the Company’s portfolio investments. (Refer to “Note 2 — Related Party Arrangements”). All portfolio investments are considered Level 3 and valued using significant unobservable inputs, unless otherwise noted. (Refer to “Note 3 — Investments at Fair Value”).</w:t>
      </w:r>
    </w:p>
    <w:p>
      <w:pPr>
        <w:spacing w:after="0" w:line="52" w:lineRule="exact"/>
        <w:rPr>
          <w:sz w:val="20"/>
          <w:szCs w:val="20"/>
          <w:color w:val="auto"/>
        </w:rPr>
      </w:pPr>
    </w:p>
    <w:p>
      <w:pPr>
        <w:jc w:val="both"/>
        <w:ind w:left="300" w:right="420" w:hanging="274"/>
        <w:spacing w:after="0" w:line="336"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Indicates assets that GSV Capital Corp. believes do not represent “qualifying assets” under Section 55(a) of the Investment Company Act of 1940, as amended (the “1940 Act”). Of GSV Capital Corp.’s total portfolio as of December 31, 2016, 9.47% of its total investments are non-qualifying assets.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income-producing.</w:t>
      </w:r>
    </w:p>
    <w:p>
      <w:pPr>
        <w:spacing w:after="0" w:line="115" w:lineRule="exact"/>
        <w:rPr>
          <w:sz w:val="20"/>
          <w:szCs w:val="20"/>
          <w:color w:val="auto"/>
        </w:rPr>
      </w:pPr>
    </w:p>
    <w:p>
      <w:pPr>
        <w:ind w:left="300" w:hanging="274"/>
        <w:spacing w:after="0" w:line="256"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 For the Schedule of Investments In, and Advances To, Affiliates, as required by SEC Regulation S-X, Rule 12-14, refer to “Note 3 — Investments at Fair Value”.</w:t>
      </w:r>
    </w:p>
    <w:p>
      <w:pPr>
        <w:spacing w:after="0" w:line="82" w:lineRule="exact"/>
        <w:rPr>
          <w:rFonts w:ascii="Arial" w:cs="Arial" w:eastAsia="Arial" w:hAnsi="Arial"/>
          <w:sz w:val="18"/>
          <w:szCs w:val="18"/>
          <w:color w:val="auto"/>
        </w:rPr>
      </w:pPr>
    </w:p>
    <w:p>
      <w:pPr>
        <w:ind w:left="300" w:right="120" w:hanging="274"/>
        <w:spacing w:after="0" w:line="254"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and/or had the power to exercise control over the management or policies of such portfolio company. For the Schedule of Investments In, and Advances To, Affiliates, as required by SEC Regulation S-X, Rule 12-14, refer to “Note 3 — Investments at Fair Value”.</w:t>
      </w:r>
    </w:p>
    <w:p>
      <w:pPr>
        <w:spacing w:after="0" w:line="84" w:lineRule="exact"/>
        <w:rPr>
          <w:rFonts w:ascii="Arial" w:cs="Arial" w:eastAsia="Arial" w:hAnsi="Arial"/>
          <w:sz w:val="18"/>
          <w:szCs w:val="18"/>
          <w:color w:val="auto"/>
        </w:rPr>
      </w:pPr>
    </w:p>
    <w:p>
      <w:pPr>
        <w:ind w:left="300" w:hanging="274"/>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December 31, 2016, the investments noted had been placed on non-accrual status.</w:t>
      </w:r>
    </w:p>
    <w:p>
      <w:pPr>
        <w:spacing w:after="0" w:line="114" w:lineRule="exact"/>
        <w:rPr>
          <w:rFonts w:ascii="Arial" w:cs="Arial" w:eastAsia="Arial" w:hAnsi="Arial"/>
          <w:sz w:val="18"/>
          <w:szCs w:val="18"/>
          <w:color w:val="auto"/>
        </w:rPr>
      </w:pPr>
    </w:p>
    <w:p>
      <w:pPr>
        <w:ind w:left="300" w:hanging="274"/>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wholly-owned subsidiary GSVC AV Holdings, Inc.</w:t>
      </w: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102" w:lineRule="exact"/>
        <w:rPr>
          <w:sz w:val="20"/>
          <w:szCs w:val="20"/>
          <w:color w:val="auto"/>
        </w:rPr>
      </w:pPr>
    </w:p>
    <w:p>
      <w:pPr>
        <w:jc w:val="both"/>
        <w:ind w:left="280" w:right="80" w:hanging="274"/>
        <w:spacing w:after="0" w:line="260" w:lineRule="auto"/>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that is collateralized by Avenues Global Holdings, LLC, as well as the personal collateral of Chris Whittle, the former chairman of Avenues Global Holdings, LLC.</w:t>
      </w:r>
    </w:p>
    <w:p>
      <w:pPr>
        <w:spacing w:after="0" w:line="78" w:lineRule="exact"/>
        <w:rPr>
          <w:rFonts w:ascii="Arial" w:cs="Arial" w:eastAsia="Arial" w:hAnsi="Arial"/>
          <w:sz w:val="18"/>
          <w:szCs w:val="18"/>
          <w:color w:val="auto"/>
        </w:rPr>
      </w:pPr>
    </w:p>
    <w:p>
      <w:pPr>
        <w:ind w:left="280" w:hanging="274"/>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StormWind, LLC is held through its wholly-owned subsidiary GSVC SW Holdings, Inc.</w:t>
      </w:r>
    </w:p>
    <w:p>
      <w:pPr>
        <w:spacing w:after="0" w:line="114" w:lineRule="exact"/>
        <w:rPr>
          <w:rFonts w:ascii="Arial" w:cs="Arial" w:eastAsia="Arial" w:hAnsi="Arial"/>
          <w:sz w:val="18"/>
          <w:szCs w:val="18"/>
          <w:color w:val="auto"/>
        </w:rPr>
      </w:pPr>
    </w:p>
    <w:p>
      <w:pPr>
        <w:ind w:left="280" w:hanging="274"/>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114" w:lineRule="exact"/>
        <w:rPr>
          <w:rFonts w:ascii="Arial" w:cs="Arial" w:eastAsia="Arial" w:hAnsi="Arial"/>
          <w:sz w:val="18"/>
          <w:szCs w:val="18"/>
          <w:color w:val="auto"/>
        </w:rPr>
      </w:pPr>
    </w:p>
    <w:p>
      <w:pPr>
        <w:jc w:val="both"/>
        <w:ind w:left="280" w:hanging="274"/>
        <w:spacing w:after="0" w:line="336" w:lineRule="auto"/>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1" w:lineRule="exact"/>
        <w:rPr>
          <w:rFonts w:ascii="Arial" w:cs="Arial" w:eastAsia="Arial" w:hAnsi="Arial"/>
          <w:sz w:val="16"/>
          <w:szCs w:val="16"/>
          <w:color w:val="auto"/>
        </w:rPr>
      </w:pPr>
    </w:p>
    <w:p>
      <w:pPr>
        <w:ind w:left="280" w:right="160" w:hanging="274"/>
        <w:spacing w:after="0" w:line="336" w:lineRule="auto"/>
        <w:tabs>
          <w:tab w:leader="none" w:pos="2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Interest will accrue daily on the unpaid principal balance of the note. Interest began compounding annually on February 26, 2015. Accrued interest is not payable until the earlier of (a) the closing of a subsequent equity offering by Earlyshares.com, Inc., or (b) the maturity of the note (February 26, 2017).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(10)On June 6, 2016, Cricket Media (f/k/a ePals Inc.) declared a 10:1 reverse split of its common shares.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(11)On July 29, 2016, Aspiration Partners, Inc. declared a 30:1 split of its preferred shares.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(12)On December 30, 2016, Declara, Inc. extended the maturity date of the note held for one year until June 30, 2017.</w:t>
      </w:r>
    </w:p>
    <w:p>
      <w:pPr>
        <w:spacing w:after="0" w:line="115" w:lineRule="exact"/>
        <w:rPr>
          <w:sz w:val="20"/>
          <w:szCs w:val="20"/>
          <w:color w:val="auto"/>
        </w:rPr>
      </w:pPr>
    </w:p>
    <w:p>
      <w:pPr>
        <w:ind w:left="320" w:right="420" w:hanging="307"/>
        <w:spacing w:after="0" w:line="272" w:lineRule="auto"/>
        <w:rPr>
          <w:sz w:val="20"/>
          <w:szCs w:val="20"/>
          <w:color w:val="auto"/>
        </w:rPr>
      </w:pPr>
      <w:r>
        <w:rPr>
          <w:rFonts w:ascii="Arial" w:cs="Arial" w:eastAsia="Arial" w:hAnsi="Arial"/>
          <w:sz w:val="18"/>
          <w:szCs w:val="18"/>
          <w:color w:val="auto"/>
        </w:rPr>
        <w:t>(13)On December 21, 2016, Handle Financial, Inc. (f/k/a PayNearMe, Inc.) converted its Series E Preferred shares into Common Class A shares on a 1:1 basis.</w:t>
      </w:r>
    </w:p>
    <w:p>
      <w:pPr>
        <w:spacing w:after="0" w:line="67" w:lineRule="exact"/>
        <w:rPr>
          <w:sz w:val="20"/>
          <w:szCs w:val="20"/>
          <w:color w:val="auto"/>
        </w:rPr>
      </w:pPr>
    </w:p>
    <w:p>
      <w:pPr>
        <w:ind w:left="320" w:right="320" w:hanging="307"/>
        <w:spacing w:after="0" w:line="272" w:lineRule="auto"/>
        <w:rPr>
          <w:sz w:val="20"/>
          <w:szCs w:val="20"/>
          <w:color w:val="auto"/>
        </w:rPr>
      </w:pPr>
      <w:r>
        <w:rPr>
          <w:rFonts w:ascii="Arial" w:cs="Arial" w:eastAsia="Arial" w:hAnsi="Arial"/>
          <w:sz w:val="18"/>
          <w:szCs w:val="18"/>
          <w:color w:val="auto"/>
        </w:rPr>
        <w:t>(14)On December 15, 2016, NestGSV, Inc. (d/b/a GSV Labs, Inc.) converted its Series A, B, C, and D Preferred shares into Series A-1, A-2, A-3, and A-4 preferred shares, respectively, on a 1:1 basis.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(15)On December 31, 2016, Circle Media (f/k/a S3 Digital Corp. (d/b/a S3i)) extended the maturity date of the note held for one year until November 17,</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2017.</w:t>
      </w:r>
    </w:p>
    <w:p>
      <w:pPr>
        <w:spacing w:after="0" w:line="102" w:lineRule="exact"/>
        <w:rPr>
          <w:sz w:val="20"/>
          <w:szCs w:val="20"/>
          <w:color w:val="auto"/>
        </w:rPr>
      </w:pPr>
    </w:p>
    <w:p>
      <w:pPr>
        <w:ind w:left="320" w:right="20" w:hanging="314"/>
        <w:spacing w:after="0" w:line="283"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Interest began compounding annually on November 26, 2016. Accrued interest is not payable until the earlier of (a) the closing of a subsequent equity offering by Beamreach Solar, Inc. (f/k/a Solexel, Inc.), or (b) the maturity of the note (May 10, 2017).</w:t>
      </w:r>
    </w:p>
    <w:p>
      <w:pPr>
        <w:spacing w:after="0" w:line="60" w:lineRule="exact"/>
        <w:rPr>
          <w:sz w:val="20"/>
          <w:szCs w:val="20"/>
          <w:color w:val="auto"/>
        </w:rPr>
      </w:pPr>
    </w:p>
    <w:p>
      <w:pPr>
        <w:ind w:left="320" w:hanging="307"/>
        <w:spacing w:after="0" w:line="260" w:lineRule="auto"/>
        <w:rPr>
          <w:sz w:val="20"/>
          <w:szCs w:val="20"/>
          <w:color w:val="auto"/>
        </w:rPr>
      </w:pPr>
      <w:r>
        <w:rPr>
          <w:rFonts w:ascii="Arial" w:cs="Arial" w:eastAsia="Arial" w:hAnsi="Arial"/>
          <w:sz w:val="18"/>
          <w:szCs w:val="18"/>
          <w:color w:val="auto"/>
        </w:rPr>
        <w:t>(17)On October 26, 2016, the Snap Inc. board of directors approved a distribution of shares of Class A common stock as a dividend to the holders of all preferred stock and common stock outstanding on October 31, 2016. One share of Class A common stock was distributed for each share of preferred stock and common stock outstanding.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(18)Denotes an investment considered Level 1 and valued using observable inputs.</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right="4320"/>
        <w:spacing w:after="0" w:line="398"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2" w:lineRule="exact"/>
        <w:rPr>
          <w:sz w:val="20"/>
          <w:szCs w:val="20"/>
          <w:color w:val="auto"/>
        </w:rPr>
      </w:pPr>
    </w:p>
    <w:p>
      <w:pPr>
        <w:ind w:left="60" w:firstLine="268"/>
        <w:spacing w:after="0" w:line="298" w:lineRule="auto"/>
        <w:rPr>
          <w:sz w:val="20"/>
          <w:szCs w:val="20"/>
          <w:color w:val="auto"/>
        </w:rPr>
      </w:pPr>
      <w:r>
        <w:rPr>
          <w:rFonts w:ascii="Arial" w:cs="Arial" w:eastAsia="Arial" w:hAnsi="Arial"/>
          <w:sz w:val="16"/>
          <w:szCs w:val="16"/>
          <w:color w:val="auto"/>
        </w:rPr>
        <w:t>GSV Capital Corp. (the “Company” or “GSV Capital”), formed in September 2010 as a Maryland corporation, is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52" w:lineRule="exact"/>
        <w:rPr>
          <w:sz w:val="20"/>
          <w:szCs w:val="20"/>
          <w:color w:val="auto"/>
        </w:rPr>
      </w:pPr>
    </w:p>
    <w:p>
      <w:pPr>
        <w:ind w:left="60" w:right="80" w:firstLine="268"/>
        <w:spacing w:after="0" w:line="336" w:lineRule="auto"/>
        <w:rPr>
          <w:sz w:val="20"/>
          <w:szCs w:val="20"/>
          <w:color w:val="auto"/>
        </w:rPr>
      </w:pPr>
      <w:r>
        <w:rPr>
          <w:rFonts w:ascii="Arial" w:cs="Arial" w:eastAsia="Arial" w:hAnsi="Arial"/>
          <w:sz w:val="16"/>
          <w:szCs w:val="16"/>
          <w:color w:val="auto"/>
        </w:rPr>
        <w:t>The Company’s date of inception was January 6, 2011, which is the date it commenced its development stage activities. The Company’s common stock is currently listed on the Nasdaq Capital Market under the symbol “GSVC”. The Company began its investment operations during the second quarter of 2011.</w:t>
      </w:r>
    </w:p>
    <w:p>
      <w:pPr>
        <w:spacing w:after="0" w:line="21" w:lineRule="exact"/>
        <w:rPr>
          <w:sz w:val="20"/>
          <w:szCs w:val="20"/>
          <w:color w:val="auto"/>
        </w:rPr>
      </w:pPr>
    </w:p>
    <w:p>
      <w:pPr>
        <w:ind w:left="60" w:right="80" w:firstLine="268"/>
        <w:spacing w:after="0" w:line="273" w:lineRule="auto"/>
        <w:rPr>
          <w:sz w:val="20"/>
          <w:szCs w:val="20"/>
          <w:color w:val="auto"/>
        </w:rPr>
      </w:pPr>
      <w:r>
        <w:rPr>
          <w:rFonts w:ascii="Arial" w:cs="Arial" w:eastAsia="Arial" w:hAnsi="Arial"/>
          <w:sz w:val="17"/>
          <w:szCs w:val="17"/>
          <w:color w:val="auto"/>
        </w:rPr>
        <w:t>The table below displays all the Company’s subsidiaries as of September 30, 2017,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“Summary of Significant Accounting Policies — Basis of Consolidation” below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6739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73985" cy="8255"/>
                    </a:xfrm>
                    <a:prstGeom prst="rect">
                      <a:avLst/>
                    </a:prstGeom>
                    <a:noFill/>
                  </pic:spPr>
                </pic:pic>
              </a:graphicData>
            </a:graphic>
          </wp:anchor>
        </w:drawing>
        <w:drawing>
          <wp:anchor simplePos="0" relativeHeight="251657728" behindDoc="1" locked="0" layoutInCell="0" allowOverlap="1">
            <wp:simplePos x="0" y="0"/>
            <wp:positionH relativeFrom="column">
              <wp:posOffset>4161155</wp:posOffset>
            </wp:positionH>
            <wp:positionV relativeFrom="paragraph">
              <wp:posOffset>10160</wp:posOffset>
            </wp:positionV>
            <wp:extent cx="25380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3809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160" w:type="dxa"/>
            <w:vAlign w:val="bottom"/>
          </w:tcPr>
          <w:p>
            <w:pPr>
              <w:spacing w:after="0"/>
              <w:rPr>
                <w:sz w:val="14"/>
                <w:szCs w:val="14"/>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Formation Date</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 Owned</w:t>
            </w:r>
          </w:p>
        </w:tc>
        <w:tc>
          <w:tcPr>
            <w:tcW w:w="0" w:type="dxa"/>
            <w:vAlign w:val="bottom"/>
          </w:tcPr>
          <w:p>
            <w:pPr>
              <w:spacing w:after="0"/>
              <w:rPr>
                <w:sz w:val="1"/>
                <w:szCs w:val="1"/>
                <w:color w:val="auto"/>
              </w:rPr>
            </w:pPr>
          </w:p>
        </w:tc>
      </w:tr>
      <w:tr>
        <w:trPr>
          <w:trHeight w:val="170"/>
        </w:trPr>
        <w:tc>
          <w:tcPr>
            <w:tcW w:w="64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60" w:type="dxa"/>
            <w:vAlign w:val="bottom"/>
          </w:tcPr>
          <w:p>
            <w:pPr>
              <w:spacing w:after="0"/>
              <w:rPr>
                <w:sz w:val="14"/>
                <w:szCs w:val="14"/>
                <w:color w:val="auto"/>
              </w:rPr>
            </w:pPr>
          </w:p>
        </w:tc>
        <w:tc>
          <w:tcPr>
            <w:tcW w:w="18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GCL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13, 2012</w:t>
            </w:r>
          </w:p>
        </w:tc>
        <w:tc>
          <w:tcPr>
            <w:tcW w:w="144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Subsidiaries below are referred to collectively, as the “GSVC Holdings”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28, 2012</w:t>
            </w:r>
          </w:p>
        </w:tc>
        <w:tc>
          <w:tcPr>
            <w:tcW w:w="144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8"/>
                <w:szCs w:val="18"/>
                <w:color w:val="auto"/>
              </w:rPr>
              <w:t>GSVC AV Holdings, Inc. (“GAV”)</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November 28, 2012</w:t>
            </w:r>
          </w:p>
        </w:tc>
        <w:tc>
          <w:tcPr>
            <w:tcW w:w="1440" w:type="dxa"/>
            <w:vAlign w:val="bottom"/>
            <w:gridSpan w:val="2"/>
          </w:tcPr>
          <w:p>
            <w:pPr>
              <w:jc w:val="right"/>
              <w:ind w:right="30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NG Holdings, Inc. (“GNG”)</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28, 2012</w:t>
            </w:r>
          </w:p>
        </w:tc>
        <w:tc>
          <w:tcPr>
            <w:tcW w:w="144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5"/>
        </w:trPr>
        <w:tc>
          <w:tcPr>
            <w:tcW w:w="6400" w:type="dxa"/>
            <w:vAlign w:val="bottom"/>
          </w:tcPr>
          <w:p>
            <w:pPr>
              <w:ind w:left="20"/>
              <w:spacing w:after="0"/>
              <w:rPr>
                <w:sz w:val="20"/>
                <w:szCs w:val="20"/>
                <w:color w:val="auto"/>
              </w:rPr>
            </w:pPr>
            <w:r>
              <w:rPr>
                <w:rFonts w:ascii="Arial" w:cs="Arial" w:eastAsia="Arial" w:hAnsi="Arial"/>
                <w:sz w:val="18"/>
                <w:szCs w:val="18"/>
                <w:color w:val="auto"/>
              </w:rPr>
              <w:t>GSVC SW Holdings, Inc. (“GSW”)</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November 28, 2012</w:t>
            </w:r>
          </w:p>
        </w:tc>
        <w:tc>
          <w:tcPr>
            <w:tcW w:w="1440" w:type="dxa"/>
            <w:vAlign w:val="bottom"/>
            <w:gridSpan w:val="2"/>
          </w:tcPr>
          <w:p>
            <w:pPr>
              <w:jc w:val="right"/>
              <w:ind w:right="30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WS Holdings, Inc. (“GWS”)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28, 2012</w:t>
            </w:r>
          </w:p>
        </w:tc>
        <w:tc>
          <w:tcPr>
            <w:tcW w:w="144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7"/>
        </w:trPr>
        <w:tc>
          <w:tcPr>
            <w:tcW w:w="6400" w:type="dxa"/>
            <w:vAlign w:val="bottom"/>
          </w:tcPr>
          <w:p>
            <w:pPr>
              <w:ind w:left="20"/>
              <w:spacing w:after="0"/>
              <w:rPr>
                <w:sz w:val="20"/>
                <w:szCs w:val="20"/>
                <w:color w:val="auto"/>
              </w:rPr>
            </w:pPr>
            <w:r>
              <w:rPr>
                <w:rFonts w:ascii="Arial" w:cs="Arial" w:eastAsia="Arial" w:hAnsi="Arial"/>
                <w:sz w:val="18"/>
                <w:szCs w:val="18"/>
                <w:color w:val="auto"/>
              </w:rPr>
              <w:t>GSVC SVDS Holdings, Inc. (“SVDS”)</w:t>
            </w:r>
          </w:p>
        </w:tc>
        <w:tc>
          <w:tcPr>
            <w:tcW w:w="1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August 13, 2013</w:t>
            </w:r>
          </w:p>
        </w:tc>
        <w:tc>
          <w:tcPr>
            <w:tcW w:w="1440" w:type="dxa"/>
            <w:vAlign w:val="bottom"/>
            <w:gridSpan w:val="2"/>
          </w:tcPr>
          <w:p>
            <w:pPr>
              <w:jc w:val="right"/>
              <w:ind w:right="30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right="120" w:firstLine="268"/>
        <w:spacing w:after="0" w:line="294"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left="60" w:right="280" w:firstLine="268"/>
        <w:spacing w:after="0" w:line="254" w:lineRule="auto"/>
        <w:rPr>
          <w:sz w:val="20"/>
          <w:szCs w:val="20"/>
          <w:color w:val="auto"/>
        </w:rPr>
      </w:pPr>
      <w:r>
        <w:rPr>
          <w:rFonts w:ascii="Arial" w:cs="Arial" w:eastAsia="Arial" w:hAnsi="Arial"/>
          <w:sz w:val="18"/>
          <w:szCs w:val="18"/>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w:t>
      </w:r>
      <w:r>
        <w:rPr>
          <w:rFonts w:ascii="Arial" w:cs="Arial" w:eastAsia="Arial" w:hAnsi="Arial"/>
          <w:sz w:val="18"/>
          <w:szCs w:val="18"/>
          <w:i w:val="1"/>
          <w:iCs w:val="1"/>
          <w:color w:val="auto"/>
        </w:rPr>
        <w:t>,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Services — Investment</w:t>
      </w:r>
    </w:p>
    <w:p>
      <w:pPr>
        <w:spacing w:after="0" w:line="200" w:lineRule="exact"/>
        <w:rPr>
          <w:sz w:val="20"/>
          <w:szCs w:val="20"/>
          <w:color w:val="auto"/>
        </w:rPr>
      </w:pPr>
    </w:p>
    <w:p>
      <w:pPr>
        <w:spacing w:after="0" w:line="3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19" w:lineRule="exact"/>
        <w:rPr>
          <w:sz w:val="20"/>
          <w:szCs w:val="20"/>
          <w:color w:val="auto"/>
        </w:rPr>
      </w:pPr>
    </w:p>
    <w:p>
      <w:pPr>
        <w:ind w:left="40"/>
        <w:spacing w:after="0" w:line="273" w:lineRule="auto"/>
        <w:rPr>
          <w:sz w:val="20"/>
          <w:szCs w:val="20"/>
          <w:color w:val="auto"/>
        </w:rPr>
      </w:pPr>
      <w:r>
        <w:rPr>
          <w:rFonts w:ascii="Arial" w:cs="Arial" w:eastAsia="Arial" w:hAnsi="Arial"/>
          <w:sz w:val="17"/>
          <w:szCs w:val="17"/>
          <w:i w:val="1"/>
          <w:iCs w:val="1"/>
          <w:color w:val="auto"/>
        </w:rPr>
        <w:t>Companies</w:t>
      </w:r>
      <w:r>
        <w:rPr>
          <w:rFonts w:ascii="Arial" w:cs="Arial" w:eastAsia="Arial" w:hAnsi="Arial"/>
          <w:sz w:val="17"/>
          <w:szCs w:val="17"/>
          <w:color w:val="auto"/>
        </w:rPr>
        <w:t>. In the opinion of management, all adjustments, all of which were of a normal recurring nature, considered necessary for the fair presentation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financial statements for the interim period have been included. The results of operations for the current interim period are not necessarily indicative of results that ultimately may be achieved for any other interim period or for the year ending December 31, 2017. The interim unaudited condensed consolidated financial statements and notes hereto should be read in conjunction with the audited condensed consolidated financial statements and notes thereto contained in the Company’s annual report on Form 10-K for the year ended December 31, 2016.</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5" w:lineRule="exact"/>
        <w:rPr>
          <w:sz w:val="20"/>
          <w:szCs w:val="20"/>
          <w:color w:val="auto"/>
        </w:rPr>
      </w:pPr>
    </w:p>
    <w:p>
      <w:pPr>
        <w:jc w:val="both"/>
        <w:ind w:left="40" w:right="220" w:firstLine="268"/>
        <w:spacing w:after="0" w:line="285" w:lineRule="auto"/>
        <w:rPr>
          <w:sz w:val="20"/>
          <w:szCs w:val="20"/>
          <w:color w:val="auto"/>
        </w:rPr>
      </w:pPr>
      <w:r>
        <w:rPr>
          <w:rFonts w:ascii="Arial" w:cs="Arial" w:eastAsia="Arial" w:hAnsi="Arial"/>
          <w:sz w:val="16"/>
          <w:szCs w:val="16"/>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w:t>
      </w:r>
    </w:p>
    <w:p>
      <w:pPr>
        <w:spacing w:after="0" w:line="1" w:lineRule="exact"/>
        <w:rPr>
          <w:sz w:val="20"/>
          <w:szCs w:val="20"/>
          <w:color w:val="auto"/>
        </w:rPr>
      </w:pPr>
    </w:p>
    <w:p>
      <w:pPr>
        <w:ind w:left="40" w:right="140"/>
        <w:spacing w:after="0" w:line="257" w:lineRule="auto"/>
        <w:rPr>
          <w:sz w:val="20"/>
          <w:szCs w:val="20"/>
          <w:color w:val="auto"/>
        </w:rPr>
      </w:pPr>
      <w:r>
        <w:rPr>
          <w:rFonts w:ascii="Arial" w:cs="Arial" w:eastAsia="Arial" w:hAnsi="Arial"/>
          <w:sz w:val="18"/>
          <w:szCs w:val="18"/>
          <w:color w:val="auto"/>
        </w:rPr>
        <w:t>Accordingly, the Company’s condensed consolidated financial statements include its accounts and the accounts of the GSVC Holdings and GCL, its wholly-owned subsidiaries. All intercompany balances and transactions have been eliminated in consolidation.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left="40" w:right="180" w:firstLine="268"/>
        <w:spacing w:after="0" w:line="254" w:lineRule="auto"/>
        <w:rPr>
          <w:sz w:val="20"/>
          <w:szCs w:val="20"/>
          <w:color w:val="auto"/>
        </w:rPr>
      </w:pPr>
      <w:r>
        <w:rPr>
          <w:rFonts w:ascii="Arial" w:cs="Arial" w:eastAsia="Arial" w:hAnsi="Arial"/>
          <w:sz w:val="18"/>
          <w:szCs w:val="18"/>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Uncertainties and Risk Factors</w:t>
      </w:r>
    </w:p>
    <w:p>
      <w:pPr>
        <w:spacing w:after="0" w:line="115" w:lineRule="exact"/>
        <w:rPr>
          <w:sz w:val="20"/>
          <w:szCs w:val="20"/>
          <w:color w:val="auto"/>
        </w:rPr>
      </w:pPr>
    </w:p>
    <w:p>
      <w:pPr>
        <w:ind w:left="40" w:right="120" w:firstLine="268"/>
        <w:spacing w:after="0" w:line="254" w:lineRule="auto"/>
        <w:rPr>
          <w:sz w:val="20"/>
          <w:szCs w:val="20"/>
          <w:color w:val="auto"/>
        </w:rPr>
      </w:pPr>
      <w:r>
        <w:rPr>
          <w:rFonts w:ascii="Arial" w:cs="Arial" w:eastAsia="Arial" w:hAnsi="Arial"/>
          <w:sz w:val="18"/>
          <w:szCs w:val="18"/>
          <w:color w:val="auto"/>
        </w:rPr>
        <w:t>The Company is subject to a number of risks and uncertainties in the nature of its operations, as well as vulnerability due to certain concentrations. Refer to “Management’s Discussion and Analysis of Financial Condition and Results of Operations — Forward-Looking Statements” and “Item 1A. Risk Factors” of this quarterly report on Form 10-Q and “Item 1A. Risk Factors” of our annual report on Form 10-K for the fiscal year ended December 31, 2016 for a detailed discussion of the risks and uncertainties inherent in the nature of the Company’s operations. Refer to “Note 3 — Investments at Fair Value.” for an overview of the Company’s industry and geographic concentrations.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5" w:lineRule="exact"/>
        <w:rPr>
          <w:sz w:val="20"/>
          <w:szCs w:val="20"/>
          <w:color w:val="auto"/>
        </w:rPr>
      </w:pPr>
    </w:p>
    <w:p>
      <w:pPr>
        <w:ind w:left="40" w:right="360" w:firstLine="268"/>
        <w:spacing w:after="0" w:line="272"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67" w:lineRule="exact"/>
        <w:rPr>
          <w:sz w:val="20"/>
          <w:szCs w:val="20"/>
          <w:color w:val="auto"/>
        </w:rPr>
      </w:pPr>
    </w:p>
    <w:p>
      <w:pPr>
        <w:ind w:left="40" w:right="100" w:firstLine="268"/>
        <w:spacing w:after="0" w:line="25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40" w:right="80" w:firstLine="268"/>
        <w:spacing w:after="0" w:line="277"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the Company has the ability to access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200" w:lineRule="exact"/>
        <w:rPr>
          <w:sz w:val="20"/>
          <w:szCs w:val="20"/>
          <w:color w:val="auto"/>
        </w:rPr>
      </w:pPr>
    </w:p>
    <w:p>
      <w:pPr>
        <w:spacing w:after="0" w:line="30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15" w:lineRule="exact"/>
        <w:rPr>
          <w:sz w:val="20"/>
          <w:szCs w:val="20"/>
          <w:color w:val="auto"/>
        </w:rPr>
      </w:pPr>
    </w:p>
    <w:p>
      <w:pPr>
        <w:jc w:val="both"/>
        <w:ind w:left="40" w:right="20" w:firstLine="268"/>
        <w:spacing w:after="0" w:line="26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at the measurement date for substantially the full term of the assets or liabilities.</w:t>
      </w:r>
    </w:p>
    <w:p>
      <w:pPr>
        <w:spacing w:after="0" w:line="73" w:lineRule="exact"/>
        <w:rPr>
          <w:sz w:val="20"/>
          <w:szCs w:val="20"/>
          <w:color w:val="auto"/>
        </w:rPr>
      </w:pPr>
    </w:p>
    <w:p>
      <w:pPr>
        <w:ind w:left="40" w:right="100" w:firstLine="268"/>
        <w:spacing w:after="0" w:line="310" w:lineRule="auto"/>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 Valuations based on unobservable inputs that reflect management’s best estimate of what market participants would use in pricing the asset or</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42"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3 — Investments at Fair Value” may include changes in fair value that are attributable to both observable inputs (Levels 1 and 2) and unobservable inputs (Level 3).</w:t>
      </w:r>
    </w:p>
    <w:p>
      <w:pPr>
        <w:spacing w:after="0" w:line="85" w:lineRule="exact"/>
        <w:rPr>
          <w:sz w:val="20"/>
          <w:szCs w:val="20"/>
          <w:color w:val="auto"/>
        </w:rPr>
      </w:pPr>
    </w:p>
    <w:p>
      <w:pPr>
        <w:ind w:left="40" w:right="200" w:firstLine="268"/>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quarter in which the reclassifications occur. Refer to “Levelling Policy” below for a detailed discussion of the levelling of the Company’s financial assets or liabilities and events that may cause a reclassification within the fair value hierarchy.</w:t>
      </w:r>
    </w:p>
    <w:p>
      <w:pPr>
        <w:spacing w:after="0" w:line="66" w:lineRule="exact"/>
        <w:rPr>
          <w:sz w:val="20"/>
          <w:szCs w:val="20"/>
          <w:color w:val="auto"/>
        </w:rPr>
      </w:pPr>
    </w:p>
    <w:p>
      <w:pPr>
        <w:ind w:left="40" w:right="40" w:firstLine="268"/>
        <w:spacing w:after="0" w:line="253"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86" w:lineRule="exact"/>
        <w:rPr>
          <w:sz w:val="20"/>
          <w:szCs w:val="20"/>
          <w:color w:val="auto"/>
        </w:rPr>
      </w:pPr>
    </w:p>
    <w:p>
      <w:pPr>
        <w:jc w:val="both"/>
        <w:ind w:left="40" w:right="200" w:firstLine="268"/>
        <w:spacing w:after="0" w:line="283"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of the Company’s board of directors (the “Valuation Committee”), does not reliably represent fair value, shall each be valued as follows:</w:t>
      </w:r>
    </w:p>
    <w:p>
      <w:pPr>
        <w:spacing w:after="0" w:line="60" w:lineRule="exact"/>
        <w:rPr>
          <w:sz w:val="20"/>
          <w:szCs w:val="20"/>
          <w:color w:val="auto"/>
        </w:rPr>
      </w:pPr>
    </w:p>
    <w:p>
      <w:pPr>
        <w:ind w:left="540" w:right="20" w:hanging="266"/>
        <w:spacing w:after="0" w:line="272"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7" w:lineRule="exact"/>
        <w:rPr>
          <w:rFonts w:ascii="Arial" w:cs="Arial" w:eastAsia="Arial" w:hAnsi="Arial"/>
          <w:sz w:val="18"/>
          <w:szCs w:val="18"/>
          <w:color w:val="auto"/>
        </w:rPr>
      </w:pPr>
    </w:p>
    <w:p>
      <w:pPr>
        <w:ind w:left="540" w:hanging="266"/>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GSV Asset Management senior management;</w:t>
      </w:r>
    </w:p>
    <w:p>
      <w:pPr>
        <w:spacing w:after="0" w:line="114" w:lineRule="exact"/>
        <w:rPr>
          <w:rFonts w:ascii="Arial" w:cs="Arial" w:eastAsia="Arial" w:hAnsi="Arial"/>
          <w:sz w:val="18"/>
          <w:szCs w:val="18"/>
          <w:color w:val="auto"/>
        </w:rPr>
      </w:pPr>
    </w:p>
    <w:p>
      <w:pPr>
        <w:ind w:left="540" w:right="240" w:hanging="266"/>
        <w:spacing w:after="0" w:line="26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the Valuation Committee to conduct independent appraisals and review GSV Asset Management’s preliminary valuations and make its own independent assessment, for all investments for which there are no readily available market quotations;</w:t>
      </w:r>
    </w:p>
    <w:p>
      <w:pPr>
        <w:spacing w:after="0" w:line="200" w:lineRule="exact"/>
        <w:rPr>
          <w:sz w:val="20"/>
          <w:szCs w:val="20"/>
          <w:color w:val="auto"/>
        </w:rPr>
      </w:pPr>
    </w:p>
    <w:p>
      <w:pPr>
        <w:spacing w:after="0" w:line="33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19" w:lineRule="exact"/>
        <w:rPr>
          <w:sz w:val="20"/>
          <w:szCs w:val="20"/>
          <w:color w:val="auto"/>
        </w:rPr>
      </w:pPr>
    </w:p>
    <w:p>
      <w:pPr>
        <w:ind w:left="540" w:right="600" w:hanging="266"/>
        <w:spacing w:after="0" w:line="272"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67" w:lineRule="exact"/>
        <w:rPr>
          <w:rFonts w:ascii="Arial" w:cs="Arial" w:eastAsia="Arial" w:hAnsi="Arial"/>
          <w:sz w:val="18"/>
          <w:szCs w:val="18"/>
          <w:color w:val="auto"/>
        </w:rPr>
      </w:pPr>
    </w:p>
    <w:p>
      <w:pPr>
        <w:ind w:left="540" w:right="100" w:hanging="266"/>
        <w:spacing w:after="0" w:line="272"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67" w:lineRule="exact"/>
        <w:rPr>
          <w:sz w:val="20"/>
          <w:szCs w:val="20"/>
          <w:color w:val="auto"/>
        </w:rPr>
      </w:pPr>
    </w:p>
    <w:p>
      <w:pPr>
        <w:ind w:left="40" w:right="20" w:firstLine="268"/>
        <w:spacing w:after="0" w:line="253" w:lineRule="auto"/>
        <w:rPr>
          <w:sz w:val="20"/>
          <w:szCs w:val="20"/>
          <w:color w:val="auto"/>
        </w:rPr>
      </w:pPr>
      <w:r>
        <w:rPr>
          <w:rFonts w:ascii="Arial" w:cs="Arial" w:eastAsia="Arial" w:hAnsi="Arial"/>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86" w:lineRule="exact"/>
        <w:rPr>
          <w:sz w:val="20"/>
          <w:szCs w:val="20"/>
          <w:color w:val="auto"/>
        </w:rPr>
      </w:pPr>
    </w:p>
    <w:p>
      <w:pPr>
        <w:ind w:left="40" w:right="240" w:firstLine="268"/>
        <w:spacing w:after="0" w:line="298" w:lineRule="auto"/>
        <w:rPr>
          <w:sz w:val="20"/>
          <w:szCs w:val="20"/>
          <w:color w:val="auto"/>
        </w:rPr>
      </w:pPr>
      <w:r>
        <w:rPr>
          <w:rFonts w:ascii="Arial" w:cs="Arial" w:eastAsia="Arial" w:hAnsi="Arial"/>
          <w:sz w:val="16"/>
          <w:szCs w:val="16"/>
          <w:color w:val="auto"/>
        </w:rPr>
        <w:t>For investments that are not publicly traded or that do not have readily available market quotations, the Valuation Committee generally engages at least one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52" w:lineRule="exact"/>
        <w:rPr>
          <w:sz w:val="20"/>
          <w:szCs w:val="20"/>
          <w:color w:val="auto"/>
        </w:rPr>
      </w:pPr>
    </w:p>
    <w:p>
      <w:pPr>
        <w:ind w:left="40" w:right="80" w:firstLine="268"/>
        <w:spacing w:after="0" w:line="256"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83" w:lineRule="exact"/>
        <w:rPr>
          <w:sz w:val="20"/>
          <w:szCs w:val="20"/>
          <w:color w:val="auto"/>
        </w:rPr>
      </w:pPr>
    </w:p>
    <w:p>
      <w:pPr>
        <w:ind w:left="40" w:right="120" w:firstLine="268"/>
        <w:spacing w:after="0" w:line="260"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 as of September 30, 2017 and December 31, 2016.</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5" w:lineRule="exact"/>
        <w:rPr>
          <w:sz w:val="20"/>
          <w:szCs w:val="20"/>
          <w:color w:val="auto"/>
        </w:rPr>
      </w:pPr>
    </w:p>
    <w:p>
      <w:pPr>
        <w:ind w:left="40" w:firstLine="268"/>
        <w:spacing w:after="0" w:line="291"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56"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w:t>
      </w: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19" w:lineRule="exact"/>
        <w:rPr>
          <w:sz w:val="20"/>
          <w:szCs w:val="20"/>
          <w:color w:val="auto"/>
        </w:rPr>
      </w:pPr>
    </w:p>
    <w:p>
      <w:pPr>
        <w:ind w:left="40" w:right="100"/>
        <w:spacing w:after="0" w:line="260" w:lineRule="auto"/>
        <w:rPr>
          <w:sz w:val="20"/>
          <w:szCs w:val="20"/>
          <w:color w:val="auto"/>
        </w:rPr>
      </w:pPr>
      <w:r>
        <w:rPr>
          <w:rFonts w:ascii="Arial" w:cs="Arial" w:eastAsia="Arial" w:hAnsi="Arial"/>
          <w:sz w:val="18"/>
          <w:szCs w:val="18"/>
          <w:color w:val="auto"/>
        </w:rPr>
        <w:t>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78" w:lineRule="exact"/>
        <w:rPr>
          <w:sz w:val="20"/>
          <w:szCs w:val="20"/>
          <w:color w:val="auto"/>
        </w:rPr>
      </w:pPr>
    </w:p>
    <w:p>
      <w:pPr>
        <w:ind w:left="40" w:right="80" w:firstLine="268"/>
        <w:spacing w:after="0" w:line="287" w:lineRule="auto"/>
        <w:rPr>
          <w:sz w:val="20"/>
          <w:szCs w:val="20"/>
          <w:color w:val="auto"/>
        </w:rPr>
      </w:pPr>
      <w:r>
        <w:rPr>
          <w:rFonts w:ascii="Arial" w:cs="Arial" w:eastAsia="Arial" w:hAnsi="Arial"/>
          <w:sz w:val="16"/>
          <w:szCs w:val="16"/>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5" w:lineRule="exact"/>
        <w:rPr>
          <w:sz w:val="20"/>
          <w:szCs w:val="20"/>
          <w:color w:val="auto"/>
        </w:rPr>
      </w:pPr>
    </w:p>
    <w:p>
      <w:pPr>
        <w:ind w:left="40" w:right="60" w:firstLine="268"/>
        <w:spacing w:after="0" w:line="256"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5"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The Company’s board of directors will ascribe value to warrants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warrants are valued at estimated fair value as determined by the Company’s board of directors.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Levelling Policy</w:t>
      </w:r>
    </w:p>
    <w:p>
      <w:pPr>
        <w:spacing w:after="0" w:line="115" w:lineRule="exact"/>
        <w:rPr>
          <w:sz w:val="20"/>
          <w:szCs w:val="20"/>
          <w:color w:val="auto"/>
        </w:rPr>
      </w:pPr>
    </w:p>
    <w:p>
      <w:pPr>
        <w:ind w:left="40" w:right="60" w:firstLine="268"/>
        <w:spacing w:after="0" w:line="287" w:lineRule="auto"/>
        <w:rPr>
          <w:sz w:val="20"/>
          <w:szCs w:val="20"/>
          <w:color w:val="auto"/>
        </w:rPr>
      </w:pPr>
      <w:r>
        <w:rPr>
          <w:rFonts w:ascii="Arial" w:cs="Arial" w:eastAsia="Arial" w:hAnsi="Arial"/>
          <w:sz w:val="16"/>
          <w:szCs w:val="16"/>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200" w:lineRule="exact"/>
        <w:rPr>
          <w:sz w:val="20"/>
          <w:szCs w:val="20"/>
          <w:color w:val="auto"/>
        </w:rPr>
      </w:pPr>
    </w:p>
    <w:p>
      <w:pPr>
        <w:spacing w:after="0" w:line="32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380" w:top="787" w:right="17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5" w:lineRule="exact"/>
        <w:rPr>
          <w:sz w:val="20"/>
          <w:szCs w:val="20"/>
          <w:color w:val="auto"/>
        </w:rPr>
      </w:pPr>
    </w:p>
    <w:p>
      <w:pPr>
        <w:ind w:left="40" w:right="500" w:firstLine="268"/>
        <w:spacing w:after="0" w:line="272"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5" w:lineRule="exact"/>
        <w:rPr>
          <w:sz w:val="20"/>
          <w:szCs w:val="20"/>
          <w:color w:val="auto"/>
        </w:rPr>
      </w:pPr>
    </w:p>
    <w:p>
      <w:pPr>
        <w:ind w:left="40" w:right="60" w:firstLine="268"/>
        <w:spacing w:after="0" w:line="256"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5" w:lineRule="exact"/>
        <w:rPr>
          <w:sz w:val="20"/>
          <w:szCs w:val="20"/>
          <w:color w:val="auto"/>
        </w:rPr>
      </w:pPr>
    </w:p>
    <w:p>
      <w:pPr>
        <w:ind w:left="40" w:right="40" w:firstLine="268"/>
        <w:spacing w:after="0" w:line="252" w:lineRule="auto"/>
        <w:rPr>
          <w:sz w:val="20"/>
          <w:szCs w:val="20"/>
          <w:color w:val="auto"/>
        </w:rPr>
      </w:pPr>
      <w:r>
        <w:rPr>
          <w:rFonts w:ascii="Arial" w:cs="Arial" w:eastAsia="Arial" w:hAnsi="Arial"/>
          <w:sz w:val="18"/>
          <w:szCs w:val="18"/>
          <w:color w:val="auto"/>
        </w:rPr>
        <w:t>GSV Capital is a non-diversified company within the meaning of the 1940 Act. GSV Capital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September 30, 2017 and December 31, 2016, respectively, for details regarding the nature and composition of the Company’s investment portfolio.</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w:t>
      </w:r>
    </w:p>
    <w:p>
      <w:pPr>
        <w:spacing w:after="0" w:line="115" w:lineRule="exact"/>
        <w:rPr>
          <w:sz w:val="20"/>
          <w:szCs w:val="20"/>
          <w:color w:val="auto"/>
        </w:rPr>
      </w:pPr>
    </w:p>
    <w:p>
      <w:pPr>
        <w:jc w:val="both"/>
        <w:ind w:left="40" w:right="220" w:firstLine="268"/>
        <w:spacing w:after="0" w:line="308" w:lineRule="auto"/>
        <w:rPr>
          <w:sz w:val="20"/>
          <w:szCs w:val="20"/>
          <w:color w:val="auto"/>
        </w:rPr>
      </w:pPr>
      <w:r>
        <w:rPr>
          <w:rFonts w:ascii="Arial" w:cs="Arial" w:eastAsia="Arial" w:hAnsi="Arial"/>
          <w:sz w:val="16"/>
          <w:szCs w:val="16"/>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5" w:lineRule="exact"/>
        <w:rPr>
          <w:sz w:val="20"/>
          <w:szCs w:val="20"/>
          <w:color w:val="auto"/>
        </w:rPr>
      </w:pPr>
    </w:p>
    <w:p>
      <w:pPr>
        <w:ind w:left="40" w:firstLine="268"/>
        <w:spacing w:after="0" w:line="289" w:lineRule="auto"/>
        <w:rPr>
          <w:sz w:val="20"/>
          <w:szCs w:val="20"/>
          <w:color w:val="auto"/>
        </w:rPr>
      </w:pPr>
      <w:r>
        <w:rPr>
          <w:rFonts w:ascii="Arial" w:cs="Arial" w:eastAsia="Arial" w:hAnsi="Arial"/>
          <w:sz w:val="16"/>
          <w:szCs w:val="16"/>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using the effective interest method. As of September 30, 2017, and December 31, 2016, the Company had deferred financing costs of $425,316 and $311,268, respectively, on the Condensed Consolidated Statements of Assets and Liabilities.</w:t>
      </w:r>
    </w:p>
    <w:p>
      <w:pPr>
        <w:spacing w:after="0" w:line="200" w:lineRule="exact"/>
        <w:rPr>
          <w:sz w:val="20"/>
          <w:szCs w:val="20"/>
          <w:color w:val="auto"/>
        </w:rPr>
      </w:pP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ind w:left="40" w:right="280" w:firstLine="268"/>
        <w:spacing w:after="0" w:line="336"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5"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At September 30, 2017 and December 31, 2016, the Company had no escrow deposits.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Unrealized Appreciation or Depreciation of Investments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5" w:lineRule="exact"/>
        <w:rPr>
          <w:sz w:val="20"/>
          <w:szCs w:val="20"/>
          <w:color w:val="auto"/>
        </w:rPr>
      </w:pPr>
    </w:p>
    <w:p>
      <w:pPr>
        <w:ind w:left="40" w:right="100" w:firstLine="268"/>
        <w:spacing w:after="0" w:line="260" w:lineRule="auto"/>
        <w:rPr>
          <w:sz w:val="20"/>
          <w:szCs w:val="20"/>
          <w:color w:val="auto"/>
        </w:rPr>
      </w:pPr>
      <w:r>
        <w:rPr>
          <w:rFonts w:ascii="Arial" w:cs="Arial" w:eastAsia="Arial" w:hAnsi="Arial"/>
          <w:sz w:val="18"/>
          <w:szCs w:val="18"/>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w:t>
      </w:r>
    </w:p>
    <w:p>
      <w:pPr>
        <w:spacing w:after="0" w:line="78" w:lineRule="exact"/>
        <w:rPr>
          <w:sz w:val="20"/>
          <w:szCs w:val="20"/>
          <w:color w:val="auto"/>
        </w:rPr>
      </w:pPr>
    </w:p>
    <w:p>
      <w:pPr>
        <w:ind w:left="40" w:firstLine="268"/>
        <w:spacing w:after="0" w:line="291" w:lineRule="auto"/>
        <w:rPr>
          <w:sz w:val="20"/>
          <w:szCs w:val="20"/>
          <w:color w:val="auto"/>
        </w:rPr>
      </w:pPr>
      <w:r>
        <w:rPr>
          <w:rFonts w:ascii="Arial" w:cs="Arial" w:eastAsia="Arial" w:hAnsi="Arial"/>
          <w:sz w:val="16"/>
          <w:szCs w:val="16"/>
          <w:color w:val="auto"/>
        </w:rPr>
        <w:t>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and meet certain source of income and asset diversification requirements on a quarterly basis.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56" w:lineRule="exact"/>
        <w:rPr>
          <w:sz w:val="20"/>
          <w:szCs w:val="20"/>
          <w:color w:val="auto"/>
        </w:rPr>
      </w:pPr>
    </w:p>
    <w:p>
      <w:pPr>
        <w:ind w:left="40" w:right="20" w:firstLine="268"/>
        <w:spacing w:after="0" w:line="269" w:lineRule="auto"/>
        <w:rPr>
          <w:sz w:val="20"/>
          <w:szCs w:val="20"/>
          <w:color w:val="auto"/>
        </w:rPr>
      </w:pPr>
      <w:r>
        <w:rPr>
          <w:rFonts w:ascii="Arial" w:cs="Arial" w:eastAsia="Arial" w:hAnsi="Arial"/>
          <w:sz w:val="17"/>
          <w:szCs w:val="17"/>
          <w:color w:val="auto"/>
        </w:rPr>
        <w:t>If the Company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“Minimum Distribution Amount”), it generally will be required to pay an excise tax equal to 4% of the amount by which the Minimum Distribution Amount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200" w:lineRule="exact"/>
        <w:rPr>
          <w:sz w:val="20"/>
          <w:szCs w:val="20"/>
          <w:color w:val="auto"/>
        </w:rPr>
      </w:pPr>
    </w:p>
    <w:p>
      <w:pPr>
        <w:spacing w:after="0" w:line="31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19" w:lineRule="exact"/>
        <w:rPr>
          <w:sz w:val="20"/>
          <w:szCs w:val="20"/>
          <w:color w:val="auto"/>
        </w:rPr>
      </w:pPr>
    </w:p>
    <w:p>
      <w:pPr>
        <w:ind w:left="40" w:right="20" w:firstLine="268"/>
        <w:spacing w:after="0" w:line="291" w:lineRule="auto"/>
        <w:rPr>
          <w:sz w:val="20"/>
          <w:szCs w:val="20"/>
          <w:color w:val="auto"/>
        </w:rPr>
      </w:pPr>
      <w:r>
        <w:rPr>
          <w:rFonts w:ascii="Arial" w:cs="Arial" w:eastAsia="Arial" w:hAnsi="Arial"/>
          <w:sz w:val="16"/>
          <w:szCs w:val="16"/>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condensed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56" w:lineRule="exact"/>
        <w:rPr>
          <w:sz w:val="20"/>
          <w:szCs w:val="20"/>
          <w:color w:val="auto"/>
        </w:rPr>
      </w:pPr>
    </w:p>
    <w:p>
      <w:pPr>
        <w:ind w:left="40" w:firstLine="268"/>
        <w:spacing w:after="0" w:line="283" w:lineRule="auto"/>
        <w:rPr>
          <w:sz w:val="20"/>
          <w:szCs w:val="20"/>
          <w:color w:val="auto"/>
        </w:rPr>
      </w:pPr>
      <w:r>
        <w:rPr>
          <w:rFonts w:ascii="Arial" w:cs="Arial" w:eastAsia="Arial" w:hAnsi="Arial"/>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w:t>
      </w:r>
      <w:r>
        <w:rPr>
          <w:rFonts w:ascii="Arial" w:cs="Arial" w:eastAsia="Arial" w:hAnsi="Arial"/>
          <w:sz w:val="16"/>
          <w:szCs w:val="16"/>
          <w:i w:val="1"/>
          <w:iCs w:val="1"/>
          <w:color w:val="auto"/>
        </w:rPr>
        <w:t>i.e.</w:t>
      </w:r>
      <w:r>
        <w:rPr>
          <w:rFonts w:ascii="Arial" w:cs="Arial" w:eastAsia="Arial" w:hAnsi="Arial"/>
          <w:sz w:val="16"/>
          <w:szCs w:val="16"/>
          <w:color w:val="auto"/>
        </w:rPr>
        <w:t>,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 C corporation for its 2012 and 2013 taxable years. Refer to “Note 8 — Income Taxes” for further details regarding the Company’s tax status.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5" w:lineRule="exact"/>
        <w:rPr>
          <w:sz w:val="20"/>
          <w:szCs w:val="20"/>
          <w:color w:val="auto"/>
        </w:rPr>
      </w:pPr>
    </w:p>
    <w:p>
      <w:pPr>
        <w:ind w:left="40" w:right="180" w:firstLine="268"/>
        <w:spacing w:after="0" w:line="252" w:lineRule="auto"/>
        <w:rPr>
          <w:sz w:val="20"/>
          <w:szCs w:val="20"/>
          <w:color w:val="auto"/>
        </w:rPr>
      </w:pPr>
      <w:r>
        <w:rPr>
          <w:rFonts w:ascii="Arial" w:cs="Arial" w:eastAsia="Arial" w:hAnsi="Arial"/>
          <w:sz w:val="18"/>
          <w:szCs w:val="18"/>
          <w:color w:val="auto"/>
        </w:rPr>
        <w:t xml:space="preserve">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8"/>
          <w:szCs w:val="18"/>
          <w:i w:val="1"/>
          <w:iCs w:val="1"/>
          <w:color w:val="auto"/>
        </w:rPr>
        <w:t>FASB ASC 260, Earnings Per Share</w:t>
      </w:r>
      <w:r>
        <w:rPr>
          <w:rFonts w:ascii="Arial" w:cs="Arial" w:eastAsia="Arial" w:hAnsi="Arial"/>
          <w:sz w:val="18"/>
          <w:szCs w:val="18"/>
          <w:color w:val="auto"/>
        </w:rPr>
        <w:t xml:space="preserve"> (“ASC 260”) to determine the number of potentially dilutive shares outstanding. Refer to “Note 5 — Net Increase/(Decrease) in Net Assets Resulting from Operations per Common Share — Basic and Diluted” for further detail.</w:t>
      </w:r>
    </w:p>
    <w:p>
      <w:pPr>
        <w:spacing w:after="0" w:line="200" w:lineRule="exact"/>
        <w:rPr>
          <w:sz w:val="20"/>
          <w:szCs w:val="20"/>
          <w:color w:val="auto"/>
        </w:rPr>
      </w:pPr>
    </w:p>
    <w:p>
      <w:pPr>
        <w:spacing w:after="0" w:line="33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5"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 xml:space="preserve">In January 2016, the FASB issued Accounting Standards Update (“ASU”) 2016-01, </w:t>
      </w:r>
      <w:r>
        <w:rPr>
          <w:rFonts w:ascii="Arial" w:cs="Arial" w:eastAsia="Arial" w:hAnsi="Arial"/>
          <w:sz w:val="18"/>
          <w:szCs w:val="18"/>
          <w:i w:val="1"/>
          <w:iCs w:val="1"/>
          <w:color w:val="auto"/>
        </w:rPr>
        <w:t>Financial Instruments — Overall (Subtopic 825-10): 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of Financial Assets and Financial Liabilities, </w:t>
      </w:r>
      <w:r>
        <w:rPr>
          <w:rFonts w:ascii="Arial" w:cs="Arial" w:eastAsia="Arial" w:hAnsi="Arial"/>
          <w:sz w:val="18"/>
          <w:szCs w:val="18"/>
          <w:color w:val="auto"/>
        </w:rPr>
        <w:t>which, among other things, requires (i) that all equity investments, other than equity-method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unconsolidated entities generally be measured at fair value through earnings, and (ii)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Additionally, ASU 2016-01 changes the disclosure requirements for financial instruments. ASU 2016-01 is effective for annual reporting periods, and the interim periods within those periods, beginning after December 15, 2017. Early adoption is permitted for certain provisions. We do not believe that ASU 2016-01 will have a material impact on our consolidated financial statements and disclosures.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19" w:lineRule="exact"/>
        <w:rPr>
          <w:sz w:val="20"/>
          <w:szCs w:val="20"/>
          <w:color w:val="auto"/>
        </w:rPr>
      </w:pPr>
    </w:p>
    <w:p>
      <w:pPr>
        <w:ind w:left="40" w:right="40" w:firstLine="268"/>
        <w:spacing w:after="0" w:line="287" w:lineRule="auto"/>
        <w:rPr>
          <w:sz w:val="20"/>
          <w:szCs w:val="20"/>
          <w:color w:val="auto"/>
        </w:rPr>
      </w:pPr>
      <w:r>
        <w:rPr>
          <w:rFonts w:ascii="Arial" w:cs="Arial" w:eastAsia="Arial" w:hAnsi="Arial"/>
          <w:sz w:val="16"/>
          <w:szCs w:val="16"/>
          <w:color w:val="auto"/>
        </w:rPr>
        <w:t>The Company has entered into an investment advisory agreement with GSV Asset Management (the “Advisory Agreement”). Under the terms of the agreement, GSV Asset Management is paid a quarterly management fee and an annual incentive fee. GSV Asset Management is controlled by Michael Moe, the Executive Chairman of the Company’s board of directors. Mr. Moe, through his ownership interest in GSV Asset Management, is entitled to a portion of any profits earned by GSV Asset Management in performing its services under the Advisory Agreement. Mr. Moe and William Tanona, the Company’s President, Chief Financial Officer, Treasurer and Corporate Secretary, as principals of GSV Asset Management, collectively manage the business and internal affairs of GSV Asset Management. Mark Klein, the Company’s Chief Executive Officer and a member of the Company’s board of directors, or entities with which he is affiliated, receives fees from GSV Asset Management equal to a percentage of each of the base management fee and the incentive fee paid by the Company to GSV Asset Management pursuant to a consulting agreement with GSV Asset Management.</w:t>
      </w:r>
    </w:p>
    <w:p>
      <w:pPr>
        <w:spacing w:after="0" w:line="64" w:lineRule="exact"/>
        <w:rPr>
          <w:sz w:val="20"/>
          <w:szCs w:val="20"/>
          <w:color w:val="auto"/>
        </w:rPr>
      </w:pPr>
    </w:p>
    <w:p>
      <w:pPr>
        <w:ind w:left="40" w:firstLine="268"/>
        <w:spacing w:after="0" w:line="291" w:lineRule="auto"/>
        <w:rPr>
          <w:sz w:val="20"/>
          <w:szCs w:val="20"/>
          <w:color w:val="auto"/>
        </w:rPr>
      </w:pPr>
      <w:r>
        <w:rPr>
          <w:rFonts w:ascii="Arial" w:cs="Arial" w:eastAsia="Arial" w:hAnsi="Arial"/>
          <w:sz w:val="16"/>
          <w:szCs w:val="16"/>
          <w:color w:val="auto"/>
        </w:rPr>
        <w:t>Under the Advisory Agreement, there are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has, however, adopted an internal policy whereby any fees or compensation received by a manager, partner, officer or employee of GSV Asset Management in exchange for serving as a director of, or providing consulting services to, any of the Company’s portfolio companies will be transferred to the Company, net of any personal taxes incurred, upon such receipt for the benefit of the Company and its stockholders.</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 Fees</w:t>
      </w:r>
    </w:p>
    <w:p>
      <w:pPr>
        <w:spacing w:after="0" w:line="115" w:lineRule="exact"/>
        <w:rPr>
          <w:sz w:val="20"/>
          <w:szCs w:val="20"/>
          <w:color w:val="auto"/>
        </w:rPr>
      </w:pPr>
    </w:p>
    <w:p>
      <w:pPr>
        <w:ind w:left="40" w:right="120" w:firstLine="268"/>
        <w:spacing w:after="0" w:line="271" w:lineRule="auto"/>
        <w:rPr>
          <w:sz w:val="20"/>
          <w:szCs w:val="20"/>
          <w:color w:val="auto"/>
        </w:rPr>
      </w:pPr>
      <w:r>
        <w:rPr>
          <w:rFonts w:ascii="Arial" w:cs="Arial" w:eastAsia="Arial" w:hAnsi="Arial"/>
          <w:sz w:val="17"/>
          <w:szCs w:val="17"/>
          <w:color w:val="auto"/>
        </w:rPr>
        <w:t>Under the terms of the Advisory Agreement, GSV Asset Management is paid a base management fee of 2.0% of gross assets, which is the Company’s total assets reflected on its Condensed Consolidated Statements of Assets and Liabilities (with no deduction for liabilities) reduced by any non-portfolio investments. Effective January 1, 2017 through December 31, 2017, however, pursuant to a voluntary waiver by GSV Asset Management, the Company will pay GSV Asset Management a base management fee of 1.75%, a 0.25% reduction from the 2.0% base management fee payable under the Advisory Agreement. This waiver of a portion of the base management fee is not subject to recourse against or reimbursement by the Company. GSV Asset Management earned $1,397,332 and $4,210,932 in management fees for the three and nine months</w:t>
      </w:r>
    </w:p>
    <w:p>
      <w:pPr>
        <w:spacing w:after="0" w:line="200" w:lineRule="exact"/>
        <w:rPr>
          <w:sz w:val="20"/>
          <w:szCs w:val="20"/>
          <w:color w:val="auto"/>
        </w:rPr>
      </w:pPr>
    </w:p>
    <w:p>
      <w:pPr>
        <w:spacing w:after="0" w:line="31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19" w:lineRule="exact"/>
        <w:rPr>
          <w:sz w:val="20"/>
          <w:szCs w:val="20"/>
          <w:color w:val="auto"/>
        </w:rPr>
      </w:pPr>
    </w:p>
    <w:p>
      <w:pPr>
        <w:ind w:left="40"/>
        <w:spacing w:after="0" w:line="308" w:lineRule="auto"/>
        <w:rPr>
          <w:sz w:val="20"/>
          <w:szCs w:val="20"/>
          <w:color w:val="auto"/>
        </w:rPr>
      </w:pPr>
      <w:r>
        <w:rPr>
          <w:rFonts w:ascii="Arial" w:cs="Arial" w:eastAsia="Arial" w:hAnsi="Arial"/>
          <w:sz w:val="16"/>
          <w:szCs w:val="16"/>
          <w:color w:val="auto"/>
        </w:rPr>
        <w:t>ended September 30, 2017, respectively. GSV Asset Management earned $1,625,963 and $5,324,186 in management fees for the three and nine months ended September 30, 2016, respectively. GSV Asset Management waived $174,666 and $526,366 in management fees for the three and nine months ended September 30, 2017, respectively. GSV Asset Management did not waive management fees for the three and nine months ended September 30, 2016.</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Incentive Fees</w:t>
      </w:r>
    </w:p>
    <w:p>
      <w:pPr>
        <w:spacing w:after="0" w:line="115" w:lineRule="exact"/>
        <w:rPr>
          <w:sz w:val="20"/>
          <w:szCs w:val="20"/>
          <w:color w:val="auto"/>
        </w:rPr>
      </w:pPr>
    </w:p>
    <w:p>
      <w:pPr>
        <w:ind w:left="40" w:right="80" w:firstLine="268"/>
        <w:spacing w:after="0" w:line="254" w:lineRule="auto"/>
        <w:rPr>
          <w:sz w:val="20"/>
          <w:szCs w:val="20"/>
          <w:color w:val="auto"/>
        </w:rPr>
      </w:pPr>
      <w:r>
        <w:rPr>
          <w:rFonts w:ascii="Arial" w:cs="Arial" w:eastAsia="Arial" w:hAnsi="Arial"/>
          <w:sz w:val="18"/>
          <w:szCs w:val="18"/>
          <w:color w:val="auto"/>
        </w:rPr>
        <w:t>Under the terms of the Advisory Agreement, GSV Asset Management is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85" w:lineRule="exact"/>
        <w:rPr>
          <w:sz w:val="20"/>
          <w:szCs w:val="20"/>
          <w:color w:val="auto"/>
        </w:rPr>
      </w:pPr>
    </w:p>
    <w:p>
      <w:pPr>
        <w:ind w:left="40" w:right="60" w:firstLine="268"/>
        <w:spacing w:after="0" w:line="298" w:lineRule="auto"/>
        <w:rPr>
          <w:sz w:val="20"/>
          <w:szCs w:val="20"/>
          <w:color w:val="auto"/>
        </w:rPr>
      </w:pPr>
      <w:r>
        <w:rPr>
          <w:rFonts w:ascii="Arial" w:cs="Arial" w:eastAsia="Arial" w:hAnsi="Arial"/>
          <w:sz w:val="16"/>
          <w:szCs w:val="16"/>
          <w:color w:val="auto"/>
        </w:rPr>
        <w:t>For GAAP purposes, in accordance with the AICPA’s Technical Practice Aids (“TPA”) (TIS 6910.2), the Company is required to accrue incentive fees for all periods as if the Company had fully liquidated its entire investment portfolio at the fair value stated on the Condensed Consolidated Statements of Assets and Liabilities as of September 30, 2017 and December 31, 2016. This accrual considers both the hypothetical liquidation of the Company’s portfolio described previously, as well as the Company’s actual cumulative realized gains and losses since inception, as well any previously paid incentive fees.</w:t>
      </w:r>
    </w:p>
    <w:p>
      <w:pPr>
        <w:spacing w:after="0" w:line="52" w:lineRule="exact"/>
        <w:rPr>
          <w:sz w:val="20"/>
          <w:szCs w:val="20"/>
          <w:color w:val="auto"/>
        </w:rPr>
      </w:pPr>
    </w:p>
    <w:p>
      <w:pPr>
        <w:jc w:val="both"/>
        <w:ind w:left="40" w:right="100" w:firstLine="268"/>
        <w:spacing w:after="0" w:line="260" w:lineRule="auto"/>
        <w:rPr>
          <w:sz w:val="20"/>
          <w:szCs w:val="20"/>
          <w:color w:val="auto"/>
        </w:rPr>
      </w:pPr>
      <w:r>
        <w:rPr>
          <w:rFonts w:ascii="Arial" w:cs="Arial" w:eastAsia="Arial" w:hAnsi="Arial"/>
          <w:sz w:val="18"/>
          <w:szCs w:val="18"/>
          <w:color w:val="auto"/>
        </w:rPr>
        <w:t>For the three and nine months ended September 30, 2017, the Company accrued incentive fees of $3,334,052 and $7,482,185, respectively. For the three months ended September 30, 2016, the Company accrued incentive fees of $220,719. For the nine months ended September 30, 2016, the Company reversed previously accrued incentive fees of $7,805,089.</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Due to GSV Asset Management</w:t>
      </w:r>
    </w:p>
    <w:p>
      <w:pPr>
        <w:spacing w:after="0" w:line="115" w:lineRule="exact"/>
        <w:rPr>
          <w:sz w:val="20"/>
          <w:szCs w:val="20"/>
          <w:color w:val="auto"/>
        </w:rPr>
      </w:pPr>
    </w:p>
    <w:p>
      <w:pPr>
        <w:ind w:left="40" w:right="540" w:firstLine="268"/>
        <w:spacing w:after="0" w:line="336" w:lineRule="auto"/>
        <w:rPr>
          <w:sz w:val="20"/>
          <w:szCs w:val="20"/>
          <w:color w:val="auto"/>
        </w:rPr>
      </w:pPr>
      <w:r>
        <w:rPr>
          <w:rFonts w:ascii="Arial" w:cs="Arial" w:eastAsia="Arial" w:hAnsi="Arial"/>
          <w:sz w:val="16"/>
          <w:szCs w:val="16"/>
          <w:color w:val="auto"/>
        </w:rPr>
        <w:t>As of September 30, 2017, there were no receivables owed to the Company by GSV Asset Management. In addition, as of September 30, 2017, the Company owed GSV Asset Management $323,897 primarily for the reimbursement of overhead allocation expenses, as well as travel expenses.</w:t>
      </w:r>
    </w:p>
    <w:p>
      <w:pPr>
        <w:spacing w:after="0" w:line="21" w:lineRule="exact"/>
        <w:rPr>
          <w:sz w:val="20"/>
          <w:szCs w:val="20"/>
          <w:color w:val="auto"/>
        </w:rPr>
      </w:pPr>
    </w:p>
    <w:p>
      <w:pPr>
        <w:ind w:left="40" w:right="600" w:firstLine="268"/>
        <w:spacing w:after="0" w:line="302" w:lineRule="auto"/>
        <w:rPr>
          <w:sz w:val="20"/>
          <w:szCs w:val="20"/>
          <w:color w:val="auto"/>
        </w:rPr>
      </w:pPr>
      <w:r>
        <w:rPr>
          <w:rFonts w:ascii="Arial" w:cs="Arial" w:eastAsia="Arial" w:hAnsi="Arial"/>
          <w:sz w:val="17"/>
          <w:szCs w:val="17"/>
          <w:color w:val="auto"/>
        </w:rPr>
        <w:t>As of December 31, 2016, there were no receivables owed to the Company by GSV Asset Management. In addition, as of December 31, 2016, the Company owed GSV Asset Management $422,025 primarily for the reimbursement of overhead allocation expenses.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19"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GSV Asset Management controls GSV Capital Service Company. The Company reimburses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is no limit on the total amount of expenses the Company may be required to reimburse to GSV Capital Service Company, GSV Capital Service Company will only charge the Company for the actual expenses GSV Capital Service Company incurs on the Company’s behalf, or the Company’s allocable portion thereof, without any profit to GSV Capital Service Company. There were $472,413 and $1,453,007 in such costs incurred under the Administration Agreement for the three and nine months ended September 30, 2017,</w:t>
      </w:r>
    </w:p>
    <w:p>
      <w:pPr>
        <w:spacing w:after="0" w:line="200" w:lineRule="exact"/>
        <w:rPr>
          <w:sz w:val="20"/>
          <w:szCs w:val="20"/>
          <w:color w:val="auto"/>
        </w:rPr>
      </w:pPr>
    </w:p>
    <w:p>
      <w:pPr>
        <w:spacing w:after="0" w:line="33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19" w:lineRule="exact"/>
        <w:rPr>
          <w:sz w:val="20"/>
          <w:szCs w:val="20"/>
          <w:color w:val="auto"/>
        </w:rPr>
      </w:pPr>
    </w:p>
    <w:p>
      <w:pPr>
        <w:ind w:left="40" w:right="20"/>
        <w:spacing w:after="0" w:line="272" w:lineRule="auto"/>
        <w:rPr>
          <w:sz w:val="20"/>
          <w:szCs w:val="20"/>
          <w:color w:val="auto"/>
        </w:rPr>
      </w:pPr>
      <w:r>
        <w:rPr>
          <w:rFonts w:ascii="Arial" w:cs="Arial" w:eastAsia="Arial" w:hAnsi="Arial"/>
          <w:sz w:val="18"/>
          <w:szCs w:val="18"/>
          <w:color w:val="auto"/>
        </w:rPr>
        <w:t>respectively. There were $627,444 and $1,926,085 in such costs incurred under the Administration Agreement for the three and nine months ended September 30, 2016, respectively.</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19" w:lineRule="exact"/>
        <w:rPr>
          <w:sz w:val="20"/>
          <w:szCs w:val="20"/>
          <w:color w:val="auto"/>
        </w:rPr>
      </w:pPr>
    </w:p>
    <w:p>
      <w:pPr>
        <w:ind w:left="40" w:right="120" w:firstLine="268"/>
        <w:spacing w:after="0" w:line="256" w:lineRule="auto"/>
        <w:rPr>
          <w:sz w:val="20"/>
          <w:szCs w:val="20"/>
          <w:color w:val="auto"/>
        </w:rPr>
      </w:pPr>
      <w:r>
        <w:rPr>
          <w:rFonts w:ascii="Arial" w:cs="Arial" w:eastAsia="Arial" w:hAnsi="Arial"/>
          <w:sz w:val="18"/>
          <w:szCs w:val="18"/>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Other Arrangements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Mark Moe, who is the brother of Michael Moe, the Executive Chairman of the Company’s board of directors, serves as Vice President of Business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Development, Global Expansion for NestGSV, Inc. (d/b/a GSV Labs, Inc.), one of the Company’s portfolio companies. Diane Flynn, who is the spouse of the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Company’s former President, Mark Flynn, served as Chief Marketing Officer of NestGSV, Inc. until her resignation in January 2017. Ron Johnson, the Chief</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Executive Officer of Enjoy Technology, Inc., one of the Company’s portfolio companies, is the brother-in-law of the Company’s former President, Mark</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color w:val="auto"/>
        </w:rPr>
        <w:t>Flynn. As of September 30, 2017, the fair values of the Company’s investments in NestGSV, Inc. and Enjoy Technology, Inc. were $9,334,335 and</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$5,447,844, respectively. Another one of the Company’s portfolio companies, SPBRX, INC. (f/k/a GSV Sustainability Partners, Inc.), was previously allowed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utilize office space paid for by GSV Asset Management. SPBRX, INC. was not required to pay GSV Asset Management or the Company any consideration</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rent. The Company did not consider this to be an arms-length transaction. In August 2016, SPBRX, INC. (f/k/a GSV Sustainability Partners, Inc.) moved</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 of the office space paid for by GSV Asset Management.</w:t>
      </w:r>
    </w:p>
    <w:p>
      <w:pPr>
        <w:spacing w:after="0" w:line="102" w:lineRule="exact"/>
        <w:rPr>
          <w:sz w:val="20"/>
          <w:szCs w:val="20"/>
          <w:color w:val="auto"/>
        </w:rPr>
      </w:pPr>
    </w:p>
    <w:p>
      <w:pPr>
        <w:ind w:left="40" w:firstLine="268"/>
        <w:spacing w:after="0" w:line="268" w:lineRule="auto"/>
        <w:rPr>
          <w:sz w:val="20"/>
          <w:szCs w:val="20"/>
          <w:color w:val="auto"/>
        </w:rPr>
      </w:pPr>
      <w:r>
        <w:rPr>
          <w:rFonts w:ascii="Arial" w:cs="Arial" w:eastAsia="Arial" w:hAnsi="Arial"/>
          <w:sz w:val="17"/>
          <w:szCs w:val="17"/>
          <w:color w:val="auto"/>
        </w:rPr>
        <w:t>In addition, the Company’s executive officers and directors, and the principals of the Company’s investment adviser, GSV Asset Management, serve or may serve as officers and directors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 For example, as of November 9, 2017, GSV Asset Management also manages Coursera@GSV Fund, LP, and Coursera@GSV-EDBI Fund, LP, special purpose vehicles each comprised of an underlying investment in Coursera stock (the “Coursera Funds”). GSV Asset Management also serves as sub-adviser for certain investment series of GSV Ventures I LLC, GSV Ventures II LLC, GSV Ventures V LLC, GSV Ventures VI LLC and a pooled investment fund, GSV Ventures III LLC, each a venture capital fund (collectively, the “GSV Ventures Funds”). GSV Asset Management will likely manage one or more private funds, or series within such private funds, in the future. The Company has no ownership interests in the Coursera Funds or the GSV Ventures Funds sub-advised by GSV Asset Management.</w:t>
      </w:r>
    </w:p>
    <w:p>
      <w:pPr>
        <w:spacing w:after="0" w:line="74" w:lineRule="exact"/>
        <w:rPr>
          <w:sz w:val="20"/>
          <w:szCs w:val="20"/>
          <w:color w:val="auto"/>
        </w:rPr>
      </w:pPr>
    </w:p>
    <w:p>
      <w:pPr>
        <w:ind w:left="40" w:right="40" w:firstLine="268"/>
        <w:spacing w:after="0" w:line="289" w:lineRule="auto"/>
        <w:rPr>
          <w:sz w:val="20"/>
          <w:szCs w:val="20"/>
          <w:color w:val="auto"/>
        </w:rPr>
      </w:pPr>
      <w:r>
        <w:rPr>
          <w:rFonts w:ascii="Arial" w:cs="Arial" w:eastAsia="Arial" w:hAnsi="Arial"/>
          <w:sz w:val="16"/>
          <w:szCs w:val="16"/>
          <w:color w:val="auto"/>
        </w:rPr>
        <w:t>While the investment focus of each of these entities, including the Coursera Funds and the GSV Ventures Funds, may be different from the Company’s investment objective, it is likely that new investment opportunities that meet the Company’s investment objective will come to the attention of one of these entities, or new entities that will likely be formed in the future in connection with another investment advisory client or program, and, if so, such opportunity might not be offered, or otherwise made available, to the Company. However, the Company’s executive officers, directors and investment adviser, GSV Asset Management, intend to treat the Company in a fair and equitable manner consistent with their applicable duties under law so that the Company will not be disadvantaged in relation to any other particular client. In addition, while GSV Asset Management anticipates that it will from time to time identify investment opportunities that are appropriate for both the Company and the other funds that are currently, or in the future may be, managed by GSV Asset</w:t>
      </w:r>
    </w:p>
    <w:p>
      <w:pPr>
        <w:spacing w:after="0" w:line="200" w:lineRule="exact"/>
        <w:rPr>
          <w:sz w:val="20"/>
          <w:szCs w:val="20"/>
          <w:color w:val="auto"/>
        </w:rPr>
      </w:pP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19" w:lineRule="exact"/>
        <w:rPr>
          <w:sz w:val="20"/>
          <w:szCs w:val="20"/>
          <w:color w:val="auto"/>
        </w:rPr>
      </w:pPr>
    </w:p>
    <w:p>
      <w:pPr>
        <w:jc w:val="both"/>
        <w:ind w:left="40" w:right="140"/>
        <w:spacing w:after="0" w:line="260" w:lineRule="auto"/>
        <w:rPr>
          <w:sz w:val="20"/>
          <w:szCs w:val="20"/>
          <w:color w:val="auto"/>
        </w:rPr>
      </w:pPr>
      <w:r>
        <w:rPr>
          <w:rFonts w:ascii="Arial" w:cs="Arial" w:eastAsia="Arial" w:hAnsi="Arial"/>
          <w:sz w:val="18"/>
          <w:szCs w:val="18"/>
          <w:color w:val="auto"/>
        </w:rPr>
        <w:t>Management, to the extent it does identify such opportunities, GSV Asset Management has established an allocation policy to ensure that the Company has priority over such other funds. The Company’s board of directors will monitor on a quarterly basis any such allocation of investment opportunities between the Company and any such other funds.</w:t>
      </w:r>
    </w:p>
    <w:p>
      <w:pPr>
        <w:spacing w:after="0" w:line="78" w:lineRule="exact"/>
        <w:rPr>
          <w:sz w:val="20"/>
          <w:szCs w:val="20"/>
          <w:color w:val="auto"/>
        </w:rPr>
      </w:pPr>
    </w:p>
    <w:p>
      <w:pPr>
        <w:ind w:left="40" w:firstLine="268"/>
        <w:spacing w:after="0" w:line="269" w:lineRule="auto"/>
        <w:rPr>
          <w:sz w:val="20"/>
          <w:szCs w:val="20"/>
          <w:color w:val="auto"/>
        </w:rPr>
      </w:pPr>
      <w:r>
        <w:rPr>
          <w:rFonts w:ascii="Arial" w:cs="Arial" w:eastAsia="Arial" w:hAnsi="Arial"/>
          <w:sz w:val="17"/>
          <w:szCs w:val="17"/>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 During the year ended December 31, 2016, the Company received other income of $212,795 from the proceeds of Michael Moe’s sale of common shares of 2U, Inc. (f/k/a 2tor, Inc.), one of the Company’s former portfolio companies, that Mr. Moe received while serving on 2U’s board of directors. These sales proceeds were remitted directly to the Company.</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Management Transition</w:t>
      </w:r>
    </w:p>
    <w:p>
      <w:pPr>
        <w:spacing w:after="0" w:line="119" w:lineRule="exact"/>
        <w:rPr>
          <w:sz w:val="20"/>
          <w:szCs w:val="20"/>
          <w:color w:val="auto"/>
        </w:rPr>
      </w:pPr>
    </w:p>
    <w:p>
      <w:pPr>
        <w:ind w:left="40" w:right="60" w:firstLine="268"/>
        <w:spacing w:after="0" w:line="254" w:lineRule="auto"/>
        <w:rPr>
          <w:sz w:val="20"/>
          <w:szCs w:val="20"/>
          <w:color w:val="auto"/>
        </w:rPr>
      </w:pPr>
      <w:r>
        <w:rPr>
          <w:rFonts w:ascii="Arial" w:cs="Arial" w:eastAsia="Arial" w:hAnsi="Arial"/>
          <w:sz w:val="18"/>
          <w:szCs w:val="18"/>
          <w:color w:val="auto"/>
        </w:rPr>
        <w:t>On August 8, 2017, the Company announced Michael Moe’s resignation as the Company’s Chief Executive Officer, effective August 11, 2017, and that the Company’s board of directors had appointed Mark Klein, a member of the Company’s board of directors and a consultant to GSV Asset Management, to serve as the Company’s Chief Executive Officer, effective August 11, 2017. Mr. Moe continues to serve the Company as Executive Chairman of the Company’s board of directors. Further information regarding the management transition can be found in the Company’s Current Report on Form 8-K, filed with the SEC on August 8, 2017.</w:t>
      </w:r>
    </w:p>
    <w:p>
      <w:pPr>
        <w:spacing w:after="0" w:line="200" w:lineRule="exact"/>
        <w:rPr>
          <w:sz w:val="20"/>
          <w:szCs w:val="20"/>
          <w:color w:val="auto"/>
        </w:rPr>
      </w:pPr>
    </w:p>
    <w:p>
      <w:pPr>
        <w:spacing w:after="0" w:line="32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00"/>
          </w:cols>
          <w:pgMar w:left="380" w:top="787" w:right="219" w:bottom="1440" w:gutter="0" w:footer="0" w:header="0"/>
        </w:sectPr>
      </w:pPr>
    </w:p>
    <w:bookmarkStart w:id="30" w:name="page31"/>
    <w:bookmarkEnd w:id="3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Investment Portfolio Composition</w:t>
      </w:r>
    </w:p>
    <w:p>
      <w:pPr>
        <w:spacing w:after="0" w:line="119" w:lineRule="exact"/>
        <w:rPr>
          <w:sz w:val="20"/>
          <w:szCs w:val="20"/>
          <w:color w:val="auto"/>
        </w:rPr>
      </w:pPr>
    </w:p>
    <w:p>
      <w:pPr>
        <w:ind w:left="60" w:firstLine="268"/>
        <w:spacing w:after="0" w:line="294"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September 30, 2017, the Company had 78 positions in 37 portfolio companies. At December 31, 2016, the Company had 91 positions in 45 portfolio companies. The following table summarizes the composition of the Company’s investment portfolio by security type at cost and fair value as of September 30, 2017 and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12433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-15875</wp:posOffset>
            </wp:positionV>
            <wp:extent cx="46755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675505"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6"/>
          </w:tcPr>
          <w:p>
            <w:pPr>
              <w:ind w:left="780"/>
              <w:spacing w:after="0"/>
              <w:rPr>
                <w:sz w:val="20"/>
                <w:szCs w:val="20"/>
                <w:color w:val="auto"/>
              </w:rPr>
            </w:pPr>
            <w:r>
              <w:rPr>
                <w:rFonts w:ascii="Arial" w:cs="Arial" w:eastAsia="Arial" w:hAnsi="Arial"/>
                <w:sz w:val="13"/>
                <w:szCs w:val="13"/>
                <w:b w:val="1"/>
                <w:bCs w:val="1"/>
                <w:color w:val="auto"/>
                <w:w w:val="89"/>
              </w:rPr>
              <w:t>September 30, 2017 (Unaudited)</w:t>
            </w:r>
          </w:p>
        </w:tc>
        <w:tc>
          <w:tcPr>
            <w:tcW w:w="6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8"/>
              </w:rPr>
              <w:t>December 31, 2016</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tcPr>
          <w:p>
            <w:pPr>
              <w:jc w:val="right"/>
              <w:ind w:right="180"/>
              <w:spacing w:after="0" w:line="110" w:lineRule="exact"/>
              <w:rPr>
                <w:sz w:val="20"/>
                <w:szCs w:val="20"/>
                <w:color w:val="auto"/>
              </w:rPr>
            </w:pPr>
            <w:r>
              <w:rPr>
                <w:rFonts w:ascii="Arial" w:cs="Arial" w:eastAsia="Arial" w:hAnsi="Arial"/>
                <w:sz w:val="11"/>
                <w:szCs w:val="11"/>
                <w:b w:val="1"/>
                <w:bCs w:val="1"/>
                <w:color w:val="auto"/>
              </w:rPr>
              <w:t>Percentage of</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tcPr>
          <w:p>
            <w:pPr>
              <w:jc w:val="right"/>
              <w:ind w:right="180"/>
              <w:spacing w:after="0" w:line="110" w:lineRule="exact"/>
              <w:rPr>
                <w:sz w:val="20"/>
                <w:szCs w:val="20"/>
                <w:color w:val="auto"/>
              </w:rPr>
            </w:pPr>
            <w:r>
              <w:rPr>
                <w:rFonts w:ascii="Arial" w:cs="Arial" w:eastAsia="Arial" w:hAnsi="Arial"/>
                <w:sz w:val="11"/>
                <w:szCs w:val="11"/>
                <w:b w:val="1"/>
                <w:bCs w:val="1"/>
                <w:color w:val="auto"/>
              </w:rPr>
              <w:t>Percentage of</w:t>
            </w:r>
          </w:p>
        </w:tc>
        <w:tc>
          <w:tcPr>
            <w:tcW w:w="0" w:type="dxa"/>
            <w:vAlign w:val="bottom"/>
          </w:tcPr>
          <w:p>
            <w:pPr>
              <w:spacing w:after="0"/>
              <w:rPr>
                <w:sz w:val="1"/>
                <w:szCs w:val="1"/>
                <w:color w:val="auto"/>
              </w:rPr>
            </w:pPr>
          </w:p>
        </w:tc>
      </w:tr>
      <w:tr>
        <w:trPr>
          <w:trHeight w:val="152"/>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Private Portfolio Companies</w:t>
            </w:r>
          </w:p>
        </w:tc>
        <w:tc>
          <w:tcPr>
            <w:tcW w:w="240" w:type="dxa"/>
            <w:vAlign w:val="bottom"/>
          </w:tcPr>
          <w:p>
            <w:pPr>
              <w:spacing w:after="0"/>
              <w:rPr>
                <w:sz w:val="13"/>
                <w:szCs w:val="13"/>
                <w:color w:val="auto"/>
              </w:rPr>
            </w:pPr>
          </w:p>
        </w:tc>
        <w:tc>
          <w:tcPr>
            <w:tcW w:w="860" w:type="dxa"/>
            <w:vAlign w:val="bottom"/>
          </w:tcPr>
          <w:p>
            <w:pPr>
              <w:ind w:left="220"/>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ind w:left="100"/>
              <w:spacing w:after="0"/>
              <w:rPr>
                <w:sz w:val="20"/>
                <w:szCs w:val="20"/>
                <w:color w:val="auto"/>
              </w:rPr>
            </w:pPr>
            <w:r>
              <w:rPr>
                <w:rFonts w:ascii="Arial" w:cs="Arial" w:eastAsia="Arial" w:hAnsi="Arial"/>
                <w:sz w:val="13"/>
                <w:szCs w:val="13"/>
                <w:b w:val="1"/>
                <w:bCs w:val="1"/>
                <w:color w:val="auto"/>
              </w:rPr>
              <w:t>Fair Value</w:t>
            </w:r>
          </w:p>
        </w:tc>
        <w:tc>
          <w:tcPr>
            <w:tcW w:w="9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8"/>
              </w:rPr>
              <w:t>Net Assets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ind w:left="240"/>
              <w:spacing w:after="0"/>
              <w:rPr>
                <w:sz w:val="20"/>
                <w:szCs w:val="20"/>
                <w:color w:val="auto"/>
              </w:rPr>
            </w:pPr>
            <w:r>
              <w:rPr>
                <w:rFonts w:ascii="Arial" w:cs="Arial" w:eastAsia="Arial" w:hAnsi="Arial"/>
                <w:sz w:val="13"/>
                <w:szCs w:val="13"/>
                <w:b w:val="1"/>
                <w:bCs w:val="1"/>
                <w:color w:val="auto"/>
              </w:rPr>
              <w:t>Cost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ind w:left="120"/>
              <w:spacing w:after="0"/>
              <w:rPr>
                <w:sz w:val="20"/>
                <w:szCs w:val="20"/>
                <w:color w:val="auto"/>
              </w:rPr>
            </w:pPr>
            <w:r>
              <w:rPr>
                <w:rFonts w:ascii="Arial" w:cs="Arial" w:eastAsia="Arial" w:hAnsi="Arial"/>
                <w:sz w:val="13"/>
                <w:szCs w:val="13"/>
                <w:b w:val="1"/>
                <w:bCs w:val="1"/>
                <w:color w:val="auto"/>
              </w:rPr>
              <w:t>Fair Value</w:t>
            </w:r>
          </w:p>
        </w:tc>
        <w:tc>
          <w:tcPr>
            <w:tcW w:w="22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Net Assets</w:t>
            </w:r>
          </w:p>
        </w:tc>
        <w:tc>
          <w:tcPr>
            <w:tcW w:w="0" w:type="dxa"/>
            <w:vAlign w:val="bottom"/>
          </w:tcPr>
          <w:p>
            <w:pPr>
              <w:spacing w:after="0"/>
              <w:rPr>
                <w:sz w:val="1"/>
                <w:szCs w:val="1"/>
                <w:color w:val="auto"/>
              </w:rPr>
            </w:pPr>
          </w:p>
        </w:tc>
      </w:tr>
      <w:tr>
        <w:trPr>
          <w:trHeight w:val="141"/>
        </w:trPr>
        <w:tc>
          <w:tcPr>
            <w:tcW w:w="3420" w:type="dxa"/>
            <w:vAlign w:val="bottom"/>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jc w:val="right"/>
              <w:ind w:right="89"/>
              <w:spacing w:after="0" w:line="147"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73,577,946</w:t>
            </w:r>
          </w:p>
        </w:tc>
        <w:tc>
          <w:tcPr>
            <w:tcW w:w="420" w:type="dxa"/>
            <w:vAlign w:val="bottom"/>
            <w:tcBorders>
              <w:left w:val="single" w:sz="8" w:color="CCEEFF"/>
            </w:tcBorders>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93,284,868</w:t>
            </w:r>
          </w:p>
        </w:tc>
        <w:tc>
          <w:tcPr>
            <w:tcW w:w="2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44.6%</w:t>
            </w:r>
          </w:p>
        </w:tc>
        <w:tc>
          <w:tcPr>
            <w:tcW w:w="4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81,274,687</w:t>
            </w:r>
          </w:p>
        </w:tc>
        <w:tc>
          <w:tcPr>
            <w:tcW w:w="400" w:type="dxa"/>
            <w:vAlign w:val="bottom"/>
            <w:tcBorders>
              <w:left w:val="single" w:sz="8" w:color="CCEEFF"/>
            </w:tcBorders>
            <w:gridSpan w:val="2"/>
            <w:shd w:val="clear" w:color="auto" w:fill="CCEEFF"/>
          </w:tcPr>
          <w:p>
            <w:pPr>
              <w:jc w:val="right"/>
              <w:ind w:right="57"/>
              <w:spacing w:after="0" w:line="147"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83,074,410</w:t>
            </w:r>
          </w:p>
        </w:tc>
        <w:tc>
          <w:tcPr>
            <w:tcW w:w="1300" w:type="dxa"/>
            <w:vAlign w:val="bottom"/>
            <w:tcBorders>
              <w:left w:val="single" w:sz="8" w:color="CCEEFF"/>
            </w:tcBorders>
            <w:gridSpan w:val="3"/>
            <w:shd w:val="clear" w:color="auto" w:fill="CCEEFF"/>
          </w:tcPr>
          <w:p>
            <w:pPr>
              <w:jc w:val="right"/>
              <w:ind w:right="240"/>
              <w:spacing w:after="0" w:line="147"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8"/>
        </w:trPr>
        <w:tc>
          <w:tcPr>
            <w:tcW w:w="3420" w:type="dxa"/>
            <w:vAlign w:val="bottom"/>
          </w:tcPr>
          <w:p>
            <w:pPr>
              <w:ind w:left="200"/>
              <w:spacing w:after="0" w:line="147" w:lineRule="exact"/>
              <w:rPr>
                <w:sz w:val="20"/>
                <w:szCs w:val="20"/>
                <w:color w:val="auto"/>
              </w:rPr>
            </w:pPr>
            <w:r>
              <w:rPr>
                <w:rFonts w:ascii="Arial" w:cs="Arial" w:eastAsia="Arial" w:hAnsi="Arial"/>
                <w:sz w:val="14"/>
                <w:szCs w:val="14"/>
                <w:color w:val="auto"/>
              </w:rPr>
              <w:t>Preferred Stock</w:t>
            </w:r>
          </w:p>
        </w:tc>
        <w:tc>
          <w:tcPr>
            <w:tcW w:w="2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153,096,417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177,391,805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84.7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174,462,577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162,238,879</w:t>
            </w:r>
          </w:p>
        </w:tc>
        <w:tc>
          <w:tcPr>
            <w:tcW w:w="1300" w:type="dxa"/>
            <w:vAlign w:val="bottom"/>
            <w:gridSpan w:val="3"/>
          </w:tcPr>
          <w:p>
            <w:pPr>
              <w:jc w:val="right"/>
              <w:ind w:right="360"/>
              <w:spacing w:after="0" w:line="147" w:lineRule="exact"/>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color w:val="auto"/>
              </w:rPr>
              <w:t>Debt Investments</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8,685,956</w:t>
            </w:r>
          </w:p>
        </w:tc>
        <w:tc>
          <w:tcPr>
            <w:tcW w:w="22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7,020,386</w:t>
            </w:r>
          </w:p>
        </w:tc>
        <w:tc>
          <w:tcPr>
            <w:tcW w:w="2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8,849,434</w:t>
            </w:r>
          </w:p>
        </w:tc>
        <w:tc>
          <w:tcPr>
            <w:tcW w:w="2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7,821,948</w:t>
            </w:r>
          </w:p>
        </w:tc>
        <w:tc>
          <w:tcPr>
            <w:tcW w:w="1300" w:type="dxa"/>
            <w:vAlign w:val="bottom"/>
            <w:tcBorders>
              <w:left w:val="single" w:sz="8" w:color="CCEEFF"/>
            </w:tcBorders>
            <w:gridSpan w:val="3"/>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8"/>
        </w:trPr>
        <w:tc>
          <w:tcPr>
            <w:tcW w:w="3420" w:type="dxa"/>
            <w:vAlign w:val="bottom"/>
          </w:tcPr>
          <w:p>
            <w:pPr>
              <w:ind w:left="200"/>
              <w:spacing w:after="0" w:line="147" w:lineRule="exact"/>
              <w:rPr>
                <w:sz w:val="20"/>
                <w:szCs w:val="20"/>
                <w:color w:val="auto"/>
              </w:rPr>
            </w:pPr>
            <w:r>
              <w:rPr>
                <w:rFonts w:ascii="Arial" w:cs="Arial" w:eastAsia="Arial" w:hAnsi="Arial"/>
                <w:sz w:val="14"/>
                <w:szCs w:val="14"/>
                <w:color w:val="auto"/>
              </w:rPr>
              <w:t>Warrants</w:t>
            </w:r>
          </w:p>
        </w:tc>
        <w:tc>
          <w:tcPr>
            <w:tcW w:w="2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229,092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471,294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0.2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158,713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150,904</w:t>
            </w:r>
          </w:p>
        </w:tc>
        <w:tc>
          <w:tcPr>
            <w:tcW w:w="1300" w:type="dxa"/>
            <w:vAlign w:val="bottom"/>
            <w:gridSpan w:val="3"/>
          </w:tcPr>
          <w:p>
            <w:pPr>
              <w:jc w:val="right"/>
              <w:ind w:right="360"/>
              <w:spacing w:after="0" w:line="147"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4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rPr>
              <w:t>Private Portfolio Companies</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235,589,411</w:t>
            </w:r>
          </w:p>
        </w:tc>
        <w:tc>
          <w:tcPr>
            <w:tcW w:w="22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278,168,353</w:t>
            </w:r>
          </w:p>
        </w:tc>
        <w:tc>
          <w:tcPr>
            <w:tcW w:w="2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4"/>
                <w:szCs w:val="14"/>
                <w:color w:val="auto"/>
              </w:rPr>
              <w:t>132.9%</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264,745,411</w:t>
            </w:r>
          </w:p>
        </w:tc>
        <w:tc>
          <w:tcPr>
            <w:tcW w:w="2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253,286,141</w:t>
            </w:r>
          </w:p>
        </w:tc>
        <w:tc>
          <w:tcPr>
            <w:tcW w:w="1300" w:type="dxa"/>
            <w:vAlign w:val="bottom"/>
            <w:tcBorders>
              <w:left w:val="single" w:sz="8" w:color="CCEEFF"/>
            </w:tcBorders>
            <w:gridSpan w:val="3"/>
            <w:shd w:val="clear" w:color="auto" w:fill="CCEEFF"/>
          </w:tcPr>
          <w:p>
            <w:pPr>
              <w:jc w:val="right"/>
              <w:ind w:right="240"/>
              <w:spacing w:after="0" w:line="141" w:lineRule="exact"/>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141"/>
        </w:trPr>
        <w:tc>
          <w:tcPr>
            <w:tcW w:w="3420" w:type="dxa"/>
            <w:vAlign w:val="bottom"/>
            <w:tcBorders>
              <w:top w:val="single" w:sz="8" w:color="CCEEFF"/>
            </w:tcBorders>
          </w:tcPr>
          <w:p>
            <w:pPr>
              <w:ind w:left="20"/>
              <w:spacing w:after="0" w:line="141" w:lineRule="exact"/>
              <w:rPr>
                <w:sz w:val="20"/>
                <w:szCs w:val="20"/>
                <w:color w:val="auto"/>
              </w:rPr>
            </w:pPr>
            <w:r>
              <w:rPr>
                <w:rFonts w:ascii="Arial" w:cs="Arial" w:eastAsia="Arial" w:hAnsi="Arial"/>
                <w:sz w:val="14"/>
                <w:szCs w:val="14"/>
                <w:b w:val="1"/>
                <w:bCs w:val="1"/>
                <w:color w:val="auto"/>
              </w:rPr>
              <w:t>Publicly Traded Portfolio Companies</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9,273,458</w:t>
            </w:r>
          </w:p>
        </w:tc>
        <w:tc>
          <w:tcPr>
            <w:tcW w:w="220" w:type="dxa"/>
            <w:vAlign w:val="bottom"/>
            <w:tcBorders>
              <w:lef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11,607,729</w:t>
            </w:r>
          </w:p>
        </w:tc>
        <w:tc>
          <w:tcPr>
            <w:tcW w:w="2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5.5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14,022,863</w:t>
            </w:r>
          </w:p>
        </w:tc>
        <w:tc>
          <w:tcPr>
            <w:tcW w:w="2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8,729,005</w:t>
            </w:r>
          </w:p>
        </w:tc>
        <w:tc>
          <w:tcPr>
            <w:tcW w:w="1300" w:type="dxa"/>
            <w:vAlign w:val="bottom"/>
            <w:tcBorders>
              <w:left w:val="single" w:sz="8" w:color="CCEEFF"/>
            </w:tcBorders>
            <w:gridSpan w:val="3"/>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34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42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Total Portfolio Investments</w:t>
            </w:r>
          </w:p>
        </w:tc>
        <w:tc>
          <w:tcPr>
            <w:tcW w:w="24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Arial" w:cs="Arial" w:eastAsia="Arial" w:hAnsi="Arial"/>
                <w:sz w:val="14"/>
                <w:szCs w:val="14"/>
                <w:color w:val="auto"/>
              </w:rPr>
              <w:t>244,862,869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Arial" w:cs="Arial" w:eastAsia="Arial" w:hAnsi="Arial"/>
                <w:sz w:val="14"/>
                <w:szCs w:val="14"/>
                <w:color w:val="auto"/>
              </w:rPr>
              <w:t>289,776,082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40"/>
              <w:spacing w:after="0" w:line="141" w:lineRule="exact"/>
              <w:rPr>
                <w:sz w:val="20"/>
                <w:szCs w:val="20"/>
                <w:color w:val="auto"/>
              </w:rPr>
            </w:pPr>
            <w:r>
              <w:rPr>
                <w:rFonts w:ascii="Arial" w:cs="Arial" w:eastAsia="Arial" w:hAnsi="Arial"/>
                <w:sz w:val="14"/>
                <w:szCs w:val="14"/>
                <w:color w:val="auto"/>
              </w:rPr>
              <w:t>138.4%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1" w:lineRule="exact"/>
              <w:rPr>
                <w:sz w:val="20"/>
                <w:szCs w:val="20"/>
                <w:color w:val="auto"/>
              </w:rPr>
            </w:pPr>
            <w:r>
              <w:rPr>
                <w:rFonts w:ascii="Arial" w:cs="Arial" w:eastAsia="Arial" w:hAnsi="Arial"/>
                <w:sz w:val="14"/>
                <w:szCs w:val="14"/>
                <w:color w:val="auto"/>
              </w:rPr>
              <w:t>278,768,274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1" w:lineRule="exact"/>
              <w:rPr>
                <w:sz w:val="20"/>
                <w:szCs w:val="20"/>
                <w:color w:val="auto"/>
              </w:rPr>
            </w:pPr>
            <w:r>
              <w:rPr>
                <w:rFonts w:ascii="Arial" w:cs="Arial" w:eastAsia="Arial" w:hAnsi="Arial"/>
                <w:sz w:val="14"/>
                <w:szCs w:val="14"/>
                <w:color w:val="auto"/>
              </w:rPr>
              <w:t>262,015,146</w:t>
            </w:r>
          </w:p>
        </w:tc>
        <w:tc>
          <w:tcPr>
            <w:tcW w:w="1300" w:type="dxa"/>
            <w:vAlign w:val="bottom"/>
            <w:gridSpan w:val="3"/>
          </w:tcPr>
          <w:p>
            <w:pPr>
              <w:jc w:val="right"/>
              <w:ind w:right="240"/>
              <w:spacing w:after="0" w:line="141" w:lineRule="exact"/>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41"/>
        </w:trPr>
        <w:tc>
          <w:tcPr>
            <w:tcW w:w="34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rPr>
              <w:t>Non-Portfolio Investments</w:t>
            </w: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200"/>
              <w:spacing w:after="0" w:line="147" w:lineRule="exact"/>
              <w:rPr>
                <w:sz w:val="20"/>
                <w:szCs w:val="20"/>
                <w:color w:val="auto"/>
              </w:rPr>
            </w:pPr>
            <w:r>
              <w:rPr>
                <w:rFonts w:ascii="Arial" w:cs="Arial" w:eastAsia="Arial" w:hAnsi="Arial"/>
                <w:sz w:val="14"/>
                <w:szCs w:val="14"/>
                <w:color w:val="auto"/>
              </w:rPr>
              <w:t>U.S. Treasury Bill</w:t>
            </w:r>
          </w:p>
        </w:tc>
        <w:tc>
          <w:tcPr>
            <w:tcW w:w="24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Arial" w:cs="Arial" w:eastAsia="Arial" w:hAnsi="Arial"/>
                <w:sz w:val="14"/>
                <w:szCs w:val="14"/>
                <w:color w:val="auto"/>
              </w:rPr>
              <w:t>99,991,125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99,994,000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47.8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Arial" w:cs="Arial" w:eastAsia="Arial" w:hAnsi="Arial"/>
                <w:sz w:val="14"/>
                <w:szCs w:val="14"/>
                <w:color w:val="auto"/>
              </w:rPr>
              <w:t>29,998,750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29,998,490</w:t>
            </w:r>
          </w:p>
        </w:tc>
        <w:tc>
          <w:tcPr>
            <w:tcW w:w="1300" w:type="dxa"/>
            <w:vAlign w:val="bottom"/>
            <w:gridSpan w:val="3"/>
          </w:tcPr>
          <w:p>
            <w:pPr>
              <w:jc w:val="right"/>
              <w:ind w:right="360"/>
              <w:spacing w:after="0" w:line="147"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4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rPr>
              <w:t>Total Investments</w:t>
            </w:r>
          </w:p>
        </w:tc>
        <w:tc>
          <w:tcPr>
            <w:tcW w:w="240" w:type="dxa"/>
            <w:vAlign w:val="bottom"/>
            <w:shd w:val="clear" w:color="auto" w:fill="CCEEFF"/>
          </w:tcPr>
          <w:p>
            <w:pPr>
              <w:jc w:val="right"/>
              <w:ind w:right="89"/>
              <w:spacing w:after="0" w:line="141"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344,853,994</w:t>
            </w:r>
          </w:p>
        </w:tc>
        <w:tc>
          <w:tcPr>
            <w:tcW w:w="420" w:type="dxa"/>
            <w:vAlign w:val="bottom"/>
            <w:tcBorders>
              <w:left w:val="single" w:sz="8" w:color="CCEEFF"/>
            </w:tcBorders>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389,770,082</w:t>
            </w:r>
          </w:p>
        </w:tc>
        <w:tc>
          <w:tcPr>
            <w:tcW w:w="220" w:type="dxa"/>
            <w:vAlign w:val="bottom"/>
            <w:tcBorders>
              <w:lef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4"/>
                <w:szCs w:val="14"/>
                <w:color w:val="auto"/>
              </w:rPr>
              <w:t>186.2%</w:t>
            </w:r>
          </w:p>
        </w:tc>
        <w:tc>
          <w:tcPr>
            <w:tcW w:w="4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308,767,024</w:t>
            </w:r>
          </w:p>
        </w:tc>
        <w:tc>
          <w:tcPr>
            <w:tcW w:w="400" w:type="dxa"/>
            <w:vAlign w:val="bottom"/>
            <w:tcBorders>
              <w:left w:val="single" w:sz="8" w:color="CCEEFF"/>
            </w:tcBorders>
            <w:gridSpan w:val="2"/>
            <w:shd w:val="clear" w:color="auto" w:fill="CCEEFF"/>
          </w:tcPr>
          <w:p>
            <w:pPr>
              <w:jc w:val="right"/>
              <w:ind w:right="57"/>
              <w:spacing w:after="0" w:line="141"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292,013,636</w:t>
            </w:r>
          </w:p>
        </w:tc>
        <w:tc>
          <w:tcPr>
            <w:tcW w:w="1300" w:type="dxa"/>
            <w:vAlign w:val="bottom"/>
            <w:tcBorders>
              <w:left w:val="single" w:sz="8" w:color="CCEEFF"/>
            </w:tcBorders>
            <w:gridSpan w:val="3"/>
            <w:shd w:val="clear" w:color="auto" w:fill="CCEEFF"/>
          </w:tcPr>
          <w:p>
            <w:pPr>
              <w:jc w:val="right"/>
              <w:ind w:right="240"/>
              <w:spacing w:after="0" w:line="141" w:lineRule="exact"/>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026275" cy="1022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26275" cy="102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-433705</wp:posOffset>
            </wp:positionV>
            <wp:extent cx="7026275" cy="1104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26275" cy="1104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industrial and geographic compositions of the Company’s portfolio at fair value as of September 30, 2017 and December 31, 2016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2433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43330" cy="8255"/>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36830</wp:posOffset>
            </wp:positionV>
            <wp:extent cx="48031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803140" cy="825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87"/>
              </w:rPr>
              <w:t>September 30, 2017</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8"/>
              </w:rPr>
              <w:t>December 31, 2016</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12"/>
              <w:spacing w:after="0" w:line="110" w:lineRule="exact"/>
              <w:rPr>
                <w:sz w:val="20"/>
                <w:szCs w:val="20"/>
                <w:color w:val="auto"/>
              </w:rPr>
            </w:pPr>
            <w:r>
              <w:rPr>
                <w:rFonts w:ascii="Arial" w:cs="Arial" w:eastAsia="Arial" w:hAnsi="Arial"/>
                <w:sz w:val="11"/>
                <w:szCs w:val="11"/>
                <w:b w:val="1"/>
                <w:bCs w:val="1"/>
                <w:color w:val="auto"/>
              </w:rPr>
              <w:t>Investments at</w:t>
            </w:r>
          </w:p>
        </w:tc>
        <w:tc>
          <w:tcPr>
            <w:tcW w:w="220" w:type="dxa"/>
            <w:vAlign w:val="bottom"/>
          </w:tcPr>
          <w:p>
            <w:pPr>
              <w:spacing w:after="0"/>
              <w:rPr>
                <w:sz w:val="9"/>
                <w:szCs w:val="9"/>
                <w:color w:val="auto"/>
              </w:rPr>
            </w:pPr>
          </w:p>
        </w:tc>
        <w:tc>
          <w:tcPr>
            <w:tcW w:w="116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98"/>
              </w:rPr>
              <w:t>Percentage of</w:t>
            </w:r>
          </w:p>
        </w:tc>
        <w:tc>
          <w:tcPr>
            <w:tcW w:w="160" w:type="dxa"/>
            <w:vAlign w:val="bottom"/>
          </w:tcPr>
          <w:p>
            <w:pPr>
              <w:spacing w:after="0"/>
              <w:rPr>
                <w:sz w:val="9"/>
                <w:szCs w:val="9"/>
                <w:color w:val="auto"/>
              </w:rPr>
            </w:pPr>
          </w:p>
        </w:tc>
        <w:tc>
          <w:tcPr>
            <w:tcW w:w="118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98"/>
              </w:rPr>
              <w:t>Percentage of</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center"/>
              <w:ind w:right="12"/>
              <w:spacing w:after="0" w:line="110" w:lineRule="exact"/>
              <w:rPr>
                <w:sz w:val="20"/>
                <w:szCs w:val="20"/>
                <w:color w:val="auto"/>
              </w:rPr>
            </w:pPr>
            <w:r>
              <w:rPr>
                <w:rFonts w:ascii="Arial" w:cs="Arial" w:eastAsia="Arial" w:hAnsi="Arial"/>
                <w:sz w:val="11"/>
                <w:szCs w:val="11"/>
                <w:b w:val="1"/>
                <w:bCs w:val="1"/>
                <w:color w:val="auto"/>
              </w:rPr>
              <w:t>Investments at</w:t>
            </w:r>
          </w:p>
        </w:tc>
        <w:tc>
          <w:tcPr>
            <w:tcW w:w="220" w:type="dxa"/>
            <w:vAlign w:val="bottom"/>
          </w:tcPr>
          <w:p>
            <w:pPr>
              <w:spacing w:after="0"/>
              <w:rPr>
                <w:sz w:val="9"/>
                <w:szCs w:val="9"/>
                <w:color w:val="auto"/>
              </w:rPr>
            </w:pPr>
          </w:p>
        </w:tc>
        <w:tc>
          <w:tcPr>
            <w:tcW w:w="118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98"/>
              </w:rPr>
              <w:t>Percentage of</w:t>
            </w:r>
          </w:p>
        </w:tc>
        <w:tc>
          <w:tcPr>
            <w:tcW w:w="160" w:type="dxa"/>
            <w:vAlign w:val="bottom"/>
          </w:tcPr>
          <w:p>
            <w:pPr>
              <w:spacing w:after="0"/>
              <w:rPr>
                <w:sz w:val="9"/>
                <w:szCs w:val="9"/>
                <w:color w:val="auto"/>
              </w:rPr>
            </w:pPr>
          </w:p>
        </w:tc>
        <w:tc>
          <w:tcPr>
            <w:tcW w:w="116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98"/>
              </w:rPr>
              <w:t>Percentage of</w:t>
            </w:r>
          </w:p>
        </w:tc>
        <w:tc>
          <w:tcPr>
            <w:tcW w:w="0" w:type="dxa"/>
            <w:vAlign w:val="bottom"/>
          </w:tcPr>
          <w:p>
            <w:pPr>
              <w:spacing w:after="0"/>
              <w:rPr>
                <w:sz w:val="1"/>
                <w:szCs w:val="1"/>
                <w:color w:val="auto"/>
              </w:rPr>
            </w:pPr>
          </w:p>
        </w:tc>
      </w:tr>
      <w:tr>
        <w:trPr>
          <w:trHeight w:val="152"/>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Industry</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0"/>
              </w:rPr>
              <w:t>Fair Value</w:t>
            </w:r>
          </w:p>
        </w:tc>
        <w:tc>
          <w:tcPr>
            <w:tcW w:w="220" w:type="dxa"/>
            <w:vAlign w:val="bottom"/>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Portfolio</w:t>
            </w:r>
          </w:p>
        </w:tc>
        <w:tc>
          <w:tcPr>
            <w:tcW w:w="160" w:type="dxa"/>
            <w:vAlign w:val="bottom"/>
          </w:tcPr>
          <w:p>
            <w:pPr>
              <w:spacing w:after="0"/>
              <w:rPr>
                <w:sz w:val="13"/>
                <w:szCs w:val="13"/>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Net Assets</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0"/>
              </w:rPr>
              <w:t>Fair Value</w:t>
            </w:r>
          </w:p>
        </w:tc>
        <w:tc>
          <w:tcPr>
            <w:tcW w:w="220" w:type="dxa"/>
            <w:vAlign w:val="bottom"/>
          </w:tcPr>
          <w:p>
            <w:pPr>
              <w:spacing w:after="0"/>
              <w:rPr>
                <w:sz w:val="13"/>
                <w:szCs w:val="13"/>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Portfolio</w:t>
            </w:r>
          </w:p>
        </w:tc>
        <w:tc>
          <w:tcPr>
            <w:tcW w:w="160" w:type="dxa"/>
            <w:vAlign w:val="bottom"/>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41"/>
        </w:trPr>
        <w:tc>
          <w:tcPr>
            <w:tcW w:w="3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Big Data/Cloud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104,206,955</w:t>
            </w:r>
          </w:p>
        </w:tc>
        <w:tc>
          <w:tcPr>
            <w:tcW w:w="1380" w:type="dxa"/>
            <w:vAlign w:val="bottom"/>
            <w:tcBorders>
              <w:left w:val="single" w:sz="8" w:color="CCEEFF"/>
            </w:tcBorders>
            <w:gridSpan w:val="3"/>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36.0%</w:t>
            </w:r>
          </w:p>
        </w:tc>
        <w:tc>
          <w:tcPr>
            <w:tcW w:w="134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49.8%</w:t>
            </w:r>
          </w:p>
        </w:tc>
        <w:tc>
          <w:tcPr>
            <w:tcW w:w="3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89,852,351</w:t>
            </w:r>
          </w:p>
        </w:tc>
        <w:tc>
          <w:tcPr>
            <w:tcW w:w="1400" w:type="dxa"/>
            <w:vAlign w:val="bottom"/>
            <w:tcBorders>
              <w:left w:val="single" w:sz="8" w:color="CCEEFF"/>
            </w:tcBorders>
            <w:gridSpan w:val="3"/>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34.3%</w:t>
            </w:r>
          </w:p>
        </w:tc>
        <w:tc>
          <w:tcPr>
            <w:tcW w:w="132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48"/>
        </w:trPr>
        <w:tc>
          <w:tcPr>
            <w:tcW w:w="3140" w:type="dxa"/>
            <w:vAlign w:val="bottom"/>
          </w:tcPr>
          <w:p>
            <w:pPr>
              <w:ind w:left="20"/>
              <w:spacing w:after="0" w:line="147" w:lineRule="exact"/>
              <w:rPr>
                <w:sz w:val="20"/>
                <w:szCs w:val="20"/>
                <w:color w:val="auto"/>
              </w:rPr>
            </w:pPr>
            <w:r>
              <w:rPr>
                <w:rFonts w:ascii="Arial" w:cs="Arial" w:eastAsia="Arial" w:hAnsi="Arial"/>
                <w:sz w:val="14"/>
                <w:szCs w:val="14"/>
                <w:color w:val="auto"/>
              </w:rPr>
              <w:t>Education Technology</w:t>
            </w:r>
          </w:p>
        </w:tc>
        <w:tc>
          <w:tcPr>
            <w:tcW w:w="14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4"/>
                <w:szCs w:val="14"/>
                <w:color w:val="auto"/>
              </w:rPr>
              <w:t>100,009,977</w:t>
            </w:r>
          </w:p>
        </w:tc>
        <w:tc>
          <w:tcPr>
            <w:tcW w:w="138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34.5</w:t>
            </w:r>
          </w:p>
        </w:tc>
        <w:tc>
          <w:tcPr>
            <w:tcW w:w="1340" w:type="dxa"/>
            <w:vAlign w:val="bottom"/>
            <w:gridSpan w:val="3"/>
          </w:tcPr>
          <w:p>
            <w:pPr>
              <w:jc w:val="right"/>
              <w:ind w:right="420"/>
              <w:spacing w:after="0" w:line="147" w:lineRule="exact"/>
              <w:rPr>
                <w:sz w:val="20"/>
                <w:szCs w:val="20"/>
                <w:color w:val="auto"/>
              </w:rPr>
            </w:pPr>
            <w:r>
              <w:rPr>
                <w:rFonts w:ascii="Arial" w:cs="Arial" w:eastAsia="Arial" w:hAnsi="Arial"/>
                <w:sz w:val="14"/>
                <w:szCs w:val="14"/>
                <w:color w:val="auto"/>
              </w:rPr>
              <w:t>47.7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4"/>
                <w:szCs w:val="14"/>
                <w:color w:val="auto"/>
              </w:rPr>
              <w:t>96,498,376</w:t>
            </w:r>
          </w:p>
        </w:tc>
        <w:tc>
          <w:tcPr>
            <w:tcW w:w="1400" w:type="dxa"/>
            <w:vAlign w:val="bottom"/>
            <w:gridSpan w:val="3"/>
          </w:tcPr>
          <w:p>
            <w:pPr>
              <w:jc w:val="right"/>
              <w:ind w:right="420"/>
              <w:spacing w:after="0" w:line="147" w:lineRule="exact"/>
              <w:rPr>
                <w:sz w:val="20"/>
                <w:szCs w:val="20"/>
                <w:color w:val="auto"/>
              </w:rPr>
            </w:pPr>
            <w:r>
              <w:rPr>
                <w:rFonts w:ascii="Arial" w:cs="Arial" w:eastAsia="Arial" w:hAnsi="Arial"/>
                <w:sz w:val="14"/>
                <w:szCs w:val="14"/>
                <w:color w:val="auto"/>
              </w:rPr>
              <w:t>36.8</w:t>
            </w:r>
          </w:p>
        </w:tc>
        <w:tc>
          <w:tcPr>
            <w:tcW w:w="1320" w:type="dxa"/>
            <w:vAlign w:val="bottom"/>
            <w:gridSpan w:val="3"/>
          </w:tcPr>
          <w:p>
            <w:pPr>
              <w:jc w:val="right"/>
              <w:ind w:right="440"/>
              <w:spacing w:after="0" w:line="147"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Social/Mobile</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52,838,226</w:t>
            </w:r>
          </w:p>
        </w:tc>
        <w:tc>
          <w:tcPr>
            <w:tcW w:w="1380" w:type="dxa"/>
            <w:vAlign w:val="bottom"/>
            <w:tcBorders>
              <w:left w:val="single" w:sz="8" w:color="CCEEFF"/>
            </w:tcBorders>
            <w:gridSpan w:val="3"/>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rPr>
              <w:t>18.2</w:t>
            </w:r>
          </w:p>
        </w:tc>
        <w:tc>
          <w:tcPr>
            <w:tcW w:w="1340" w:type="dxa"/>
            <w:vAlign w:val="bottom"/>
            <w:gridSpan w:val="3"/>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25.2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45,836,028</w:t>
            </w:r>
          </w:p>
        </w:tc>
        <w:tc>
          <w:tcPr>
            <w:tcW w:w="1400" w:type="dxa"/>
            <w:vAlign w:val="bottom"/>
            <w:tcBorders>
              <w:left w:val="single" w:sz="8" w:color="CCEEFF"/>
            </w:tcBorders>
            <w:gridSpan w:val="3"/>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17.6</w:t>
            </w:r>
          </w:p>
        </w:tc>
        <w:tc>
          <w:tcPr>
            <w:tcW w:w="1320" w:type="dxa"/>
            <w:vAlign w:val="bottom"/>
            <w:gridSpan w:val="3"/>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8"/>
        </w:trPr>
        <w:tc>
          <w:tcPr>
            <w:tcW w:w="3140" w:type="dxa"/>
            <w:vAlign w:val="bottom"/>
          </w:tcPr>
          <w:p>
            <w:pPr>
              <w:ind w:left="20"/>
              <w:spacing w:after="0" w:line="147" w:lineRule="exact"/>
              <w:rPr>
                <w:sz w:val="20"/>
                <w:szCs w:val="20"/>
                <w:color w:val="auto"/>
              </w:rPr>
            </w:pPr>
            <w:r>
              <w:rPr>
                <w:rFonts w:ascii="Arial" w:cs="Arial" w:eastAsia="Arial" w:hAnsi="Arial"/>
                <w:sz w:val="14"/>
                <w:szCs w:val="14"/>
                <w:color w:val="auto"/>
              </w:rPr>
              <w:t>Marketplaces</w:t>
            </w:r>
          </w:p>
        </w:tc>
        <w:tc>
          <w:tcPr>
            <w:tcW w:w="14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4"/>
                <w:szCs w:val="14"/>
                <w:color w:val="auto"/>
              </w:rPr>
              <w:t>31,353,731</w:t>
            </w:r>
          </w:p>
        </w:tc>
        <w:tc>
          <w:tcPr>
            <w:tcW w:w="138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10.8</w:t>
            </w:r>
          </w:p>
        </w:tc>
        <w:tc>
          <w:tcPr>
            <w:tcW w:w="1340" w:type="dxa"/>
            <w:vAlign w:val="bottom"/>
            <w:gridSpan w:val="3"/>
          </w:tcPr>
          <w:p>
            <w:pPr>
              <w:jc w:val="right"/>
              <w:ind w:right="420"/>
              <w:spacing w:after="0" w:line="147" w:lineRule="exact"/>
              <w:rPr>
                <w:sz w:val="20"/>
                <w:szCs w:val="20"/>
                <w:color w:val="auto"/>
              </w:rPr>
            </w:pPr>
            <w:r>
              <w:rPr>
                <w:rFonts w:ascii="Arial" w:cs="Arial" w:eastAsia="Arial" w:hAnsi="Arial"/>
                <w:sz w:val="14"/>
                <w:szCs w:val="14"/>
                <w:color w:val="auto"/>
              </w:rPr>
              <w:t>15.0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4"/>
                <w:szCs w:val="14"/>
                <w:color w:val="auto"/>
              </w:rPr>
              <w:t>25,518,613</w:t>
            </w:r>
          </w:p>
        </w:tc>
        <w:tc>
          <w:tcPr>
            <w:tcW w:w="1400" w:type="dxa"/>
            <w:vAlign w:val="bottom"/>
            <w:gridSpan w:val="3"/>
          </w:tcPr>
          <w:p>
            <w:pPr>
              <w:jc w:val="right"/>
              <w:ind w:right="420"/>
              <w:spacing w:after="0" w:line="147" w:lineRule="exact"/>
              <w:rPr>
                <w:sz w:val="20"/>
                <w:szCs w:val="20"/>
                <w:color w:val="auto"/>
              </w:rPr>
            </w:pPr>
            <w:r>
              <w:rPr>
                <w:rFonts w:ascii="Arial" w:cs="Arial" w:eastAsia="Arial" w:hAnsi="Arial"/>
                <w:sz w:val="14"/>
                <w:szCs w:val="14"/>
                <w:color w:val="auto"/>
              </w:rPr>
              <w:t>9.7</w:t>
            </w:r>
          </w:p>
        </w:tc>
        <w:tc>
          <w:tcPr>
            <w:tcW w:w="1320" w:type="dxa"/>
            <w:vAlign w:val="bottom"/>
            <w:gridSpan w:val="3"/>
          </w:tcPr>
          <w:p>
            <w:pPr>
              <w:jc w:val="right"/>
              <w:ind w:right="440"/>
              <w:spacing w:after="0" w:line="147"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Sustainability</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1,367,193</w:t>
            </w:r>
          </w:p>
        </w:tc>
        <w:tc>
          <w:tcPr>
            <w:tcW w:w="1380" w:type="dxa"/>
            <w:vAlign w:val="bottom"/>
            <w:tcBorders>
              <w:left w:val="single" w:sz="8" w:color="CCEEFF"/>
            </w:tcBorders>
            <w:gridSpan w:val="3"/>
            <w:shd w:val="clear" w:color="auto" w:fill="CCEEFF"/>
          </w:tcPr>
          <w:p>
            <w:pPr>
              <w:jc w:val="right"/>
              <w:ind w:right="400"/>
              <w:spacing w:after="0" w:line="147" w:lineRule="exact"/>
              <w:rPr>
                <w:sz w:val="20"/>
                <w:szCs w:val="20"/>
                <w:color w:val="auto"/>
              </w:rPr>
            </w:pPr>
            <w:r>
              <w:rPr>
                <w:rFonts w:ascii="Arial" w:cs="Arial" w:eastAsia="Arial" w:hAnsi="Arial"/>
                <w:sz w:val="14"/>
                <w:szCs w:val="14"/>
                <w:color w:val="auto"/>
              </w:rPr>
              <w:t>0.5</w:t>
            </w:r>
          </w:p>
        </w:tc>
        <w:tc>
          <w:tcPr>
            <w:tcW w:w="1340" w:type="dxa"/>
            <w:vAlign w:val="bottom"/>
            <w:gridSpan w:val="3"/>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4,309,778</w:t>
            </w:r>
          </w:p>
        </w:tc>
        <w:tc>
          <w:tcPr>
            <w:tcW w:w="1400" w:type="dxa"/>
            <w:vAlign w:val="bottom"/>
            <w:tcBorders>
              <w:left w:val="single" w:sz="8" w:color="CCEEFF"/>
            </w:tcBorders>
            <w:gridSpan w:val="3"/>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1.6</w:t>
            </w:r>
          </w:p>
        </w:tc>
        <w:tc>
          <w:tcPr>
            <w:tcW w:w="1320" w:type="dxa"/>
            <w:vAlign w:val="bottom"/>
            <w:gridSpan w:val="3"/>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3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14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289,776,082</w:t>
            </w:r>
          </w:p>
        </w:tc>
        <w:tc>
          <w:tcPr>
            <w:tcW w:w="1380" w:type="dxa"/>
            <w:vAlign w:val="bottom"/>
            <w:gridSpan w:val="3"/>
          </w:tcPr>
          <w:p>
            <w:pPr>
              <w:jc w:val="right"/>
              <w:ind w:right="260"/>
              <w:spacing w:after="0" w:line="141" w:lineRule="exact"/>
              <w:rPr>
                <w:sz w:val="20"/>
                <w:szCs w:val="20"/>
                <w:color w:val="auto"/>
              </w:rPr>
            </w:pPr>
            <w:r>
              <w:rPr>
                <w:rFonts w:ascii="Arial" w:cs="Arial" w:eastAsia="Arial" w:hAnsi="Arial"/>
                <w:sz w:val="14"/>
                <w:szCs w:val="14"/>
                <w:b w:val="1"/>
                <w:bCs w:val="1"/>
                <w:color w:val="auto"/>
              </w:rPr>
              <w:t>100.0%</w:t>
            </w:r>
          </w:p>
        </w:tc>
        <w:tc>
          <w:tcPr>
            <w:tcW w:w="1340" w:type="dxa"/>
            <w:vAlign w:val="bottom"/>
            <w:gridSpan w:val="3"/>
          </w:tcPr>
          <w:p>
            <w:pPr>
              <w:jc w:val="right"/>
              <w:ind w:right="280"/>
              <w:spacing w:after="0" w:line="141" w:lineRule="exact"/>
              <w:rPr>
                <w:sz w:val="20"/>
                <w:szCs w:val="20"/>
                <w:color w:val="auto"/>
              </w:rPr>
            </w:pPr>
            <w:r>
              <w:rPr>
                <w:rFonts w:ascii="Arial" w:cs="Arial" w:eastAsia="Arial" w:hAnsi="Arial"/>
                <w:sz w:val="14"/>
                <w:szCs w:val="14"/>
                <w:b w:val="1"/>
                <w:bCs w:val="1"/>
                <w:color w:val="auto"/>
              </w:rPr>
              <w:t>138.4%</w:t>
            </w:r>
          </w:p>
        </w:tc>
        <w:tc>
          <w:tcPr>
            <w:tcW w:w="320" w:type="dxa"/>
            <w:vAlign w:val="bottom"/>
            <w:gridSpan w:val="2"/>
          </w:tcPr>
          <w:p>
            <w:pPr>
              <w:jc w:val="right"/>
              <w:ind w:right="80"/>
              <w:spacing w:after="0" w:line="141"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262,015,146</w:t>
            </w:r>
          </w:p>
        </w:tc>
        <w:tc>
          <w:tcPr>
            <w:tcW w:w="1400" w:type="dxa"/>
            <w:vAlign w:val="bottom"/>
            <w:gridSpan w:val="3"/>
          </w:tcPr>
          <w:p>
            <w:pPr>
              <w:jc w:val="right"/>
              <w:ind w:right="280"/>
              <w:spacing w:after="0" w:line="141" w:lineRule="exact"/>
              <w:rPr>
                <w:sz w:val="20"/>
                <w:szCs w:val="20"/>
                <w:color w:val="auto"/>
              </w:rPr>
            </w:pPr>
            <w:r>
              <w:rPr>
                <w:rFonts w:ascii="Arial" w:cs="Arial" w:eastAsia="Arial" w:hAnsi="Arial"/>
                <w:sz w:val="14"/>
                <w:szCs w:val="14"/>
                <w:b w:val="1"/>
                <w:bCs w:val="1"/>
                <w:color w:val="auto"/>
              </w:rPr>
              <w:t>100.0%</w:t>
            </w:r>
          </w:p>
        </w:tc>
        <w:tc>
          <w:tcPr>
            <w:tcW w:w="1320" w:type="dxa"/>
            <w:vAlign w:val="bottom"/>
            <w:gridSpan w:val="3"/>
          </w:tcPr>
          <w:p>
            <w:pPr>
              <w:jc w:val="right"/>
              <w:ind w:right="280"/>
              <w:spacing w:after="0" w:line="141" w:lineRule="exact"/>
              <w:rPr>
                <w:sz w:val="20"/>
                <w:szCs w:val="20"/>
                <w:color w:val="auto"/>
              </w:rPr>
            </w:pPr>
            <w:r>
              <w:rPr>
                <w:rFonts w:ascii="Arial" w:cs="Arial" w:eastAsia="Arial" w:hAnsi="Arial"/>
                <w:sz w:val="14"/>
                <w:szCs w:val="14"/>
                <w:b w:val="1"/>
                <w:bCs w:val="1"/>
                <w:color w:val="auto"/>
              </w:rPr>
              <w:t>136.4%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87"/>
              </w:rPr>
              <w:t>September 30, 2017</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88"/>
              </w:rPr>
              <w:t>December 31, 2016</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3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jc w:val="center"/>
              <w:ind w:right="12"/>
              <w:spacing w:after="0" w:line="110" w:lineRule="exact"/>
              <w:rPr>
                <w:sz w:val="20"/>
                <w:szCs w:val="20"/>
                <w:color w:val="auto"/>
              </w:rPr>
            </w:pPr>
            <w:r>
              <w:rPr>
                <w:rFonts w:ascii="Arial" w:cs="Arial" w:eastAsia="Arial" w:hAnsi="Arial"/>
                <w:sz w:val="11"/>
                <w:szCs w:val="11"/>
                <w:b w:val="1"/>
                <w:bCs w:val="1"/>
                <w:color w:val="auto"/>
              </w:rPr>
              <w:t>Investments at</w:t>
            </w:r>
          </w:p>
        </w:tc>
        <w:tc>
          <w:tcPr>
            <w:tcW w:w="220" w:type="dxa"/>
            <w:vAlign w:val="bottom"/>
          </w:tcPr>
          <w:p>
            <w:pPr>
              <w:spacing w:after="0"/>
              <w:rPr>
                <w:sz w:val="9"/>
                <w:szCs w:val="9"/>
                <w:color w:val="auto"/>
              </w:rPr>
            </w:pPr>
          </w:p>
        </w:tc>
        <w:tc>
          <w:tcPr>
            <w:tcW w:w="116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98"/>
              </w:rPr>
              <w:t>Percentage of</w:t>
            </w:r>
          </w:p>
        </w:tc>
        <w:tc>
          <w:tcPr>
            <w:tcW w:w="160" w:type="dxa"/>
            <w:vAlign w:val="bottom"/>
          </w:tcPr>
          <w:p>
            <w:pPr>
              <w:spacing w:after="0"/>
              <w:rPr>
                <w:sz w:val="9"/>
                <w:szCs w:val="9"/>
                <w:color w:val="auto"/>
              </w:rPr>
            </w:pPr>
          </w:p>
        </w:tc>
        <w:tc>
          <w:tcPr>
            <w:tcW w:w="118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98"/>
              </w:rPr>
              <w:t>Percentage of</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jc w:val="center"/>
              <w:ind w:right="12"/>
              <w:spacing w:after="0" w:line="110" w:lineRule="exact"/>
              <w:rPr>
                <w:sz w:val="20"/>
                <w:szCs w:val="20"/>
                <w:color w:val="auto"/>
              </w:rPr>
            </w:pPr>
            <w:r>
              <w:rPr>
                <w:rFonts w:ascii="Arial" w:cs="Arial" w:eastAsia="Arial" w:hAnsi="Arial"/>
                <w:sz w:val="11"/>
                <w:szCs w:val="11"/>
                <w:b w:val="1"/>
                <w:bCs w:val="1"/>
                <w:color w:val="auto"/>
              </w:rPr>
              <w:t>Investments at</w:t>
            </w:r>
          </w:p>
        </w:tc>
        <w:tc>
          <w:tcPr>
            <w:tcW w:w="220" w:type="dxa"/>
            <w:vAlign w:val="bottom"/>
          </w:tcPr>
          <w:p>
            <w:pPr>
              <w:spacing w:after="0"/>
              <w:rPr>
                <w:sz w:val="9"/>
                <w:szCs w:val="9"/>
                <w:color w:val="auto"/>
              </w:rPr>
            </w:pPr>
          </w:p>
        </w:tc>
        <w:tc>
          <w:tcPr>
            <w:tcW w:w="118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98"/>
              </w:rPr>
              <w:t>Percentage of</w:t>
            </w:r>
          </w:p>
        </w:tc>
        <w:tc>
          <w:tcPr>
            <w:tcW w:w="160" w:type="dxa"/>
            <w:vAlign w:val="bottom"/>
          </w:tcPr>
          <w:p>
            <w:pPr>
              <w:spacing w:after="0"/>
              <w:rPr>
                <w:sz w:val="9"/>
                <w:szCs w:val="9"/>
                <w:color w:val="auto"/>
              </w:rPr>
            </w:pPr>
          </w:p>
        </w:tc>
        <w:tc>
          <w:tcPr>
            <w:tcW w:w="1160" w:type="dxa"/>
            <w:vAlign w:val="bottom"/>
            <w:gridSpan w:val="2"/>
          </w:tcPr>
          <w:p>
            <w:pPr>
              <w:jc w:val="center"/>
              <w:spacing w:after="0" w:line="110" w:lineRule="exact"/>
              <w:rPr>
                <w:sz w:val="20"/>
                <w:szCs w:val="20"/>
                <w:color w:val="auto"/>
              </w:rPr>
            </w:pPr>
            <w:r>
              <w:rPr>
                <w:rFonts w:ascii="Arial" w:cs="Arial" w:eastAsia="Arial" w:hAnsi="Arial"/>
                <w:sz w:val="11"/>
                <w:szCs w:val="11"/>
                <w:b w:val="1"/>
                <w:bCs w:val="1"/>
                <w:color w:val="auto"/>
                <w:w w:val="98"/>
              </w:rPr>
              <w:t>Percentage of</w:t>
            </w:r>
          </w:p>
        </w:tc>
        <w:tc>
          <w:tcPr>
            <w:tcW w:w="0" w:type="dxa"/>
            <w:vAlign w:val="bottom"/>
          </w:tcPr>
          <w:p>
            <w:pPr>
              <w:spacing w:after="0"/>
              <w:rPr>
                <w:sz w:val="1"/>
                <w:szCs w:val="1"/>
                <w:color w:val="auto"/>
              </w:rPr>
            </w:pPr>
          </w:p>
        </w:tc>
      </w:tr>
      <w:tr>
        <w:trPr>
          <w:trHeight w:val="152"/>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Geographic Region</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0"/>
              </w:rPr>
              <w:t>Fair Value</w:t>
            </w:r>
          </w:p>
        </w:tc>
        <w:tc>
          <w:tcPr>
            <w:tcW w:w="220" w:type="dxa"/>
            <w:vAlign w:val="bottom"/>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Portfolio</w:t>
            </w:r>
          </w:p>
        </w:tc>
        <w:tc>
          <w:tcPr>
            <w:tcW w:w="160" w:type="dxa"/>
            <w:vAlign w:val="bottom"/>
          </w:tcPr>
          <w:p>
            <w:pPr>
              <w:spacing w:after="0"/>
              <w:rPr>
                <w:sz w:val="13"/>
                <w:szCs w:val="13"/>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Net Assets</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0"/>
              </w:rPr>
              <w:t>Fair Value</w:t>
            </w:r>
          </w:p>
        </w:tc>
        <w:tc>
          <w:tcPr>
            <w:tcW w:w="220" w:type="dxa"/>
            <w:vAlign w:val="bottom"/>
          </w:tcPr>
          <w:p>
            <w:pPr>
              <w:spacing w:after="0"/>
              <w:rPr>
                <w:sz w:val="13"/>
                <w:szCs w:val="13"/>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Portfolio</w:t>
            </w:r>
          </w:p>
        </w:tc>
        <w:tc>
          <w:tcPr>
            <w:tcW w:w="160" w:type="dxa"/>
            <w:vAlign w:val="bottom"/>
          </w:tcPr>
          <w:p>
            <w:pPr>
              <w:spacing w:after="0"/>
              <w:rPr>
                <w:sz w:val="13"/>
                <w:szCs w:val="13"/>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3"/>
              </w:rPr>
              <w:t>Net Assets</w:t>
            </w:r>
          </w:p>
        </w:tc>
        <w:tc>
          <w:tcPr>
            <w:tcW w:w="0" w:type="dxa"/>
            <w:vAlign w:val="bottom"/>
          </w:tcPr>
          <w:p>
            <w:pPr>
              <w:spacing w:after="0"/>
              <w:rPr>
                <w:sz w:val="1"/>
                <w:szCs w:val="1"/>
                <w:color w:val="auto"/>
              </w:rPr>
            </w:pPr>
          </w:p>
        </w:tc>
      </w:tr>
      <w:tr>
        <w:trPr>
          <w:trHeight w:val="141"/>
        </w:trPr>
        <w:tc>
          <w:tcPr>
            <w:tcW w:w="3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West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188,509,581</w:t>
            </w:r>
          </w:p>
        </w:tc>
        <w:tc>
          <w:tcPr>
            <w:tcW w:w="1380" w:type="dxa"/>
            <w:vAlign w:val="bottom"/>
            <w:tcBorders>
              <w:left w:val="single" w:sz="8" w:color="CCEEFF"/>
            </w:tcBorders>
            <w:gridSpan w:val="3"/>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65.1%</w:t>
            </w:r>
          </w:p>
        </w:tc>
        <w:tc>
          <w:tcPr>
            <w:tcW w:w="1340" w:type="dxa"/>
            <w:vAlign w:val="bottom"/>
            <w:gridSpan w:val="3"/>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90.1%</w:t>
            </w:r>
          </w:p>
        </w:tc>
        <w:tc>
          <w:tcPr>
            <w:tcW w:w="3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187,300,467</w:t>
            </w:r>
          </w:p>
        </w:tc>
        <w:tc>
          <w:tcPr>
            <w:tcW w:w="1400" w:type="dxa"/>
            <w:vAlign w:val="bottom"/>
            <w:tcBorders>
              <w:left w:val="single" w:sz="8" w:color="CCEEFF"/>
            </w:tcBorders>
            <w:gridSpan w:val="3"/>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71.5%</w:t>
            </w:r>
          </w:p>
        </w:tc>
        <w:tc>
          <w:tcPr>
            <w:tcW w:w="132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48"/>
        </w:trPr>
        <w:tc>
          <w:tcPr>
            <w:tcW w:w="3140" w:type="dxa"/>
            <w:vAlign w:val="bottom"/>
          </w:tcPr>
          <w:p>
            <w:pPr>
              <w:ind w:left="20"/>
              <w:spacing w:after="0" w:line="147" w:lineRule="exact"/>
              <w:rPr>
                <w:sz w:val="20"/>
                <w:szCs w:val="20"/>
                <w:color w:val="auto"/>
              </w:rPr>
            </w:pPr>
            <w:r>
              <w:rPr>
                <w:rFonts w:ascii="Arial" w:cs="Arial" w:eastAsia="Arial" w:hAnsi="Arial"/>
                <w:sz w:val="14"/>
                <w:szCs w:val="14"/>
                <w:color w:val="auto"/>
              </w:rPr>
              <w:t>Mid-west</w:t>
            </w:r>
          </w:p>
        </w:tc>
        <w:tc>
          <w:tcPr>
            <w:tcW w:w="14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4"/>
                <w:szCs w:val="14"/>
                <w:color w:val="auto"/>
              </w:rPr>
              <w:t>35,768,782</w:t>
            </w:r>
          </w:p>
        </w:tc>
        <w:tc>
          <w:tcPr>
            <w:tcW w:w="1380" w:type="dxa"/>
            <w:vAlign w:val="bottom"/>
            <w:gridSpan w:val="3"/>
          </w:tcPr>
          <w:p>
            <w:pPr>
              <w:jc w:val="right"/>
              <w:ind w:right="400"/>
              <w:spacing w:after="0" w:line="147" w:lineRule="exact"/>
              <w:rPr>
                <w:sz w:val="20"/>
                <w:szCs w:val="20"/>
                <w:color w:val="auto"/>
              </w:rPr>
            </w:pPr>
            <w:r>
              <w:rPr>
                <w:rFonts w:ascii="Arial" w:cs="Arial" w:eastAsia="Arial" w:hAnsi="Arial"/>
                <w:sz w:val="14"/>
                <w:szCs w:val="14"/>
                <w:color w:val="auto"/>
              </w:rPr>
              <w:t>12.3</w:t>
            </w:r>
          </w:p>
        </w:tc>
        <w:tc>
          <w:tcPr>
            <w:tcW w:w="1340" w:type="dxa"/>
            <w:vAlign w:val="bottom"/>
            <w:gridSpan w:val="3"/>
          </w:tcPr>
          <w:p>
            <w:pPr>
              <w:jc w:val="right"/>
              <w:ind w:right="420"/>
              <w:spacing w:after="0" w:line="147" w:lineRule="exact"/>
              <w:rPr>
                <w:sz w:val="20"/>
                <w:szCs w:val="20"/>
                <w:color w:val="auto"/>
              </w:rPr>
            </w:pPr>
            <w:r>
              <w:rPr>
                <w:rFonts w:ascii="Arial" w:cs="Arial" w:eastAsia="Arial" w:hAnsi="Arial"/>
                <w:sz w:val="14"/>
                <w:szCs w:val="14"/>
                <w:color w:val="auto"/>
              </w:rPr>
              <w:t>17.1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4"/>
                <w:szCs w:val="14"/>
                <w:color w:val="auto"/>
              </w:rPr>
              <w:t>14,362,498</w:t>
            </w:r>
          </w:p>
        </w:tc>
        <w:tc>
          <w:tcPr>
            <w:tcW w:w="1400" w:type="dxa"/>
            <w:vAlign w:val="bottom"/>
            <w:gridSpan w:val="3"/>
          </w:tcPr>
          <w:p>
            <w:pPr>
              <w:jc w:val="right"/>
              <w:ind w:right="420"/>
              <w:spacing w:after="0" w:line="147" w:lineRule="exact"/>
              <w:rPr>
                <w:sz w:val="20"/>
                <w:szCs w:val="20"/>
                <w:color w:val="auto"/>
              </w:rPr>
            </w:pPr>
            <w:r>
              <w:rPr>
                <w:rFonts w:ascii="Arial" w:cs="Arial" w:eastAsia="Arial" w:hAnsi="Arial"/>
                <w:sz w:val="14"/>
                <w:szCs w:val="14"/>
                <w:color w:val="auto"/>
              </w:rPr>
              <w:t>5.5</w:t>
            </w:r>
          </w:p>
        </w:tc>
        <w:tc>
          <w:tcPr>
            <w:tcW w:w="1320" w:type="dxa"/>
            <w:vAlign w:val="bottom"/>
            <w:gridSpan w:val="3"/>
          </w:tcPr>
          <w:p>
            <w:pPr>
              <w:jc w:val="right"/>
              <w:ind w:right="440"/>
              <w:spacing w:after="0" w:line="147"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Northeast</w:t>
            </w: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33,214,135</w:t>
            </w:r>
          </w:p>
        </w:tc>
        <w:tc>
          <w:tcPr>
            <w:tcW w:w="1380" w:type="dxa"/>
            <w:vAlign w:val="bottom"/>
            <w:tcBorders>
              <w:left w:val="single" w:sz="8" w:color="CCEEFF"/>
            </w:tcBorders>
            <w:gridSpan w:val="3"/>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11.5</w:t>
            </w:r>
          </w:p>
        </w:tc>
        <w:tc>
          <w:tcPr>
            <w:tcW w:w="1340" w:type="dxa"/>
            <w:vAlign w:val="bottom"/>
            <w:gridSpan w:val="3"/>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15.9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41,420,490</w:t>
            </w:r>
          </w:p>
        </w:tc>
        <w:tc>
          <w:tcPr>
            <w:tcW w:w="1400" w:type="dxa"/>
            <w:vAlign w:val="bottom"/>
            <w:tcBorders>
              <w:left w:val="single" w:sz="8" w:color="CCEEFF"/>
            </w:tcBorders>
            <w:gridSpan w:val="3"/>
            <w:shd w:val="clear" w:color="auto" w:fill="CCEEFF"/>
          </w:tcPr>
          <w:p>
            <w:pPr>
              <w:jc w:val="right"/>
              <w:ind w:right="420"/>
              <w:spacing w:after="0" w:line="147" w:lineRule="exact"/>
              <w:rPr>
                <w:sz w:val="20"/>
                <w:szCs w:val="20"/>
                <w:color w:val="auto"/>
              </w:rPr>
            </w:pPr>
            <w:r>
              <w:rPr>
                <w:rFonts w:ascii="Arial" w:cs="Arial" w:eastAsia="Arial" w:hAnsi="Arial"/>
                <w:sz w:val="14"/>
                <w:szCs w:val="14"/>
                <w:color w:val="auto"/>
              </w:rPr>
              <w:t>15.8</w:t>
            </w:r>
          </w:p>
        </w:tc>
        <w:tc>
          <w:tcPr>
            <w:tcW w:w="1320" w:type="dxa"/>
            <w:vAlign w:val="bottom"/>
            <w:gridSpan w:val="3"/>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48"/>
        </w:trPr>
        <w:tc>
          <w:tcPr>
            <w:tcW w:w="3140" w:type="dxa"/>
            <w:vAlign w:val="bottom"/>
          </w:tcPr>
          <w:p>
            <w:pPr>
              <w:ind w:left="20"/>
              <w:spacing w:after="0" w:line="147" w:lineRule="exact"/>
              <w:rPr>
                <w:sz w:val="20"/>
                <w:szCs w:val="20"/>
                <w:color w:val="auto"/>
              </w:rPr>
            </w:pPr>
            <w:r>
              <w:rPr>
                <w:rFonts w:ascii="Arial" w:cs="Arial" w:eastAsia="Arial" w:hAnsi="Arial"/>
                <w:sz w:val="14"/>
                <w:szCs w:val="14"/>
                <w:color w:val="auto"/>
              </w:rPr>
              <w:t>International</w:t>
            </w:r>
          </w:p>
        </w:tc>
        <w:tc>
          <w:tcPr>
            <w:tcW w:w="14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4"/>
                <w:szCs w:val="14"/>
                <w:color w:val="auto"/>
              </w:rPr>
              <w:t>32,283,584</w:t>
            </w:r>
          </w:p>
        </w:tc>
        <w:tc>
          <w:tcPr>
            <w:tcW w:w="1380" w:type="dxa"/>
            <w:vAlign w:val="bottom"/>
            <w:gridSpan w:val="3"/>
          </w:tcPr>
          <w:p>
            <w:pPr>
              <w:jc w:val="right"/>
              <w:ind w:right="420"/>
              <w:spacing w:after="0" w:line="147" w:lineRule="exact"/>
              <w:rPr>
                <w:sz w:val="20"/>
                <w:szCs w:val="20"/>
                <w:color w:val="auto"/>
              </w:rPr>
            </w:pPr>
            <w:r>
              <w:rPr>
                <w:rFonts w:ascii="Arial" w:cs="Arial" w:eastAsia="Arial" w:hAnsi="Arial"/>
                <w:sz w:val="14"/>
                <w:szCs w:val="14"/>
                <w:color w:val="auto"/>
              </w:rPr>
              <w:t>11.1</w:t>
            </w:r>
          </w:p>
        </w:tc>
        <w:tc>
          <w:tcPr>
            <w:tcW w:w="1340" w:type="dxa"/>
            <w:vAlign w:val="bottom"/>
            <w:gridSpan w:val="3"/>
          </w:tcPr>
          <w:p>
            <w:pPr>
              <w:jc w:val="right"/>
              <w:ind w:right="420"/>
              <w:spacing w:after="0" w:line="147" w:lineRule="exact"/>
              <w:rPr>
                <w:sz w:val="20"/>
                <w:szCs w:val="20"/>
                <w:color w:val="auto"/>
              </w:rPr>
            </w:pPr>
            <w:r>
              <w:rPr>
                <w:rFonts w:ascii="Arial" w:cs="Arial" w:eastAsia="Arial" w:hAnsi="Arial"/>
                <w:sz w:val="14"/>
                <w:szCs w:val="14"/>
                <w:color w:val="auto"/>
              </w:rPr>
              <w:t>15.4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7" w:lineRule="exact"/>
              <w:rPr>
                <w:sz w:val="20"/>
                <w:szCs w:val="20"/>
                <w:color w:val="auto"/>
              </w:rPr>
            </w:pPr>
            <w:r>
              <w:rPr>
                <w:rFonts w:ascii="Arial" w:cs="Arial" w:eastAsia="Arial" w:hAnsi="Arial"/>
                <w:sz w:val="14"/>
                <w:szCs w:val="14"/>
                <w:color w:val="auto"/>
              </w:rPr>
              <w:t>18,931,691</w:t>
            </w:r>
          </w:p>
        </w:tc>
        <w:tc>
          <w:tcPr>
            <w:tcW w:w="1400" w:type="dxa"/>
            <w:vAlign w:val="bottom"/>
            <w:gridSpan w:val="3"/>
          </w:tcPr>
          <w:p>
            <w:pPr>
              <w:jc w:val="right"/>
              <w:ind w:right="420"/>
              <w:spacing w:after="0" w:line="147" w:lineRule="exact"/>
              <w:rPr>
                <w:sz w:val="20"/>
                <w:szCs w:val="20"/>
                <w:color w:val="auto"/>
              </w:rPr>
            </w:pPr>
            <w:r>
              <w:rPr>
                <w:rFonts w:ascii="Arial" w:cs="Arial" w:eastAsia="Arial" w:hAnsi="Arial"/>
                <w:sz w:val="14"/>
                <w:szCs w:val="14"/>
                <w:color w:val="auto"/>
              </w:rPr>
              <w:t>7.2</w:t>
            </w:r>
          </w:p>
        </w:tc>
        <w:tc>
          <w:tcPr>
            <w:tcW w:w="1320" w:type="dxa"/>
            <w:vAlign w:val="bottom"/>
            <w:gridSpan w:val="3"/>
          </w:tcPr>
          <w:p>
            <w:pPr>
              <w:jc w:val="right"/>
              <w:ind w:right="440"/>
              <w:spacing w:after="0" w:line="147"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14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289,776,082</w:t>
            </w:r>
          </w:p>
        </w:tc>
        <w:tc>
          <w:tcPr>
            <w:tcW w:w="1380" w:type="dxa"/>
            <w:vAlign w:val="bottom"/>
            <w:tcBorders>
              <w:left w:val="single" w:sz="8" w:color="CCEEFF"/>
            </w:tcBorders>
            <w:gridSpan w:val="3"/>
            <w:shd w:val="clear" w:color="auto" w:fill="CCEEFF"/>
          </w:tcPr>
          <w:p>
            <w:pPr>
              <w:jc w:val="right"/>
              <w:ind w:right="260"/>
              <w:spacing w:after="0" w:line="141" w:lineRule="exact"/>
              <w:rPr>
                <w:sz w:val="20"/>
                <w:szCs w:val="20"/>
                <w:color w:val="auto"/>
              </w:rPr>
            </w:pPr>
            <w:r>
              <w:rPr>
                <w:rFonts w:ascii="Arial" w:cs="Arial" w:eastAsia="Arial" w:hAnsi="Arial"/>
                <w:sz w:val="14"/>
                <w:szCs w:val="14"/>
                <w:b w:val="1"/>
                <w:bCs w:val="1"/>
                <w:color w:val="auto"/>
              </w:rPr>
              <w:t>100.0%</w:t>
            </w:r>
          </w:p>
        </w:tc>
        <w:tc>
          <w:tcPr>
            <w:tcW w:w="1340" w:type="dxa"/>
            <w:vAlign w:val="bottom"/>
            <w:gridSpan w:val="3"/>
            <w:shd w:val="clear" w:color="auto" w:fill="CCEEFF"/>
          </w:tcPr>
          <w:p>
            <w:pPr>
              <w:jc w:val="right"/>
              <w:ind w:right="280"/>
              <w:spacing w:after="0" w:line="141" w:lineRule="exact"/>
              <w:rPr>
                <w:sz w:val="20"/>
                <w:szCs w:val="20"/>
                <w:color w:val="auto"/>
              </w:rPr>
            </w:pPr>
            <w:r>
              <w:rPr>
                <w:rFonts w:ascii="Arial" w:cs="Arial" w:eastAsia="Arial" w:hAnsi="Arial"/>
                <w:sz w:val="14"/>
                <w:szCs w:val="14"/>
                <w:b w:val="1"/>
                <w:bCs w:val="1"/>
                <w:color w:val="auto"/>
              </w:rPr>
              <w:t>138.4%</w:t>
            </w:r>
          </w:p>
        </w:tc>
        <w:tc>
          <w:tcPr>
            <w:tcW w:w="3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262,015,146</w:t>
            </w:r>
          </w:p>
        </w:tc>
        <w:tc>
          <w:tcPr>
            <w:tcW w:w="1400" w:type="dxa"/>
            <w:vAlign w:val="bottom"/>
            <w:tcBorders>
              <w:left w:val="single" w:sz="8" w:color="CCEEFF"/>
            </w:tcBorders>
            <w:gridSpan w:val="3"/>
            <w:shd w:val="clear" w:color="auto" w:fill="CCEEFF"/>
          </w:tcPr>
          <w:p>
            <w:pPr>
              <w:jc w:val="right"/>
              <w:ind w:right="280"/>
              <w:spacing w:after="0" w:line="141" w:lineRule="exact"/>
              <w:rPr>
                <w:sz w:val="20"/>
                <w:szCs w:val="20"/>
                <w:color w:val="auto"/>
              </w:rPr>
            </w:pPr>
            <w:r>
              <w:rPr>
                <w:rFonts w:ascii="Arial" w:cs="Arial" w:eastAsia="Arial" w:hAnsi="Arial"/>
                <w:sz w:val="14"/>
                <w:szCs w:val="14"/>
                <w:b w:val="1"/>
                <w:bCs w:val="1"/>
                <w:color w:val="auto"/>
              </w:rPr>
              <w:t>100.0%</w:t>
            </w:r>
          </w:p>
        </w:tc>
        <w:tc>
          <w:tcPr>
            <w:tcW w:w="1320" w:type="dxa"/>
            <w:vAlign w:val="bottom"/>
            <w:gridSpan w:val="3"/>
            <w:shd w:val="clear" w:color="auto" w:fill="CCEEFF"/>
          </w:tcPr>
          <w:p>
            <w:pPr>
              <w:jc w:val="right"/>
              <w:ind w:right="280"/>
              <w:spacing w:after="0" w:line="141" w:lineRule="exact"/>
              <w:rPr>
                <w:sz w:val="20"/>
                <w:szCs w:val="20"/>
                <w:color w:val="auto"/>
              </w:rPr>
            </w:pPr>
            <w:r>
              <w:rPr>
                <w:rFonts w:ascii="Arial" w:cs="Arial" w:eastAsia="Arial" w:hAnsi="Arial"/>
                <w:sz w:val="14"/>
                <w:szCs w:val="14"/>
                <w:b w:val="1"/>
                <w:bCs w:val="1"/>
                <w:color w:val="auto"/>
              </w:rPr>
              <w:t>136.4%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-1072515</wp:posOffset>
            </wp:positionV>
            <wp:extent cx="7026275" cy="10731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26275" cy="107315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31" w:name="page32"/>
    <w:bookmarkEnd w:id="31"/>
    <w:p>
      <w:pPr>
        <w:ind w:left="14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details the composition of the Company’s industrial themes presented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39370</wp:posOffset>
            </wp:positionV>
            <wp:extent cx="60382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8215"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 Theme</w:t>
            </w:r>
          </w:p>
        </w:tc>
        <w:tc>
          <w:tcPr>
            <w:tcW w:w="7520" w:type="dxa"/>
            <w:vAlign w:val="bottom"/>
            <w:tcBorders>
              <w:bottom w:val="single" w:sz="8" w:color="auto"/>
            </w:tcBorders>
          </w:tcPr>
          <w:p>
            <w:pPr>
              <w:ind w:left="4540"/>
              <w:spacing w:after="0"/>
              <w:rPr>
                <w:sz w:val="20"/>
                <w:szCs w:val="20"/>
                <w:color w:val="auto"/>
              </w:rPr>
            </w:pPr>
            <w:r>
              <w:rPr>
                <w:rFonts w:ascii="Arial" w:cs="Arial" w:eastAsia="Arial" w:hAnsi="Arial"/>
                <w:sz w:val="14"/>
                <w:szCs w:val="14"/>
                <w:b w:val="1"/>
                <w:bCs w:val="1"/>
                <w:color w:val="auto"/>
              </w:rPr>
              <w:t>Industry</w:t>
            </w:r>
          </w:p>
        </w:tc>
        <w:tc>
          <w:tcPr>
            <w:tcW w:w="240" w:type="dxa"/>
            <w:vAlign w:val="bottom"/>
          </w:tcPr>
          <w:p>
            <w:pPr>
              <w:spacing w:after="0"/>
              <w:rPr>
                <w:sz w:val="14"/>
                <w:szCs w:val="14"/>
                <w:color w:val="auto"/>
              </w:rPr>
            </w:pPr>
          </w:p>
        </w:tc>
      </w:tr>
      <w:tr>
        <w:trPr>
          <w:trHeight w:val="194"/>
        </w:trPr>
        <w:tc>
          <w:tcPr>
            <w:tcW w:w="120" w:type="dxa"/>
            <w:vAlign w:val="bottom"/>
          </w:tcPr>
          <w:p>
            <w:pPr>
              <w:spacing w:after="0"/>
              <w:rPr>
                <w:sz w:val="16"/>
                <w:szCs w:val="16"/>
                <w:color w:val="auto"/>
              </w:rPr>
            </w:pPr>
          </w:p>
        </w:tc>
        <w:tc>
          <w:tcPr>
            <w:tcW w:w="3560" w:type="dxa"/>
            <w:vAlign w:val="bottom"/>
          </w:tcPr>
          <w:p>
            <w:pPr>
              <w:ind w:left="20"/>
              <w:spacing w:after="0" w:line="194" w:lineRule="exact"/>
              <w:rPr>
                <w:sz w:val="20"/>
                <w:szCs w:val="20"/>
                <w:color w:val="auto"/>
              </w:rPr>
            </w:pPr>
            <w:r>
              <w:rPr>
                <w:rFonts w:ascii="Arial" w:cs="Arial" w:eastAsia="Arial" w:hAnsi="Arial"/>
                <w:sz w:val="18"/>
                <w:szCs w:val="18"/>
                <w:color w:val="auto"/>
              </w:rPr>
              <w:t>Big Data/Cloud</w:t>
            </w:r>
          </w:p>
        </w:tc>
        <w:tc>
          <w:tcPr>
            <w:tcW w:w="7520" w:type="dxa"/>
            <w:vAlign w:val="bottom"/>
          </w:tcPr>
          <w:p>
            <w:pPr>
              <w:ind w:left="2180"/>
              <w:spacing w:after="0" w:line="194" w:lineRule="exact"/>
              <w:rPr>
                <w:sz w:val="20"/>
                <w:szCs w:val="20"/>
                <w:color w:val="auto"/>
              </w:rPr>
            </w:pPr>
            <w:r>
              <w:rPr>
                <w:rFonts w:ascii="Arial" w:cs="Arial" w:eastAsia="Arial" w:hAnsi="Arial"/>
                <w:sz w:val="18"/>
                <w:szCs w:val="18"/>
                <w:color w:val="auto"/>
              </w:rPr>
              <w:t>Big Data Consulting</w:t>
            </w:r>
          </w:p>
        </w:tc>
        <w:tc>
          <w:tcPr>
            <w:tcW w:w="240" w:type="dxa"/>
            <w:vAlign w:val="bottom"/>
          </w:tcPr>
          <w:p>
            <w:pPr>
              <w:spacing w:after="0"/>
              <w:rPr>
                <w:sz w:val="16"/>
                <w:szCs w:val="16"/>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Cloud Computing Services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Consumer Health Technology</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Customer Relationship Manager</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Data Analysis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Mobile Device Management</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Smart Device Company</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Social Cognitive Learning</w:t>
            </w:r>
          </w:p>
        </w:tc>
        <w:tc>
          <w:tcPr>
            <w:tcW w:w="240" w:type="dxa"/>
            <w:vAlign w:val="bottom"/>
          </w:tcPr>
          <w:p>
            <w:pPr>
              <w:spacing w:after="0"/>
              <w:rPr>
                <w:sz w:val="18"/>
                <w:szCs w:val="18"/>
                <w:color w:val="auto"/>
              </w:rPr>
            </w:pPr>
          </w:p>
        </w:tc>
      </w:tr>
      <w:tr>
        <w:trPr>
          <w:trHeight w:val="228"/>
        </w:trPr>
        <w:tc>
          <w:tcPr>
            <w:tcW w:w="120" w:type="dxa"/>
            <w:vAlign w:val="bottom"/>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Social Media Analytics</w:t>
            </w:r>
          </w:p>
        </w:tc>
        <w:tc>
          <w:tcPr>
            <w:tcW w:w="240" w:type="dxa"/>
            <w:vAlign w:val="bottom"/>
          </w:tcPr>
          <w:p>
            <w:pPr>
              <w:spacing w:after="0"/>
              <w:rPr>
                <w:sz w:val="19"/>
                <w:szCs w:val="19"/>
                <w:color w:val="auto"/>
              </w:rPr>
            </w:pPr>
          </w:p>
        </w:tc>
      </w:tr>
      <w:tr>
        <w:trPr>
          <w:trHeight w:val="194"/>
        </w:trPr>
        <w:tc>
          <w:tcPr>
            <w:tcW w:w="120" w:type="dxa"/>
            <w:vAlign w:val="bottom"/>
          </w:tcPr>
          <w:p>
            <w:pPr>
              <w:spacing w:after="0"/>
              <w:rPr>
                <w:sz w:val="16"/>
                <w:szCs w:val="16"/>
                <w:color w:val="auto"/>
              </w:rPr>
            </w:pPr>
          </w:p>
        </w:tc>
        <w:tc>
          <w:tcPr>
            <w:tcW w:w="3560" w:type="dxa"/>
            <w:vAlign w:val="bottom"/>
          </w:tcPr>
          <w:p>
            <w:pPr>
              <w:ind w:left="20"/>
              <w:spacing w:after="0" w:line="195" w:lineRule="exact"/>
              <w:rPr>
                <w:sz w:val="20"/>
                <w:szCs w:val="20"/>
                <w:color w:val="auto"/>
              </w:rPr>
            </w:pPr>
            <w:r>
              <w:rPr>
                <w:rFonts w:ascii="Arial" w:cs="Arial" w:eastAsia="Arial" w:hAnsi="Arial"/>
                <w:sz w:val="18"/>
                <w:szCs w:val="18"/>
                <w:color w:val="auto"/>
              </w:rPr>
              <w:t>Education Technology</w:t>
            </w:r>
          </w:p>
        </w:tc>
        <w:tc>
          <w:tcPr>
            <w:tcW w:w="7520" w:type="dxa"/>
            <w:vAlign w:val="bottom"/>
          </w:tcPr>
          <w:p>
            <w:pPr>
              <w:ind w:left="2180"/>
              <w:spacing w:after="0" w:line="195" w:lineRule="exact"/>
              <w:rPr>
                <w:sz w:val="20"/>
                <w:szCs w:val="20"/>
                <w:color w:val="auto"/>
              </w:rPr>
            </w:pPr>
            <w:r>
              <w:rPr>
                <w:rFonts w:ascii="Arial" w:cs="Arial" w:eastAsia="Arial" w:hAnsi="Arial"/>
                <w:sz w:val="18"/>
                <w:szCs w:val="18"/>
                <w:color w:val="auto"/>
              </w:rPr>
              <w:t>Business Education</w:t>
            </w:r>
          </w:p>
        </w:tc>
        <w:tc>
          <w:tcPr>
            <w:tcW w:w="240" w:type="dxa"/>
            <w:vAlign w:val="bottom"/>
          </w:tcPr>
          <w:p>
            <w:pPr>
              <w:spacing w:after="0"/>
              <w:rPr>
                <w:sz w:val="16"/>
                <w:szCs w:val="16"/>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Computer Software</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Corporate Education</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Education Media Platform</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Education Software</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Education Technology</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E-Transcript Exchange</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Globally-Focused Private School</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Interactive Learning</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Online Education</w:t>
            </w:r>
          </w:p>
        </w:tc>
        <w:tc>
          <w:tcPr>
            <w:tcW w:w="240" w:type="dxa"/>
            <w:vAlign w:val="bottom"/>
          </w:tcPr>
          <w:p>
            <w:pPr>
              <w:spacing w:after="0"/>
              <w:rPr>
                <w:sz w:val="18"/>
                <w:szCs w:val="18"/>
                <w:color w:val="auto"/>
              </w:rPr>
            </w:pPr>
          </w:p>
        </w:tc>
      </w:tr>
      <w:tr>
        <w:trPr>
          <w:trHeight w:val="228"/>
        </w:trPr>
        <w:tc>
          <w:tcPr>
            <w:tcW w:w="120" w:type="dxa"/>
            <w:vAlign w:val="bottom"/>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Online Education Services</w:t>
            </w:r>
          </w:p>
        </w:tc>
        <w:tc>
          <w:tcPr>
            <w:tcW w:w="240" w:type="dxa"/>
            <w:vAlign w:val="bottom"/>
          </w:tcPr>
          <w:p>
            <w:pPr>
              <w:spacing w:after="0"/>
              <w:rPr>
                <w:sz w:val="19"/>
                <w:szCs w:val="19"/>
                <w:color w:val="auto"/>
              </w:rPr>
            </w:pPr>
          </w:p>
        </w:tc>
      </w:tr>
      <w:tr>
        <w:trPr>
          <w:trHeight w:val="194"/>
        </w:trPr>
        <w:tc>
          <w:tcPr>
            <w:tcW w:w="120" w:type="dxa"/>
            <w:vAlign w:val="bottom"/>
          </w:tcPr>
          <w:p>
            <w:pPr>
              <w:spacing w:after="0"/>
              <w:rPr>
                <w:sz w:val="16"/>
                <w:szCs w:val="16"/>
                <w:color w:val="auto"/>
              </w:rPr>
            </w:pPr>
          </w:p>
        </w:tc>
        <w:tc>
          <w:tcPr>
            <w:tcW w:w="3560" w:type="dxa"/>
            <w:vAlign w:val="bottom"/>
          </w:tcPr>
          <w:p>
            <w:pPr>
              <w:ind w:left="20"/>
              <w:spacing w:after="0" w:line="195" w:lineRule="exact"/>
              <w:rPr>
                <w:sz w:val="20"/>
                <w:szCs w:val="20"/>
                <w:color w:val="auto"/>
              </w:rPr>
            </w:pPr>
            <w:r>
              <w:rPr>
                <w:rFonts w:ascii="Arial" w:cs="Arial" w:eastAsia="Arial" w:hAnsi="Arial"/>
                <w:sz w:val="18"/>
                <w:szCs w:val="18"/>
                <w:color w:val="auto"/>
              </w:rPr>
              <w:t>Marketplaces</w:t>
            </w:r>
          </w:p>
        </w:tc>
        <w:tc>
          <w:tcPr>
            <w:tcW w:w="7520" w:type="dxa"/>
            <w:vAlign w:val="bottom"/>
          </w:tcPr>
          <w:p>
            <w:pPr>
              <w:ind w:left="2180"/>
              <w:spacing w:after="0" w:line="195" w:lineRule="exact"/>
              <w:rPr>
                <w:sz w:val="20"/>
                <w:szCs w:val="20"/>
                <w:color w:val="auto"/>
              </w:rPr>
            </w:pPr>
            <w:r>
              <w:rPr>
                <w:rFonts w:ascii="Arial" w:cs="Arial" w:eastAsia="Arial" w:hAnsi="Arial"/>
                <w:sz w:val="18"/>
                <w:szCs w:val="18"/>
                <w:color w:val="auto"/>
              </w:rPr>
              <w:t>Cash Payment Network</w:t>
            </w:r>
          </w:p>
        </w:tc>
        <w:tc>
          <w:tcPr>
            <w:tcW w:w="240" w:type="dxa"/>
            <w:vAlign w:val="bottom"/>
          </w:tcPr>
          <w:p>
            <w:pPr>
              <w:spacing w:after="0"/>
              <w:rPr>
                <w:sz w:val="16"/>
                <w:szCs w:val="16"/>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Equity Crowdfunding</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Financial Services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Global Innovation Platform</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Knowledge Networks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On-Demand Commerce</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On-Demand Transportation Services</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Online Marketplace Finance</w:t>
            </w:r>
          </w:p>
        </w:tc>
        <w:tc>
          <w:tcPr>
            <w:tcW w:w="240" w:type="dxa"/>
            <w:vAlign w:val="bottom"/>
          </w:tcPr>
          <w:p>
            <w:pPr>
              <w:spacing w:after="0"/>
              <w:rPr>
                <w:sz w:val="18"/>
                <w:szCs w:val="18"/>
                <w:color w:val="auto"/>
              </w:rPr>
            </w:pPr>
          </w:p>
        </w:tc>
      </w:tr>
      <w:tr>
        <w:trPr>
          <w:trHeight w:val="228"/>
        </w:trPr>
        <w:tc>
          <w:tcPr>
            <w:tcW w:w="120" w:type="dxa"/>
            <w:vAlign w:val="bottom"/>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Peer-to-Peer Pet Services</w:t>
            </w:r>
          </w:p>
        </w:tc>
        <w:tc>
          <w:tcPr>
            <w:tcW w:w="240" w:type="dxa"/>
            <w:vAlign w:val="bottom"/>
          </w:tcPr>
          <w:p>
            <w:pPr>
              <w:spacing w:after="0"/>
              <w:rPr>
                <w:sz w:val="19"/>
                <w:szCs w:val="19"/>
                <w:color w:val="auto"/>
              </w:rPr>
            </w:pPr>
          </w:p>
        </w:tc>
      </w:tr>
      <w:tr>
        <w:trPr>
          <w:trHeight w:val="194"/>
        </w:trPr>
        <w:tc>
          <w:tcPr>
            <w:tcW w:w="120" w:type="dxa"/>
            <w:vAlign w:val="bottom"/>
          </w:tcPr>
          <w:p>
            <w:pPr>
              <w:spacing w:after="0"/>
              <w:rPr>
                <w:sz w:val="16"/>
                <w:szCs w:val="16"/>
                <w:color w:val="auto"/>
              </w:rPr>
            </w:pPr>
          </w:p>
        </w:tc>
        <w:tc>
          <w:tcPr>
            <w:tcW w:w="3560" w:type="dxa"/>
            <w:vAlign w:val="bottom"/>
          </w:tcPr>
          <w:p>
            <w:pPr>
              <w:ind w:left="20"/>
              <w:spacing w:after="0" w:line="195" w:lineRule="exact"/>
              <w:rPr>
                <w:sz w:val="20"/>
                <w:szCs w:val="20"/>
                <w:color w:val="auto"/>
              </w:rPr>
            </w:pPr>
            <w:r>
              <w:rPr>
                <w:rFonts w:ascii="Arial" w:cs="Arial" w:eastAsia="Arial" w:hAnsi="Arial"/>
                <w:sz w:val="18"/>
                <w:szCs w:val="18"/>
                <w:color w:val="auto"/>
              </w:rPr>
              <w:t>Social/Mobile</w:t>
            </w:r>
          </w:p>
        </w:tc>
        <w:tc>
          <w:tcPr>
            <w:tcW w:w="7520" w:type="dxa"/>
            <w:vAlign w:val="bottom"/>
          </w:tcPr>
          <w:p>
            <w:pPr>
              <w:ind w:left="2180"/>
              <w:spacing w:after="0" w:line="195" w:lineRule="exact"/>
              <w:rPr>
                <w:sz w:val="20"/>
                <w:szCs w:val="20"/>
                <w:color w:val="auto"/>
              </w:rPr>
            </w:pPr>
            <w:r>
              <w:rPr>
                <w:rFonts w:ascii="Arial" w:cs="Arial" w:eastAsia="Arial" w:hAnsi="Arial"/>
                <w:sz w:val="18"/>
                <w:szCs w:val="18"/>
                <w:color w:val="auto"/>
              </w:rPr>
              <w:t>Digital Media Platform</w:t>
            </w:r>
          </w:p>
        </w:tc>
        <w:tc>
          <w:tcPr>
            <w:tcW w:w="240" w:type="dxa"/>
            <w:vAlign w:val="bottom"/>
          </w:tcPr>
          <w:p>
            <w:pPr>
              <w:spacing w:after="0"/>
              <w:rPr>
                <w:sz w:val="16"/>
                <w:szCs w:val="16"/>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Light Field Imaging Platform</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On-Demand Music Streaming</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Social Communication</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Social Data Platform</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Social Media</w:t>
            </w:r>
          </w:p>
        </w:tc>
        <w:tc>
          <w:tcPr>
            <w:tcW w:w="240" w:type="dxa"/>
            <w:vAlign w:val="bottom"/>
          </w:tcPr>
          <w:p>
            <w:pPr>
              <w:spacing w:after="0"/>
              <w:rPr>
                <w:sz w:val="18"/>
                <w:szCs w:val="18"/>
                <w:color w:val="auto"/>
              </w:rPr>
            </w:pPr>
          </w:p>
        </w:tc>
      </w:tr>
      <w:tr>
        <w:trPr>
          <w:trHeight w:val="228"/>
        </w:trPr>
        <w:tc>
          <w:tcPr>
            <w:tcW w:w="120" w:type="dxa"/>
            <w:vAlign w:val="bottom"/>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c>
          <w:tcPr>
            <w:tcW w:w="7520" w:type="dxa"/>
            <w:vAlign w:val="bottom"/>
            <w:tcBorders>
              <w:bottom w:val="single" w:sz="8" w:color="auto"/>
            </w:tcBorders>
          </w:tcPr>
          <w:p>
            <w:pPr>
              <w:ind w:left="2180"/>
              <w:spacing w:after="0"/>
              <w:rPr>
                <w:sz w:val="20"/>
                <w:szCs w:val="20"/>
                <w:color w:val="auto"/>
              </w:rPr>
            </w:pPr>
            <w:r>
              <w:rPr>
                <w:rFonts w:ascii="Arial" w:cs="Arial" w:eastAsia="Arial" w:hAnsi="Arial"/>
                <w:sz w:val="18"/>
                <w:szCs w:val="18"/>
                <w:color w:val="auto"/>
              </w:rPr>
              <w:t>Sports Analytics</w:t>
            </w:r>
          </w:p>
        </w:tc>
        <w:tc>
          <w:tcPr>
            <w:tcW w:w="240" w:type="dxa"/>
            <w:vAlign w:val="bottom"/>
          </w:tcPr>
          <w:p>
            <w:pPr>
              <w:spacing w:after="0"/>
              <w:rPr>
                <w:sz w:val="19"/>
                <w:szCs w:val="19"/>
                <w:color w:val="auto"/>
              </w:rPr>
            </w:pPr>
          </w:p>
        </w:tc>
      </w:tr>
      <w:tr>
        <w:trPr>
          <w:trHeight w:val="194"/>
        </w:trPr>
        <w:tc>
          <w:tcPr>
            <w:tcW w:w="120" w:type="dxa"/>
            <w:vAlign w:val="bottom"/>
          </w:tcPr>
          <w:p>
            <w:pPr>
              <w:spacing w:after="0"/>
              <w:rPr>
                <w:sz w:val="16"/>
                <w:szCs w:val="16"/>
                <w:color w:val="auto"/>
              </w:rPr>
            </w:pPr>
          </w:p>
        </w:tc>
        <w:tc>
          <w:tcPr>
            <w:tcW w:w="3560" w:type="dxa"/>
            <w:vAlign w:val="bottom"/>
          </w:tcPr>
          <w:p>
            <w:pPr>
              <w:ind w:left="20"/>
              <w:spacing w:after="0" w:line="195" w:lineRule="exact"/>
              <w:rPr>
                <w:sz w:val="20"/>
                <w:szCs w:val="20"/>
                <w:color w:val="auto"/>
              </w:rPr>
            </w:pPr>
            <w:r>
              <w:rPr>
                <w:rFonts w:ascii="Arial" w:cs="Arial" w:eastAsia="Arial" w:hAnsi="Arial"/>
                <w:sz w:val="18"/>
                <w:szCs w:val="18"/>
                <w:color w:val="auto"/>
              </w:rPr>
              <w:t>Sustainability</w:t>
            </w:r>
          </w:p>
        </w:tc>
        <w:tc>
          <w:tcPr>
            <w:tcW w:w="7520" w:type="dxa"/>
            <w:vAlign w:val="bottom"/>
          </w:tcPr>
          <w:p>
            <w:pPr>
              <w:ind w:left="2180"/>
              <w:spacing w:after="0" w:line="195" w:lineRule="exact"/>
              <w:rPr>
                <w:sz w:val="20"/>
                <w:szCs w:val="20"/>
                <w:color w:val="auto"/>
              </w:rPr>
            </w:pPr>
            <w:r>
              <w:rPr>
                <w:rFonts w:ascii="Arial" w:cs="Arial" w:eastAsia="Arial" w:hAnsi="Arial"/>
                <w:sz w:val="18"/>
                <w:szCs w:val="18"/>
                <w:color w:val="auto"/>
              </w:rPr>
              <w:t>Clean Technology</w:t>
            </w:r>
          </w:p>
        </w:tc>
        <w:tc>
          <w:tcPr>
            <w:tcW w:w="24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7520" w:type="dxa"/>
            <w:vAlign w:val="bottom"/>
          </w:tcPr>
          <w:p>
            <w:pPr>
              <w:ind w:left="2180"/>
              <w:spacing w:after="0"/>
              <w:rPr>
                <w:sz w:val="20"/>
                <w:szCs w:val="20"/>
                <w:color w:val="auto"/>
              </w:rPr>
            </w:pPr>
            <w:r>
              <w:rPr>
                <w:rFonts w:ascii="Arial" w:cs="Arial" w:eastAsia="Arial" w:hAnsi="Arial"/>
                <w:sz w:val="18"/>
                <w:szCs w:val="18"/>
                <w:color w:val="auto"/>
              </w:rPr>
              <w:t>Solar Power</w:t>
            </w:r>
          </w:p>
        </w:tc>
        <w:tc>
          <w:tcPr>
            <w:tcW w:w="240" w:type="dxa"/>
            <w:vAlign w:val="bottom"/>
          </w:tcPr>
          <w:p>
            <w:pPr>
              <w:spacing w:after="0"/>
              <w:rPr>
                <w:sz w:val="19"/>
                <w:szCs w:val="19"/>
                <w:color w:val="auto"/>
              </w:rPr>
            </w:pPr>
          </w:p>
        </w:tc>
      </w:tr>
      <w:tr>
        <w:trPr>
          <w:trHeight w:val="778"/>
        </w:trPr>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7520" w:type="dxa"/>
            <w:vAlign w:val="bottom"/>
          </w:tcPr>
          <w:p>
            <w:pPr>
              <w:ind w:left="194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3560" w:type="dxa"/>
            <w:vAlign w:val="bottom"/>
            <w:tcBorders>
              <w:bottom w:val="single" w:sz="8" w:color="9A9A9A"/>
            </w:tcBorders>
          </w:tcPr>
          <w:p>
            <w:pPr>
              <w:spacing w:after="0"/>
              <w:rPr>
                <w:sz w:val="14"/>
                <w:szCs w:val="14"/>
                <w:color w:val="auto"/>
              </w:rPr>
            </w:pPr>
          </w:p>
        </w:tc>
        <w:tc>
          <w:tcPr>
            <w:tcW w:w="75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3560" w:type="dxa"/>
            <w:vAlign w:val="bottom"/>
            <w:tcBorders>
              <w:bottom w:val="single" w:sz="8" w:color="EEEEEE"/>
            </w:tcBorders>
          </w:tcPr>
          <w:p>
            <w:pPr>
              <w:spacing w:after="0" w:line="20" w:lineRule="exact"/>
              <w:rPr>
                <w:sz w:val="1"/>
                <w:szCs w:val="1"/>
                <w:color w:val="auto"/>
              </w:rPr>
            </w:pPr>
          </w:p>
        </w:tc>
        <w:tc>
          <w:tcPr>
            <w:tcW w:w="75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32" w:name="page33"/>
    <w:bookmarkEnd w:id="32"/>
    <w:p>
      <w:pPr>
        <w:ind w:left="14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Investment Valuation Inputs</w:t>
      </w:r>
    </w:p>
    <w:p>
      <w:pPr>
        <w:spacing w:after="0" w:line="119" w:lineRule="exact"/>
        <w:rPr>
          <w:sz w:val="20"/>
          <w:szCs w:val="20"/>
          <w:color w:val="auto"/>
        </w:rPr>
      </w:pPr>
    </w:p>
    <w:p>
      <w:pPr>
        <w:ind w:left="180" w:right="300" w:firstLine="268"/>
        <w:spacing w:after="0" w:line="272"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September 30, 2017 and December 31,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18395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39595" cy="825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9525</wp:posOffset>
            </wp:positionV>
            <wp:extent cx="34067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06775"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As of September 30, 2017</w:t>
            </w: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5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Investments at Fair Value Private Portfolio Companies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93,284,868</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93,284,868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177,391,805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177,391,805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7,020,386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7,020,386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471,294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471,294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278,168,353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278,168,353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54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11,607,729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11,607,729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11,607,729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278,168,353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289,776,082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U.S. Treasury Bill</w:t>
            </w: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99,994,000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99,994,000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2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111,601,729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278,168,353</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389,770,082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1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As of December 31, 2016</w:t>
            </w: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for Identical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5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Investments at Fair Value Private Portfolio Companies</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83,074,410</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83,074,410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162,238,879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162,238,879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7,821,948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7,821,948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150,904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150,904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253,286,141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253,286,141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542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b w:val="1"/>
                <w:bCs w:val="1"/>
                <w:color w:val="auto"/>
              </w:rPr>
              <w:t>Publicly Traded Portfolio</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5420" w:type="dxa"/>
            <w:vAlign w:val="bottom"/>
          </w:tcPr>
          <w:p>
            <w:pPr>
              <w:ind w:left="200"/>
              <w:spacing w:after="0"/>
              <w:rPr>
                <w:sz w:val="20"/>
                <w:szCs w:val="20"/>
                <w:color w:val="auto"/>
              </w:rPr>
            </w:pPr>
            <w:r>
              <w:rPr>
                <w:rFonts w:ascii="Arial" w:cs="Arial" w:eastAsia="Arial" w:hAnsi="Arial"/>
                <w:sz w:val="18"/>
                <w:szCs w:val="18"/>
                <w:b w:val="1"/>
                <w:bCs w:val="1"/>
                <w:color w:val="auto"/>
              </w:rPr>
              <w:t>Companies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8,729,005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8,729,005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8,729,005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253,286,141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262,015,146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20" w:type="dxa"/>
            <w:vAlign w:val="bottom"/>
          </w:tcPr>
          <w:p>
            <w:pPr>
              <w:spacing w:after="0"/>
              <w:rPr>
                <w:sz w:val="18"/>
                <w:szCs w:val="18"/>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U.S. Treasury Bill</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29,998,490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29,998,490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38,727,495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253,286,141</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292,013,636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120" w:type="dxa"/>
            <w:vAlign w:val="bottom"/>
          </w:tcPr>
          <w:p>
            <w:pPr>
              <w:spacing w:after="0"/>
              <w:rPr>
                <w:sz w:val="24"/>
                <w:szCs w:val="24"/>
                <w:color w:val="auto"/>
              </w:rPr>
            </w:pPr>
          </w:p>
        </w:tc>
        <w:tc>
          <w:tcPr>
            <w:tcW w:w="5420" w:type="dxa"/>
            <w:vAlign w:val="bottom"/>
            <w:tcBorders>
              <w:top w:val="single" w:sz="8" w:color="CCEEFF"/>
            </w:tcBorders>
          </w:tcPr>
          <w:p>
            <w:pPr>
              <w:spacing w:after="0"/>
              <w:rPr>
                <w:sz w:val="24"/>
                <w:szCs w:val="24"/>
                <w:color w:val="auto"/>
              </w:rPr>
            </w:pPr>
          </w:p>
        </w:tc>
        <w:tc>
          <w:tcPr>
            <w:tcW w:w="1220" w:type="dxa"/>
            <w:vAlign w:val="bottom"/>
            <w:tcBorders>
              <w:top w:val="single" w:sz="8" w:color="auto"/>
            </w:tcBorders>
            <w:gridSpan w:val="2"/>
          </w:tcPr>
          <w:p>
            <w:pPr>
              <w:jc w:val="right"/>
              <w:ind w:right="877"/>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54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4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-4070350</wp:posOffset>
            </wp:positionV>
            <wp:extent cx="7026275" cy="1447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-3789045</wp:posOffset>
            </wp:positionV>
            <wp:extent cx="7026275" cy="153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-3218815</wp:posOffset>
            </wp:positionV>
            <wp:extent cx="7026275"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-1642745</wp:posOffset>
            </wp:positionV>
            <wp:extent cx="7026275" cy="2813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26275" cy="28130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-1225550</wp:posOffset>
            </wp:positionV>
            <wp:extent cx="7026275" cy="153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-655320</wp:posOffset>
            </wp:positionV>
            <wp:extent cx="7026275"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26275" cy="3429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-3159125</wp:posOffset>
            </wp:positionV>
            <wp:extent cx="18395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39595" cy="8255"/>
                    </a:xfrm>
                    <a:prstGeom prst="rect">
                      <a:avLst/>
                    </a:prstGeom>
                    <a:noFill/>
                  </pic:spPr>
                </pic:pic>
              </a:graphicData>
            </a:graphic>
          </wp:anchor>
        </w:drawing>
        <w:drawing>
          <wp:anchor simplePos="0" relativeHeight="251657728" behindDoc="1" locked="0" layoutInCell="0" allowOverlap="1">
            <wp:simplePos x="0" y="0"/>
            <wp:positionH relativeFrom="column">
              <wp:posOffset>3513455</wp:posOffset>
            </wp:positionH>
            <wp:positionV relativeFrom="paragraph">
              <wp:posOffset>-3159125</wp:posOffset>
            </wp:positionV>
            <wp:extent cx="340677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06775" cy="8255"/>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33" w:name="page34"/>
    <w:bookmarkEnd w:id="3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115" w:lineRule="exact"/>
        <w:rPr>
          <w:sz w:val="20"/>
          <w:szCs w:val="20"/>
          <w:color w:val="auto"/>
        </w:rPr>
      </w:pPr>
    </w:p>
    <w:p>
      <w:pPr>
        <w:ind w:left="60" w:firstLine="268"/>
        <w:spacing w:after="0" w:line="269" w:lineRule="auto"/>
        <w:rPr>
          <w:sz w:val="20"/>
          <w:szCs w:val="20"/>
          <w:color w:val="auto"/>
        </w:rPr>
      </w:pPr>
      <w:r>
        <w:rPr>
          <w:rFonts w:ascii="Arial" w:cs="Arial" w:eastAsia="Arial" w:hAnsi="Arial"/>
          <w:sz w:val="17"/>
          <w:szCs w:val="17"/>
          <w:color w:val="auto"/>
        </w:rPr>
        <w:t xml:space="preserve">In accordance with FASB ASC 820, the tables below provide quantitative information about the Company’s fair value measurements of its Level 3 assets as of September 30, 2017 and December 31, 2016.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September 30, 2017 and December 31, 2016. Significant changes in the inputs in isolation would result in a significant change in the fair value measurement, depending on the input and the materiality of the investment. Refer to “Note 1 — Nature of Operations and Significant Accounting Policies — </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030085" cy="3972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30085" cy="3972560"/>
                    </a:xfrm>
                    <a:prstGeom prst="rect">
                      <a:avLst/>
                    </a:prstGeom>
                    <a:noFill/>
                  </pic:spPr>
                </pic:pic>
              </a:graphicData>
            </a:graphic>
          </wp:anchor>
        </w:drawing>
      </w: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4"/>
          <w:szCs w:val="14"/>
          <w:b w:val="1"/>
          <w:bCs w:val="1"/>
          <w:color w:val="auto"/>
        </w:rPr>
        <w:t>As of September 30, 2017</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Borders>
              <w:top w:val="single" w:sz="8" w:color="auto"/>
            </w:tcBorders>
          </w:tcPr>
          <w:p>
            <w:pPr>
              <w:spacing w:after="0"/>
              <w:rPr>
                <w:sz w:val="17"/>
                <w:szCs w:val="17"/>
                <w:color w:val="auto"/>
              </w:rPr>
            </w:pPr>
          </w:p>
        </w:tc>
        <w:tc>
          <w:tcPr>
            <w:tcW w:w="186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3"/>
              </w:rPr>
              <w:t>Asset</w:t>
            </w:r>
          </w:p>
        </w:tc>
        <w:tc>
          <w:tcPr>
            <w:tcW w:w="1420" w:type="dxa"/>
            <w:vAlign w:val="bottom"/>
            <w:tcBorders>
              <w:top w:val="single" w:sz="8" w:color="auto"/>
              <w:right w:val="single" w:sz="8" w:color="auto"/>
            </w:tcBorders>
            <w:vMerge w:val="restart"/>
          </w:tcPr>
          <w:p>
            <w:pPr>
              <w:ind w:left="380"/>
              <w:spacing w:after="0"/>
              <w:rPr>
                <w:sz w:val="20"/>
                <w:szCs w:val="20"/>
                <w:color w:val="auto"/>
              </w:rPr>
            </w:pPr>
            <w:r>
              <w:rPr>
                <w:rFonts w:ascii="Arial" w:cs="Arial" w:eastAsia="Arial" w:hAnsi="Arial"/>
                <w:sz w:val="14"/>
                <w:szCs w:val="14"/>
                <w:b w:val="1"/>
                <w:bCs w:val="1"/>
                <w:color w:val="auto"/>
              </w:rPr>
              <w:t>Fair Value</w:t>
            </w:r>
          </w:p>
        </w:tc>
        <w:tc>
          <w:tcPr>
            <w:tcW w:w="2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27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r>
              <w:rPr>
                <w:rFonts w:ascii="Arial" w:cs="Arial" w:eastAsia="Arial" w:hAnsi="Arial"/>
                <w:sz w:val="23"/>
                <w:szCs w:val="23"/>
                <w:b w:val="1"/>
                <w:bCs w:val="1"/>
                <w:color w:val="auto"/>
                <w:w w:val="90"/>
                <w:vertAlign w:val="superscript"/>
              </w:rPr>
              <w:t>(2)</w:t>
            </w:r>
          </w:p>
        </w:tc>
        <w:tc>
          <w:tcPr>
            <w:tcW w:w="24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gridSpan w:val="2"/>
            <w:vMerge w:val="continue"/>
          </w:tcPr>
          <w:p>
            <w:pPr>
              <w:spacing w:after="0"/>
              <w:rPr>
                <w:sz w:val="18"/>
                <w:szCs w:val="18"/>
                <w:color w:val="auto"/>
              </w:rPr>
            </w:pPr>
          </w:p>
        </w:tc>
        <w:tc>
          <w:tcPr>
            <w:tcW w:w="1420" w:type="dxa"/>
            <w:vAlign w:val="bottom"/>
            <w:tcBorders>
              <w:bottom w:val="single" w:sz="8" w:color="auto"/>
              <w:right w:val="single" w:sz="8" w:color="auto"/>
            </w:tcBorders>
            <w:vMerge w:val="continue"/>
          </w:tcPr>
          <w:p>
            <w:pPr>
              <w:spacing w:after="0"/>
              <w:rPr>
                <w:sz w:val="18"/>
                <w:szCs w:val="18"/>
                <w:color w:val="auto"/>
              </w:rPr>
            </w:pPr>
          </w:p>
        </w:tc>
        <w:tc>
          <w:tcPr>
            <w:tcW w:w="2600" w:type="dxa"/>
            <w:vAlign w:val="bottom"/>
            <w:tcBorders>
              <w:bottom w:val="single" w:sz="8" w:color="auto"/>
              <w:right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w w:val="90"/>
              </w:rPr>
              <w:t>Approach / Technique</w:t>
            </w:r>
            <w:r>
              <w:rPr>
                <w:rFonts w:ascii="Arial" w:cs="Arial" w:eastAsia="Arial" w:hAnsi="Arial"/>
                <w:sz w:val="22"/>
                <w:szCs w:val="22"/>
                <w:b w:val="1"/>
                <w:bCs w:val="1"/>
                <w:color w:val="auto"/>
                <w:w w:val="90"/>
                <w:vertAlign w:val="superscript"/>
              </w:rPr>
              <w:t>(1)</w:t>
            </w:r>
          </w:p>
        </w:tc>
        <w:tc>
          <w:tcPr>
            <w:tcW w:w="2760" w:type="dxa"/>
            <w:vAlign w:val="bottom"/>
            <w:tcBorders>
              <w:bottom w:val="single" w:sz="8" w:color="auto"/>
              <w:right w:val="single" w:sz="8" w:color="auto"/>
            </w:tcBorders>
            <w:vMerge w:val="continue"/>
          </w:tcPr>
          <w:p>
            <w:pPr>
              <w:spacing w:after="0"/>
              <w:rPr>
                <w:sz w:val="18"/>
                <w:szCs w:val="18"/>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Precedent transactions</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Collateral value</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Borders>
              <w:right w:val="single" w:sz="8" w:color="auto"/>
            </w:tcBorders>
            <w:gridSpan w:val="2"/>
          </w:tcPr>
          <w:p>
            <w:pPr>
              <w:jc w:val="center"/>
              <w:spacing w:after="0" w:line="145" w:lineRule="exact"/>
              <w:rPr>
                <w:sz w:val="20"/>
                <w:szCs w:val="20"/>
                <w:color w:val="auto"/>
              </w:rPr>
            </w:pPr>
            <w:r>
              <w:rPr>
                <w:rFonts w:ascii="Arial" w:cs="Arial" w:eastAsia="Arial" w:hAnsi="Arial"/>
                <w:sz w:val="14"/>
                <w:szCs w:val="14"/>
                <w:color w:val="auto"/>
                <w:w w:val="94"/>
              </w:rPr>
              <w:t>Common stock in</w:t>
            </w:r>
          </w:p>
        </w:tc>
        <w:tc>
          <w:tcPr>
            <w:tcW w:w="14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$93,284,868</w:t>
            </w:r>
          </w:p>
        </w:tc>
        <w:tc>
          <w:tcPr>
            <w:tcW w:w="2600" w:type="dxa"/>
            <w:vAlign w:val="bottom"/>
            <w:tcBorders>
              <w:right w:val="single" w:sz="8" w:color="auto"/>
            </w:tcBorders>
          </w:tcPr>
          <w:p>
            <w:pPr>
              <w:spacing w:after="0"/>
              <w:rPr>
                <w:sz w:val="12"/>
                <w:szCs w:val="12"/>
                <w:color w:val="auto"/>
              </w:rPr>
            </w:pPr>
          </w:p>
        </w:tc>
        <w:tc>
          <w:tcPr>
            <w:tcW w:w="276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color w:val="auto"/>
                <w:w w:val="92"/>
              </w:rPr>
              <w:t>Revenue multiples</w:t>
            </w:r>
          </w:p>
        </w:tc>
        <w:tc>
          <w:tcPr>
            <w:tcW w:w="24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4"/>
              </w:rPr>
              <w:t>1.79x – 7.23x (4.98x)</w:t>
            </w: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186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4"/>
                <w:szCs w:val="14"/>
                <w:color w:val="auto"/>
                <w:w w:val="91"/>
              </w:rPr>
              <w:t>private companies</w:t>
            </w:r>
          </w:p>
        </w:tc>
        <w:tc>
          <w:tcPr>
            <w:tcW w:w="142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76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vMerge w:val="continue"/>
          </w:tcPr>
          <w:p>
            <w:pPr>
              <w:spacing w:after="0"/>
              <w:rPr>
                <w:sz w:val="8"/>
                <w:szCs w:val="8"/>
                <w:color w:val="auto"/>
              </w:rPr>
            </w:pPr>
          </w:p>
        </w:tc>
        <w:tc>
          <w:tcPr>
            <w:tcW w:w="1860" w:type="dxa"/>
            <w:vAlign w:val="bottom"/>
            <w:tcBorders>
              <w:right w:val="single" w:sz="8" w:color="auto"/>
            </w:tcBorders>
            <w:gridSpan w:val="2"/>
            <w:vMerge w:val="continue"/>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tcPr>
          <w:p>
            <w:pPr>
              <w:spacing w:after="0"/>
              <w:rPr>
                <w:sz w:val="8"/>
                <w:szCs w:val="8"/>
                <w:color w:val="auto"/>
              </w:rPr>
            </w:pP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Liquidation Value</w:t>
            </w:r>
          </w:p>
        </w:tc>
        <w:tc>
          <w:tcPr>
            <w:tcW w:w="2420" w:type="dxa"/>
            <w:vAlign w:val="bottom"/>
            <w:gridSpan w:val="2"/>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760" w:type="dxa"/>
            <w:vAlign w:val="bottom"/>
            <w:tcBorders>
              <w:bottom w:val="single" w:sz="8" w:color="auto"/>
              <w:right w:val="single" w:sz="8" w:color="auto"/>
            </w:tcBorders>
            <w:vMerge w:val="continue"/>
          </w:tcPr>
          <w:p>
            <w:pPr>
              <w:spacing w:after="0"/>
              <w:rPr>
                <w:sz w:val="9"/>
                <w:szCs w:val="9"/>
                <w:color w:val="auto"/>
              </w:rPr>
            </w:pPr>
          </w:p>
        </w:tc>
        <w:tc>
          <w:tcPr>
            <w:tcW w:w="2420" w:type="dxa"/>
            <w:vAlign w:val="bottom"/>
            <w:tcBorders>
              <w:bottom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4"/>
                <w:szCs w:val="14"/>
                <w:color w:val="auto"/>
                <w:w w:val="91"/>
              </w:rPr>
              <w:t>Discounted Cash Flow</w:t>
            </w:r>
            <w:r>
              <w:rPr>
                <w:rFonts w:ascii="Arial" w:cs="Arial" w:eastAsia="Arial" w:hAnsi="Arial"/>
                <w:sz w:val="22"/>
                <w:szCs w:val="22"/>
                <w:color w:val="auto"/>
                <w:w w:val="91"/>
                <w:vertAlign w:val="superscript"/>
              </w:rPr>
              <w:t>(2)</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Long-term revenue growth</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Option pricing model</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Term to expiration (Years)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Volatility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Precedent transactions</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Collateral value</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2"/>
              </w:rPr>
              <w:t>Preferred stock in</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$177,391,805</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1.90x – 5.98x (3.59x)</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860" w:type="dxa"/>
            <w:vAlign w:val="bottom"/>
            <w:tcBorders>
              <w:right w:val="single" w:sz="8" w:color="auto"/>
            </w:tcBorders>
            <w:gridSpan w:val="2"/>
            <w:vMerge w:val="continue"/>
          </w:tcPr>
          <w:p>
            <w:pPr>
              <w:spacing w:after="0"/>
              <w:rPr>
                <w:sz w:val="5"/>
                <w:szCs w:val="5"/>
                <w:color w:val="auto"/>
              </w:rPr>
            </w:pPr>
          </w:p>
        </w:tc>
        <w:tc>
          <w:tcPr>
            <w:tcW w:w="1420" w:type="dxa"/>
            <w:vAlign w:val="bottom"/>
            <w:tcBorders>
              <w:right w:val="single" w:sz="8" w:color="auto"/>
            </w:tcBorders>
            <w:vMerge w:val="continue"/>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15.0x</w:t>
            </w:r>
          </w:p>
        </w:tc>
        <w:tc>
          <w:tcPr>
            <w:tcW w:w="1280" w:type="dxa"/>
            <w:vAlign w:val="bottom"/>
            <w:vMerge w:val="restart"/>
          </w:tcPr>
          <w:p>
            <w:pPr>
              <w:ind w:left="20"/>
              <w:spacing w:after="0"/>
              <w:rPr>
                <w:sz w:val="20"/>
                <w:szCs w:val="20"/>
                <w:color w:val="auto"/>
              </w:rPr>
            </w:pPr>
            <w:r>
              <w:rPr>
                <w:rFonts w:ascii="Arial" w:cs="Arial" w:eastAsia="Arial" w:hAnsi="Arial"/>
                <w:sz w:val="14"/>
                <w:szCs w:val="14"/>
                <w:color w:val="auto"/>
              </w:rPr>
              <w:t>(15.0x)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60" w:type="dxa"/>
            <w:vAlign w:val="bottom"/>
            <w:tcBorders>
              <w:right w:val="single" w:sz="8" w:color="auto"/>
            </w:tcBorders>
            <w:gridSpan w:val="2"/>
          </w:tcPr>
          <w:p>
            <w:pPr>
              <w:jc w:val="center"/>
              <w:ind w:right="20"/>
              <w:spacing w:after="0" w:line="149" w:lineRule="exact"/>
              <w:rPr>
                <w:sz w:val="20"/>
                <w:szCs w:val="20"/>
                <w:color w:val="auto"/>
              </w:rPr>
            </w:pPr>
            <w:r>
              <w:rPr>
                <w:rFonts w:ascii="Arial" w:cs="Arial" w:eastAsia="Arial" w:hAnsi="Arial"/>
                <w:sz w:val="14"/>
                <w:szCs w:val="14"/>
                <w:color w:val="auto"/>
                <w:w w:val="91"/>
              </w:rPr>
              <w:t>private companies</w:t>
            </w:r>
          </w:p>
        </w:tc>
        <w:tc>
          <w:tcPr>
            <w:tcW w:w="1420" w:type="dxa"/>
            <w:vAlign w:val="bottom"/>
            <w:tcBorders>
              <w:right w:val="single" w:sz="8" w:color="auto"/>
            </w:tcBorders>
          </w:tcPr>
          <w:p>
            <w:pPr>
              <w:spacing w:after="0"/>
              <w:rPr>
                <w:sz w:val="13"/>
                <w:szCs w:val="13"/>
                <w:color w:val="auto"/>
              </w:rPr>
            </w:pPr>
          </w:p>
        </w:tc>
        <w:tc>
          <w:tcPr>
            <w:tcW w:w="2600" w:type="dxa"/>
            <w:vAlign w:val="bottom"/>
            <w:tcBorders>
              <w:right w:val="single" w:sz="8" w:color="auto"/>
            </w:tcBorders>
          </w:tcPr>
          <w:p>
            <w:pPr>
              <w:spacing w:after="0"/>
              <w:rPr>
                <w:sz w:val="13"/>
                <w:szCs w:val="13"/>
                <w:color w:val="auto"/>
              </w:rPr>
            </w:pPr>
          </w:p>
        </w:tc>
        <w:tc>
          <w:tcPr>
            <w:tcW w:w="2760" w:type="dxa"/>
            <w:vAlign w:val="bottom"/>
            <w:tcBorders>
              <w:bottom w:val="single" w:sz="8" w:color="auto"/>
              <w:right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Discount for lack of control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4"/>
                <w:szCs w:val="14"/>
                <w:color w:val="auto"/>
                <w:w w:val="91"/>
              </w:rPr>
              <w:t>Discounted Cash Flow</w:t>
            </w:r>
            <w:r>
              <w:rPr>
                <w:rFonts w:ascii="Arial" w:cs="Arial" w:eastAsia="Arial" w:hAnsi="Arial"/>
                <w:sz w:val="22"/>
                <w:szCs w:val="22"/>
                <w:color w:val="auto"/>
                <w:w w:val="91"/>
                <w:vertAlign w:val="superscript"/>
              </w:rPr>
              <w:t>(2)</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12.0% – 40.0% (37.6%)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Long-term revenue growth</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2"/>
              </w:rPr>
              <w:t>0.0% – 12.5% (11.4%)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Option pricing model</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Term to expiration (Years)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Volatility</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PWERM</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Liquidation Value</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2.28x – 4.29x (3.47x)</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92"/>
              </w:rPr>
              <w:t>Debt investments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$7,020,386</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Liquidation Value</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PWERM</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4.29x</w:t>
            </w: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(4.29x)</w:t>
            </w: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Liquidation Value</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4"/>
                <w:szCs w:val="14"/>
                <w:color w:val="auto"/>
                <w:w w:val="91"/>
              </w:rPr>
              <w:t>Warrants</w:t>
            </w:r>
          </w:p>
        </w:tc>
        <w:tc>
          <w:tcPr>
            <w:tcW w:w="1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$471,294</w:t>
            </w: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Option pricing model</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Term to expiration (Years)</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0.4 – 3.0 (2.3)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860" w:type="dxa"/>
            <w:vAlign w:val="bottom"/>
            <w:tcBorders>
              <w:right w:val="single" w:sz="8" w:color="auto"/>
            </w:tcBorders>
            <w:gridSpan w:val="2"/>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2600" w:type="dxa"/>
            <w:vAlign w:val="bottom"/>
            <w:tcBorders>
              <w:right w:val="single" w:sz="8" w:color="auto"/>
            </w:tcBorders>
            <w:vMerge w:val="continue"/>
          </w:tcPr>
          <w:p>
            <w:pPr>
              <w:spacing w:after="0"/>
              <w:rPr>
                <w:sz w:val="9"/>
                <w:szCs w:val="9"/>
                <w:color w:val="auto"/>
              </w:rPr>
            </w:pPr>
          </w:p>
        </w:tc>
        <w:tc>
          <w:tcPr>
            <w:tcW w:w="2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Volatility</w:t>
            </w:r>
          </w:p>
        </w:tc>
        <w:tc>
          <w:tcPr>
            <w:tcW w:w="242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11.8% – 54.7% (38.5%)</w:t>
            </w:r>
          </w:p>
        </w:tc>
        <w:tc>
          <w:tcPr>
            <w:tcW w:w="0" w:type="dxa"/>
            <w:vAlign w:val="bottom"/>
          </w:tcPr>
          <w:p>
            <w:pPr>
              <w:spacing w:after="0"/>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1420" w:type="dxa"/>
            <w:vAlign w:val="bottom"/>
            <w:tcBorders>
              <w:bottom w:val="single" w:sz="8" w:color="auto"/>
              <w:right w:val="single" w:sz="8" w:color="auto"/>
            </w:tcBorders>
          </w:tcPr>
          <w:p>
            <w:pPr>
              <w:spacing w:after="0"/>
              <w:rPr>
                <w:sz w:val="7"/>
                <w:szCs w:val="7"/>
                <w:color w:val="auto"/>
              </w:rPr>
            </w:pPr>
          </w:p>
        </w:tc>
        <w:tc>
          <w:tcPr>
            <w:tcW w:w="2600" w:type="dxa"/>
            <w:vAlign w:val="bottom"/>
            <w:tcBorders>
              <w:bottom w:val="single" w:sz="8" w:color="auto"/>
              <w:right w:val="single" w:sz="8" w:color="auto"/>
            </w:tcBorders>
          </w:tcPr>
          <w:p>
            <w:pPr>
              <w:spacing w:after="0"/>
              <w:rPr>
                <w:sz w:val="7"/>
                <w:szCs w:val="7"/>
                <w:color w:val="auto"/>
              </w:rPr>
            </w:pPr>
          </w:p>
        </w:tc>
        <w:tc>
          <w:tcPr>
            <w:tcW w:w="2760" w:type="dxa"/>
            <w:vAlign w:val="bottom"/>
            <w:tcBorders>
              <w:bottom w:val="single" w:sz="8" w:color="auto"/>
              <w:right w:val="single" w:sz="8" w:color="auto"/>
            </w:tcBorders>
            <w:vMerge w:val="continue"/>
          </w:tcPr>
          <w:p>
            <w:pPr>
              <w:spacing w:after="0"/>
              <w:rPr>
                <w:sz w:val="7"/>
                <w:szCs w:val="7"/>
                <w:color w:val="auto"/>
              </w:rPr>
            </w:pPr>
          </w:p>
        </w:tc>
        <w:tc>
          <w:tcPr>
            <w:tcW w:w="242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300" w:hanging="274"/>
        <w:spacing w:after="0" w:line="298" w:lineRule="auto"/>
        <w:tabs>
          <w:tab w:leader="none" w:pos="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December 31, 2016, the Company used a market approach to value certain common and preferred stock investments. As of September 30, 2017,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w:t>
      </w:r>
    </w:p>
    <w:p>
      <w:pPr>
        <w:spacing w:after="0" w:line="200" w:lineRule="exact"/>
        <w:rPr>
          <w:sz w:val="20"/>
          <w:szCs w:val="20"/>
          <w:color w:val="auto"/>
        </w:rPr>
      </w:pPr>
    </w:p>
    <w:p>
      <w:pPr>
        <w:spacing w:after="0" w:line="30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34" w:name="page35"/>
    <w:bookmarkEnd w:id="3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19" w:lineRule="exact"/>
        <w:rPr>
          <w:sz w:val="20"/>
          <w:szCs w:val="20"/>
          <w:color w:val="auto"/>
        </w:rPr>
      </w:pPr>
    </w:p>
    <w:p>
      <w:pPr>
        <w:ind w:left="300" w:right="460"/>
        <w:spacing w:after="0" w:line="272" w:lineRule="auto"/>
        <w:rPr>
          <w:sz w:val="20"/>
          <w:szCs w:val="20"/>
          <w:color w:val="auto"/>
        </w:rPr>
      </w:pPr>
      <w:r>
        <w:rPr>
          <w:rFonts w:ascii="Arial" w:cs="Arial" w:eastAsia="Arial" w:hAnsi="Arial"/>
          <w:sz w:val="18"/>
          <w:szCs w:val="18"/>
          <w:color w:val="auto"/>
        </w:rPr>
        <w:t xml:space="preserve">final fair value of a Level 3 investment may change based on recent events or transactions. Refer to “Note 1 — Nature of Operations and Significant Accounting Policies — </w:t>
      </w:r>
      <w:r>
        <w:rPr>
          <w:rFonts w:ascii="Arial" w:cs="Arial" w:eastAsia="Arial" w:hAnsi="Arial"/>
          <w:sz w:val="18"/>
          <w:szCs w:val="18"/>
          <w:i w:val="1"/>
          <w:iCs w:val="1"/>
          <w:color w:val="auto"/>
        </w:rPr>
        <w:t>Investments at Fair Value</w:t>
      </w:r>
      <w:r>
        <w:rPr>
          <w:rFonts w:ascii="Arial" w:cs="Arial" w:eastAsia="Arial" w:hAnsi="Arial"/>
          <w:sz w:val="18"/>
          <w:szCs w:val="18"/>
          <w:color w:val="auto"/>
        </w:rPr>
        <w:t>” for more detail.</w:t>
      </w:r>
    </w:p>
    <w:p>
      <w:pPr>
        <w:spacing w:after="0" w:line="67" w:lineRule="exact"/>
        <w:rPr>
          <w:sz w:val="20"/>
          <w:szCs w:val="20"/>
          <w:color w:val="auto"/>
        </w:rPr>
      </w:pPr>
    </w:p>
    <w:p>
      <w:pPr>
        <w:ind w:left="300" w:hanging="274"/>
        <w:spacing w:after="0" w:line="286" w:lineRule="auto"/>
        <w:tabs>
          <w:tab w:leader="none" w:pos="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 (decreases)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1 — Nature of Operations and Significant Accounting Policies — </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030085" cy="22612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30085" cy="2261235"/>
                    </a:xfrm>
                    <a:prstGeom prst="rect">
                      <a:avLst/>
                    </a:prstGeom>
                    <a:noFill/>
                  </pic:spPr>
                </pic:pic>
              </a:graphicData>
            </a:graphic>
          </wp:anchor>
        </w:drawing>
      </w:r>
    </w:p>
    <w:p>
      <w:pPr>
        <w:spacing w:after="0" w:line="193"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As of December 31, 2016</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top w:val="single" w:sz="8" w:color="auto"/>
            </w:tcBorders>
          </w:tcPr>
          <w:p>
            <w:pPr>
              <w:spacing w:after="0"/>
              <w:rPr>
                <w:sz w:val="14"/>
                <w:szCs w:val="14"/>
                <w:color w:val="auto"/>
              </w:rPr>
            </w:pPr>
          </w:p>
        </w:tc>
        <w:tc>
          <w:tcPr>
            <w:tcW w:w="1900" w:type="dxa"/>
            <w:vAlign w:val="bottom"/>
            <w:tcBorders>
              <w:top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Asset</w:t>
            </w:r>
          </w:p>
        </w:tc>
        <w:tc>
          <w:tcPr>
            <w:tcW w:w="1480" w:type="dxa"/>
            <w:vAlign w:val="bottom"/>
            <w:tcBorders>
              <w:top w:val="single" w:sz="8" w:color="auto"/>
              <w:right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Fair Value</w:t>
            </w:r>
          </w:p>
        </w:tc>
        <w:tc>
          <w:tcPr>
            <w:tcW w:w="23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Valuation Techniques</w:t>
            </w:r>
          </w:p>
        </w:tc>
        <w:tc>
          <w:tcPr>
            <w:tcW w:w="28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24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gridSpan w:val="2"/>
            <w:vMerge w:val="continue"/>
          </w:tcPr>
          <w:p>
            <w:pPr>
              <w:spacing w:after="0"/>
              <w:rPr>
                <w:sz w:val="18"/>
                <w:szCs w:val="18"/>
                <w:color w:val="auto"/>
              </w:rPr>
            </w:pPr>
          </w:p>
        </w:tc>
        <w:tc>
          <w:tcPr>
            <w:tcW w:w="1480" w:type="dxa"/>
            <w:vAlign w:val="bottom"/>
            <w:tcBorders>
              <w:bottom w:val="single" w:sz="8" w:color="auto"/>
              <w:right w:val="single" w:sz="8" w:color="auto"/>
            </w:tcBorders>
            <w:vMerge w:val="continue"/>
          </w:tcPr>
          <w:p>
            <w:pPr>
              <w:spacing w:after="0"/>
              <w:rPr>
                <w:sz w:val="18"/>
                <w:szCs w:val="18"/>
                <w:color w:val="auto"/>
              </w:rPr>
            </w:pPr>
          </w:p>
        </w:tc>
        <w:tc>
          <w:tcPr>
            <w:tcW w:w="2360" w:type="dxa"/>
            <w:vAlign w:val="bottom"/>
            <w:tcBorders>
              <w:bottom w:val="single" w:sz="8" w:color="auto"/>
              <w:right w:val="single" w:sz="8" w:color="auto"/>
            </w:tcBorders>
            <w:vMerge w:val="continue"/>
          </w:tcPr>
          <w:p>
            <w:pPr>
              <w:spacing w:after="0"/>
              <w:rPr>
                <w:sz w:val="18"/>
                <w:szCs w:val="18"/>
                <w:color w:val="auto"/>
              </w:rPr>
            </w:pPr>
          </w:p>
        </w:tc>
        <w:tc>
          <w:tcPr>
            <w:tcW w:w="2840" w:type="dxa"/>
            <w:vAlign w:val="bottom"/>
            <w:tcBorders>
              <w:bottom w:val="single" w:sz="8" w:color="auto"/>
              <w:right w:val="single" w:sz="8" w:color="auto"/>
            </w:tcBorders>
            <w:vMerge w:val="continue"/>
          </w:tcPr>
          <w:p>
            <w:pPr>
              <w:spacing w:after="0"/>
              <w:rPr>
                <w:sz w:val="18"/>
                <w:szCs w:val="18"/>
                <w:color w:val="auto"/>
              </w:rPr>
            </w:pP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284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4"/>
              </w:rPr>
              <w:t>Common stock in</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$83,074,410</w:t>
            </w:r>
          </w:p>
        </w:tc>
        <w:tc>
          <w:tcPr>
            <w:tcW w:w="2360" w:type="dxa"/>
            <w:vAlign w:val="bottom"/>
            <w:tcBorders>
              <w:right w:val="single" w:sz="8" w:color="auto"/>
            </w:tcBorders>
            <w:vMerge w:val="continue"/>
          </w:tcPr>
          <w:p>
            <w:pPr>
              <w:spacing w:after="0"/>
              <w:rPr>
                <w:sz w:val="5"/>
                <w:szCs w:val="5"/>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Revenue multiples</w:t>
            </w:r>
          </w:p>
        </w:tc>
        <w:tc>
          <w:tcPr>
            <w:tcW w:w="24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4"/>
              </w:rPr>
              <w:t>0.8x – 5.2x (3.3x)</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00" w:type="dxa"/>
            <w:vAlign w:val="bottom"/>
            <w:tcBorders>
              <w:right w:val="single" w:sz="8" w:color="auto"/>
            </w:tcBorders>
            <w:gridSpan w:val="2"/>
            <w:vMerge w:val="continue"/>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2360" w:type="dxa"/>
            <w:vAlign w:val="bottom"/>
            <w:tcBorders>
              <w:right w:val="single" w:sz="8" w:color="auto"/>
            </w:tcBorders>
          </w:tcPr>
          <w:p>
            <w:pPr>
              <w:spacing w:after="0"/>
              <w:rPr>
                <w:sz w:val="12"/>
                <w:szCs w:val="12"/>
                <w:color w:val="auto"/>
              </w:rPr>
            </w:pPr>
          </w:p>
        </w:tc>
        <w:tc>
          <w:tcPr>
            <w:tcW w:w="2840" w:type="dxa"/>
            <w:vAlign w:val="bottom"/>
            <w:tcBorders>
              <w:bottom w:val="single" w:sz="8" w:color="auto"/>
              <w:right w:val="single" w:sz="8" w:color="auto"/>
            </w:tcBorders>
            <w:vMerge w:val="continue"/>
          </w:tcPr>
          <w:p>
            <w:pPr>
              <w:spacing w:after="0"/>
              <w:rPr>
                <w:sz w:val="12"/>
                <w:szCs w:val="12"/>
                <w:color w:val="auto"/>
              </w:rPr>
            </w:pPr>
          </w:p>
        </w:tc>
        <w:tc>
          <w:tcPr>
            <w:tcW w:w="248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00" w:type="dxa"/>
            <w:vAlign w:val="bottom"/>
            <w:tcBorders>
              <w:right w:val="single" w:sz="8" w:color="auto"/>
            </w:tcBorders>
            <w:gridSpan w:val="2"/>
          </w:tcPr>
          <w:p>
            <w:pPr>
              <w:jc w:val="center"/>
              <w:spacing w:after="0" w:line="133" w:lineRule="exact"/>
              <w:rPr>
                <w:sz w:val="20"/>
                <w:szCs w:val="20"/>
                <w:color w:val="auto"/>
              </w:rPr>
            </w:pPr>
            <w:r>
              <w:rPr>
                <w:rFonts w:ascii="Arial" w:cs="Arial" w:eastAsia="Arial" w:hAnsi="Arial"/>
                <w:sz w:val="14"/>
                <w:szCs w:val="14"/>
                <w:color w:val="auto"/>
                <w:w w:val="93"/>
              </w:rPr>
              <w:t>private companies</w:t>
            </w:r>
          </w:p>
        </w:tc>
        <w:tc>
          <w:tcPr>
            <w:tcW w:w="148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tcPr>
          <w:p>
            <w:pPr>
              <w:spacing w:after="0"/>
              <w:rPr>
                <w:sz w:val="11"/>
                <w:szCs w:val="11"/>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37.5x</w:t>
            </w:r>
          </w:p>
        </w:tc>
        <w:tc>
          <w:tcPr>
            <w:tcW w:w="1300" w:type="dxa"/>
            <w:vAlign w:val="bottom"/>
            <w:vMerge w:val="restart"/>
          </w:tcPr>
          <w:p>
            <w:pPr>
              <w:ind w:left="20"/>
              <w:spacing w:after="0"/>
              <w:rPr>
                <w:sz w:val="20"/>
                <w:szCs w:val="20"/>
                <w:color w:val="auto"/>
              </w:rPr>
            </w:pPr>
            <w:r>
              <w:rPr>
                <w:rFonts w:ascii="Arial" w:cs="Arial" w:eastAsia="Arial" w:hAnsi="Arial"/>
                <w:sz w:val="14"/>
                <w:szCs w:val="14"/>
                <w:color w:val="auto"/>
              </w:rPr>
              <w:t>(37.5x)</w:t>
            </w:r>
          </w:p>
        </w:tc>
        <w:tc>
          <w:tcPr>
            <w:tcW w:w="0" w:type="dxa"/>
            <w:vAlign w:val="bottom"/>
          </w:tcPr>
          <w:p>
            <w:pPr>
              <w:spacing w:after="0"/>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1480" w:type="dxa"/>
            <w:vAlign w:val="bottom"/>
            <w:tcBorders>
              <w:bottom w:val="single" w:sz="8" w:color="auto"/>
              <w:right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840" w:type="dxa"/>
            <w:vAlign w:val="bottom"/>
            <w:tcBorders>
              <w:bottom w:val="single" w:sz="8" w:color="auto"/>
              <w:right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40" w:type="dxa"/>
            <w:vAlign w:val="bottom"/>
            <w:tcBorders>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284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2"/>
              </w:rPr>
              <w:t>Preferred stock in</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$157,929,101</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0.8x – 5.3x (2.7x)</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900" w:type="dxa"/>
            <w:vAlign w:val="bottom"/>
            <w:tcBorders>
              <w:right w:val="single" w:sz="8" w:color="auto"/>
            </w:tcBorders>
            <w:gridSpan w:val="2"/>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continue"/>
          </w:tcPr>
          <w:p>
            <w:pPr>
              <w:spacing w:after="0"/>
              <w:rPr>
                <w:sz w:val="8"/>
                <w:szCs w:val="8"/>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37.5x</w:t>
            </w:r>
          </w:p>
        </w:tc>
        <w:tc>
          <w:tcPr>
            <w:tcW w:w="1300" w:type="dxa"/>
            <w:vAlign w:val="bottom"/>
            <w:vMerge w:val="restart"/>
          </w:tcPr>
          <w:p>
            <w:pPr>
              <w:ind w:left="20"/>
              <w:spacing w:after="0"/>
              <w:rPr>
                <w:sz w:val="20"/>
                <w:szCs w:val="20"/>
                <w:color w:val="auto"/>
              </w:rPr>
            </w:pPr>
            <w:r>
              <w:rPr>
                <w:rFonts w:ascii="Arial" w:cs="Arial" w:eastAsia="Arial" w:hAnsi="Arial"/>
                <w:sz w:val="14"/>
                <w:szCs w:val="14"/>
                <w:color w:val="auto"/>
              </w:rPr>
              <w:t>(37.5x)</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93"/>
              </w:rPr>
              <w:t>private companies</w:t>
            </w:r>
          </w:p>
        </w:tc>
        <w:tc>
          <w:tcPr>
            <w:tcW w:w="148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2840" w:type="dxa"/>
            <w:vAlign w:val="bottom"/>
            <w:tcBorders>
              <w:bottom w:val="single" w:sz="8" w:color="auto"/>
              <w:right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1480" w:type="dxa"/>
            <w:vAlign w:val="bottom"/>
            <w:tcBorders>
              <w:right w:val="single" w:sz="8" w:color="auto"/>
            </w:tcBorders>
          </w:tcPr>
          <w:p>
            <w:pPr>
              <w:spacing w:after="0"/>
              <w:rPr>
                <w:sz w:val="4"/>
                <w:szCs w:val="4"/>
                <w:color w:val="auto"/>
              </w:rPr>
            </w:pPr>
          </w:p>
        </w:tc>
        <w:tc>
          <w:tcPr>
            <w:tcW w:w="2360" w:type="dxa"/>
            <w:vAlign w:val="bottom"/>
            <w:tcBorders>
              <w:right w:val="single" w:sz="8" w:color="auto"/>
            </w:tcBorders>
          </w:tcPr>
          <w:p>
            <w:pPr>
              <w:spacing w:after="0"/>
              <w:rPr>
                <w:sz w:val="4"/>
                <w:szCs w:val="4"/>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Subscriber multiples</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669.9x</w:t>
            </w:r>
          </w:p>
        </w:tc>
        <w:tc>
          <w:tcPr>
            <w:tcW w:w="1300" w:type="dxa"/>
            <w:vAlign w:val="bottom"/>
            <w:vMerge w:val="restart"/>
          </w:tcPr>
          <w:p>
            <w:pPr>
              <w:ind w:left="20"/>
              <w:spacing w:after="0"/>
              <w:rPr>
                <w:sz w:val="20"/>
                <w:szCs w:val="20"/>
                <w:color w:val="auto"/>
              </w:rPr>
            </w:pPr>
            <w:r>
              <w:rPr>
                <w:rFonts w:ascii="Arial" w:cs="Arial" w:eastAsia="Arial" w:hAnsi="Arial"/>
                <w:sz w:val="14"/>
                <w:szCs w:val="14"/>
                <w:color w:val="auto"/>
              </w:rPr>
              <w:t>(669.6x)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tcPr>
          <w:p>
            <w:pPr>
              <w:spacing w:after="0"/>
              <w:rPr>
                <w:sz w:val="13"/>
                <w:szCs w:val="13"/>
                <w:color w:val="auto"/>
              </w:rPr>
            </w:pPr>
          </w:p>
        </w:tc>
        <w:tc>
          <w:tcPr>
            <w:tcW w:w="2840" w:type="dxa"/>
            <w:vAlign w:val="bottom"/>
            <w:tcBorders>
              <w:bottom w:val="single" w:sz="8" w:color="auto"/>
              <w:right w:val="single" w:sz="8" w:color="auto"/>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Discount for lack of control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$4,309,778</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PWERM</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0"/>
              </w:rPr>
              <w:t>Debt investments</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$7,821,948</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Liquidation Value</w:t>
            </w: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w w:val="87"/>
              </w:rPr>
              <w:t>Warrants</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$150,904</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Option pricing model</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Term to expiration (Years)</w:t>
            </w:r>
          </w:p>
        </w:tc>
        <w:tc>
          <w:tcPr>
            <w:tcW w:w="2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1.2 – 3.0 (2.1)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900" w:type="dxa"/>
            <w:vAlign w:val="bottom"/>
            <w:tcBorders>
              <w:right w:val="single" w:sz="8" w:color="auto"/>
            </w:tcBorders>
            <w:gridSpan w:val="2"/>
            <w:vMerge w:val="continue"/>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Volatility</w:t>
            </w:r>
          </w:p>
        </w:tc>
        <w:tc>
          <w:tcPr>
            <w:tcW w:w="24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10.4% – 49.3% (43.2%)</w:t>
            </w:r>
          </w:p>
        </w:tc>
        <w:tc>
          <w:tcPr>
            <w:tcW w:w="0" w:type="dxa"/>
            <w:vAlign w:val="bottom"/>
          </w:tcPr>
          <w:p>
            <w:pPr>
              <w:spacing w:after="0"/>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40" w:type="dxa"/>
            <w:vAlign w:val="bottom"/>
            <w:tcBorders>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840" w:type="dxa"/>
            <w:vAlign w:val="bottom"/>
            <w:tcBorders>
              <w:bottom w:val="single" w:sz="8" w:color="auto"/>
              <w:right w:val="single" w:sz="8" w:color="auto"/>
            </w:tcBorders>
            <w:vMerge w:val="continue"/>
          </w:tcPr>
          <w:p>
            <w:pPr>
              <w:spacing w:after="0"/>
              <w:rPr>
                <w:sz w:val="7"/>
                <w:szCs w:val="7"/>
                <w:color w:val="auto"/>
              </w:rPr>
            </w:pPr>
          </w:p>
        </w:tc>
        <w:tc>
          <w:tcPr>
            <w:tcW w:w="248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5500" w:right="2720" w:hanging="5474"/>
        <w:spacing w:after="0" w:line="909" w:lineRule="auto"/>
        <w:tabs>
          <w:tab w:leader="none" w:pos="2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Precedent transactions include recent rounds of financing, recent purchases made by the Company, and tender offers.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-274955</wp:posOffset>
            </wp:positionV>
            <wp:extent cx="7289800"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60" w:top="787" w:right="159" w:bottom="1440" w:gutter="0" w:footer="0" w:header="0"/>
        </w:sectPr>
      </w:pPr>
    </w:p>
    <w:bookmarkStart w:id="35" w:name="page36"/>
    <w:bookmarkEnd w:id="35"/>
    <w:p>
      <w:pPr>
        <w:ind w:left="14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values of Level 3 assets and liabilities changed during the nine months ended September 30, 2017,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22225</wp:posOffset>
            </wp:positionV>
            <wp:extent cx="19418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41830"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22225</wp:posOffset>
            </wp:positionV>
            <wp:extent cx="33978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97885" cy="8255"/>
                    </a:xfrm>
                    <a:prstGeom prst="rect">
                      <a:avLst/>
                    </a:prstGeom>
                    <a:noFill/>
                  </pic:spPr>
                </pic:pic>
              </a:graphicData>
            </a:graphic>
          </wp:anchor>
        </w:drawing>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4"/>
                <w:szCs w:val="14"/>
                <w:b w:val="1"/>
                <w:bCs w:val="1"/>
                <w:color w:val="auto"/>
              </w:rPr>
              <w:t>Nine Months Ended September 30, 2017</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80"/>
              <w:spacing w:after="0" w:line="118" w:lineRule="exact"/>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200"/>
              <w:spacing w:after="0" w:line="118"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320"/>
              <w:spacing w:after="0" w:line="118" w:lineRule="exact"/>
              <w:rPr>
                <w:sz w:val="20"/>
                <w:szCs w:val="20"/>
                <w:color w:val="auto"/>
              </w:rPr>
            </w:pPr>
            <w:r>
              <w:rPr>
                <w:rFonts w:ascii="Arial" w:cs="Arial" w:eastAsia="Arial" w:hAnsi="Arial"/>
                <w:sz w:val="13"/>
                <w:szCs w:val="13"/>
                <w:b w:val="1"/>
                <w:bCs w:val="1"/>
                <w:color w:val="auto"/>
              </w:rPr>
              <w:t>Debt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Warrants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Fair Value as of December 31, 2016</w:t>
            </w:r>
          </w:p>
        </w:tc>
        <w:tc>
          <w:tcPr>
            <w:tcW w:w="1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6"/>
              </w:rPr>
              <w:t>83,074,410</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w w:val="97"/>
              </w:rPr>
              <w:t>162,238,879</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7,821,948</w:t>
            </w:r>
          </w:p>
        </w:tc>
        <w:tc>
          <w:tcPr>
            <w:tcW w:w="2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150,904</w:t>
            </w:r>
          </w:p>
        </w:tc>
        <w:tc>
          <w:tcPr>
            <w:tcW w:w="2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w w:val="92"/>
              </w:rPr>
              <w:t>253,286,141</w:t>
            </w:r>
          </w:p>
        </w:tc>
        <w:tc>
          <w:tcPr>
            <w:tcW w:w="0" w:type="dxa"/>
            <w:vAlign w:val="bottom"/>
          </w:tcPr>
          <w:p>
            <w:pPr>
              <w:spacing w:after="0"/>
              <w:rPr>
                <w:sz w:val="1"/>
                <w:szCs w:val="1"/>
                <w:color w:val="auto"/>
              </w:rPr>
            </w:pPr>
          </w:p>
        </w:tc>
      </w:tr>
      <w:tr>
        <w:trPr>
          <w:trHeight w:val="148"/>
        </w:trPr>
        <w:tc>
          <w:tcPr>
            <w:tcW w:w="572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Transfers out of Level 3</w:t>
            </w:r>
          </w:p>
        </w:tc>
        <w:tc>
          <w:tcPr>
            <w:tcW w:w="120" w:type="dxa"/>
            <w:vAlign w:val="bottom"/>
          </w:tcPr>
          <w:p>
            <w:pPr>
              <w:spacing w:after="0"/>
              <w:rPr>
                <w:sz w:val="12"/>
                <w:szCs w:val="12"/>
                <w:color w:val="auto"/>
              </w:rPr>
            </w:pPr>
          </w:p>
        </w:tc>
        <w:tc>
          <w:tcPr>
            <w:tcW w:w="82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(2,184,565)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(2,184,565)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(4,369,130)</w:t>
            </w:r>
          </w:p>
        </w:tc>
        <w:tc>
          <w:tcPr>
            <w:tcW w:w="0" w:type="dxa"/>
            <w:vAlign w:val="bottom"/>
          </w:tcPr>
          <w:p>
            <w:pPr>
              <w:spacing w:after="0"/>
              <w:rPr>
                <w:sz w:val="1"/>
                <w:szCs w:val="1"/>
                <w:color w:val="auto"/>
              </w:rPr>
            </w:pPr>
          </w:p>
        </w:tc>
      </w:tr>
      <w:tr>
        <w:trPr>
          <w:trHeight w:val="148"/>
        </w:trPr>
        <w:tc>
          <w:tcPr>
            <w:tcW w:w="572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Purchases, capitalized fees and interest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97,023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70,379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167,402</w:t>
            </w:r>
          </w:p>
        </w:tc>
        <w:tc>
          <w:tcPr>
            <w:tcW w:w="0" w:type="dxa"/>
            <w:vAlign w:val="bottom"/>
          </w:tcPr>
          <w:p>
            <w:pPr>
              <w:spacing w:after="0"/>
              <w:rPr>
                <w:sz w:val="1"/>
                <w:szCs w:val="1"/>
                <w:color w:val="auto"/>
              </w:rPr>
            </w:pPr>
          </w:p>
        </w:tc>
      </w:tr>
      <w:tr>
        <w:trPr>
          <w:trHeight w:val="148"/>
        </w:trPr>
        <w:tc>
          <w:tcPr>
            <w:tcW w:w="572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Sales of investments</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(70,379)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(70,379)</w:t>
            </w:r>
          </w:p>
        </w:tc>
        <w:tc>
          <w:tcPr>
            <w:tcW w:w="0" w:type="dxa"/>
            <w:vAlign w:val="bottom"/>
          </w:tcPr>
          <w:p>
            <w:pPr>
              <w:spacing w:after="0"/>
              <w:rPr>
                <w:sz w:val="1"/>
                <w:szCs w:val="1"/>
                <w:color w:val="auto"/>
              </w:rPr>
            </w:pPr>
          </w:p>
        </w:tc>
      </w:tr>
      <w:tr>
        <w:trPr>
          <w:trHeight w:val="148"/>
        </w:trPr>
        <w:tc>
          <w:tcPr>
            <w:tcW w:w="572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Realized losses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(8,201,729)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(16,858,906)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(305,280)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w w:val="98"/>
              </w:rPr>
              <w:t>(25,365,915)</w:t>
            </w:r>
          </w:p>
        </w:tc>
        <w:tc>
          <w:tcPr>
            <w:tcW w:w="0" w:type="dxa"/>
            <w:vAlign w:val="bottom"/>
          </w:tcPr>
          <w:p>
            <w:pPr>
              <w:spacing w:after="0"/>
              <w:rPr>
                <w:sz w:val="1"/>
                <w:szCs w:val="1"/>
                <w:color w:val="auto"/>
              </w:rPr>
            </w:pPr>
          </w:p>
        </w:tc>
      </w:tr>
      <w:tr>
        <w:trPr>
          <w:trHeight w:val="188"/>
        </w:trPr>
        <w:tc>
          <w:tcPr>
            <w:tcW w:w="5720" w:type="dxa"/>
            <w:vAlign w:val="bottom"/>
            <w:gridSpan w:val="3"/>
          </w:tcPr>
          <w:p>
            <w:pPr>
              <w:ind w:left="20"/>
              <w:spacing w:after="0" w:line="188" w:lineRule="exact"/>
              <w:rPr>
                <w:sz w:val="20"/>
                <w:szCs w:val="20"/>
                <w:color w:val="auto"/>
              </w:rPr>
            </w:pPr>
            <w:r>
              <w:rPr>
                <w:rFonts w:ascii="Arial" w:cs="Arial" w:eastAsia="Arial" w:hAnsi="Arial"/>
                <w:sz w:val="13"/>
                <w:szCs w:val="13"/>
                <w:color w:val="auto"/>
              </w:rPr>
              <w:t>Exercises, conversions and assignments</w:t>
            </w:r>
            <w:r>
              <w:rPr>
                <w:rFonts w:ascii="Arial" w:cs="Arial" w:eastAsia="Arial" w:hAnsi="Arial"/>
                <w:sz w:val="21"/>
                <w:szCs w:val="21"/>
                <w:color w:val="auto"/>
                <w:vertAlign w:val="superscript"/>
              </w:rPr>
              <w:t>(1)</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2,506,119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(2,506,119)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20" w:type="dxa"/>
            <w:vAlign w:val="bottom"/>
            <w:gridSpan w:val="3"/>
            <w:shd w:val="clear" w:color="auto" w:fill="CCEEFF"/>
          </w:tcPr>
          <w:p>
            <w:pPr>
              <w:ind w:left="20"/>
              <w:spacing w:after="0" w:line="147" w:lineRule="exact"/>
              <w:rPr>
                <w:sz w:val="20"/>
                <w:szCs w:val="20"/>
                <w:color w:val="auto"/>
              </w:rPr>
            </w:pPr>
            <w:r>
              <w:rPr>
                <w:rFonts w:ascii="Arial" w:cs="Arial" w:eastAsia="Arial" w:hAnsi="Arial"/>
                <w:sz w:val="14"/>
                <w:szCs w:val="14"/>
                <w:color w:val="auto"/>
              </w:rPr>
              <w:t>Amortization of fixed income security premiums and discounts</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115,162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115,162</w:t>
            </w:r>
          </w:p>
        </w:tc>
        <w:tc>
          <w:tcPr>
            <w:tcW w:w="0" w:type="dxa"/>
            <w:vAlign w:val="bottom"/>
          </w:tcPr>
          <w:p>
            <w:pPr>
              <w:spacing w:after="0"/>
              <w:rPr>
                <w:sz w:val="1"/>
                <w:szCs w:val="1"/>
                <w:color w:val="auto"/>
              </w:rPr>
            </w:pPr>
          </w:p>
        </w:tc>
      </w:tr>
      <w:tr>
        <w:trPr>
          <w:trHeight w:val="148"/>
        </w:trPr>
        <w:tc>
          <w:tcPr>
            <w:tcW w:w="572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Net change in unrealized appreciation/(depreciation) included in earnings</w:t>
            </w:r>
          </w:p>
        </w:tc>
        <w:tc>
          <w:tcPr>
            <w:tcW w:w="12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w w:val="96"/>
              </w:rPr>
              <w:t>18,090,633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36,702,516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(638,088)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250,011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54,405,072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20" w:type="dxa"/>
            <w:vAlign w:val="bottom"/>
            <w:gridSpan w:val="3"/>
            <w:shd w:val="clear" w:color="auto" w:fill="CCEEFF"/>
          </w:tcPr>
          <w:p>
            <w:pPr>
              <w:ind w:left="20"/>
              <w:spacing w:after="0" w:line="141" w:lineRule="exact"/>
              <w:rPr>
                <w:sz w:val="20"/>
                <w:szCs w:val="20"/>
                <w:color w:val="auto"/>
              </w:rPr>
            </w:pPr>
            <w:r>
              <w:rPr>
                <w:rFonts w:ascii="Arial" w:cs="Arial" w:eastAsia="Arial" w:hAnsi="Arial"/>
                <w:sz w:val="14"/>
                <w:szCs w:val="14"/>
                <w:color w:val="auto"/>
              </w:rPr>
              <w:t>Fair Value as of September 30, 2017</w:t>
            </w: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93,284,868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w w:val="97"/>
              </w:rPr>
              <w:t>177,391,805</w:t>
            </w:r>
          </w:p>
        </w:tc>
        <w:tc>
          <w:tcPr>
            <w:tcW w:w="2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7,020,386</w:t>
            </w:r>
          </w:p>
        </w:tc>
        <w:tc>
          <w:tcPr>
            <w:tcW w:w="2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471,294</w:t>
            </w:r>
          </w:p>
        </w:tc>
        <w:tc>
          <w:tcPr>
            <w:tcW w:w="2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w w:val="92"/>
              </w:rPr>
              <w:t>278,168,353</w:t>
            </w:r>
          </w:p>
        </w:tc>
        <w:tc>
          <w:tcPr>
            <w:tcW w:w="0" w:type="dxa"/>
            <w:vAlign w:val="bottom"/>
          </w:tcPr>
          <w:p>
            <w:pPr>
              <w:spacing w:after="0"/>
              <w:rPr>
                <w:sz w:val="1"/>
                <w:szCs w:val="1"/>
                <w:color w:val="auto"/>
              </w:rPr>
            </w:pPr>
          </w:p>
        </w:tc>
      </w:tr>
      <w:tr>
        <w:trPr>
          <w:trHeight w:val="122"/>
        </w:trPr>
        <w:tc>
          <w:tcPr>
            <w:tcW w:w="5720" w:type="dxa"/>
            <w:vAlign w:val="bottom"/>
            <w:tcBorders>
              <w:top w:val="single" w:sz="8" w:color="CCEEFF"/>
            </w:tcBorders>
            <w:gridSpan w:val="3"/>
          </w:tcPr>
          <w:p>
            <w:pPr>
              <w:ind w:left="20"/>
              <w:spacing w:after="0" w:line="123" w:lineRule="exact"/>
              <w:rPr>
                <w:sz w:val="20"/>
                <w:szCs w:val="20"/>
                <w:color w:val="auto"/>
              </w:rPr>
            </w:pPr>
            <w:r>
              <w:rPr>
                <w:rFonts w:ascii="Arial" w:cs="Arial" w:eastAsia="Arial" w:hAnsi="Arial"/>
                <w:sz w:val="14"/>
                <w:szCs w:val="14"/>
                <w:color w:val="auto"/>
              </w:rPr>
              <w:t>Net change in unrealized appreciation/(depreciation) of Level 3 investments still held as of</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00" w:type="dxa"/>
            <w:vAlign w:val="bottom"/>
            <w:gridSpan w:val="2"/>
          </w:tcPr>
          <w:p>
            <w:pPr>
              <w:ind w:left="180"/>
              <w:spacing w:after="0"/>
              <w:rPr>
                <w:sz w:val="20"/>
                <w:szCs w:val="20"/>
                <w:color w:val="auto"/>
              </w:rPr>
            </w:pPr>
            <w:r>
              <w:rPr>
                <w:rFonts w:ascii="Arial" w:cs="Arial" w:eastAsia="Arial" w:hAnsi="Arial"/>
                <w:sz w:val="14"/>
                <w:szCs w:val="14"/>
                <w:color w:val="auto"/>
              </w:rPr>
              <w:t>September 30, 2017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9,888,904</w:t>
            </w:r>
          </w:p>
        </w:tc>
        <w:tc>
          <w:tcPr>
            <w:tcW w:w="12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19,838,262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(943,365)</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250,011</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29,033,812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-441960</wp:posOffset>
            </wp:positionV>
            <wp:extent cx="7026275" cy="2552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26275" cy="255270"/>
                    </a:xfrm>
                    <a:prstGeom prst="rect">
                      <a:avLst/>
                    </a:prstGeom>
                    <a:noFill/>
                  </pic:spPr>
                </pic:pic>
              </a:graphicData>
            </a:graphic>
          </wp:anchor>
        </w:drawing>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 During the nine months ended September 30, 2017,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53975</wp:posOffset>
            </wp:positionV>
            <wp:extent cx="65493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549390"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Conversion from</w:t>
            </w:r>
          </w:p>
        </w:tc>
        <w:tc>
          <w:tcPr>
            <w:tcW w:w="16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Conversion to</w:t>
            </w:r>
          </w:p>
        </w:tc>
        <w:tc>
          <w:tcPr>
            <w:tcW w:w="240" w:type="dxa"/>
            <w:vAlign w:val="bottom"/>
          </w:tcPr>
          <w:p>
            <w:pPr>
              <w:spacing w:after="0"/>
              <w:rPr>
                <w:sz w:val="14"/>
                <w:szCs w:val="14"/>
                <w:color w:val="auto"/>
              </w:rPr>
            </w:pPr>
          </w:p>
        </w:tc>
      </w:tr>
      <w:tr>
        <w:trPr>
          <w:trHeight w:val="221"/>
        </w:trPr>
        <w:tc>
          <w:tcPr>
            <w:tcW w:w="1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A Place for Rover Inc. (f/k/a DogVacay, Inc.)</w:t>
            </w:r>
          </w:p>
        </w:tc>
        <w:tc>
          <w:tcPr>
            <w:tcW w:w="16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87"/>
              </w:rPr>
              <w:t>Preferred shares, Series B-1</w:t>
            </w:r>
          </w:p>
        </w:tc>
        <w:tc>
          <w:tcPr>
            <w:tcW w:w="16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Common shares</w:t>
            </w:r>
          </w:p>
        </w:tc>
        <w:tc>
          <w:tcPr>
            <w:tcW w:w="240" w:type="dxa"/>
            <w:vAlign w:val="bottom"/>
          </w:tcPr>
          <w:p>
            <w:pPr>
              <w:spacing w:after="0"/>
              <w:rPr>
                <w:sz w:val="19"/>
                <w:szCs w:val="19"/>
                <w:color w:val="auto"/>
              </w:rPr>
            </w:pPr>
          </w:p>
        </w:tc>
      </w:tr>
      <w:tr>
        <w:trPr>
          <w:trHeight w:val="750"/>
        </w:trPr>
        <w:tc>
          <w:tcPr>
            <w:tcW w:w="1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620" w:type="dxa"/>
            <w:vAlign w:val="bottom"/>
            <w:gridSpan w:val="2"/>
          </w:tcPr>
          <w:p>
            <w:pPr>
              <w:jc w:val="right"/>
              <w:ind w:right="30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5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4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4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36" w:name="page37"/>
    <w:bookmarkEnd w:id="3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2016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9246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24685" cy="825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39370</wp:posOffset>
            </wp:positionV>
            <wp:extent cx="33553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5534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4"/>
                <w:szCs w:val="14"/>
                <w:b w:val="1"/>
                <w:bCs w:val="1"/>
                <w:color w:val="auto"/>
              </w:rPr>
              <w:t>Year Ended December 31, 2016</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00"/>
              <w:spacing w:after="0" w:line="118" w:lineRule="exact"/>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0"/>
                <w:szCs w:val="10"/>
                <w:color w:val="auto"/>
              </w:rPr>
            </w:pPr>
          </w:p>
        </w:tc>
        <w:tc>
          <w:tcPr>
            <w:tcW w:w="980" w:type="dxa"/>
            <w:vAlign w:val="bottom"/>
            <w:gridSpan w:val="2"/>
          </w:tcPr>
          <w:p>
            <w:pPr>
              <w:jc w:val="right"/>
              <w:ind w:right="180"/>
              <w:spacing w:after="0" w:line="118"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900" w:type="dxa"/>
            <w:vAlign w:val="bottom"/>
            <w:gridSpan w:val="2"/>
          </w:tcPr>
          <w:p>
            <w:pPr>
              <w:jc w:val="right"/>
              <w:ind w:right="300"/>
              <w:spacing w:after="0" w:line="118" w:lineRule="exact"/>
              <w:rPr>
                <w:sz w:val="20"/>
                <w:szCs w:val="20"/>
                <w:color w:val="auto"/>
              </w:rPr>
            </w:pPr>
            <w:r>
              <w:rPr>
                <w:rFonts w:ascii="Arial" w:cs="Arial" w:eastAsia="Arial" w:hAnsi="Arial"/>
                <w:sz w:val="13"/>
                <w:szCs w:val="13"/>
                <w:b w:val="1"/>
                <w:bCs w:val="1"/>
                <w:color w:val="auto"/>
              </w:rPr>
              <w:t>Debt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8"/>
              </w:rPr>
              <w:t>Warrants</w:t>
            </w:r>
          </w:p>
        </w:tc>
        <w:tc>
          <w:tcPr>
            <w:tcW w:w="160" w:type="dxa"/>
            <w:vAlign w:val="bottom"/>
          </w:tcPr>
          <w:p>
            <w:pPr>
              <w:spacing w:after="0"/>
              <w:rPr>
                <w:sz w:val="10"/>
                <w:szCs w:val="10"/>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57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7"/>
              </w:rPr>
              <w:t>Investments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7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Fair value as of 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102,319,140</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$216,291,092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$ 4,175,859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469,306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$323,255,397</w:t>
            </w:r>
          </w:p>
        </w:tc>
        <w:tc>
          <w:tcPr>
            <w:tcW w:w="0" w:type="dxa"/>
            <w:vAlign w:val="bottom"/>
          </w:tcPr>
          <w:p>
            <w:pPr>
              <w:spacing w:after="0"/>
              <w:rPr>
                <w:sz w:val="1"/>
                <w:szCs w:val="1"/>
                <w:color w:val="auto"/>
              </w:rPr>
            </w:pPr>
          </w:p>
        </w:tc>
      </w:tr>
      <w:tr>
        <w:trPr>
          <w:trHeight w:val="201"/>
        </w:trPr>
        <w:tc>
          <w:tcPr>
            <w:tcW w:w="5740" w:type="dxa"/>
            <w:vAlign w:val="bottom"/>
            <w:gridSpan w:val="3"/>
          </w:tcPr>
          <w:p>
            <w:pPr>
              <w:ind w:left="20"/>
              <w:spacing w:after="0"/>
              <w:rPr>
                <w:sz w:val="20"/>
                <w:szCs w:val="20"/>
                <w:color w:val="auto"/>
              </w:rPr>
            </w:pPr>
            <w:r>
              <w:rPr>
                <w:rFonts w:ascii="Arial" w:cs="Arial" w:eastAsia="Arial" w:hAnsi="Arial"/>
                <w:sz w:val="16"/>
                <w:szCs w:val="16"/>
                <w:color w:val="auto"/>
              </w:rPr>
              <w:t>Transfers into Level 3</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143,733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143,733</w:t>
            </w:r>
          </w:p>
        </w:tc>
        <w:tc>
          <w:tcPr>
            <w:tcW w:w="0" w:type="dxa"/>
            <w:vAlign w:val="bottom"/>
          </w:tcPr>
          <w:p>
            <w:pPr>
              <w:spacing w:after="0"/>
              <w:rPr>
                <w:sz w:val="1"/>
                <w:szCs w:val="1"/>
                <w:color w:val="auto"/>
              </w:rPr>
            </w:pPr>
          </w:p>
        </w:tc>
      </w:tr>
      <w:tr>
        <w:trPr>
          <w:trHeight w:val="201"/>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9,016,702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5,201,294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103,655</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14,324,731</w:t>
            </w:r>
          </w:p>
        </w:tc>
        <w:tc>
          <w:tcPr>
            <w:tcW w:w="0" w:type="dxa"/>
            <w:vAlign w:val="bottom"/>
          </w:tcPr>
          <w:p>
            <w:pPr>
              <w:spacing w:after="0"/>
              <w:rPr>
                <w:sz w:val="1"/>
                <w:szCs w:val="1"/>
                <w:color w:val="auto"/>
              </w:rPr>
            </w:pPr>
          </w:p>
        </w:tc>
      </w:tr>
      <w:tr>
        <w:trPr>
          <w:trHeight w:val="201"/>
        </w:trPr>
        <w:tc>
          <w:tcPr>
            <w:tcW w:w="5740" w:type="dxa"/>
            <w:vAlign w:val="bottom"/>
            <w:gridSpan w:val="3"/>
          </w:tcPr>
          <w:p>
            <w:pPr>
              <w:ind w:left="20"/>
              <w:spacing w:after="0"/>
              <w:rPr>
                <w:sz w:val="20"/>
                <w:szCs w:val="20"/>
                <w:color w:val="auto"/>
              </w:rPr>
            </w:pPr>
            <w:r>
              <w:rPr>
                <w:rFonts w:ascii="Arial" w:cs="Arial" w:eastAsia="Arial" w:hAnsi="Arial"/>
                <w:sz w:val="16"/>
                <w:szCs w:val="16"/>
                <w:color w:val="auto"/>
              </w:rPr>
              <w:t>Sales of investments</w:t>
            </w: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(3,509,238)</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(7,651,891)</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(574,380)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(11,735,509)</w:t>
            </w:r>
          </w:p>
        </w:tc>
        <w:tc>
          <w:tcPr>
            <w:tcW w:w="0" w:type="dxa"/>
            <w:vAlign w:val="bottom"/>
          </w:tcPr>
          <w:p>
            <w:pPr>
              <w:spacing w:after="0"/>
              <w:rPr>
                <w:sz w:val="1"/>
                <w:szCs w:val="1"/>
                <w:color w:val="auto"/>
              </w:rPr>
            </w:pPr>
          </w:p>
        </w:tc>
      </w:tr>
      <w:tr>
        <w:trPr>
          <w:trHeight w:val="201"/>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Realized gains (losses)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(7,127,146)</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4,430,221</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9"/>
              </w:rPr>
              <w:t>(246,714)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(2,943,639)</w:t>
            </w:r>
          </w:p>
        </w:tc>
        <w:tc>
          <w:tcPr>
            <w:tcW w:w="0" w:type="dxa"/>
            <w:vAlign w:val="bottom"/>
          </w:tcPr>
          <w:p>
            <w:pPr>
              <w:spacing w:after="0"/>
              <w:rPr>
                <w:sz w:val="1"/>
                <w:szCs w:val="1"/>
                <w:color w:val="auto"/>
              </w:rPr>
            </w:pPr>
          </w:p>
        </w:tc>
      </w:tr>
      <w:tr>
        <w:trPr>
          <w:trHeight w:val="241"/>
        </w:trPr>
        <w:tc>
          <w:tcPr>
            <w:tcW w:w="5740" w:type="dxa"/>
            <w:vAlign w:val="bottom"/>
            <w:gridSpan w:val="3"/>
          </w:tcPr>
          <w:p>
            <w:pPr>
              <w:ind w:left="20"/>
              <w:spacing w:after="0" w:line="241" w:lineRule="exact"/>
              <w:rPr>
                <w:sz w:val="20"/>
                <w:szCs w:val="20"/>
                <w:color w:val="auto"/>
              </w:rPr>
            </w:pPr>
            <w:r>
              <w:rPr>
                <w:rFonts w:ascii="Arial" w:cs="Arial" w:eastAsia="Arial" w:hAnsi="Arial"/>
                <w:sz w:val="16"/>
                <w:szCs w:val="16"/>
                <w:color w:val="auto"/>
              </w:rPr>
              <w:t>Exercises, conversions and assignments</w:t>
            </w:r>
            <w:r>
              <w:rPr>
                <w:rFonts w:ascii="Arial" w:cs="Arial" w:eastAsia="Arial" w:hAnsi="Arial"/>
                <w:sz w:val="26"/>
                <w:szCs w:val="26"/>
                <w:color w:val="auto"/>
                <w:vertAlign w:val="superscript"/>
              </w:rPr>
              <w:t>(1)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23,588,443</w:t>
            </w:r>
          </w:p>
        </w:tc>
        <w:tc>
          <w:tcPr>
            <w:tcW w:w="8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(23,588,443)</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Amortization of fixed income security premiums and discounts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44,714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44,714</w:t>
            </w:r>
          </w:p>
        </w:tc>
        <w:tc>
          <w:tcPr>
            <w:tcW w:w="0" w:type="dxa"/>
            <w:vAlign w:val="bottom"/>
          </w:tcPr>
          <w:p>
            <w:pPr>
              <w:spacing w:after="0"/>
              <w:rPr>
                <w:sz w:val="1"/>
                <w:szCs w:val="1"/>
                <w:color w:val="auto"/>
              </w:rPr>
            </w:pPr>
          </w:p>
        </w:tc>
      </w:tr>
      <w:tr>
        <w:trPr>
          <w:trHeight w:val="201"/>
        </w:trPr>
        <w:tc>
          <w:tcPr>
            <w:tcW w:w="5740" w:type="dxa"/>
            <w:vAlign w:val="bottom"/>
            <w:gridSpan w:val="3"/>
          </w:tcPr>
          <w:p>
            <w:pPr>
              <w:ind w:left="20"/>
              <w:spacing w:after="0"/>
              <w:rPr>
                <w:sz w:val="20"/>
                <w:szCs w:val="20"/>
                <w:color w:val="auto"/>
              </w:rPr>
            </w:pPr>
            <w:r>
              <w:rPr>
                <w:rFonts w:ascii="Arial" w:cs="Arial" w:eastAsia="Arial" w:hAnsi="Arial"/>
                <w:sz w:val="16"/>
                <w:szCs w:val="16"/>
                <w:color w:val="auto"/>
              </w:rPr>
              <w:t>Net change in unrealized depreciation included in earnings</w:t>
            </w: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(32,343,602)</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(36,258,802)</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(1,025,539)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(175,343)</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(69,803,286)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Fair Value as of December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83,074,410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162,238,879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$ 7,821,948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150,904</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253,286,141</w:t>
            </w:r>
          </w:p>
        </w:tc>
        <w:tc>
          <w:tcPr>
            <w:tcW w:w="0" w:type="dxa"/>
            <w:vAlign w:val="bottom"/>
          </w:tcPr>
          <w:p>
            <w:pPr>
              <w:spacing w:after="0"/>
              <w:rPr>
                <w:sz w:val="1"/>
                <w:szCs w:val="1"/>
                <w:color w:val="auto"/>
              </w:rPr>
            </w:pPr>
          </w:p>
        </w:tc>
      </w:tr>
      <w:tr>
        <w:trPr>
          <w:trHeight w:val="185"/>
        </w:trPr>
        <w:tc>
          <w:tcPr>
            <w:tcW w:w="574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color w:val="auto"/>
              </w:rPr>
              <w:t>Net change in unrealized depreciation of Level 3 investments still held as of</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gridSpan w:val="2"/>
          </w:tcPr>
          <w:p>
            <w:pPr>
              <w:ind w:left="180"/>
              <w:spacing w:after="0"/>
              <w:rPr>
                <w:sz w:val="20"/>
                <w:szCs w:val="20"/>
                <w:color w:val="auto"/>
              </w:rPr>
            </w:pPr>
            <w:r>
              <w:rPr>
                <w:rFonts w:ascii="Arial" w:cs="Arial" w:eastAsia="Arial" w:hAnsi="Arial"/>
                <w:sz w:val="16"/>
                <w:szCs w:val="16"/>
                <w:color w:val="auto"/>
              </w:rPr>
              <w:t>December 31, 2016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(39,307,692)</w:t>
            </w: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 (40,126,793)</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(1,025,539)</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(195,637)</w:t>
            </w:r>
          </w:p>
        </w:tc>
        <w:tc>
          <w:tcPr>
            <w:tcW w:w="1140" w:type="dxa"/>
            <w:vAlign w:val="bottom"/>
            <w:gridSpan w:val="3"/>
          </w:tcPr>
          <w:p>
            <w:pPr>
              <w:jc w:val="right"/>
              <w:ind w:right="40"/>
              <w:spacing w:after="0"/>
              <w:rPr>
                <w:sz w:val="20"/>
                <w:szCs w:val="20"/>
                <w:color w:val="auto"/>
              </w:rPr>
            </w:pPr>
            <w:r>
              <w:rPr>
                <w:rFonts w:ascii="Arial" w:cs="Arial" w:eastAsia="Arial" w:hAnsi="Arial"/>
                <w:sz w:val="16"/>
                <w:szCs w:val="16"/>
                <w:color w:val="auto"/>
              </w:rPr>
              <w:t>$ (80,655,661)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026275" cy="323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26275" cy="323850"/>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During year ended December 31, 2016, the Company’s portfolio investments had the following corporate actions which are reflected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40461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04610" cy="825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4"/>
                <w:szCs w:val="14"/>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Transfer from</w:t>
            </w:r>
          </w:p>
        </w:tc>
        <w:tc>
          <w:tcPr>
            <w:tcW w:w="16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Transfer to</w:t>
            </w:r>
          </w:p>
        </w:tc>
      </w:tr>
      <w:tr>
        <w:trPr>
          <w:trHeight w:val="185"/>
        </w:trPr>
        <w:tc>
          <w:tcPr>
            <w:tcW w:w="4480" w:type="dxa"/>
            <w:vAlign w:val="bottom"/>
          </w:tcPr>
          <w:p>
            <w:pPr>
              <w:ind w:left="20"/>
              <w:spacing w:after="0"/>
              <w:rPr>
                <w:sz w:val="20"/>
                <w:szCs w:val="20"/>
                <w:color w:val="auto"/>
              </w:rPr>
            </w:pPr>
            <w:r>
              <w:rPr>
                <w:rFonts w:ascii="Arial" w:cs="Arial" w:eastAsia="Arial" w:hAnsi="Arial"/>
                <w:sz w:val="16"/>
                <w:szCs w:val="16"/>
                <w:color w:val="auto"/>
              </w:rPr>
              <w:t>4C Insights (f/k/a The Echo Systems Corp.)</w:t>
            </w:r>
          </w:p>
        </w:tc>
        <w:tc>
          <w:tcPr>
            <w:tcW w:w="16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Arial" w:cs="Arial" w:eastAsia="Arial" w:hAnsi="Arial"/>
                <w:sz w:val="16"/>
                <w:szCs w:val="16"/>
                <w:color w:val="auto"/>
                <w:w w:val="89"/>
              </w:rPr>
              <w:t>Preferred shares, Series A</w:t>
            </w:r>
          </w:p>
        </w:tc>
        <w:tc>
          <w:tcPr>
            <w:tcW w:w="16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88"/>
              </w:rPr>
              <w:t>Common Shares</w:t>
            </w:r>
          </w:p>
        </w:tc>
      </w:tr>
      <w:tr>
        <w:trPr>
          <w:trHeight w:val="201"/>
        </w:trPr>
        <w:tc>
          <w:tcPr>
            <w:tcW w:w="4480" w:type="dxa"/>
            <w:vAlign w:val="bottom"/>
          </w:tcPr>
          <w:p>
            <w:pPr>
              <w:ind w:left="20"/>
              <w:spacing w:after="0"/>
              <w:rPr>
                <w:sz w:val="20"/>
                <w:szCs w:val="20"/>
                <w:color w:val="auto"/>
              </w:rPr>
            </w:pPr>
            <w:r>
              <w:rPr>
                <w:rFonts w:ascii="Arial" w:cs="Arial" w:eastAsia="Arial" w:hAnsi="Arial"/>
                <w:sz w:val="16"/>
                <w:szCs w:val="16"/>
                <w:color w:val="auto"/>
              </w:rPr>
              <w:t>Handle Financial, Inc.</w:t>
            </w:r>
          </w:p>
        </w:tc>
        <w:tc>
          <w:tcPr>
            <w:tcW w:w="16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6"/>
                <w:szCs w:val="16"/>
                <w:color w:val="auto"/>
                <w:w w:val="86"/>
              </w:rPr>
              <w:t>Preferred shares, Series E</w:t>
            </w:r>
          </w:p>
        </w:tc>
        <w:tc>
          <w:tcPr>
            <w:tcW w:w="16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88"/>
              </w:rPr>
              <w:t>Common Shares</w:t>
            </w:r>
          </w:p>
        </w:tc>
      </w:tr>
      <w:tr>
        <w:trPr>
          <w:trHeight w:val="201"/>
        </w:trPr>
        <w:tc>
          <w:tcPr>
            <w:tcW w:w="4480" w:type="dxa"/>
            <w:vAlign w:val="bottom"/>
          </w:tcPr>
          <w:p>
            <w:pPr>
              <w:ind w:left="200"/>
              <w:spacing w:after="0"/>
              <w:rPr>
                <w:sz w:val="20"/>
                <w:szCs w:val="20"/>
                <w:color w:val="auto"/>
              </w:rPr>
            </w:pPr>
            <w:r>
              <w:rPr>
                <w:rFonts w:ascii="Arial" w:cs="Arial" w:eastAsia="Arial" w:hAnsi="Arial"/>
                <w:sz w:val="16"/>
                <w:szCs w:val="16"/>
                <w:color w:val="auto"/>
              </w:rPr>
              <w:t>(f/k/a PayNearMe, Inc.)</w:t>
            </w:r>
          </w:p>
        </w:tc>
        <w:tc>
          <w:tcPr>
            <w:tcW w:w="1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Pr>
          <w:p>
            <w:pPr>
              <w:spacing w:after="0"/>
              <w:rPr>
                <w:sz w:val="17"/>
                <w:szCs w:val="17"/>
                <w:color w:val="auto"/>
              </w:rPr>
            </w:pPr>
          </w:p>
        </w:tc>
      </w:tr>
      <w:tr>
        <w:trPr>
          <w:trHeight w:val="201"/>
        </w:trPr>
        <w:tc>
          <w:tcPr>
            <w:tcW w:w="448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6"/>
                <w:szCs w:val="16"/>
                <w:color w:val="auto"/>
                <w:w w:val="87"/>
              </w:rPr>
              <w:t>Preferred shares, Series C</w:t>
            </w:r>
          </w:p>
        </w:tc>
        <w:tc>
          <w:tcPr>
            <w:tcW w:w="16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88"/>
              </w:rPr>
              <w:t>Common Shares</w:t>
            </w:r>
          </w:p>
        </w:tc>
      </w:tr>
      <w:tr>
        <w:trPr>
          <w:trHeight w:val="201"/>
        </w:trPr>
        <w:tc>
          <w:tcPr>
            <w:tcW w:w="448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6"/>
                <w:szCs w:val="16"/>
                <w:color w:val="auto"/>
                <w:w w:val="88"/>
              </w:rPr>
              <w:t>Preferred shares, Series D</w:t>
            </w:r>
          </w:p>
        </w:tc>
        <w:tc>
          <w:tcPr>
            <w:tcW w:w="16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88"/>
              </w:rPr>
              <w:t>Common Shares</w:t>
            </w:r>
          </w:p>
        </w:tc>
      </w:tr>
      <w:tr>
        <w:trPr>
          <w:trHeight w:val="201"/>
        </w:trPr>
        <w:tc>
          <w:tcPr>
            <w:tcW w:w="448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6"/>
                <w:szCs w:val="16"/>
                <w:color w:val="auto"/>
                <w:w w:val="91"/>
              </w:rPr>
              <w:t>Convertible Promissory</w:t>
            </w:r>
          </w:p>
        </w:tc>
        <w:tc>
          <w:tcPr>
            <w:tcW w:w="16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92"/>
              </w:rPr>
              <w:t>Junior Note, 1.49%,</w:t>
            </w:r>
          </w:p>
        </w:tc>
      </w:tr>
      <w:tr>
        <w:trPr>
          <w:trHeight w:val="201"/>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6"/>
                <w:szCs w:val="16"/>
                <w:color w:val="auto"/>
                <w:w w:val="91"/>
              </w:rPr>
              <w:t>Note 10% Due 3/2/2016</w:t>
            </w:r>
          </w:p>
        </w:tc>
        <w:tc>
          <w:tcPr>
            <w:tcW w:w="16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91"/>
              </w:rPr>
              <w:t>November 9, 2021</w:t>
            </w:r>
          </w:p>
        </w:tc>
      </w:tr>
      <w:tr>
        <w:trPr>
          <w:trHeight w:val="201"/>
        </w:trPr>
        <w:tc>
          <w:tcPr>
            <w:tcW w:w="4480" w:type="dxa"/>
            <w:vAlign w:val="bottom"/>
          </w:tcPr>
          <w:p>
            <w:pPr>
              <w:ind w:left="20"/>
              <w:spacing w:after="0"/>
              <w:rPr>
                <w:sz w:val="20"/>
                <w:szCs w:val="20"/>
                <w:color w:val="auto"/>
              </w:rPr>
            </w:pPr>
            <w:r>
              <w:rPr>
                <w:rFonts w:ascii="Arial" w:cs="Arial" w:eastAsia="Arial" w:hAnsi="Arial"/>
                <w:sz w:val="16"/>
                <w:szCs w:val="16"/>
                <w:color w:val="auto"/>
              </w:rPr>
              <w:t>Fullbridge, Inc.</w:t>
            </w:r>
          </w:p>
        </w:tc>
        <w:tc>
          <w:tcPr>
            <w:tcW w:w="16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6"/>
                <w:szCs w:val="16"/>
                <w:color w:val="auto"/>
                <w:w w:val="91"/>
              </w:rPr>
              <w:t>Convertible Promissory</w:t>
            </w:r>
          </w:p>
        </w:tc>
        <w:tc>
          <w:tcPr>
            <w:tcW w:w="16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92"/>
              </w:rPr>
              <w:t>Junior Note, 1.49%,</w:t>
            </w:r>
          </w:p>
        </w:tc>
      </w:tr>
      <w:tr>
        <w:trPr>
          <w:trHeight w:val="205"/>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60" w:type="dxa"/>
            <w:vAlign w:val="bottom"/>
          </w:tcPr>
          <w:p>
            <w:pPr>
              <w:jc w:val="center"/>
              <w:spacing w:after="0"/>
              <w:rPr>
                <w:sz w:val="20"/>
                <w:szCs w:val="20"/>
                <w:color w:val="auto"/>
              </w:rPr>
            </w:pPr>
            <w:r>
              <w:rPr>
                <w:rFonts w:ascii="Arial" w:cs="Arial" w:eastAsia="Arial" w:hAnsi="Arial"/>
                <w:sz w:val="16"/>
                <w:szCs w:val="16"/>
                <w:color w:val="auto"/>
                <w:w w:val="91"/>
              </w:rPr>
              <w:t>Note 10% Due 3/14/2017</w:t>
            </w:r>
          </w:p>
        </w:tc>
        <w:tc>
          <w:tcPr>
            <w:tcW w:w="16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91"/>
              </w:rPr>
              <w:t>November 9, 2021</w:t>
            </w:r>
          </w:p>
        </w:tc>
      </w:tr>
    </w:tbl>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37" w:name="page38"/>
    <w:bookmarkEnd w:id="3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Schedule of Investments In and Advances To Affiliates</w:t>
      </w:r>
    </w:p>
    <w:p>
      <w:pPr>
        <w:spacing w:after="0" w:line="119" w:lineRule="exact"/>
        <w:rPr>
          <w:sz w:val="20"/>
          <w:szCs w:val="20"/>
          <w:color w:val="auto"/>
        </w:rPr>
      </w:pPr>
    </w:p>
    <w:p>
      <w:pPr>
        <w:ind w:left="60" w:firstLine="268"/>
        <w:spacing w:after="0" w:line="272" w:lineRule="auto"/>
        <w:rPr>
          <w:sz w:val="20"/>
          <w:szCs w:val="20"/>
          <w:color w:val="auto"/>
        </w:rPr>
      </w:pPr>
      <w:r>
        <w:rPr>
          <w:rFonts w:ascii="Arial" w:cs="Arial" w:eastAsia="Arial" w:hAnsi="Arial"/>
          <w:sz w:val="18"/>
          <w:szCs w:val="18"/>
          <w:color w:val="auto"/>
        </w:rPr>
        <w:t>Transactions during the nine months ended September 30, 2017 involving the Company’s controlled investments and non-controlled/affiliate investments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262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jc w:val="center"/>
              <w:ind w:right="17"/>
              <w:spacing w:after="0"/>
              <w:rPr>
                <w:sz w:val="20"/>
                <w:szCs w:val="20"/>
                <w:color w:val="auto"/>
              </w:rPr>
            </w:pPr>
            <w:r>
              <w:rPr>
                <w:rFonts w:ascii="Arial" w:cs="Arial" w:eastAsia="Arial" w:hAnsi="Arial"/>
                <w:sz w:val="13"/>
                <w:szCs w:val="13"/>
                <w:b w:val="1"/>
                <w:bCs w:val="1"/>
                <w:color w:val="auto"/>
                <w:w w:val="83"/>
              </w:rPr>
              <w:t>Purchases,</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34"/>
        </w:trPr>
        <w:tc>
          <w:tcPr>
            <w:tcW w:w="1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4"/>
              </w:rPr>
              <w:t>Interest, Fees,</w:t>
            </w:r>
          </w:p>
        </w:tc>
        <w:tc>
          <w:tcPr>
            <w:tcW w:w="1040" w:type="dxa"/>
            <w:vAlign w:val="bottom"/>
          </w:tcPr>
          <w:p>
            <w:pPr>
              <w:spacing w:after="0"/>
              <w:rPr>
                <w:sz w:val="11"/>
                <w:szCs w:val="11"/>
                <w:color w:val="auto"/>
              </w:rPr>
            </w:pPr>
          </w:p>
        </w:tc>
        <w:tc>
          <w:tcPr>
            <w:tcW w:w="110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90"/>
              </w:rPr>
              <w:t>Capitalized</w:t>
            </w: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4"/>
        </w:trPr>
        <w:tc>
          <w:tcPr>
            <w:tcW w:w="1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6"/>
              </w:rPr>
              <w:t>or Dividends</w:t>
            </w:r>
          </w:p>
        </w:tc>
        <w:tc>
          <w:tcPr>
            <w:tcW w:w="10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7"/>
              </w:rPr>
              <w:t>Fair Value at</w:t>
            </w:r>
          </w:p>
        </w:tc>
        <w:tc>
          <w:tcPr>
            <w:tcW w:w="110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78"/>
              </w:rPr>
              <w:t>Fees,</w:t>
            </w:r>
          </w:p>
        </w:tc>
        <w:tc>
          <w:tcPr>
            <w:tcW w:w="760" w:type="dxa"/>
            <w:vAlign w:val="bottom"/>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7"/>
              </w:rPr>
              <w:t>Realized</w:t>
            </w:r>
          </w:p>
        </w:tc>
        <w:tc>
          <w:tcPr>
            <w:tcW w:w="9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Unrealized</w:t>
            </w:r>
          </w:p>
        </w:tc>
        <w:tc>
          <w:tcPr>
            <w:tcW w:w="11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740" w:type="dxa"/>
            <w:vAlign w:val="bottom"/>
          </w:tcPr>
          <w:p>
            <w:pPr>
              <w:jc w:val="center"/>
              <w:ind w:left="97"/>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900" w:type="dxa"/>
            <w:vAlign w:val="bottom"/>
          </w:tcPr>
          <w:p>
            <w:pPr>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320" w:type="dxa"/>
            <w:vAlign w:val="bottom"/>
          </w:tcPr>
          <w:p>
            <w:pPr>
              <w:jc w:val="center"/>
              <w:ind w:left="397"/>
              <w:spacing w:after="0" w:line="134" w:lineRule="exact"/>
              <w:rPr>
                <w:sz w:val="20"/>
                <w:szCs w:val="20"/>
                <w:color w:val="auto"/>
              </w:rPr>
            </w:pPr>
            <w:r>
              <w:rPr>
                <w:rFonts w:ascii="Arial" w:cs="Arial" w:eastAsia="Arial" w:hAnsi="Arial"/>
                <w:sz w:val="13"/>
                <w:szCs w:val="13"/>
                <w:b w:val="1"/>
                <w:bCs w:val="1"/>
                <w:color w:val="auto"/>
                <w:w w:val="92"/>
              </w:rPr>
              <w:t>Principal/</w:t>
            </w:r>
          </w:p>
        </w:tc>
        <w:tc>
          <w:tcPr>
            <w:tcW w:w="10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7"/>
              </w:rPr>
              <w:t>Credited</w:t>
            </w:r>
          </w:p>
        </w:tc>
        <w:tc>
          <w:tcPr>
            <w:tcW w:w="10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December 31,</w:t>
            </w:r>
          </w:p>
        </w:tc>
        <w:tc>
          <w:tcPr>
            <w:tcW w:w="1100" w:type="dxa"/>
            <w:vAlign w:val="bottom"/>
          </w:tcPr>
          <w:p>
            <w:pPr>
              <w:jc w:val="center"/>
              <w:ind w:right="17"/>
              <w:spacing w:after="0" w:line="134" w:lineRule="exact"/>
              <w:rPr>
                <w:sz w:val="20"/>
                <w:szCs w:val="20"/>
                <w:color w:val="auto"/>
              </w:rPr>
            </w:pPr>
            <w:r>
              <w:rPr>
                <w:rFonts w:ascii="Arial" w:cs="Arial" w:eastAsia="Arial" w:hAnsi="Arial"/>
                <w:sz w:val="13"/>
                <w:szCs w:val="13"/>
                <w:b w:val="1"/>
                <w:bCs w:val="1"/>
                <w:color w:val="auto"/>
                <w:w w:val="89"/>
              </w:rPr>
              <w:t>Interest and</w:t>
            </w:r>
          </w:p>
        </w:tc>
        <w:tc>
          <w:tcPr>
            <w:tcW w:w="760" w:type="dxa"/>
            <w:vAlign w:val="bottom"/>
          </w:tcPr>
          <w:p>
            <w:pPr>
              <w:spacing w:after="0"/>
              <w:rPr>
                <w:sz w:val="11"/>
                <w:szCs w:val="11"/>
                <w:color w:val="auto"/>
              </w:rPr>
            </w:pPr>
          </w:p>
        </w:tc>
        <w:tc>
          <w:tcPr>
            <w:tcW w:w="9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Gains/</w:t>
            </w:r>
          </w:p>
        </w:tc>
        <w:tc>
          <w:tcPr>
            <w:tcW w:w="96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Gains/</w:t>
            </w:r>
          </w:p>
        </w:tc>
        <w:tc>
          <w:tcPr>
            <w:tcW w:w="11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7"/>
              </w:rPr>
              <w:t>September 30,</w:t>
            </w:r>
          </w:p>
        </w:tc>
        <w:tc>
          <w:tcPr>
            <w:tcW w:w="740" w:type="dxa"/>
            <w:vAlign w:val="bottom"/>
          </w:tcPr>
          <w:p>
            <w:pPr>
              <w:jc w:val="center"/>
              <w:ind w:left="97"/>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9"/>
        </w:trPr>
        <w:tc>
          <w:tcPr>
            <w:tcW w:w="1900" w:type="dxa"/>
            <w:vAlign w:val="bottom"/>
          </w:tcPr>
          <w:p>
            <w:pPr>
              <w:spacing w:after="0"/>
              <w:rPr>
                <w:sz w:val="20"/>
                <w:szCs w:val="20"/>
                <w:color w:val="auto"/>
              </w:rPr>
            </w:pPr>
            <w:r>
              <w:rPr>
                <w:rFonts w:ascii="Arial" w:cs="Arial" w:eastAsia="Arial" w:hAnsi="Arial"/>
                <w:sz w:val="13"/>
                <w:szCs w:val="13"/>
                <w:b w:val="1"/>
                <w:bCs w:val="1"/>
                <w:color w:val="auto"/>
              </w:rPr>
              <w:t>Company/Investment</w:t>
            </w:r>
          </w:p>
        </w:tc>
        <w:tc>
          <w:tcPr>
            <w:tcW w:w="1320" w:type="dxa"/>
            <w:vAlign w:val="bottom"/>
          </w:tcPr>
          <w:p>
            <w:pPr>
              <w:jc w:val="center"/>
              <w:ind w:left="377"/>
              <w:spacing w:after="0"/>
              <w:rPr>
                <w:sz w:val="20"/>
                <w:szCs w:val="20"/>
                <w:color w:val="auto"/>
              </w:rPr>
            </w:pPr>
            <w:r>
              <w:rPr>
                <w:rFonts w:ascii="Arial" w:cs="Arial" w:eastAsia="Arial" w:hAnsi="Arial"/>
                <w:sz w:val="13"/>
                <w:szCs w:val="13"/>
                <w:b w:val="1"/>
                <w:bCs w:val="1"/>
                <w:color w:val="auto"/>
                <w:w w:val="90"/>
              </w:rPr>
              <w:t>Quantity</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8"/>
              </w:rPr>
              <w:t>in Income</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2"/>
              </w:rPr>
              <w:t>2016</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c>
          <w:tcPr>
            <w:tcW w:w="760" w:type="dxa"/>
            <w:vAlign w:val="bottom"/>
          </w:tcPr>
          <w:p>
            <w:pPr>
              <w:ind w:left="220"/>
              <w:spacing w:after="0"/>
              <w:rPr>
                <w:sz w:val="20"/>
                <w:szCs w:val="20"/>
                <w:color w:val="auto"/>
              </w:rPr>
            </w:pPr>
            <w:r>
              <w:rPr>
                <w:rFonts w:ascii="Arial" w:cs="Arial" w:eastAsia="Arial" w:hAnsi="Arial"/>
                <w:sz w:val="13"/>
                <w:szCs w:val="13"/>
                <w:b w:val="1"/>
                <w:bCs w:val="1"/>
                <w:color w:val="auto"/>
              </w:rPr>
              <w:t>Sales</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78"/>
              </w:rPr>
              <w:t>(Losses)</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78"/>
              </w:rPr>
              <w:t>(Losses)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9"/>
              </w:rPr>
              <w:t>2017</w:t>
            </w:r>
          </w:p>
        </w:tc>
        <w:tc>
          <w:tcPr>
            <w:tcW w:w="740" w:type="dxa"/>
            <w:vAlign w:val="bottom"/>
          </w:tcPr>
          <w:p>
            <w:pPr>
              <w:jc w:val="center"/>
              <w:ind w:left="97"/>
              <w:spacing w:after="0"/>
              <w:rPr>
                <w:sz w:val="20"/>
                <w:szCs w:val="20"/>
                <w:color w:val="auto"/>
              </w:rPr>
            </w:pPr>
            <w:r>
              <w:rPr>
                <w:rFonts w:ascii="Arial" w:cs="Arial" w:eastAsia="Arial" w:hAnsi="Arial"/>
                <w:sz w:val="13"/>
                <w:szCs w:val="13"/>
                <w:b w:val="1"/>
                <w:bCs w:val="1"/>
                <w:color w:val="auto"/>
                <w:w w:val="80"/>
              </w:rPr>
              <w:t>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0262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ind w:left="20"/>
        <w:spacing w:after="0" w:line="231" w:lineRule="auto"/>
        <w:rPr>
          <w:sz w:val="20"/>
          <w:szCs w:val="20"/>
          <w:color w:val="auto"/>
        </w:rPr>
      </w:pPr>
      <w:r>
        <w:rPr>
          <w:rFonts w:ascii="Arial" w:cs="Arial" w:eastAsia="Arial" w:hAnsi="Arial"/>
          <w:sz w:val="14"/>
          <w:szCs w:val="14"/>
          <w:b w:val="1"/>
          <w:bCs w:val="1"/>
          <w:u w:val="single" w:color="auto"/>
          <w:color w:val="auto"/>
        </w:rPr>
        <w:t>CONTROLLED INVESTMENTS</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026275" cy="1955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26275" cy="19558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2"/>
          <w:szCs w:val="12"/>
          <w:b w:val="1"/>
          <w:bCs w:val="1"/>
          <w:color w:val="auto"/>
        </w:rPr>
        <w:t>(2)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60" w:type="dxa"/>
            <w:vAlign w:val="bottom"/>
          </w:tcPr>
          <w:p>
            <w:pPr>
              <w:ind w:left="20"/>
              <w:spacing w:after="0"/>
              <w:rPr>
                <w:sz w:val="20"/>
                <w:szCs w:val="20"/>
                <w:color w:val="auto"/>
              </w:rPr>
            </w:pPr>
            <w:r>
              <w:rPr>
                <w:rFonts w:ascii="Arial" w:cs="Arial" w:eastAsia="Arial" w:hAnsi="Arial"/>
                <w:sz w:val="14"/>
                <w:szCs w:val="14"/>
                <w:b w:val="1"/>
                <w:bCs w:val="1"/>
                <w:color w:val="auto"/>
              </w:rPr>
              <w:t>Debt Investments</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8"/>
        </w:trPr>
        <w:tc>
          <w:tcPr>
            <w:tcW w:w="236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Global Innovation Platform</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29"/>
        </w:trPr>
        <w:tc>
          <w:tcPr>
            <w:tcW w:w="236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2360" w:type="dxa"/>
            <w:vAlign w:val="bottom"/>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2360" w:type="dxa"/>
            <w:vAlign w:val="bottom"/>
          </w:tcPr>
          <w:p>
            <w:pPr>
              <w:ind w:left="720"/>
              <w:spacing w:after="0" w:line="147" w:lineRule="exact"/>
              <w:rPr>
                <w:sz w:val="20"/>
                <w:szCs w:val="20"/>
                <w:color w:val="auto"/>
              </w:rPr>
            </w:pPr>
            <w:r>
              <w:rPr>
                <w:rFonts w:ascii="Arial" w:cs="Arial" w:eastAsia="Arial" w:hAnsi="Arial"/>
                <w:sz w:val="14"/>
                <w:szCs w:val="14"/>
                <w:color w:val="auto"/>
              </w:rPr>
              <w:t>Convertible Promissory</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2360" w:type="dxa"/>
            <w:vAlign w:val="bottom"/>
          </w:tcPr>
          <w:p>
            <w:pPr>
              <w:ind w:left="720"/>
              <w:spacing w:after="0" w:line="147" w:lineRule="exact"/>
              <w:rPr>
                <w:sz w:val="20"/>
                <w:szCs w:val="20"/>
                <w:color w:val="auto"/>
              </w:rPr>
            </w:pPr>
            <w:r>
              <w:rPr>
                <w:rFonts w:ascii="Arial" w:cs="Arial" w:eastAsia="Arial" w:hAnsi="Arial"/>
                <w:sz w:val="14"/>
                <w:szCs w:val="14"/>
                <w:color w:val="auto"/>
              </w:rPr>
              <w:t>Note 8% Due</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6"/>
        </w:trPr>
        <w:tc>
          <w:tcPr>
            <w:tcW w:w="2360" w:type="dxa"/>
            <w:vAlign w:val="bottom"/>
          </w:tcPr>
          <w:p>
            <w:pPr>
              <w:ind w:left="720"/>
              <w:spacing w:after="0"/>
              <w:rPr>
                <w:sz w:val="20"/>
                <w:szCs w:val="20"/>
                <w:color w:val="auto"/>
              </w:rPr>
            </w:pPr>
            <w:r>
              <w:rPr>
                <w:rFonts w:ascii="Arial" w:cs="Arial" w:eastAsia="Arial" w:hAnsi="Arial"/>
                <w:sz w:val="14"/>
                <w:szCs w:val="14"/>
                <w:color w:val="auto"/>
              </w:rPr>
              <w:t>07/31/2018***</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560,199</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77,151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427,900</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105,890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26,409</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560,199</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0.27%</w:t>
            </w:r>
          </w:p>
        </w:tc>
      </w:tr>
      <w:tr>
        <w:trPr>
          <w:trHeight w:val="129"/>
        </w:trPr>
        <w:tc>
          <w:tcPr>
            <w:tcW w:w="23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8"/>
        </w:trPr>
        <w:tc>
          <w:tcPr>
            <w:tcW w:w="23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8"/>
        </w:trPr>
        <w:tc>
          <w:tcPr>
            <w:tcW w:w="23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Unsecured Promissory</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7"/>
        </w:trPr>
        <w:tc>
          <w:tcPr>
            <w:tcW w:w="236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rPr>
              <w:t>Note 12% Due</w:t>
            </w:r>
          </w:p>
        </w:tc>
        <w:tc>
          <w:tcPr>
            <w:tcW w:w="9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97"/>
        </w:trPr>
        <w:tc>
          <w:tcPr>
            <w:tcW w:w="2360" w:type="dxa"/>
            <w:vAlign w:val="bottom"/>
            <w:shd w:val="clear" w:color="auto" w:fill="CCEEFF"/>
          </w:tcPr>
          <w:p>
            <w:pPr>
              <w:ind w:left="720"/>
              <w:spacing w:after="0" w:line="197" w:lineRule="exact"/>
              <w:rPr>
                <w:sz w:val="20"/>
                <w:szCs w:val="20"/>
                <w:color w:val="auto"/>
              </w:rPr>
            </w:pPr>
            <w:r>
              <w:rPr>
                <w:rFonts w:ascii="Arial" w:cs="Arial" w:eastAsia="Arial" w:hAnsi="Arial"/>
                <w:sz w:val="14"/>
                <w:szCs w:val="14"/>
                <w:color w:val="auto"/>
              </w:rPr>
              <w:t>5/29/2017***</w:t>
            </w:r>
            <w:r>
              <w:rPr>
                <w:rFonts w:ascii="Arial" w:cs="Arial" w:eastAsia="Arial" w:hAnsi="Arial"/>
                <w:sz w:val="22"/>
                <w:szCs w:val="22"/>
                <w:color w:val="auto"/>
                <w:vertAlign w:val="superscript"/>
              </w:rPr>
              <w:t>(4)</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50,146</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496,725</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24,195</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3"/>
              </w:rPr>
              <w:t>(526,000)</w:t>
            </w:r>
          </w:p>
        </w:tc>
        <w:tc>
          <w:tcPr>
            <w:tcW w:w="2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5,080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0.00%</w:t>
            </w:r>
          </w:p>
        </w:tc>
      </w:tr>
      <w:tr>
        <w:trPr>
          <w:trHeight w:val="129"/>
        </w:trPr>
        <w:tc>
          <w:tcPr>
            <w:tcW w:w="236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2360" w:type="dxa"/>
            <w:vAlign w:val="bottom"/>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2360" w:type="dxa"/>
            <w:vAlign w:val="bottom"/>
          </w:tcPr>
          <w:p>
            <w:pPr>
              <w:ind w:left="760"/>
              <w:spacing w:after="0" w:line="147" w:lineRule="exact"/>
              <w:rPr>
                <w:sz w:val="20"/>
                <w:szCs w:val="20"/>
                <w:color w:val="auto"/>
              </w:rPr>
            </w:pPr>
            <w:r>
              <w:rPr>
                <w:rFonts w:ascii="Arial" w:cs="Arial" w:eastAsia="Arial" w:hAnsi="Arial"/>
                <w:sz w:val="14"/>
                <w:szCs w:val="14"/>
                <w:color w:val="auto"/>
              </w:rPr>
              <w:t>Unsecured Promissory</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7"/>
        </w:trPr>
        <w:tc>
          <w:tcPr>
            <w:tcW w:w="2360" w:type="dxa"/>
            <w:vAlign w:val="bottom"/>
          </w:tcPr>
          <w:p>
            <w:pPr>
              <w:ind w:left="720"/>
              <w:spacing w:after="0" w:line="157" w:lineRule="exact"/>
              <w:rPr>
                <w:sz w:val="20"/>
                <w:szCs w:val="20"/>
                <w:color w:val="auto"/>
              </w:rPr>
            </w:pPr>
            <w:r>
              <w:rPr>
                <w:rFonts w:ascii="Arial" w:cs="Arial" w:eastAsia="Arial" w:hAnsi="Arial"/>
                <w:sz w:val="14"/>
                <w:szCs w:val="14"/>
                <w:color w:val="auto"/>
              </w:rPr>
              <w:t>Note 12% Due</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97"/>
        </w:trPr>
        <w:tc>
          <w:tcPr>
            <w:tcW w:w="2360" w:type="dxa"/>
            <w:vAlign w:val="bottom"/>
          </w:tcPr>
          <w:p>
            <w:pPr>
              <w:ind w:left="720"/>
              <w:spacing w:after="0" w:line="197" w:lineRule="exact"/>
              <w:rPr>
                <w:sz w:val="20"/>
                <w:szCs w:val="20"/>
                <w:color w:val="auto"/>
              </w:rPr>
            </w:pPr>
            <w:r>
              <w:rPr>
                <w:rFonts w:ascii="Arial" w:cs="Arial" w:eastAsia="Arial" w:hAnsi="Arial"/>
                <w:sz w:val="14"/>
                <w:szCs w:val="14"/>
                <w:color w:val="auto"/>
              </w:rPr>
              <w:t>11/29/2017***</w:t>
            </w:r>
            <w:r>
              <w:rPr>
                <w:rFonts w:ascii="Arial" w:cs="Arial" w:eastAsia="Arial" w:hAnsi="Arial"/>
                <w:sz w:val="22"/>
                <w:szCs w:val="22"/>
                <w:color w:val="auto"/>
                <w:vertAlign w:val="superscript"/>
              </w:rPr>
              <w:t>(4)</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557,735</w:t>
            </w:r>
          </w:p>
        </w:tc>
        <w:tc>
          <w:tcPr>
            <w:tcW w:w="22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69,237</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533,353</w:t>
            </w: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0</w:t>
            </w:r>
          </w:p>
        </w:tc>
        <w:tc>
          <w:tcPr>
            <w:tcW w:w="1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533,353</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0.25%</w:t>
            </w:r>
          </w:p>
        </w:tc>
      </w:tr>
      <w:tr>
        <w:trPr>
          <w:trHeight w:val="122"/>
        </w:trPr>
        <w:tc>
          <w:tcPr>
            <w:tcW w:w="2360" w:type="dxa"/>
            <w:vAlign w:val="bottom"/>
            <w:shd w:val="clear" w:color="auto" w:fill="CCEEFF"/>
          </w:tcPr>
          <w:p>
            <w:pPr>
              <w:ind w:left="380"/>
              <w:spacing w:after="0" w:line="123" w:lineRule="exact"/>
              <w:rPr>
                <w:sz w:val="20"/>
                <w:szCs w:val="20"/>
                <w:color w:val="auto"/>
              </w:rPr>
            </w:pPr>
            <w:r>
              <w:rPr>
                <w:rFonts w:ascii="Arial" w:cs="Arial" w:eastAsia="Arial" w:hAnsi="Arial"/>
                <w:sz w:val="14"/>
                <w:szCs w:val="14"/>
                <w:i w:val="1"/>
                <w:iCs w:val="1"/>
                <w:color w:val="auto"/>
              </w:rPr>
              <w:t>Total Global Innovation</w:t>
            </w:r>
          </w:p>
        </w:tc>
        <w:tc>
          <w:tcPr>
            <w:tcW w:w="98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6"/>
        </w:trPr>
        <w:tc>
          <w:tcPr>
            <w:tcW w:w="2360" w:type="dxa"/>
            <w:vAlign w:val="bottom"/>
            <w:shd w:val="clear" w:color="auto" w:fill="CCEEFF"/>
          </w:tcPr>
          <w:p>
            <w:pPr>
              <w:ind w:left="540"/>
              <w:spacing w:after="0"/>
              <w:rPr>
                <w:sz w:val="20"/>
                <w:szCs w:val="20"/>
                <w:color w:val="auto"/>
              </w:rPr>
            </w:pPr>
            <w:r>
              <w:rPr>
                <w:rFonts w:ascii="Arial" w:cs="Arial" w:eastAsia="Arial" w:hAnsi="Arial"/>
                <w:sz w:val="14"/>
                <w:szCs w:val="14"/>
                <w:i w:val="1"/>
                <w:iCs w:val="1"/>
                <w:color w:val="auto"/>
              </w:rPr>
              <w:t>Platform</w:t>
            </w: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196,534</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924,625</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663,438</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3"/>
              </w:rPr>
              <w:t>(526,000)</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31,489</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1,093,552</w:t>
            </w: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0.52%</w:t>
            </w:r>
          </w:p>
        </w:tc>
      </w:tr>
      <w:tr>
        <w:trPr>
          <w:trHeight w:val="148"/>
        </w:trPr>
        <w:tc>
          <w:tcPr>
            <w:tcW w:w="23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Total Debt Investments</w:t>
            </w:r>
          </w:p>
        </w:tc>
        <w:tc>
          <w:tcPr>
            <w:tcW w:w="980" w:type="dxa"/>
            <w:vAlign w:val="bottom"/>
          </w:tcPr>
          <w:p>
            <w:pPr>
              <w:spacing w:after="0"/>
              <w:rPr>
                <w:sz w:val="12"/>
                <w:szCs w:val="12"/>
                <w:color w:val="auto"/>
              </w:rPr>
            </w:pPr>
          </w:p>
        </w:tc>
        <w:tc>
          <w:tcPr>
            <w:tcW w:w="220" w:type="dxa"/>
            <w:vAlign w:val="bottom"/>
          </w:tcPr>
          <w:p>
            <w:pPr>
              <w:jc w:val="right"/>
              <w:ind w:right="69"/>
              <w:spacing w:after="0" w:line="147"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rPr>
              <w:t>196,534</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924,625</w:t>
            </w:r>
          </w:p>
        </w:tc>
        <w:tc>
          <w:tcPr>
            <w:tcW w:w="200" w:type="dxa"/>
            <w:vAlign w:val="bottom"/>
          </w:tcPr>
          <w:p>
            <w:pPr>
              <w:jc w:val="right"/>
              <w:ind w:right="49"/>
              <w:spacing w:after="0" w:line="147"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47" w:lineRule="exact"/>
              <w:rPr>
                <w:sz w:val="20"/>
                <w:szCs w:val="20"/>
                <w:color w:val="auto"/>
              </w:rPr>
            </w:pPr>
            <w:r>
              <w:rPr>
                <w:rFonts w:ascii="Arial" w:cs="Arial" w:eastAsia="Arial" w:hAnsi="Arial"/>
                <w:sz w:val="14"/>
                <w:szCs w:val="14"/>
                <w:color w:val="auto"/>
              </w:rPr>
              <w:t>663,438</w:t>
            </w:r>
          </w:p>
        </w:tc>
        <w:tc>
          <w:tcPr>
            <w:tcW w:w="8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line="147" w:lineRule="exact"/>
              <w:rPr>
                <w:sz w:val="20"/>
                <w:szCs w:val="20"/>
                <w:color w:val="auto"/>
              </w:rPr>
            </w:pPr>
            <w:r>
              <w:rPr>
                <w:rFonts w:ascii="Arial" w:cs="Arial" w:eastAsia="Arial" w:hAnsi="Arial"/>
                <w:sz w:val="14"/>
                <w:szCs w:val="14"/>
                <w:color w:val="auto"/>
                <w:w w:val="93"/>
              </w:rPr>
              <w:t>(526,000)</w:t>
            </w:r>
          </w:p>
        </w:tc>
        <w:tc>
          <w:tcPr>
            <w:tcW w:w="280" w:type="dxa"/>
            <w:vAlign w:val="bottom"/>
          </w:tcPr>
          <w:p>
            <w:pPr>
              <w:jc w:val="right"/>
              <w:ind w:right="129"/>
              <w:spacing w:after="0" w:line="147"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ind w:left="2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60"/>
              <w:spacing w:after="0" w:line="147" w:lineRule="exact"/>
              <w:rPr>
                <w:sz w:val="20"/>
                <w:szCs w:val="20"/>
                <w:color w:val="auto"/>
              </w:rPr>
            </w:pPr>
            <w:r>
              <w:rPr>
                <w:rFonts w:ascii="Arial" w:cs="Arial" w:eastAsia="Arial" w:hAnsi="Arial"/>
                <w:sz w:val="14"/>
                <w:szCs w:val="14"/>
                <w:color w:val="auto"/>
              </w:rPr>
              <w:t>31,489</w:t>
            </w:r>
          </w:p>
        </w:tc>
        <w:tc>
          <w:tcPr>
            <w:tcW w:w="160" w:type="dxa"/>
            <w:vAlign w:val="bottom"/>
          </w:tcPr>
          <w:p>
            <w:pPr>
              <w:jc w:val="right"/>
              <w:ind w:right="9"/>
              <w:spacing w:after="0" w:line="147"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line="147" w:lineRule="exact"/>
              <w:rPr>
                <w:sz w:val="20"/>
                <w:szCs w:val="20"/>
                <w:color w:val="auto"/>
              </w:rPr>
            </w:pPr>
            <w:r>
              <w:rPr>
                <w:rFonts w:ascii="Arial" w:cs="Arial" w:eastAsia="Arial" w:hAnsi="Arial"/>
                <w:sz w:val="14"/>
                <w:szCs w:val="14"/>
                <w:color w:val="auto"/>
                <w:w w:val="99"/>
              </w:rPr>
              <w:t>1,093,552</w:t>
            </w:r>
          </w:p>
        </w:tc>
        <w:tc>
          <w:tcPr>
            <w:tcW w:w="800" w:type="dxa"/>
            <w:vAlign w:val="bottom"/>
          </w:tcPr>
          <w:p>
            <w:pPr>
              <w:jc w:val="right"/>
              <w:ind w:right="129"/>
              <w:spacing w:after="0" w:line="147" w:lineRule="exact"/>
              <w:rPr>
                <w:sz w:val="20"/>
                <w:szCs w:val="20"/>
                <w:color w:val="auto"/>
              </w:rPr>
            </w:pPr>
            <w:r>
              <w:rPr>
                <w:rFonts w:ascii="Arial" w:cs="Arial" w:eastAsia="Arial" w:hAnsi="Arial"/>
                <w:sz w:val="14"/>
                <w:szCs w:val="14"/>
                <w:color w:val="auto"/>
              </w:rPr>
              <w:t>0.52%</w:t>
            </w:r>
          </w:p>
        </w:tc>
      </w:tr>
      <w:tr>
        <w:trPr>
          <w:trHeight w:val="148"/>
        </w:trPr>
        <w:tc>
          <w:tcPr>
            <w:tcW w:w="23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Preferred Stock</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8"/>
        </w:trPr>
        <w:tc>
          <w:tcPr>
            <w:tcW w:w="236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Clean Technology</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29"/>
        </w:trPr>
        <w:tc>
          <w:tcPr>
            <w:tcW w:w="23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SPBRX, INC.</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8"/>
        </w:trPr>
        <w:tc>
          <w:tcPr>
            <w:tcW w:w="23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(f/k/a GSV Sustainability</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8"/>
        </w:trPr>
        <w:tc>
          <w:tcPr>
            <w:tcW w:w="23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Partners, Inc.) – Preferred</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6"/>
        </w:trPr>
        <w:tc>
          <w:tcPr>
            <w:tcW w:w="2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shares, Class A***</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14,300,000</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475,000</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4,309,778</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2"/>
              </w:rPr>
              <w:t>(2,942,585)</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1,367,193</w:t>
            </w: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0.65%</w:t>
            </w:r>
          </w:p>
        </w:tc>
      </w:tr>
      <w:tr>
        <w:trPr>
          <w:trHeight w:val="148"/>
        </w:trPr>
        <w:tc>
          <w:tcPr>
            <w:tcW w:w="236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Global Innovation Platform</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29"/>
        </w:trPr>
        <w:tc>
          <w:tcPr>
            <w:tcW w:w="23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8"/>
        </w:trPr>
        <w:tc>
          <w:tcPr>
            <w:tcW w:w="23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8"/>
        </w:trPr>
        <w:tc>
          <w:tcPr>
            <w:tcW w:w="2360" w:type="dxa"/>
            <w:vAlign w:val="bottom"/>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 stock Series A-</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6"/>
        </w:trPr>
        <w:tc>
          <w:tcPr>
            <w:tcW w:w="2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4</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3,720,424</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2,715,910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9"/>
              </w:rPr>
              <w:t>2,473,438</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5,189,348</w:t>
            </w: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2.48%</w:t>
            </w:r>
          </w:p>
        </w:tc>
      </w:tr>
      <w:tr>
        <w:trPr>
          <w:trHeight w:val="129"/>
        </w:trPr>
        <w:tc>
          <w:tcPr>
            <w:tcW w:w="236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2360" w:type="dxa"/>
            <w:vAlign w:val="bottom"/>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2360" w:type="dxa"/>
            <w:vAlign w:val="bottom"/>
          </w:tcPr>
          <w:p>
            <w:pPr>
              <w:ind w:left="760"/>
              <w:spacing w:after="0" w:line="147" w:lineRule="exact"/>
              <w:rPr>
                <w:sz w:val="20"/>
                <w:szCs w:val="20"/>
                <w:color w:val="auto"/>
              </w:rPr>
            </w:pPr>
            <w:r>
              <w:rPr>
                <w:rFonts w:ascii="Arial" w:cs="Arial" w:eastAsia="Arial" w:hAnsi="Arial"/>
                <w:sz w:val="14"/>
                <w:szCs w:val="14"/>
                <w:color w:val="auto"/>
              </w:rPr>
              <w:t>Preferred stock Series A-</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6"/>
        </w:trPr>
        <w:tc>
          <w:tcPr>
            <w:tcW w:w="2360" w:type="dxa"/>
            <w:vAlign w:val="bottom"/>
          </w:tcPr>
          <w:p>
            <w:pPr>
              <w:ind w:left="720"/>
              <w:spacing w:after="0"/>
              <w:rPr>
                <w:sz w:val="20"/>
                <w:szCs w:val="20"/>
                <w:color w:val="auto"/>
              </w:rPr>
            </w:pPr>
            <w:r>
              <w:rPr>
                <w:rFonts w:ascii="Arial" w:cs="Arial" w:eastAsia="Arial" w:hAnsi="Arial"/>
                <w:sz w:val="14"/>
                <w:szCs w:val="14"/>
                <w:color w:val="auto"/>
              </w:rPr>
              <w:t>3</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1,561,625</w:t>
            </w:r>
          </w:p>
        </w:tc>
        <w:tc>
          <w:tcPr>
            <w:tcW w:w="2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952,591</w:t>
            </w:r>
          </w:p>
        </w:tc>
        <w:tc>
          <w:tcPr>
            <w:tcW w:w="2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862,573</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1,815,164</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0.87%</w:t>
            </w:r>
          </w:p>
        </w:tc>
      </w:tr>
      <w:tr>
        <w:trPr>
          <w:trHeight w:val="129"/>
        </w:trPr>
        <w:tc>
          <w:tcPr>
            <w:tcW w:w="23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8"/>
        </w:trPr>
        <w:tc>
          <w:tcPr>
            <w:tcW w:w="23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8"/>
        </w:trPr>
        <w:tc>
          <w:tcPr>
            <w:tcW w:w="2360" w:type="dxa"/>
            <w:vAlign w:val="bottom"/>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 stock Series A-</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6"/>
        </w:trPr>
        <w:tc>
          <w:tcPr>
            <w:tcW w:w="2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2</w:t>
            </w:r>
          </w:p>
        </w:tc>
        <w:tc>
          <w:tcPr>
            <w:tcW w:w="9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450,001</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166,500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147,336</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313,836</w:t>
            </w: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0.15%</w:t>
            </w:r>
          </w:p>
        </w:tc>
      </w:tr>
      <w:tr>
        <w:trPr>
          <w:trHeight w:val="129"/>
        </w:trPr>
        <w:tc>
          <w:tcPr>
            <w:tcW w:w="236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2360" w:type="dxa"/>
            <w:vAlign w:val="bottom"/>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2360" w:type="dxa"/>
            <w:vAlign w:val="bottom"/>
          </w:tcPr>
          <w:p>
            <w:pPr>
              <w:ind w:left="760"/>
              <w:spacing w:after="0" w:line="147" w:lineRule="exact"/>
              <w:rPr>
                <w:sz w:val="20"/>
                <w:szCs w:val="20"/>
                <w:color w:val="auto"/>
              </w:rPr>
            </w:pPr>
            <w:r>
              <w:rPr>
                <w:rFonts w:ascii="Arial" w:cs="Arial" w:eastAsia="Arial" w:hAnsi="Arial"/>
                <w:sz w:val="14"/>
                <w:szCs w:val="14"/>
                <w:color w:val="auto"/>
              </w:rPr>
              <w:t>Preferred stock Series A-</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6"/>
        </w:trPr>
        <w:tc>
          <w:tcPr>
            <w:tcW w:w="2360" w:type="dxa"/>
            <w:vAlign w:val="bottom"/>
          </w:tcPr>
          <w:p>
            <w:pPr>
              <w:ind w:left="720"/>
              <w:spacing w:after="0"/>
              <w:rPr>
                <w:sz w:val="20"/>
                <w:szCs w:val="20"/>
                <w:color w:val="auto"/>
              </w:rPr>
            </w:pPr>
            <w:r>
              <w:rPr>
                <w:rFonts w:ascii="Arial" w:cs="Arial" w:eastAsia="Arial" w:hAnsi="Arial"/>
                <w:sz w:val="14"/>
                <w:szCs w:val="14"/>
                <w:color w:val="auto"/>
              </w:rPr>
              <w:t>1</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270,000</w:t>
            </w:r>
          </w:p>
        </w:tc>
        <w:tc>
          <w:tcPr>
            <w:tcW w:w="2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253,060</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523,060</w:t>
            </w:r>
          </w:p>
        </w:tc>
        <w:tc>
          <w:tcPr>
            <w:tcW w:w="800" w:type="dxa"/>
            <w:vAlign w:val="bottom"/>
          </w:tcPr>
          <w:p>
            <w:pPr>
              <w:jc w:val="right"/>
              <w:ind w:right="129"/>
              <w:spacing w:after="0"/>
              <w:rPr>
                <w:sz w:val="20"/>
                <w:szCs w:val="20"/>
                <w:color w:val="auto"/>
              </w:rPr>
            </w:pPr>
            <w:r>
              <w:rPr>
                <w:rFonts w:ascii="Arial" w:cs="Arial" w:eastAsia="Arial" w:hAnsi="Arial"/>
                <w:sz w:val="14"/>
                <w:szCs w:val="14"/>
                <w:color w:val="auto"/>
              </w:rPr>
              <w:t>0.25%</w:t>
            </w:r>
          </w:p>
        </w:tc>
      </w:tr>
      <w:tr>
        <w:trPr>
          <w:trHeight w:val="122"/>
        </w:trPr>
        <w:tc>
          <w:tcPr>
            <w:tcW w:w="2360" w:type="dxa"/>
            <w:vAlign w:val="bottom"/>
            <w:shd w:val="clear" w:color="auto" w:fill="CCEEFF"/>
          </w:tcPr>
          <w:p>
            <w:pPr>
              <w:ind w:left="380"/>
              <w:spacing w:after="0" w:line="123" w:lineRule="exact"/>
              <w:rPr>
                <w:sz w:val="20"/>
                <w:szCs w:val="20"/>
                <w:color w:val="auto"/>
              </w:rPr>
            </w:pPr>
            <w:r>
              <w:rPr>
                <w:rFonts w:ascii="Arial" w:cs="Arial" w:eastAsia="Arial" w:hAnsi="Arial"/>
                <w:sz w:val="14"/>
                <w:szCs w:val="14"/>
                <w:i w:val="1"/>
                <w:iCs w:val="1"/>
                <w:color w:val="auto"/>
              </w:rPr>
              <w:t>Total Global Innovation</w:t>
            </w:r>
          </w:p>
        </w:tc>
        <w:tc>
          <w:tcPr>
            <w:tcW w:w="98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66"/>
        </w:trPr>
        <w:tc>
          <w:tcPr>
            <w:tcW w:w="2360" w:type="dxa"/>
            <w:vAlign w:val="bottom"/>
            <w:shd w:val="clear" w:color="auto" w:fill="CCEEFF"/>
          </w:tcPr>
          <w:p>
            <w:pPr>
              <w:ind w:left="540"/>
              <w:spacing w:after="0"/>
              <w:rPr>
                <w:sz w:val="20"/>
                <w:szCs w:val="20"/>
                <w:color w:val="auto"/>
              </w:rPr>
            </w:pPr>
            <w:r>
              <w:rPr>
                <w:rFonts w:ascii="Arial" w:cs="Arial" w:eastAsia="Arial" w:hAnsi="Arial"/>
                <w:sz w:val="14"/>
                <w:szCs w:val="14"/>
                <w:i w:val="1"/>
                <w:iCs w:val="1"/>
                <w:color w:val="auto"/>
              </w:rPr>
              <w:t>Platform</w:t>
            </w: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4,105,001</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9"/>
              </w:rPr>
              <w:t>3,736,407</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7,841,408</w:t>
            </w:r>
          </w:p>
        </w:tc>
        <w:tc>
          <w:tcPr>
            <w:tcW w:w="8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3.75%</w:t>
            </w:r>
          </w:p>
        </w:tc>
      </w:tr>
    </w:tbl>
    <w:p>
      <w:pPr>
        <w:spacing w:after="0" w:line="200" w:lineRule="exact"/>
        <w:rPr>
          <w:sz w:val="20"/>
          <w:szCs w:val="20"/>
          <w:color w:val="auto"/>
        </w:rPr>
      </w:pPr>
    </w:p>
    <w:p>
      <w:pPr>
        <w:spacing w:after="0" w:line="336"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20"/>
          </w:cols>
          <w:pgMar w:left="360" w:top="787" w:right="219" w:bottom="1440" w:gutter="0" w:footer="0" w:header="0"/>
        </w:sectPr>
      </w:pPr>
    </w:p>
    <w:bookmarkStart w:id="38" w:name="page39"/>
    <w:bookmarkEnd w:id="3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262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26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0262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Schedule of Investments In and Advances To Affiliates</w:t>
      </w:r>
    </w:p>
    <w:tbl>
      <w:tblPr>
        <w:tblLayout w:type="fixed"/>
        <w:tblInd w:w="0" w:type="dxa"/>
        <w:tblCellMar>
          <w:top w:w="0" w:type="dxa"/>
          <w:left w:w="0" w:type="dxa"/>
          <w:bottom w:w="0" w:type="dxa"/>
          <w:right w:w="0" w:type="dxa"/>
        </w:tblCellMar>
      </w:tblPr>
      <w:tr>
        <w:trPr>
          <w:trHeight w:val="142"/>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60"/>
              <w:spacing w:after="0" w:line="142" w:lineRule="exact"/>
              <w:rPr>
                <w:sz w:val="20"/>
                <w:szCs w:val="20"/>
                <w:color w:val="auto"/>
              </w:rPr>
            </w:pPr>
            <w:r>
              <w:rPr>
                <w:rFonts w:ascii="Arial" w:cs="Arial" w:eastAsia="Arial" w:hAnsi="Arial"/>
                <w:sz w:val="13"/>
                <w:szCs w:val="13"/>
                <w:b w:val="1"/>
                <w:bCs w:val="1"/>
                <w:color w:val="auto"/>
                <w:w w:val="83"/>
              </w:rPr>
              <w:t>Purchases,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4"/>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spacing w:after="0" w:line="134" w:lineRule="exact"/>
              <w:rPr>
                <w:sz w:val="20"/>
                <w:szCs w:val="20"/>
                <w:color w:val="auto"/>
              </w:rPr>
            </w:pPr>
            <w:r>
              <w:rPr>
                <w:rFonts w:ascii="Arial" w:cs="Arial" w:eastAsia="Arial" w:hAnsi="Arial"/>
                <w:sz w:val="13"/>
                <w:szCs w:val="13"/>
                <w:b w:val="1"/>
                <w:bCs w:val="1"/>
                <w:color w:val="auto"/>
                <w:w w:val="99"/>
              </w:rPr>
              <w:t>Interest, Fees,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90"/>
              </w:rPr>
              <w:t>Capitalized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300"/>
              <w:spacing w:after="0" w:line="134" w:lineRule="exact"/>
              <w:rPr>
                <w:sz w:val="20"/>
                <w:szCs w:val="20"/>
                <w:color w:val="auto"/>
              </w:rPr>
            </w:pPr>
            <w:r>
              <w:rPr>
                <w:rFonts w:ascii="Arial" w:cs="Arial" w:eastAsia="Arial" w:hAnsi="Arial"/>
                <w:sz w:val="13"/>
                <w:szCs w:val="13"/>
                <w:b w:val="1"/>
                <w:bCs w:val="1"/>
                <w:color w:val="auto"/>
                <w:w w:val="86"/>
              </w:rPr>
              <w:t>Dividends</w:t>
            </w:r>
          </w:p>
        </w:tc>
        <w:tc>
          <w:tcPr>
            <w:tcW w:w="80" w:type="dxa"/>
            <w:vAlign w:val="bottom"/>
          </w:tcPr>
          <w:p>
            <w:pPr>
              <w:spacing w:after="0"/>
              <w:rPr>
                <w:sz w:val="11"/>
                <w:szCs w:val="11"/>
                <w:color w:val="auto"/>
              </w:rPr>
            </w:pPr>
          </w:p>
        </w:tc>
        <w:tc>
          <w:tcPr>
            <w:tcW w:w="7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28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78"/>
              </w:rPr>
              <w:t>Fees,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4" w:lineRule="exact"/>
              <w:rPr>
                <w:sz w:val="20"/>
                <w:szCs w:val="20"/>
                <w:color w:val="auto"/>
              </w:rPr>
            </w:pPr>
            <w:r>
              <w:rPr>
                <w:rFonts w:ascii="Arial" w:cs="Arial" w:eastAsia="Arial" w:hAnsi="Arial"/>
                <w:sz w:val="13"/>
                <w:szCs w:val="13"/>
                <w:b w:val="1"/>
                <w:bCs w:val="1"/>
                <w:color w:val="auto"/>
                <w:w w:val="90"/>
              </w:rPr>
              <w:t>Realized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22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262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700" w:type="dxa"/>
            <w:vAlign w:val="bottom"/>
          </w:tcPr>
          <w:p>
            <w:pPr>
              <w:jc w:val="right"/>
              <w:ind w:right="10"/>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80"/>
              <w:spacing w:after="0" w:line="134" w:lineRule="exact"/>
              <w:rPr>
                <w:sz w:val="20"/>
                <w:szCs w:val="20"/>
                <w:color w:val="auto"/>
              </w:rPr>
            </w:pPr>
            <w:r>
              <w:rPr>
                <w:rFonts w:ascii="Arial" w:cs="Arial" w:eastAsia="Arial" w:hAnsi="Arial"/>
                <w:sz w:val="13"/>
                <w:szCs w:val="13"/>
                <w:b w:val="1"/>
                <w:bCs w:val="1"/>
                <w:color w:val="auto"/>
                <w:w w:val="90"/>
              </w:rPr>
              <w:t>Credited</w:t>
            </w:r>
          </w:p>
        </w:tc>
        <w:tc>
          <w:tcPr>
            <w:tcW w:w="80" w:type="dxa"/>
            <w:vAlign w:val="bottom"/>
          </w:tcPr>
          <w:p>
            <w:pPr>
              <w:spacing w:after="0"/>
              <w:rPr>
                <w:sz w:val="11"/>
                <w:szCs w:val="11"/>
                <w:color w:val="auto"/>
              </w:rPr>
            </w:pPr>
          </w:p>
        </w:tc>
        <w:tc>
          <w:tcPr>
            <w:tcW w:w="7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December 31,</w:t>
            </w:r>
          </w:p>
        </w:tc>
        <w:tc>
          <w:tcPr>
            <w:tcW w:w="28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9"/>
              </w:rPr>
              <w:t>Interest and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8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7"/>
              </w:rPr>
              <w:t>September 30,</w:t>
            </w:r>
          </w:p>
        </w:tc>
        <w:tc>
          <w:tcPr>
            <w:tcW w:w="22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2620" w:type="dxa"/>
            <w:vAlign w:val="bottom"/>
            <w:gridSpan w:val="2"/>
          </w:tcPr>
          <w:p>
            <w:pPr>
              <w:ind w:left="20"/>
              <w:spacing w:after="0"/>
              <w:rPr>
                <w:sz w:val="20"/>
                <w:szCs w:val="20"/>
                <w:color w:val="auto"/>
              </w:rPr>
            </w:pPr>
            <w:r>
              <w:rPr>
                <w:rFonts w:ascii="Arial" w:cs="Arial" w:eastAsia="Arial" w:hAnsi="Arial"/>
                <w:sz w:val="13"/>
                <w:szCs w:val="13"/>
                <w:b w:val="1"/>
                <w:bCs w:val="1"/>
                <w:color w:val="auto"/>
              </w:rPr>
              <w:t>Company/Investment</w:t>
            </w:r>
          </w:p>
        </w:tc>
        <w:tc>
          <w:tcPr>
            <w:tcW w:w="700" w:type="dxa"/>
            <w:vAlign w:val="bottom"/>
          </w:tcPr>
          <w:p>
            <w:pPr>
              <w:jc w:val="right"/>
              <w:ind w:right="30"/>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8"/>
              </w:rPr>
              <w:t>in Income</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2"/>
              </w:rPr>
              <w:t>2016</w:t>
            </w:r>
          </w:p>
        </w:tc>
        <w:tc>
          <w:tcPr>
            <w:tcW w:w="28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ind w:left="4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5"/>
              </w:rPr>
              <w:t>(Losses)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78"/>
              </w:rPr>
              <w:t>(Losses)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2017</w:t>
            </w:r>
          </w:p>
        </w:tc>
        <w:tc>
          <w:tcPr>
            <w:tcW w:w="2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41"/>
        </w:trPr>
        <w:tc>
          <w:tcPr>
            <w:tcW w:w="2460" w:type="dxa"/>
            <w:vAlign w:val="bottom"/>
            <w:tcBorders>
              <w:top w:val="single" w:sz="8" w:color="auto"/>
            </w:tcBorders>
          </w:tcPr>
          <w:p>
            <w:pPr>
              <w:ind w:left="200"/>
              <w:spacing w:after="0" w:line="141" w:lineRule="exact"/>
              <w:rPr>
                <w:sz w:val="20"/>
                <w:szCs w:val="20"/>
                <w:color w:val="auto"/>
              </w:rPr>
            </w:pPr>
            <w:r>
              <w:rPr>
                <w:rFonts w:ascii="Arial" w:cs="Arial" w:eastAsia="Arial" w:hAnsi="Arial"/>
                <w:sz w:val="14"/>
                <w:szCs w:val="14"/>
                <w:i w:val="1"/>
                <w:iCs w:val="1"/>
                <w:color w:val="auto"/>
              </w:rPr>
              <w:t>Interactive Learning</w:t>
            </w: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r>
      <w:tr>
        <w:trPr>
          <w:trHeight w:val="169"/>
        </w:trPr>
        <w:tc>
          <w:tcPr>
            <w:tcW w:w="2620" w:type="dxa"/>
            <w:vAlign w:val="bottom"/>
            <w:gridSpan w:val="2"/>
            <w:shd w:val="clear" w:color="auto" w:fill="CCEEFF"/>
          </w:tcPr>
          <w:p>
            <w:pPr>
              <w:ind w:left="540"/>
              <w:spacing w:after="0" w:line="169" w:lineRule="exact"/>
              <w:rPr>
                <w:sz w:val="20"/>
                <w:szCs w:val="20"/>
                <w:color w:val="auto"/>
              </w:rPr>
            </w:pPr>
            <w:r>
              <w:rPr>
                <w:rFonts w:ascii="Arial" w:cs="Arial" w:eastAsia="Arial" w:hAnsi="Arial"/>
                <w:sz w:val="12"/>
                <w:szCs w:val="12"/>
                <w:color w:val="auto"/>
              </w:rPr>
              <w:t>StormWind, LLC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Preferred</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tcBorders>
              <w:left w:val="single" w:sz="8" w:color="CCEEFF"/>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48"/>
        </w:trPr>
        <w:tc>
          <w:tcPr>
            <w:tcW w:w="2620" w:type="dxa"/>
            <w:vAlign w:val="bottom"/>
            <w:gridSpan w:val="2"/>
            <w:shd w:val="clear" w:color="auto" w:fill="CCEEFF"/>
          </w:tcPr>
          <w:p>
            <w:pPr>
              <w:ind w:left="720"/>
              <w:spacing w:after="0" w:line="147" w:lineRule="exact"/>
              <w:rPr>
                <w:sz w:val="20"/>
                <w:szCs w:val="20"/>
                <w:color w:val="auto"/>
              </w:rPr>
            </w:pPr>
            <w:r>
              <w:rPr>
                <w:rFonts w:ascii="Arial" w:cs="Arial" w:eastAsia="Arial" w:hAnsi="Arial"/>
                <w:sz w:val="14"/>
                <w:szCs w:val="14"/>
                <w:color w:val="auto"/>
              </w:rPr>
              <w:t>shares,</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6"/>
        </w:trPr>
        <w:tc>
          <w:tcPr>
            <w:tcW w:w="26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Series C</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2,779,134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4,650,838</w:t>
            </w:r>
          </w:p>
        </w:tc>
        <w:tc>
          <w:tcPr>
            <w:tcW w:w="28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3,205,182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7,856,020</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3.75%</w:t>
            </w:r>
          </w:p>
        </w:tc>
      </w:tr>
      <w:tr>
        <w:trPr>
          <w:trHeight w:val="169"/>
        </w:trPr>
        <w:tc>
          <w:tcPr>
            <w:tcW w:w="2620" w:type="dxa"/>
            <w:vAlign w:val="bottom"/>
            <w:gridSpan w:val="2"/>
          </w:tcPr>
          <w:p>
            <w:pPr>
              <w:ind w:left="540"/>
              <w:spacing w:after="0" w:line="169" w:lineRule="exact"/>
              <w:rPr>
                <w:sz w:val="20"/>
                <w:szCs w:val="20"/>
                <w:color w:val="auto"/>
              </w:rPr>
            </w:pPr>
            <w:r>
              <w:rPr>
                <w:rFonts w:ascii="Arial" w:cs="Arial" w:eastAsia="Arial" w:hAnsi="Arial"/>
                <w:sz w:val="12"/>
                <w:szCs w:val="12"/>
                <w:color w:val="auto"/>
              </w:rPr>
              <w:t>StormWind, LLC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Preferred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20" w:type="dxa"/>
            <w:vAlign w:val="bottom"/>
            <w:gridSpan w:val="2"/>
          </w:tcPr>
          <w:p>
            <w:pPr>
              <w:ind w:left="720"/>
              <w:spacing w:after="0"/>
              <w:rPr>
                <w:sz w:val="20"/>
                <w:szCs w:val="20"/>
                <w:color w:val="auto"/>
              </w:rPr>
            </w:pPr>
            <w:r>
              <w:rPr>
                <w:rFonts w:ascii="Arial" w:cs="Arial" w:eastAsia="Arial" w:hAnsi="Arial"/>
                <w:sz w:val="14"/>
                <w:szCs w:val="14"/>
                <w:color w:val="auto"/>
              </w:rPr>
              <w:t>shares, Series B</w:t>
            </w:r>
          </w:p>
        </w:tc>
        <w:tc>
          <w:tcPr>
            <w:tcW w:w="700" w:type="dxa"/>
            <w:vAlign w:val="bottom"/>
          </w:tcPr>
          <w:p>
            <w:pPr>
              <w:jc w:val="right"/>
              <w:spacing w:after="0"/>
              <w:rPr>
                <w:sz w:val="20"/>
                <w:szCs w:val="20"/>
                <w:color w:val="auto"/>
              </w:rPr>
            </w:pPr>
            <w:r>
              <w:rPr>
                <w:rFonts w:ascii="Arial" w:cs="Arial" w:eastAsia="Arial" w:hAnsi="Arial"/>
                <w:sz w:val="14"/>
                <w:szCs w:val="14"/>
                <w:color w:val="auto"/>
              </w:rPr>
              <w:t>3,279,629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4,470,403</w:t>
            </w:r>
          </w:p>
        </w:tc>
        <w:tc>
          <w:tcPr>
            <w:tcW w:w="2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1,529,645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6,000,048</w:t>
            </w:r>
          </w:p>
        </w:tc>
        <w:tc>
          <w:tcPr>
            <w:tcW w:w="1040" w:type="dxa"/>
            <w:vAlign w:val="bottom"/>
            <w:gridSpan w:val="2"/>
          </w:tcPr>
          <w:p>
            <w:pPr>
              <w:jc w:val="right"/>
              <w:ind w:right="57"/>
              <w:spacing w:after="0"/>
              <w:rPr>
                <w:sz w:val="20"/>
                <w:szCs w:val="20"/>
                <w:color w:val="auto"/>
              </w:rPr>
            </w:pPr>
            <w:r>
              <w:rPr>
                <w:rFonts w:ascii="Arial" w:cs="Arial" w:eastAsia="Arial" w:hAnsi="Arial"/>
                <w:sz w:val="14"/>
                <w:szCs w:val="14"/>
                <w:color w:val="auto"/>
              </w:rPr>
              <w:t>2.86%</w:t>
            </w:r>
          </w:p>
        </w:tc>
      </w:tr>
      <w:tr>
        <w:trPr>
          <w:trHeight w:val="169"/>
        </w:trPr>
        <w:tc>
          <w:tcPr>
            <w:tcW w:w="2620" w:type="dxa"/>
            <w:vAlign w:val="bottom"/>
            <w:gridSpan w:val="2"/>
            <w:shd w:val="clear" w:color="auto" w:fill="CCEEFF"/>
          </w:tcPr>
          <w:p>
            <w:pPr>
              <w:ind w:left="540"/>
              <w:spacing w:after="0" w:line="169" w:lineRule="exact"/>
              <w:rPr>
                <w:sz w:val="20"/>
                <w:szCs w:val="20"/>
                <w:color w:val="auto"/>
              </w:rPr>
            </w:pPr>
            <w:r>
              <w:rPr>
                <w:rFonts w:ascii="Arial" w:cs="Arial" w:eastAsia="Arial" w:hAnsi="Arial"/>
                <w:sz w:val="12"/>
                <w:szCs w:val="12"/>
                <w:color w:val="auto"/>
              </w:rPr>
              <w:t>StormWind, LLC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Preferred</w:t>
            </w: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tcBorders>
              <w:left w:val="single" w:sz="8" w:color="CCEEFF"/>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6"/>
        </w:trPr>
        <w:tc>
          <w:tcPr>
            <w:tcW w:w="26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shares, Series A</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366,666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499,796</w:t>
            </w:r>
          </w:p>
        </w:tc>
        <w:tc>
          <w:tcPr>
            <w:tcW w:w="280" w:type="dxa"/>
            <w:vAlign w:val="bottom"/>
            <w:tcBorders>
              <w:left w:val="single" w:sz="8" w:color="CCEEFF"/>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8,945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508,741</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0.24%</w:t>
            </w:r>
          </w:p>
        </w:tc>
      </w:tr>
      <w:tr>
        <w:trPr>
          <w:trHeight w:val="20"/>
        </w:trPr>
        <w:tc>
          <w:tcPr>
            <w:tcW w:w="2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141"/>
        </w:trPr>
        <w:tc>
          <w:tcPr>
            <w:tcW w:w="2620" w:type="dxa"/>
            <w:vAlign w:val="bottom"/>
            <w:gridSpan w:val="2"/>
          </w:tcPr>
          <w:p>
            <w:pPr>
              <w:ind w:left="380"/>
              <w:spacing w:after="0" w:line="141" w:lineRule="exact"/>
              <w:rPr>
                <w:sz w:val="20"/>
                <w:szCs w:val="20"/>
                <w:color w:val="auto"/>
              </w:rPr>
            </w:pPr>
            <w:r>
              <w:rPr>
                <w:rFonts w:ascii="Arial" w:cs="Arial" w:eastAsia="Arial" w:hAnsi="Arial"/>
                <w:sz w:val="14"/>
                <w:szCs w:val="14"/>
                <w:i w:val="1"/>
                <w:iCs w:val="1"/>
                <w:color w:val="auto"/>
              </w:rPr>
              <w:t>Total Interactive Learning</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24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4"/>
                <w:szCs w:val="14"/>
                <w:color w:val="auto"/>
              </w:rPr>
              <w:t>9,621,037</w:t>
            </w:r>
          </w:p>
        </w:tc>
        <w:tc>
          <w:tcPr>
            <w:tcW w:w="280" w:type="dxa"/>
            <w:vAlign w:val="bottom"/>
          </w:tcPr>
          <w:p>
            <w:pPr>
              <w:spacing w:after="0"/>
              <w:rPr>
                <w:sz w:val="12"/>
                <w:szCs w:val="12"/>
                <w:color w:val="auto"/>
              </w:rPr>
            </w:pPr>
          </w:p>
        </w:tc>
        <w:tc>
          <w:tcPr>
            <w:tcW w:w="80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4,743,772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w w:val="99"/>
              </w:rPr>
              <w:t>14,364,809</w:t>
            </w:r>
          </w:p>
        </w:tc>
        <w:tc>
          <w:tcPr>
            <w:tcW w:w="1040" w:type="dxa"/>
            <w:vAlign w:val="bottom"/>
            <w:gridSpan w:val="2"/>
          </w:tcPr>
          <w:p>
            <w:pPr>
              <w:jc w:val="right"/>
              <w:ind w:right="57"/>
              <w:spacing w:after="0" w:line="141" w:lineRule="exact"/>
              <w:rPr>
                <w:sz w:val="20"/>
                <w:szCs w:val="20"/>
                <w:color w:val="auto"/>
              </w:rPr>
            </w:pPr>
            <w:r>
              <w:rPr>
                <w:rFonts w:ascii="Arial" w:cs="Arial" w:eastAsia="Arial" w:hAnsi="Arial"/>
                <w:sz w:val="14"/>
                <w:szCs w:val="14"/>
                <w:color w:val="auto"/>
              </w:rPr>
              <w:t>6.85%</w:t>
            </w:r>
          </w:p>
        </w:tc>
      </w:tr>
      <w:tr>
        <w:trPr>
          <w:trHeight w:val="148"/>
        </w:trPr>
        <w:tc>
          <w:tcPr>
            <w:tcW w:w="262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Total Preferred Stock</w:t>
            </w:r>
          </w:p>
        </w:tc>
        <w:tc>
          <w:tcPr>
            <w:tcW w:w="7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475,000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18,035,816</w:t>
            </w:r>
          </w:p>
        </w:tc>
        <w:tc>
          <w:tcPr>
            <w:tcW w:w="280" w:type="dxa"/>
            <w:vAlign w:val="bottom"/>
            <w:tcBorders>
              <w:left w:val="single" w:sz="8" w:color="CCEEFF"/>
              <w:right w:val="single" w:sz="8" w:color="CCEEFF"/>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5,537,594</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23,573,410</w:t>
            </w:r>
          </w:p>
        </w:tc>
        <w:tc>
          <w:tcPr>
            <w:tcW w:w="1040" w:type="dxa"/>
            <w:vAlign w:val="bottom"/>
            <w:tcBorders>
              <w:left w:val="single" w:sz="8" w:color="CCEEFF"/>
            </w:tcBorders>
            <w:gridSpan w:val="2"/>
            <w:shd w:val="clear" w:color="auto" w:fill="CCEEFF"/>
          </w:tcPr>
          <w:p>
            <w:pPr>
              <w:jc w:val="right"/>
              <w:ind w:right="57"/>
              <w:spacing w:after="0" w:line="147" w:lineRule="exact"/>
              <w:rPr>
                <w:sz w:val="20"/>
                <w:szCs w:val="20"/>
                <w:color w:val="auto"/>
              </w:rPr>
            </w:pPr>
            <w:r>
              <w:rPr>
                <w:rFonts w:ascii="Arial" w:cs="Arial" w:eastAsia="Arial" w:hAnsi="Arial"/>
                <w:sz w:val="14"/>
                <w:szCs w:val="14"/>
                <w:color w:val="auto"/>
              </w:rPr>
              <w:t>11.25%</w:t>
            </w:r>
          </w:p>
        </w:tc>
      </w:tr>
      <w:tr>
        <w:trPr>
          <w:trHeight w:val="148"/>
        </w:trPr>
        <w:tc>
          <w:tcPr>
            <w:tcW w:w="26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Warrants</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262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Global Innovation Platform</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29"/>
        </w:trPr>
        <w:tc>
          <w:tcPr>
            <w:tcW w:w="2620" w:type="dxa"/>
            <w:vAlign w:val="bottom"/>
            <w:gridSpan w:val="2"/>
          </w:tcPr>
          <w:p>
            <w:pPr>
              <w:ind w:left="540"/>
              <w:spacing w:after="0" w:line="129" w:lineRule="exact"/>
              <w:rPr>
                <w:sz w:val="20"/>
                <w:szCs w:val="20"/>
                <w:color w:val="auto"/>
              </w:rPr>
            </w:pPr>
            <w:r>
              <w:rPr>
                <w:rFonts w:ascii="Arial" w:cs="Arial" w:eastAsia="Arial" w:hAnsi="Arial"/>
                <w:sz w:val="14"/>
                <w:szCs w:val="14"/>
                <w:color w:val="auto"/>
              </w:rPr>
              <w:t>NestGSV, Inc.</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8"/>
        </w:trPr>
        <w:tc>
          <w:tcPr>
            <w:tcW w:w="2620" w:type="dxa"/>
            <w:vAlign w:val="bottom"/>
            <w:gridSpan w:val="2"/>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2620" w:type="dxa"/>
            <w:vAlign w:val="bottom"/>
            <w:gridSpan w:val="2"/>
          </w:tcPr>
          <w:p>
            <w:pPr>
              <w:ind w:left="760"/>
              <w:spacing w:after="0" w:line="147" w:lineRule="exact"/>
              <w:rPr>
                <w:sz w:val="20"/>
                <w:szCs w:val="20"/>
                <w:color w:val="auto"/>
              </w:rPr>
            </w:pPr>
            <w:r>
              <w:rPr>
                <w:rFonts w:ascii="Arial" w:cs="Arial" w:eastAsia="Arial" w:hAnsi="Arial"/>
                <w:sz w:val="14"/>
                <w:szCs w:val="14"/>
                <w:color w:val="auto"/>
              </w:rPr>
              <w:t>Preferred Warrant Series A-</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2620" w:type="dxa"/>
            <w:vAlign w:val="bottom"/>
            <w:gridSpan w:val="2"/>
          </w:tcPr>
          <w:p>
            <w:pPr>
              <w:ind w:left="720"/>
              <w:spacing w:after="0" w:line="147" w:lineRule="exact"/>
              <w:rPr>
                <w:sz w:val="20"/>
                <w:szCs w:val="20"/>
                <w:color w:val="auto"/>
              </w:rPr>
            </w:pPr>
            <w:r>
              <w:rPr>
                <w:rFonts w:ascii="Arial" w:cs="Arial" w:eastAsia="Arial" w:hAnsi="Arial"/>
                <w:sz w:val="14"/>
                <w:szCs w:val="14"/>
                <w:color w:val="auto"/>
              </w:rPr>
              <w:t>3 – Strike Price $1.33,</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2620" w:type="dxa"/>
            <w:vAlign w:val="bottom"/>
            <w:gridSpan w:val="2"/>
          </w:tcPr>
          <w:p>
            <w:pPr>
              <w:ind w:left="720"/>
              <w:spacing w:after="0" w:line="147" w:lineRule="exact"/>
              <w:rPr>
                <w:sz w:val="20"/>
                <w:szCs w:val="20"/>
                <w:color w:val="auto"/>
              </w:rPr>
            </w:pPr>
            <w:r>
              <w:rPr>
                <w:rFonts w:ascii="Arial" w:cs="Arial" w:eastAsia="Arial" w:hAnsi="Arial"/>
                <w:sz w:val="14"/>
                <w:szCs w:val="14"/>
                <w:color w:val="auto"/>
              </w:rPr>
              <w:t>Expiration Date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6"/>
        </w:trPr>
        <w:tc>
          <w:tcPr>
            <w:tcW w:w="2460" w:type="dxa"/>
            <w:vAlign w:val="bottom"/>
          </w:tcPr>
          <w:p>
            <w:pPr>
              <w:ind w:left="720"/>
              <w:spacing w:after="0"/>
              <w:rPr>
                <w:sz w:val="20"/>
                <w:szCs w:val="20"/>
                <w:color w:val="auto"/>
              </w:rPr>
            </w:pPr>
            <w:r>
              <w:rPr>
                <w:rFonts w:ascii="Arial" w:cs="Arial" w:eastAsia="Arial" w:hAnsi="Arial"/>
                <w:sz w:val="14"/>
                <w:szCs w:val="14"/>
                <w:color w:val="auto"/>
              </w:rPr>
              <w:t>4/4/2019</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187,500</w:t>
            </w:r>
          </w:p>
        </w:tc>
        <w:tc>
          <w:tcPr>
            <w:tcW w:w="30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5,625</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7,500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13,125</w:t>
            </w:r>
          </w:p>
        </w:tc>
        <w:tc>
          <w:tcPr>
            <w:tcW w:w="1040" w:type="dxa"/>
            <w:vAlign w:val="bottom"/>
            <w:gridSpan w:val="2"/>
          </w:tcPr>
          <w:p>
            <w:pPr>
              <w:jc w:val="right"/>
              <w:ind w:right="57"/>
              <w:spacing w:after="0"/>
              <w:rPr>
                <w:sz w:val="20"/>
                <w:szCs w:val="20"/>
                <w:color w:val="auto"/>
              </w:rPr>
            </w:pPr>
            <w:r>
              <w:rPr>
                <w:rFonts w:ascii="Arial" w:cs="Arial" w:eastAsia="Arial" w:hAnsi="Arial"/>
                <w:sz w:val="14"/>
                <w:szCs w:val="14"/>
                <w:color w:val="auto"/>
              </w:rPr>
              <w:t>0.01%</w:t>
            </w:r>
          </w:p>
        </w:tc>
      </w:tr>
      <w:tr>
        <w:trPr>
          <w:trHeight w:val="129"/>
        </w:trPr>
        <w:tc>
          <w:tcPr>
            <w:tcW w:w="2620" w:type="dxa"/>
            <w:vAlign w:val="bottom"/>
            <w:gridSpan w:val="2"/>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tcBorders>
              <w:left w:val="single" w:sz="8" w:color="CCEEFF"/>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8"/>
        </w:trPr>
        <w:tc>
          <w:tcPr>
            <w:tcW w:w="2620" w:type="dxa"/>
            <w:vAlign w:val="bottom"/>
            <w:gridSpan w:val="2"/>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2620" w:type="dxa"/>
            <w:vAlign w:val="bottom"/>
            <w:gridSpan w:val="2"/>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 Warrant Series A-</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2620" w:type="dxa"/>
            <w:vAlign w:val="bottom"/>
            <w:gridSpan w:val="2"/>
            <w:shd w:val="clear" w:color="auto" w:fill="CCEEFF"/>
          </w:tcPr>
          <w:p>
            <w:pPr>
              <w:ind w:left="720"/>
              <w:spacing w:after="0" w:line="147" w:lineRule="exact"/>
              <w:rPr>
                <w:sz w:val="20"/>
                <w:szCs w:val="20"/>
                <w:color w:val="auto"/>
              </w:rPr>
            </w:pPr>
            <w:r>
              <w:rPr>
                <w:rFonts w:ascii="Arial" w:cs="Arial" w:eastAsia="Arial" w:hAnsi="Arial"/>
                <w:sz w:val="14"/>
                <w:szCs w:val="14"/>
                <w:color w:val="auto"/>
              </w:rPr>
              <w:t>4 – Strike Price $1.33,</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2620" w:type="dxa"/>
            <w:vAlign w:val="bottom"/>
            <w:gridSpan w:val="2"/>
            <w:shd w:val="clear" w:color="auto" w:fill="CCEEFF"/>
          </w:tcPr>
          <w:p>
            <w:pPr>
              <w:ind w:left="720"/>
              <w:spacing w:after="0" w:line="147" w:lineRule="exact"/>
              <w:rPr>
                <w:sz w:val="20"/>
                <w:szCs w:val="20"/>
                <w:color w:val="auto"/>
              </w:rPr>
            </w:pPr>
            <w:r>
              <w:rPr>
                <w:rFonts w:ascii="Arial" w:cs="Arial" w:eastAsia="Arial" w:hAnsi="Arial"/>
                <w:sz w:val="14"/>
                <w:szCs w:val="14"/>
                <w:color w:val="auto"/>
              </w:rPr>
              <w:t>Expiration Date</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6"/>
        </w:trPr>
        <w:tc>
          <w:tcPr>
            <w:tcW w:w="2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10/6/2019</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280" w:type="dxa"/>
            <w:vAlign w:val="bottom"/>
            <w:tcBorders>
              <w:left w:val="single" w:sz="8" w:color="CCEEFF"/>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165,000</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0.08%</w:t>
            </w:r>
          </w:p>
        </w:tc>
      </w:tr>
      <w:tr>
        <w:trPr>
          <w:trHeight w:val="129"/>
        </w:trPr>
        <w:tc>
          <w:tcPr>
            <w:tcW w:w="2620" w:type="dxa"/>
            <w:vAlign w:val="bottom"/>
            <w:gridSpan w:val="2"/>
          </w:tcPr>
          <w:p>
            <w:pPr>
              <w:ind w:left="540"/>
              <w:spacing w:after="0" w:line="129" w:lineRule="exact"/>
              <w:rPr>
                <w:sz w:val="20"/>
                <w:szCs w:val="20"/>
                <w:color w:val="auto"/>
              </w:rPr>
            </w:pPr>
            <w:r>
              <w:rPr>
                <w:rFonts w:ascii="Arial" w:cs="Arial" w:eastAsia="Arial" w:hAnsi="Arial"/>
                <w:sz w:val="14"/>
                <w:szCs w:val="14"/>
                <w:color w:val="auto"/>
              </w:rPr>
              <w:t>NestGSV, Inc.</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8"/>
        </w:trPr>
        <w:tc>
          <w:tcPr>
            <w:tcW w:w="2620" w:type="dxa"/>
            <w:vAlign w:val="bottom"/>
            <w:gridSpan w:val="2"/>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2620" w:type="dxa"/>
            <w:vAlign w:val="bottom"/>
            <w:gridSpan w:val="2"/>
          </w:tcPr>
          <w:p>
            <w:pPr>
              <w:ind w:left="760"/>
              <w:spacing w:after="0" w:line="147" w:lineRule="exact"/>
              <w:rPr>
                <w:sz w:val="20"/>
                <w:szCs w:val="20"/>
                <w:color w:val="auto"/>
              </w:rPr>
            </w:pPr>
            <w:r>
              <w:rPr>
                <w:rFonts w:ascii="Arial" w:cs="Arial" w:eastAsia="Arial" w:hAnsi="Arial"/>
                <w:sz w:val="14"/>
                <w:szCs w:val="14"/>
                <w:color w:val="auto"/>
              </w:rPr>
              <w:t>Preferred Warrant Series A-</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2620" w:type="dxa"/>
            <w:vAlign w:val="bottom"/>
            <w:gridSpan w:val="2"/>
          </w:tcPr>
          <w:p>
            <w:pPr>
              <w:ind w:left="720"/>
              <w:spacing w:after="0" w:line="147" w:lineRule="exact"/>
              <w:rPr>
                <w:sz w:val="20"/>
                <w:szCs w:val="20"/>
                <w:color w:val="auto"/>
              </w:rPr>
            </w:pPr>
            <w:r>
              <w:rPr>
                <w:rFonts w:ascii="Arial" w:cs="Arial" w:eastAsia="Arial" w:hAnsi="Arial"/>
                <w:sz w:val="14"/>
                <w:szCs w:val="14"/>
                <w:color w:val="auto"/>
              </w:rPr>
              <w:t>4 – Strike Price $1.33,</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66"/>
        </w:trPr>
        <w:tc>
          <w:tcPr>
            <w:tcW w:w="2620" w:type="dxa"/>
            <w:vAlign w:val="bottom"/>
            <w:gridSpan w:val="2"/>
          </w:tcPr>
          <w:p>
            <w:pPr>
              <w:ind w:left="720"/>
              <w:spacing w:after="0"/>
              <w:rPr>
                <w:sz w:val="20"/>
                <w:szCs w:val="20"/>
                <w:color w:val="auto"/>
              </w:rPr>
            </w:pPr>
            <w:r>
              <w:rPr>
                <w:rFonts w:ascii="Arial" w:cs="Arial" w:eastAsia="Arial" w:hAnsi="Arial"/>
                <w:sz w:val="14"/>
                <w:szCs w:val="14"/>
                <w:color w:val="auto"/>
              </w:rPr>
              <w:t>Expiration Date 7/18/2021</w:t>
            </w:r>
          </w:p>
        </w:tc>
        <w:tc>
          <w:tcPr>
            <w:tcW w:w="700" w:type="dxa"/>
            <w:vAlign w:val="bottom"/>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22,500</w:t>
            </w:r>
          </w:p>
        </w:tc>
        <w:tc>
          <w:tcPr>
            <w:tcW w:w="2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77,500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100,000</w:t>
            </w:r>
          </w:p>
        </w:tc>
        <w:tc>
          <w:tcPr>
            <w:tcW w:w="1040" w:type="dxa"/>
            <w:vAlign w:val="bottom"/>
            <w:gridSpan w:val="2"/>
          </w:tcPr>
          <w:p>
            <w:pPr>
              <w:jc w:val="right"/>
              <w:ind w:right="57"/>
              <w:spacing w:after="0"/>
              <w:rPr>
                <w:sz w:val="20"/>
                <w:szCs w:val="20"/>
                <w:color w:val="auto"/>
              </w:rPr>
            </w:pPr>
            <w:r>
              <w:rPr>
                <w:rFonts w:ascii="Arial" w:cs="Arial" w:eastAsia="Arial" w:hAnsi="Arial"/>
                <w:sz w:val="14"/>
                <w:szCs w:val="14"/>
                <w:color w:val="auto"/>
              </w:rPr>
              <w:t>0.05%</w:t>
            </w:r>
          </w:p>
        </w:tc>
      </w:tr>
      <w:tr>
        <w:trPr>
          <w:trHeight w:val="129"/>
        </w:trPr>
        <w:tc>
          <w:tcPr>
            <w:tcW w:w="2620" w:type="dxa"/>
            <w:vAlign w:val="bottom"/>
            <w:gridSpan w:val="2"/>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tcBorders>
              <w:left w:val="single" w:sz="8" w:color="CCEEFF"/>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8"/>
        </w:trPr>
        <w:tc>
          <w:tcPr>
            <w:tcW w:w="2620" w:type="dxa"/>
            <w:vAlign w:val="bottom"/>
            <w:gridSpan w:val="2"/>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2620" w:type="dxa"/>
            <w:vAlign w:val="bottom"/>
            <w:gridSpan w:val="2"/>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 Warrant Series A-</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2620" w:type="dxa"/>
            <w:vAlign w:val="bottom"/>
            <w:gridSpan w:val="2"/>
            <w:shd w:val="clear" w:color="auto" w:fill="CCEEFF"/>
          </w:tcPr>
          <w:p>
            <w:pPr>
              <w:ind w:left="720"/>
              <w:spacing w:after="0" w:line="147" w:lineRule="exact"/>
              <w:rPr>
                <w:sz w:val="20"/>
                <w:szCs w:val="20"/>
                <w:color w:val="auto"/>
              </w:rPr>
            </w:pPr>
            <w:r>
              <w:rPr>
                <w:rFonts w:ascii="Arial" w:cs="Arial" w:eastAsia="Arial" w:hAnsi="Arial"/>
                <w:sz w:val="14"/>
                <w:szCs w:val="14"/>
                <w:color w:val="auto"/>
              </w:rPr>
              <w:t>4 – Strike Price $1.33,</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2620" w:type="dxa"/>
            <w:vAlign w:val="bottom"/>
            <w:gridSpan w:val="2"/>
            <w:shd w:val="clear" w:color="auto" w:fill="CCEEFF"/>
          </w:tcPr>
          <w:p>
            <w:pPr>
              <w:ind w:left="720"/>
              <w:spacing w:after="0" w:line="147" w:lineRule="exact"/>
              <w:rPr>
                <w:sz w:val="20"/>
                <w:szCs w:val="20"/>
                <w:color w:val="auto"/>
              </w:rPr>
            </w:pPr>
            <w:r>
              <w:rPr>
                <w:rFonts w:ascii="Arial" w:cs="Arial" w:eastAsia="Arial" w:hAnsi="Arial"/>
                <w:sz w:val="14"/>
                <w:szCs w:val="14"/>
                <w:color w:val="auto"/>
              </w:rPr>
              <w:t>Expiration Date</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6"/>
        </w:trPr>
        <w:tc>
          <w:tcPr>
            <w:tcW w:w="2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11/29/2021</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280" w:type="dxa"/>
            <w:vAlign w:val="bottom"/>
            <w:tcBorders>
              <w:left w:val="single" w:sz="8" w:color="CCEEFF"/>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0.02%</w:t>
            </w:r>
          </w:p>
        </w:tc>
      </w:tr>
      <w:tr>
        <w:trPr>
          <w:trHeight w:val="129"/>
        </w:trPr>
        <w:tc>
          <w:tcPr>
            <w:tcW w:w="2620" w:type="dxa"/>
            <w:vAlign w:val="bottom"/>
            <w:gridSpan w:val="2"/>
          </w:tcPr>
          <w:p>
            <w:pPr>
              <w:ind w:left="540"/>
              <w:spacing w:after="0" w:line="129" w:lineRule="exact"/>
              <w:rPr>
                <w:sz w:val="20"/>
                <w:szCs w:val="20"/>
                <w:color w:val="auto"/>
              </w:rPr>
            </w:pPr>
            <w:r>
              <w:rPr>
                <w:rFonts w:ascii="Arial" w:cs="Arial" w:eastAsia="Arial" w:hAnsi="Arial"/>
                <w:sz w:val="14"/>
                <w:szCs w:val="14"/>
                <w:color w:val="auto"/>
              </w:rPr>
              <w:t>NestGSV, Inc.</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8"/>
        </w:trPr>
        <w:tc>
          <w:tcPr>
            <w:tcW w:w="2620" w:type="dxa"/>
            <w:vAlign w:val="bottom"/>
            <w:gridSpan w:val="2"/>
          </w:tcPr>
          <w:p>
            <w:pPr>
              <w:ind w:left="720"/>
              <w:spacing w:after="0" w:line="147" w:lineRule="exact"/>
              <w:rPr>
                <w:sz w:val="20"/>
                <w:szCs w:val="20"/>
                <w:color w:val="auto"/>
              </w:rPr>
            </w:pPr>
            <w:r>
              <w:rPr>
                <w:rFonts w:ascii="Arial" w:cs="Arial" w:eastAsia="Arial" w:hAnsi="Arial"/>
                <w:sz w:val="14"/>
                <w:szCs w:val="14"/>
                <w:color w:val="auto"/>
              </w:rPr>
              <w:t>(d/b/a GSV Labs, Inc.)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2620" w:type="dxa"/>
            <w:vAlign w:val="bottom"/>
            <w:gridSpan w:val="2"/>
          </w:tcPr>
          <w:p>
            <w:pPr>
              <w:ind w:left="760"/>
              <w:spacing w:after="0" w:line="147" w:lineRule="exact"/>
              <w:rPr>
                <w:sz w:val="20"/>
                <w:szCs w:val="20"/>
                <w:color w:val="auto"/>
              </w:rPr>
            </w:pPr>
            <w:r>
              <w:rPr>
                <w:rFonts w:ascii="Arial" w:cs="Arial" w:eastAsia="Arial" w:hAnsi="Arial"/>
                <w:sz w:val="14"/>
                <w:szCs w:val="14"/>
                <w:color w:val="auto"/>
              </w:rPr>
              <w:t>Preferred Warrant Series B –</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7"/>
        </w:trPr>
        <w:tc>
          <w:tcPr>
            <w:tcW w:w="2620" w:type="dxa"/>
            <w:vAlign w:val="bottom"/>
            <w:gridSpan w:val="2"/>
          </w:tcPr>
          <w:p>
            <w:pPr>
              <w:ind w:left="760"/>
              <w:spacing w:after="0" w:line="157" w:lineRule="exact"/>
              <w:rPr>
                <w:sz w:val="20"/>
                <w:szCs w:val="20"/>
                <w:color w:val="auto"/>
              </w:rPr>
            </w:pPr>
            <w:r>
              <w:rPr>
                <w:rFonts w:ascii="Arial" w:cs="Arial" w:eastAsia="Arial" w:hAnsi="Arial"/>
                <w:sz w:val="14"/>
                <w:szCs w:val="14"/>
                <w:color w:val="auto"/>
              </w:rPr>
              <w:t>Strike Price $2.31, Expiration</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97"/>
        </w:trPr>
        <w:tc>
          <w:tcPr>
            <w:tcW w:w="2620" w:type="dxa"/>
            <w:vAlign w:val="bottom"/>
            <w:gridSpan w:val="2"/>
          </w:tcPr>
          <w:p>
            <w:pPr>
              <w:ind w:left="720"/>
              <w:spacing w:after="0" w:line="197" w:lineRule="exact"/>
              <w:rPr>
                <w:sz w:val="20"/>
                <w:szCs w:val="20"/>
                <w:color w:val="auto"/>
              </w:rPr>
            </w:pPr>
            <w:r>
              <w:rPr>
                <w:rFonts w:ascii="Arial" w:cs="Arial" w:eastAsia="Arial" w:hAnsi="Arial"/>
                <w:sz w:val="14"/>
                <w:szCs w:val="14"/>
                <w:color w:val="auto"/>
              </w:rPr>
              <w:t>Date 5/29/2022</w:t>
            </w:r>
            <w:r>
              <w:rPr>
                <w:rFonts w:ascii="Arial" w:cs="Arial" w:eastAsia="Arial" w:hAnsi="Arial"/>
                <w:sz w:val="22"/>
                <w:szCs w:val="22"/>
                <w:color w:val="auto"/>
                <w:vertAlign w:val="superscript"/>
              </w:rPr>
              <w:t>(4)</w:t>
            </w:r>
          </w:p>
        </w:tc>
        <w:tc>
          <w:tcPr>
            <w:tcW w:w="700" w:type="dxa"/>
            <w:vAlign w:val="bottom"/>
          </w:tcPr>
          <w:p>
            <w:pPr>
              <w:jc w:val="right"/>
              <w:spacing w:after="0"/>
              <w:rPr>
                <w:sz w:val="20"/>
                <w:szCs w:val="20"/>
                <w:color w:val="auto"/>
              </w:rPr>
            </w:pPr>
            <w:r>
              <w:rPr>
                <w:rFonts w:ascii="Arial" w:cs="Arial" w:eastAsia="Arial" w:hAnsi="Arial"/>
                <w:sz w:val="14"/>
                <w:szCs w:val="14"/>
                <w:color w:val="auto"/>
              </w:rPr>
              <w:t>125,000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70,379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10,871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81,250</w:t>
            </w:r>
          </w:p>
        </w:tc>
        <w:tc>
          <w:tcPr>
            <w:tcW w:w="1040" w:type="dxa"/>
            <w:vAlign w:val="bottom"/>
            <w:gridSpan w:val="2"/>
          </w:tcPr>
          <w:p>
            <w:pPr>
              <w:jc w:val="right"/>
              <w:ind w:right="57"/>
              <w:spacing w:after="0"/>
              <w:rPr>
                <w:sz w:val="20"/>
                <w:szCs w:val="20"/>
                <w:color w:val="auto"/>
              </w:rPr>
            </w:pPr>
            <w:r>
              <w:rPr>
                <w:rFonts w:ascii="Arial" w:cs="Arial" w:eastAsia="Arial" w:hAnsi="Arial"/>
                <w:sz w:val="14"/>
                <w:szCs w:val="14"/>
                <w:color w:val="auto"/>
              </w:rPr>
              <w:t>0.04%</w:t>
            </w: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1"/>
        </w:trPr>
        <w:tc>
          <w:tcPr>
            <w:tcW w:w="2620" w:type="dxa"/>
            <w:vAlign w:val="bottom"/>
            <w:gridSpan w:val="2"/>
            <w:shd w:val="clear" w:color="auto" w:fill="CCEEFF"/>
          </w:tcPr>
          <w:p>
            <w:pPr>
              <w:ind w:left="380"/>
              <w:spacing w:after="0" w:line="141" w:lineRule="exact"/>
              <w:rPr>
                <w:sz w:val="20"/>
                <w:szCs w:val="20"/>
                <w:color w:val="auto"/>
              </w:rPr>
            </w:pPr>
            <w:r>
              <w:rPr>
                <w:rFonts w:ascii="Arial" w:cs="Arial" w:eastAsia="Arial" w:hAnsi="Arial"/>
                <w:sz w:val="14"/>
                <w:szCs w:val="14"/>
                <w:i w:val="1"/>
                <w:iCs w:val="1"/>
                <w:color w:val="auto"/>
              </w:rPr>
              <w:t>Total Global Innovation Platform</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4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77,125</w:t>
            </w: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70,379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251,871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399,375</w:t>
            </w:r>
          </w:p>
        </w:tc>
        <w:tc>
          <w:tcPr>
            <w:tcW w:w="1040" w:type="dxa"/>
            <w:vAlign w:val="bottom"/>
            <w:tcBorders>
              <w:left w:val="single" w:sz="8" w:color="CCEEFF"/>
            </w:tcBorders>
            <w:gridSpan w:val="2"/>
            <w:shd w:val="clear" w:color="auto" w:fill="CCEEFF"/>
          </w:tcPr>
          <w:p>
            <w:pPr>
              <w:jc w:val="right"/>
              <w:ind w:right="57"/>
              <w:spacing w:after="0" w:line="141" w:lineRule="exact"/>
              <w:rPr>
                <w:sz w:val="20"/>
                <w:szCs w:val="20"/>
                <w:color w:val="auto"/>
              </w:rPr>
            </w:pPr>
            <w:r>
              <w:rPr>
                <w:rFonts w:ascii="Arial" w:cs="Arial" w:eastAsia="Arial" w:hAnsi="Arial"/>
                <w:sz w:val="14"/>
                <w:szCs w:val="14"/>
                <w:color w:val="auto"/>
              </w:rPr>
              <w:t>0.20%</w:t>
            </w:r>
          </w:p>
        </w:tc>
      </w:tr>
      <w:tr>
        <w:trPr>
          <w:trHeight w:val="148"/>
        </w:trPr>
        <w:tc>
          <w:tcPr>
            <w:tcW w:w="26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Total Warrants</w:t>
            </w:r>
          </w:p>
        </w:tc>
        <w:tc>
          <w:tcPr>
            <w:tcW w:w="700" w:type="dxa"/>
            <w:vAlign w:val="bottom"/>
          </w:tcPr>
          <w:p>
            <w:pPr>
              <w:spacing w:after="0"/>
              <w:rPr>
                <w:sz w:val="12"/>
                <w:szCs w:val="12"/>
                <w:color w:val="auto"/>
              </w:rPr>
            </w:pPr>
          </w:p>
        </w:tc>
        <w:tc>
          <w:tcPr>
            <w:tcW w:w="30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4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77,125</w:t>
            </w:r>
          </w:p>
        </w:tc>
        <w:tc>
          <w:tcPr>
            <w:tcW w:w="2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70,379</w:t>
            </w:r>
          </w:p>
        </w:tc>
        <w:tc>
          <w:tcPr>
            <w:tcW w:w="2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251,871</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7" w:lineRule="exact"/>
              <w:rPr>
                <w:sz w:val="20"/>
                <w:szCs w:val="20"/>
                <w:color w:val="auto"/>
              </w:rPr>
            </w:pPr>
            <w:r>
              <w:rPr>
                <w:rFonts w:ascii="Arial" w:cs="Arial" w:eastAsia="Arial" w:hAnsi="Arial"/>
                <w:sz w:val="14"/>
                <w:szCs w:val="14"/>
                <w:color w:val="auto"/>
              </w:rPr>
              <w:t>399,375</w:t>
            </w:r>
          </w:p>
        </w:tc>
        <w:tc>
          <w:tcPr>
            <w:tcW w:w="1040" w:type="dxa"/>
            <w:vAlign w:val="bottom"/>
            <w:gridSpan w:val="2"/>
          </w:tcPr>
          <w:p>
            <w:pPr>
              <w:jc w:val="right"/>
              <w:ind w:right="57"/>
              <w:spacing w:after="0" w:line="147" w:lineRule="exact"/>
              <w:rPr>
                <w:sz w:val="20"/>
                <w:szCs w:val="20"/>
                <w:color w:val="auto"/>
              </w:rPr>
            </w:pPr>
            <w:r>
              <w:rPr>
                <w:rFonts w:ascii="Arial" w:cs="Arial" w:eastAsia="Arial" w:hAnsi="Arial"/>
                <w:sz w:val="14"/>
                <w:szCs w:val="14"/>
                <w:color w:val="auto"/>
              </w:rPr>
              <w:t>0.20%</w:t>
            </w:r>
          </w:p>
        </w:tc>
      </w:tr>
      <w:tr>
        <w:trPr>
          <w:trHeight w:val="148"/>
        </w:trPr>
        <w:tc>
          <w:tcPr>
            <w:tcW w:w="262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Common Stock</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2620" w:type="dxa"/>
            <w:vAlign w:val="bottom"/>
            <w:gridSpan w:val="2"/>
          </w:tcPr>
          <w:p>
            <w:pPr>
              <w:ind w:left="200"/>
              <w:spacing w:after="0" w:line="147" w:lineRule="exact"/>
              <w:rPr>
                <w:sz w:val="20"/>
                <w:szCs w:val="20"/>
                <w:color w:val="auto"/>
              </w:rPr>
            </w:pPr>
            <w:r>
              <w:rPr>
                <w:rFonts w:ascii="Arial" w:cs="Arial" w:eastAsia="Arial" w:hAnsi="Arial"/>
                <w:sz w:val="14"/>
                <w:szCs w:val="14"/>
                <w:i w:val="1"/>
                <w:iCs w:val="1"/>
                <w:color w:val="auto"/>
              </w:rPr>
              <w:t>Clean Technology</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29"/>
        </w:trPr>
        <w:tc>
          <w:tcPr>
            <w:tcW w:w="2620" w:type="dxa"/>
            <w:vAlign w:val="bottom"/>
            <w:gridSpan w:val="2"/>
            <w:shd w:val="clear" w:color="auto" w:fill="CCEEFF"/>
          </w:tcPr>
          <w:p>
            <w:pPr>
              <w:ind w:left="540"/>
              <w:spacing w:after="0" w:line="129" w:lineRule="exact"/>
              <w:rPr>
                <w:sz w:val="20"/>
                <w:szCs w:val="20"/>
                <w:color w:val="auto"/>
              </w:rPr>
            </w:pPr>
            <w:r>
              <w:rPr>
                <w:rFonts w:ascii="Arial" w:cs="Arial" w:eastAsia="Arial" w:hAnsi="Arial"/>
                <w:sz w:val="14"/>
                <w:szCs w:val="14"/>
                <w:color w:val="auto"/>
              </w:rPr>
              <w:t>SPBRX, INC.</w:t>
            </w: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tcBorders>
              <w:left w:val="single" w:sz="8" w:color="CCEEFF"/>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8"/>
        </w:trPr>
        <w:tc>
          <w:tcPr>
            <w:tcW w:w="2620" w:type="dxa"/>
            <w:vAlign w:val="bottom"/>
            <w:gridSpan w:val="2"/>
            <w:shd w:val="clear" w:color="auto" w:fill="CCEEFF"/>
          </w:tcPr>
          <w:p>
            <w:pPr>
              <w:ind w:left="720"/>
              <w:spacing w:after="0" w:line="147" w:lineRule="exact"/>
              <w:rPr>
                <w:sz w:val="20"/>
                <w:szCs w:val="20"/>
                <w:color w:val="auto"/>
              </w:rPr>
            </w:pPr>
            <w:r>
              <w:rPr>
                <w:rFonts w:ascii="Arial" w:cs="Arial" w:eastAsia="Arial" w:hAnsi="Arial"/>
                <w:sz w:val="14"/>
                <w:szCs w:val="14"/>
                <w:color w:val="auto"/>
              </w:rPr>
              <w:t>(f/k/a GSV Sustainability</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2620" w:type="dxa"/>
            <w:vAlign w:val="bottom"/>
            <w:gridSpan w:val="2"/>
            <w:shd w:val="clear" w:color="auto" w:fill="CCEEFF"/>
          </w:tcPr>
          <w:p>
            <w:pPr>
              <w:ind w:left="720"/>
              <w:spacing w:after="0" w:line="147" w:lineRule="exact"/>
              <w:rPr>
                <w:sz w:val="20"/>
                <w:szCs w:val="20"/>
                <w:color w:val="auto"/>
              </w:rPr>
            </w:pPr>
            <w:r>
              <w:rPr>
                <w:rFonts w:ascii="Arial" w:cs="Arial" w:eastAsia="Arial" w:hAnsi="Arial"/>
                <w:sz w:val="14"/>
                <w:szCs w:val="14"/>
                <w:color w:val="auto"/>
              </w:rPr>
              <w:t>Partners, Inc.) – Common</w:t>
            </w: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tcBorders>
              <w:left w:val="single" w:sz="8" w:color="CCEEFF"/>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6"/>
        </w:trPr>
        <w:tc>
          <w:tcPr>
            <w:tcW w:w="26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shares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left w:val="single" w:sz="8" w:color="CCEEFF"/>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left w:val="single" w:sz="8" w:color="CCEEFF"/>
            </w:tcBorders>
            <w:gridSpan w:val="2"/>
            <w:shd w:val="clear" w:color="auto" w:fill="CCEEFF"/>
          </w:tcPr>
          <w:p>
            <w:pPr>
              <w:jc w:val="center"/>
              <w:ind w:left="129"/>
              <w:spacing w:after="0"/>
              <w:rPr>
                <w:sz w:val="20"/>
                <w:szCs w:val="20"/>
                <w:color w:val="auto"/>
              </w:rPr>
            </w:pPr>
            <w:r>
              <w:rPr>
                <w:rFonts w:ascii="Arial" w:cs="Arial" w:eastAsia="Arial" w:hAnsi="Arial"/>
                <w:sz w:val="14"/>
                <w:szCs w:val="14"/>
                <w:color w:val="auto"/>
                <w:w w:val="90"/>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-3789045</wp:posOffset>
            </wp:positionV>
            <wp:extent cx="7026275" cy="1022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26275" cy="10223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39" w:name="page40"/>
    <w:bookmarkEnd w:id="3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 xml:space="preserve">NOTE 3 — INVESTMENTS AT FAIR VALUE – (continued) </w:t>
      </w:r>
      <w:r>
        <w:rPr>
          <w:rFonts w:ascii="Arial" w:cs="Arial" w:eastAsia="Arial" w:hAnsi="Arial"/>
          <w:sz w:val="17"/>
          <w:szCs w:val="17"/>
          <w:b w:val="1"/>
          <w:bCs w:val="1"/>
          <w:u w:val="single" w:color="auto"/>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2627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26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262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80"/>
              <w:spacing w:after="0" w:line="121" w:lineRule="exact"/>
              <w:rPr>
                <w:sz w:val="20"/>
                <w:szCs w:val="20"/>
                <w:color w:val="auto"/>
              </w:rPr>
            </w:pPr>
            <w:r>
              <w:rPr>
                <w:rFonts w:ascii="Arial" w:cs="Arial" w:eastAsia="Arial" w:hAnsi="Arial"/>
                <w:sz w:val="13"/>
                <w:szCs w:val="13"/>
                <w:b w:val="1"/>
                <w:bCs w:val="1"/>
                <w:color w:val="auto"/>
                <w:w w:val="83"/>
              </w:rPr>
              <w:t>Purchases,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spacing w:after="0" w:line="134" w:lineRule="exact"/>
              <w:rPr>
                <w:sz w:val="20"/>
                <w:szCs w:val="20"/>
                <w:color w:val="auto"/>
              </w:rPr>
            </w:pPr>
            <w:r>
              <w:rPr>
                <w:rFonts w:ascii="Arial" w:cs="Arial" w:eastAsia="Arial" w:hAnsi="Arial"/>
                <w:sz w:val="13"/>
                <w:szCs w:val="13"/>
                <w:b w:val="1"/>
                <w:bCs w:val="1"/>
                <w:color w:val="auto"/>
                <w:w w:val="99"/>
              </w:rPr>
              <w:t>Interest, Fees,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Capitalized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80"/>
              <w:spacing w:after="0" w:line="134" w:lineRule="exact"/>
              <w:rPr>
                <w:sz w:val="20"/>
                <w:szCs w:val="20"/>
                <w:color w:val="auto"/>
              </w:rPr>
            </w:pPr>
            <w:r>
              <w:rPr>
                <w:rFonts w:ascii="Arial" w:cs="Arial" w:eastAsia="Arial" w:hAnsi="Arial"/>
                <w:sz w:val="13"/>
                <w:szCs w:val="13"/>
                <w:b w:val="1"/>
                <w:bCs w:val="1"/>
                <w:color w:val="auto"/>
                <w:w w:val="86"/>
              </w:rPr>
              <w:t>Dividends</w:t>
            </w: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7"/>
              </w:rPr>
              <w:t>Fair Value at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78"/>
              </w:rPr>
              <w:t>Fees,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160"/>
              <w:spacing w:after="0" w:line="134" w:lineRule="exact"/>
              <w:rPr>
                <w:sz w:val="20"/>
                <w:szCs w:val="20"/>
                <w:color w:val="auto"/>
              </w:rPr>
            </w:pPr>
            <w:r>
              <w:rPr>
                <w:rFonts w:ascii="Arial" w:cs="Arial" w:eastAsia="Arial" w:hAnsi="Arial"/>
                <w:sz w:val="13"/>
                <w:szCs w:val="13"/>
                <w:b w:val="1"/>
                <w:bCs w:val="1"/>
                <w:color w:val="auto"/>
                <w:w w:val="90"/>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160" w:type="dxa"/>
            <w:vAlign w:val="bottom"/>
          </w:tcPr>
          <w:p>
            <w:pPr>
              <w:spacing w:after="0"/>
              <w:rPr>
                <w:sz w:val="11"/>
                <w:szCs w:val="11"/>
                <w:color w:val="auto"/>
              </w:rPr>
            </w:pPr>
          </w:p>
        </w:tc>
        <w:tc>
          <w:tcPr>
            <w:tcW w:w="8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2320" w:type="dxa"/>
            <w:vAlign w:val="bottom"/>
            <w:gridSpan w:val="5"/>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60" w:type="dxa"/>
            <w:vAlign w:val="bottom"/>
          </w:tcPr>
          <w:p>
            <w:pPr>
              <w:spacing w:after="0"/>
              <w:rPr>
                <w:sz w:val="11"/>
                <w:szCs w:val="11"/>
                <w:color w:val="auto"/>
              </w:rPr>
            </w:pPr>
          </w:p>
        </w:tc>
        <w:tc>
          <w:tcPr>
            <w:tcW w:w="700" w:type="dxa"/>
            <w:vAlign w:val="bottom"/>
          </w:tcPr>
          <w:p>
            <w:pPr>
              <w:jc w:val="right"/>
              <w:ind w:right="17"/>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80"/>
              <w:spacing w:after="0" w:line="134" w:lineRule="exact"/>
              <w:rPr>
                <w:sz w:val="20"/>
                <w:szCs w:val="20"/>
                <w:color w:val="auto"/>
              </w:rPr>
            </w:pPr>
            <w:r>
              <w:rPr>
                <w:rFonts w:ascii="Arial" w:cs="Arial" w:eastAsia="Arial" w:hAnsi="Arial"/>
                <w:sz w:val="13"/>
                <w:szCs w:val="13"/>
                <w:b w:val="1"/>
                <w:bCs w:val="1"/>
                <w:color w:val="auto"/>
                <w:w w:val="87"/>
              </w:rPr>
              <w:t>Credited</w:t>
            </w: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5"/>
              </w:rPr>
              <w:t>December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9"/>
              </w:rPr>
              <w:t>Interest and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right"/>
              <w:ind w:right="220"/>
              <w:spacing w:after="0" w:line="134" w:lineRule="exact"/>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86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September 30,</w:t>
            </w:r>
          </w:p>
        </w:tc>
        <w:tc>
          <w:tcPr>
            <w:tcW w:w="160" w:type="dxa"/>
            <w:vAlign w:val="bottom"/>
          </w:tcPr>
          <w:p>
            <w:pPr>
              <w:spacing w:after="0"/>
              <w:rPr>
                <w:sz w:val="11"/>
                <w:szCs w:val="11"/>
                <w:color w:val="auto"/>
              </w:rPr>
            </w:pPr>
          </w:p>
        </w:tc>
        <w:tc>
          <w:tcPr>
            <w:tcW w:w="8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2320" w:type="dxa"/>
            <w:vAlign w:val="bottom"/>
            <w:gridSpan w:val="5"/>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8"/>
              </w:rPr>
              <w:t>in Income</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2"/>
              </w:rPr>
              <w:t>2016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5"/>
              </w:rPr>
              <w:t>(Losses)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78"/>
              </w:rPr>
              <w:t>(Losses)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2017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41"/>
        </w:trPr>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3"/>
          </w:tcPr>
          <w:p>
            <w:pPr>
              <w:spacing w:after="0" w:line="141" w:lineRule="exact"/>
              <w:rPr>
                <w:sz w:val="20"/>
                <w:szCs w:val="20"/>
                <w:color w:val="auto"/>
              </w:rPr>
            </w:pPr>
            <w:r>
              <w:rPr>
                <w:rFonts w:ascii="Arial" w:cs="Arial" w:eastAsia="Arial" w:hAnsi="Arial"/>
                <w:sz w:val="14"/>
                <w:szCs w:val="14"/>
                <w:i w:val="1"/>
                <w:iCs w:val="1"/>
                <w:color w:val="auto"/>
              </w:rPr>
              <w:t>Global Innovation Platform</w:t>
            </w: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20" w:type="dxa"/>
            <w:vAlign w:val="bottom"/>
            <w:gridSpan w:val="3"/>
            <w:shd w:val="clear" w:color="auto" w:fill="CCEEFF"/>
          </w:tcPr>
          <w:p>
            <w:pPr>
              <w:ind w:left="3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ind w:left="520"/>
              <w:spacing w:after="0" w:line="147" w:lineRule="exact"/>
              <w:rPr>
                <w:sz w:val="20"/>
                <w:szCs w:val="20"/>
                <w:color w:val="auto"/>
              </w:rPr>
            </w:pPr>
            <w:r>
              <w:rPr>
                <w:rFonts w:ascii="Arial" w:cs="Arial" w:eastAsia="Arial" w:hAnsi="Arial"/>
                <w:sz w:val="14"/>
                <w:szCs w:val="14"/>
                <w:color w:val="auto"/>
              </w:rPr>
              <w:t>(d/b/a GSV Labs, 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66"/>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2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Common shares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r>
      <w:tr>
        <w:trPr>
          <w:trHeight w:val="148"/>
        </w:trPr>
        <w:tc>
          <w:tcPr>
            <w:tcW w:w="2320" w:type="dxa"/>
            <w:vAlign w:val="bottom"/>
            <w:gridSpan w:val="5"/>
          </w:tcPr>
          <w:p>
            <w:pPr>
              <w:ind w:left="20"/>
              <w:spacing w:after="0" w:line="147" w:lineRule="exact"/>
              <w:rPr>
                <w:sz w:val="20"/>
                <w:szCs w:val="20"/>
                <w:color w:val="auto"/>
              </w:rPr>
            </w:pPr>
            <w:r>
              <w:rPr>
                <w:rFonts w:ascii="Arial" w:cs="Arial" w:eastAsia="Arial" w:hAnsi="Arial"/>
                <w:sz w:val="14"/>
                <w:szCs w:val="14"/>
                <w:b w:val="1"/>
                <w:bCs w:val="1"/>
                <w:color w:val="auto"/>
              </w:rPr>
              <w:t>Total Common Stock</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32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0.00%</w:t>
            </w:r>
          </w:p>
        </w:tc>
      </w:tr>
      <w:tr>
        <w:trPr>
          <w:trHeight w:val="130"/>
        </w:trPr>
        <w:tc>
          <w:tcPr>
            <w:tcW w:w="2320" w:type="dxa"/>
            <w:vAlign w:val="bottom"/>
            <w:gridSpan w:val="5"/>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TOTAL CONTROLLED</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239"/>
        </w:trPr>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20" w:type="dxa"/>
            <w:vAlign w:val="bottom"/>
            <w:gridSpan w:val="3"/>
            <w:shd w:val="clear" w:color="auto" w:fill="CCEEFF"/>
          </w:tcPr>
          <w:p>
            <w:pPr>
              <w:spacing w:after="0" w:line="199"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23"/>
                <w:szCs w:val="23"/>
                <w:b w:val="1"/>
                <w:bCs w:val="1"/>
                <w:color w:val="auto"/>
                <w:vertAlign w:val="superscript"/>
              </w:rPr>
              <w:t>(2)</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671,534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19,037,566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733,817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3"/>
              </w:rPr>
              <w:t>(526,000)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9"/>
              </w:rPr>
              <w:t>5,820,954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9"/>
              </w:rPr>
              <w:t>25,066,337</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11.97%</w:t>
            </w:r>
          </w:p>
        </w:tc>
      </w:tr>
      <w:tr>
        <w:trPr>
          <w:trHeight w:val="128"/>
        </w:trPr>
        <w:tc>
          <w:tcPr>
            <w:tcW w:w="2320" w:type="dxa"/>
            <w:vAlign w:val="bottom"/>
            <w:tcBorders>
              <w:top w:val="single" w:sz="8" w:color="CCEEFF"/>
            </w:tcBorders>
            <w:gridSpan w:val="5"/>
          </w:tcPr>
          <w:p>
            <w:pPr>
              <w:ind w:left="20"/>
              <w:spacing w:after="0" w:line="128" w:lineRule="exact"/>
              <w:rPr>
                <w:sz w:val="20"/>
                <w:szCs w:val="20"/>
                <w:color w:val="auto"/>
              </w:rPr>
            </w:pPr>
            <w:r>
              <w:rPr>
                <w:rFonts w:ascii="Arial" w:cs="Arial" w:eastAsia="Arial" w:hAnsi="Arial"/>
                <w:sz w:val="14"/>
                <w:szCs w:val="14"/>
                <w:b w:val="1"/>
                <w:bCs w:val="1"/>
                <w:color w:val="auto"/>
              </w:rPr>
              <w:t>NON-CONTROLLED/AFFILIATE</w:t>
            </w:r>
          </w:p>
        </w:tc>
        <w:tc>
          <w:tcPr>
            <w:tcW w:w="16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2"/>
          </w:tcPr>
          <w:p>
            <w:pPr>
              <w:spacing w:after="0" w:line="168" w:lineRule="exact"/>
              <w:rPr>
                <w:sz w:val="20"/>
                <w:szCs w:val="20"/>
                <w:color w:val="auto"/>
              </w:rPr>
            </w:pPr>
            <w:r>
              <w:rPr>
                <w:rFonts w:ascii="Arial" w:cs="Arial" w:eastAsia="Arial" w:hAnsi="Arial"/>
                <w:sz w:val="12"/>
                <w:szCs w:val="12"/>
                <w:b w:val="1"/>
                <w:bCs w:val="1"/>
                <w:color w:val="auto"/>
              </w:rPr>
              <w:t>INVESTMENTS*</w:t>
            </w:r>
            <w:r>
              <w:rPr>
                <w:rFonts w:ascii="Arial" w:cs="Arial" w:eastAsia="Arial" w:hAnsi="Arial"/>
                <w:sz w:val="19"/>
                <w:szCs w:val="19"/>
                <w:b w:val="1"/>
                <w:bCs w:val="1"/>
                <w:color w:val="auto"/>
                <w:vertAlign w:val="superscript"/>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41"/>
        </w:trPr>
        <w:tc>
          <w:tcPr>
            <w:tcW w:w="2320" w:type="dxa"/>
            <w:vAlign w:val="bottom"/>
            <w:gridSpan w:val="5"/>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rPr>
              <w:t>Debt Investments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spacing w:after="0" w:line="147" w:lineRule="exact"/>
              <w:rPr>
                <w:sz w:val="20"/>
                <w:szCs w:val="20"/>
                <w:color w:val="auto"/>
              </w:rPr>
            </w:pPr>
            <w:r>
              <w:rPr>
                <w:rFonts w:ascii="Arial" w:cs="Arial" w:eastAsia="Arial" w:hAnsi="Arial"/>
                <w:sz w:val="14"/>
                <w:szCs w:val="14"/>
                <w:i w:val="1"/>
                <w:iCs w:val="1"/>
                <w:color w:val="auto"/>
              </w:rPr>
              <w:t>Corporate Education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20" w:type="dxa"/>
            <w:vAlign w:val="bottom"/>
            <w:gridSpan w:val="3"/>
            <w:shd w:val="clear" w:color="auto" w:fill="CCEEFF"/>
          </w:tcPr>
          <w:p>
            <w:pPr>
              <w:ind w:left="340"/>
              <w:spacing w:after="0" w:line="129" w:lineRule="exact"/>
              <w:rPr>
                <w:sz w:val="20"/>
                <w:szCs w:val="20"/>
                <w:color w:val="auto"/>
              </w:rPr>
            </w:pPr>
            <w:r>
              <w:rPr>
                <w:rFonts w:ascii="Arial" w:cs="Arial" w:eastAsia="Arial" w:hAnsi="Arial"/>
                <w:sz w:val="14"/>
                <w:szCs w:val="14"/>
                <w:color w:val="auto"/>
              </w:rPr>
              <w:t>CUX,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ind w:left="520"/>
              <w:spacing w:after="0" w:line="147" w:lineRule="exact"/>
              <w:rPr>
                <w:sz w:val="20"/>
                <w:szCs w:val="20"/>
                <w:color w:val="auto"/>
              </w:rPr>
            </w:pPr>
            <w:r>
              <w:rPr>
                <w:rFonts w:ascii="Arial" w:cs="Arial" w:eastAsia="Arial" w:hAnsi="Arial"/>
                <w:sz w:val="14"/>
                <w:szCs w:val="14"/>
                <w:color w:val="auto"/>
              </w:rPr>
              <w:t>(d/b/a CorpU) – Senior</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ind w:left="520"/>
              <w:spacing w:after="0" w:line="147" w:lineRule="exact"/>
              <w:rPr>
                <w:sz w:val="20"/>
                <w:szCs w:val="20"/>
                <w:color w:val="auto"/>
              </w:rPr>
            </w:pPr>
            <w:r>
              <w:rPr>
                <w:rFonts w:ascii="Arial" w:cs="Arial" w:eastAsia="Arial" w:hAnsi="Arial"/>
                <w:sz w:val="14"/>
                <w:szCs w:val="14"/>
                <w:color w:val="auto"/>
                <w:w w:val="99"/>
              </w:rPr>
              <w:t>Subordinated Convertible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57"/>
        </w:trPr>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20" w:type="dxa"/>
            <w:vAlign w:val="bottom"/>
            <w:gridSpan w:val="3"/>
            <w:shd w:val="clear" w:color="auto" w:fill="CCEEFF"/>
          </w:tcPr>
          <w:p>
            <w:pPr>
              <w:ind w:left="520"/>
              <w:spacing w:after="0" w:line="157" w:lineRule="exact"/>
              <w:rPr>
                <w:sz w:val="20"/>
                <w:szCs w:val="20"/>
                <w:color w:val="auto"/>
              </w:rPr>
            </w:pPr>
            <w:r>
              <w:rPr>
                <w:rFonts w:ascii="Arial" w:cs="Arial" w:eastAsia="Arial" w:hAnsi="Arial"/>
                <w:sz w:val="14"/>
                <w:szCs w:val="14"/>
                <w:color w:val="auto"/>
              </w:rPr>
              <w:t>Promissory Note 8%</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97"/>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520"/>
              <w:spacing w:after="0" w:line="197" w:lineRule="exact"/>
              <w:rPr>
                <w:sz w:val="20"/>
                <w:szCs w:val="20"/>
                <w:color w:val="auto"/>
              </w:rPr>
            </w:pPr>
            <w:r>
              <w:rPr>
                <w:rFonts w:ascii="Arial" w:cs="Arial" w:eastAsia="Arial" w:hAnsi="Arial"/>
                <w:sz w:val="14"/>
                <w:szCs w:val="14"/>
                <w:color w:val="auto"/>
              </w:rPr>
              <w:t>Due 11/26/2018 ***</w:t>
            </w:r>
            <w:r>
              <w:rPr>
                <w:rFonts w:ascii="Arial" w:cs="Arial" w:eastAsia="Arial" w:hAnsi="Arial"/>
                <w:sz w:val="22"/>
                <w:szCs w:val="22"/>
                <w:color w:val="auto"/>
                <w:vertAlign w:val="superscript"/>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1,166,400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69,792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1,166,400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1,166,400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0.56%</w:t>
            </w: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spacing w:after="0" w:line="147" w:lineRule="exact"/>
              <w:rPr>
                <w:sz w:val="20"/>
                <w:szCs w:val="20"/>
                <w:color w:val="auto"/>
              </w:rPr>
            </w:pPr>
            <w:r>
              <w:rPr>
                <w:rFonts w:ascii="Arial" w:cs="Arial" w:eastAsia="Arial" w:hAnsi="Arial"/>
                <w:sz w:val="14"/>
                <w:szCs w:val="14"/>
                <w:i w:val="1"/>
                <w:iCs w:val="1"/>
                <w:color w:val="auto"/>
              </w:rPr>
              <w:t>Digital Media Platform</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20" w:type="dxa"/>
            <w:vAlign w:val="bottom"/>
            <w:gridSpan w:val="3"/>
            <w:shd w:val="clear" w:color="auto" w:fill="CCEEFF"/>
          </w:tcPr>
          <w:p>
            <w:pPr>
              <w:ind w:left="340"/>
              <w:spacing w:after="0" w:line="129" w:lineRule="exact"/>
              <w:rPr>
                <w:sz w:val="20"/>
                <w:szCs w:val="20"/>
                <w:color w:val="auto"/>
              </w:rPr>
            </w:pPr>
            <w:r>
              <w:rPr>
                <w:rFonts w:ascii="Arial" w:cs="Arial" w:eastAsia="Arial" w:hAnsi="Arial"/>
                <w:sz w:val="14"/>
                <w:szCs w:val="14"/>
                <w:color w:val="auto"/>
                <w:w w:val="97"/>
              </w:rPr>
              <w:t>Ozy Media, Inc – Convertible</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ind w:left="520"/>
              <w:spacing w:after="0" w:line="147" w:lineRule="exact"/>
              <w:rPr>
                <w:sz w:val="20"/>
                <w:szCs w:val="20"/>
                <w:color w:val="auto"/>
              </w:rPr>
            </w:pPr>
            <w:r>
              <w:rPr>
                <w:rFonts w:ascii="Arial" w:cs="Arial" w:eastAsia="Arial" w:hAnsi="Arial"/>
                <w:sz w:val="14"/>
                <w:szCs w:val="14"/>
                <w:color w:val="auto"/>
              </w:rPr>
              <w:t>Promissory Note 5%,</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66"/>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Due 02/28/2018***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74,795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2,000,000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0.95%</w:t>
            </w: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spacing w:after="0" w:line="147" w:lineRule="exact"/>
              <w:rPr>
                <w:sz w:val="20"/>
                <w:szCs w:val="20"/>
                <w:color w:val="auto"/>
              </w:rPr>
            </w:pPr>
            <w:r>
              <w:rPr>
                <w:rFonts w:ascii="Arial" w:cs="Arial" w:eastAsia="Arial" w:hAnsi="Arial"/>
                <w:sz w:val="14"/>
                <w:szCs w:val="14"/>
                <w:i w:val="1"/>
                <w:iCs w:val="1"/>
                <w:color w:val="auto"/>
              </w:rPr>
              <w:t>Social Cognitive Learning</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20" w:type="dxa"/>
            <w:vAlign w:val="bottom"/>
            <w:gridSpan w:val="3"/>
            <w:shd w:val="clear" w:color="auto" w:fill="CCEEFF"/>
          </w:tcPr>
          <w:p>
            <w:pPr>
              <w:ind w:left="340"/>
              <w:spacing w:after="0" w:line="129" w:lineRule="exact"/>
              <w:rPr>
                <w:sz w:val="20"/>
                <w:szCs w:val="20"/>
                <w:color w:val="auto"/>
              </w:rPr>
            </w:pPr>
            <w:r>
              <w:rPr>
                <w:rFonts w:ascii="Arial" w:cs="Arial" w:eastAsia="Arial" w:hAnsi="Arial"/>
                <w:sz w:val="14"/>
                <w:szCs w:val="14"/>
                <w:color w:val="auto"/>
              </w:rPr>
              <w:t>Declara, Inc. – Convertible</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57"/>
        </w:trPr>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20" w:type="dxa"/>
            <w:vAlign w:val="bottom"/>
            <w:gridSpan w:val="3"/>
            <w:shd w:val="clear" w:color="auto" w:fill="CCEEFF"/>
          </w:tcPr>
          <w:p>
            <w:pPr>
              <w:ind w:left="520"/>
              <w:spacing w:after="0" w:line="157" w:lineRule="exact"/>
              <w:rPr>
                <w:sz w:val="20"/>
                <w:szCs w:val="20"/>
                <w:color w:val="auto"/>
              </w:rPr>
            </w:pPr>
            <w:r>
              <w:rPr>
                <w:rFonts w:ascii="Arial" w:cs="Arial" w:eastAsia="Arial" w:hAnsi="Arial"/>
                <w:sz w:val="14"/>
                <w:szCs w:val="14"/>
                <w:color w:val="auto"/>
              </w:rPr>
              <w:t>Promissory Note 9%</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97"/>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ind w:left="520"/>
              <w:spacing w:after="0" w:line="197" w:lineRule="exact"/>
              <w:rPr>
                <w:sz w:val="20"/>
                <w:szCs w:val="20"/>
                <w:color w:val="auto"/>
              </w:rPr>
            </w:pPr>
            <w:r>
              <w:rPr>
                <w:rFonts w:ascii="Arial" w:cs="Arial" w:eastAsia="Arial" w:hAnsi="Arial"/>
                <w:sz w:val="14"/>
                <w:szCs w:val="14"/>
                <w:color w:val="auto"/>
              </w:rPr>
              <w:t>Due 12/31/2017***</w:t>
            </w:r>
            <w:r>
              <w:rPr>
                <w:rFonts w:ascii="Arial" w:cs="Arial" w:eastAsia="Arial" w:hAnsi="Arial"/>
                <w:sz w:val="22"/>
                <w:szCs w:val="22"/>
                <w:color w:val="auto"/>
                <w:vertAlign w:val="superscript"/>
              </w:rPr>
              <w:t>(8)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2,120,658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2,827,020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(617,409)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2,210,411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1.06%</w:t>
            </w: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spacing w:after="0" w:line="147" w:lineRule="exact"/>
              <w:rPr>
                <w:sz w:val="20"/>
                <w:szCs w:val="20"/>
                <w:color w:val="auto"/>
              </w:rPr>
            </w:pPr>
            <w:r>
              <w:rPr>
                <w:rFonts w:ascii="Arial" w:cs="Arial" w:eastAsia="Arial" w:hAnsi="Arial"/>
                <w:sz w:val="14"/>
                <w:szCs w:val="14"/>
                <w:i w:val="1"/>
                <w:iCs w:val="1"/>
                <w:color w:val="auto"/>
              </w:rPr>
              <w:t>Sports Analytics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20" w:type="dxa"/>
            <w:vAlign w:val="bottom"/>
            <w:gridSpan w:val="3"/>
            <w:shd w:val="clear" w:color="auto" w:fill="CCEEFF"/>
          </w:tcPr>
          <w:p>
            <w:pPr>
              <w:ind w:left="340"/>
              <w:spacing w:after="0" w:line="129" w:lineRule="exact"/>
              <w:rPr>
                <w:sz w:val="20"/>
                <w:szCs w:val="20"/>
                <w:color w:val="auto"/>
              </w:rPr>
            </w:pPr>
            <w:r>
              <w:rPr>
                <w:rFonts w:ascii="Arial" w:cs="Arial" w:eastAsia="Arial" w:hAnsi="Arial"/>
                <w:sz w:val="14"/>
                <w:szCs w:val="14"/>
                <w:color w:val="auto"/>
                <w:w w:val="99"/>
              </w:rPr>
              <w:t>Circle Media (f/k/a S3 Digital</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ind w:left="520"/>
              <w:spacing w:after="0" w:line="147" w:lineRule="exact"/>
              <w:rPr>
                <w:sz w:val="20"/>
                <w:szCs w:val="20"/>
                <w:color w:val="auto"/>
              </w:rPr>
            </w:pPr>
            <w:r>
              <w:rPr>
                <w:rFonts w:ascii="Arial" w:cs="Arial" w:eastAsia="Arial" w:hAnsi="Arial"/>
                <w:sz w:val="14"/>
                <w:szCs w:val="14"/>
                <w:color w:val="auto"/>
              </w:rPr>
              <w:t>Corp. (d/b/a S3i))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ind w:left="560"/>
              <w:spacing w:after="0" w:line="147" w:lineRule="exact"/>
              <w:rPr>
                <w:sz w:val="20"/>
                <w:szCs w:val="20"/>
                <w:color w:val="auto"/>
              </w:rPr>
            </w:pPr>
            <w:r>
              <w:rPr>
                <w:rFonts w:ascii="Arial" w:cs="Arial" w:eastAsia="Arial" w:hAnsi="Arial"/>
                <w:sz w:val="14"/>
                <w:szCs w:val="14"/>
                <w:color w:val="auto"/>
              </w:rPr>
              <w:t>Promissory Note, 12%,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66"/>
        </w:trPr>
        <w:tc>
          <w:tcPr>
            <w:tcW w:w="2200" w:type="dxa"/>
            <w:vAlign w:val="bottom"/>
            <w:gridSpan w:val="4"/>
            <w:shd w:val="clear" w:color="auto" w:fill="CCEEFF"/>
          </w:tcPr>
          <w:p>
            <w:pPr>
              <w:ind w:left="720"/>
              <w:spacing w:after="0"/>
              <w:rPr>
                <w:sz w:val="20"/>
                <w:szCs w:val="20"/>
                <w:color w:val="auto"/>
              </w:rPr>
            </w:pPr>
            <w:r>
              <w:rPr>
                <w:rFonts w:ascii="Arial" w:cs="Arial" w:eastAsia="Arial" w:hAnsi="Arial"/>
                <w:sz w:val="14"/>
                <w:szCs w:val="14"/>
                <w:color w:val="auto"/>
              </w:rPr>
              <w:t>11/17/2017***</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28,008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26,544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(29,833)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r>
      <w:tr>
        <w:trPr>
          <w:trHeight w:val="148"/>
        </w:trPr>
        <w:tc>
          <w:tcPr>
            <w:tcW w:w="2320" w:type="dxa"/>
            <w:vAlign w:val="bottom"/>
            <w:gridSpan w:val="5"/>
          </w:tcPr>
          <w:p>
            <w:pPr>
              <w:ind w:left="20"/>
              <w:spacing w:after="0" w:line="147" w:lineRule="exact"/>
              <w:rPr>
                <w:sz w:val="20"/>
                <w:szCs w:val="20"/>
                <w:color w:val="auto"/>
              </w:rPr>
            </w:pPr>
            <w:r>
              <w:rPr>
                <w:rFonts w:ascii="Arial" w:cs="Arial" w:eastAsia="Arial" w:hAnsi="Arial"/>
                <w:sz w:val="14"/>
                <w:szCs w:val="14"/>
                <w:b w:val="1"/>
                <w:bCs w:val="1"/>
                <w:color w:val="auto"/>
              </w:rPr>
              <w:t>Total Debt Investments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143,974</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6,019,964</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4,089</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(647,242)</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line="147" w:lineRule="exact"/>
              <w:rPr>
                <w:sz w:val="20"/>
                <w:szCs w:val="20"/>
                <w:color w:val="auto"/>
              </w:rPr>
            </w:pPr>
            <w:r>
              <w:rPr>
                <w:rFonts w:ascii="Arial" w:cs="Arial" w:eastAsia="Arial" w:hAnsi="Arial"/>
                <w:sz w:val="14"/>
                <w:szCs w:val="14"/>
                <w:color w:val="auto"/>
              </w:rPr>
              <w:t>5,376,811</w:t>
            </w:r>
          </w:p>
        </w:tc>
        <w:tc>
          <w:tcPr>
            <w:tcW w:w="980" w:type="dxa"/>
            <w:vAlign w:val="bottom"/>
            <w:gridSpan w:val="3"/>
          </w:tcPr>
          <w:p>
            <w:pPr>
              <w:jc w:val="right"/>
              <w:ind w:right="140"/>
              <w:spacing w:after="0" w:line="147" w:lineRule="exact"/>
              <w:rPr>
                <w:sz w:val="20"/>
                <w:szCs w:val="20"/>
                <w:color w:val="auto"/>
              </w:rPr>
            </w:pPr>
            <w:r>
              <w:rPr>
                <w:rFonts w:ascii="Arial" w:cs="Arial" w:eastAsia="Arial" w:hAnsi="Arial"/>
                <w:sz w:val="14"/>
                <w:szCs w:val="14"/>
                <w:color w:val="auto"/>
              </w:rPr>
              <w:t>2.57%</w:t>
            </w:r>
          </w:p>
        </w:tc>
      </w:tr>
      <w:tr>
        <w:trPr>
          <w:trHeight w:val="148"/>
        </w:trPr>
        <w:tc>
          <w:tcPr>
            <w:tcW w:w="2320" w:type="dxa"/>
            <w:vAlign w:val="bottom"/>
            <w:gridSpan w:val="5"/>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Preferred Stock</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spacing w:after="0" w:line="147" w:lineRule="exact"/>
              <w:rPr>
                <w:sz w:val="20"/>
                <w:szCs w:val="20"/>
                <w:color w:val="auto"/>
              </w:rPr>
            </w:pPr>
            <w:r>
              <w:rPr>
                <w:rFonts w:ascii="Arial" w:cs="Arial" w:eastAsia="Arial" w:hAnsi="Arial"/>
                <w:sz w:val="14"/>
                <w:szCs w:val="14"/>
                <w:i w:val="1"/>
                <w:iCs w:val="1"/>
                <w:color w:val="auto"/>
              </w:rPr>
              <w:t>Corporate Education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20" w:type="dxa"/>
            <w:vAlign w:val="bottom"/>
            <w:gridSpan w:val="3"/>
            <w:shd w:val="clear" w:color="auto" w:fill="CCEEFF"/>
          </w:tcPr>
          <w:p>
            <w:pPr>
              <w:ind w:left="340"/>
              <w:spacing w:after="0" w:line="129" w:lineRule="exact"/>
              <w:rPr>
                <w:sz w:val="20"/>
                <w:szCs w:val="20"/>
                <w:color w:val="auto"/>
              </w:rPr>
            </w:pPr>
            <w:r>
              <w:rPr>
                <w:rFonts w:ascii="Arial" w:cs="Arial" w:eastAsia="Arial" w:hAnsi="Arial"/>
                <w:sz w:val="14"/>
                <w:szCs w:val="14"/>
                <w:color w:val="auto"/>
              </w:rPr>
              <w:t>CUX, Inc. (d/b/a CorpU) –</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ind w:left="560"/>
              <w:spacing w:after="0" w:line="147" w:lineRule="exact"/>
              <w:rPr>
                <w:sz w:val="20"/>
                <w:szCs w:val="20"/>
                <w:color w:val="auto"/>
              </w:rPr>
            </w:pPr>
            <w:r>
              <w:rPr>
                <w:rFonts w:ascii="Arial" w:cs="Arial" w:eastAsia="Arial" w:hAnsi="Arial"/>
                <w:sz w:val="14"/>
                <w:szCs w:val="14"/>
                <w:color w:val="auto"/>
              </w:rPr>
              <w:t>Convertible 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66"/>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shares, Series 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169,033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775,861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775,861</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0.37%</w:t>
            </w: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20" w:type="dxa"/>
            <w:vAlign w:val="bottom"/>
            <w:gridSpan w:val="3"/>
          </w:tcPr>
          <w:p>
            <w:pPr>
              <w:ind w:left="340"/>
              <w:spacing w:after="0" w:line="129" w:lineRule="exact"/>
              <w:rPr>
                <w:sz w:val="20"/>
                <w:szCs w:val="20"/>
                <w:color w:val="auto"/>
              </w:rPr>
            </w:pPr>
            <w:r>
              <w:rPr>
                <w:rFonts w:ascii="Arial" w:cs="Arial" w:eastAsia="Arial" w:hAnsi="Arial"/>
                <w:sz w:val="14"/>
                <w:szCs w:val="14"/>
                <w:color w:val="auto"/>
              </w:rPr>
              <w:t>CUX, Inc. (d/b/a CorpU) –</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ind w:left="560"/>
              <w:spacing w:after="0" w:line="147" w:lineRule="exact"/>
              <w:rPr>
                <w:sz w:val="20"/>
                <w:szCs w:val="20"/>
                <w:color w:val="auto"/>
              </w:rPr>
            </w:pPr>
            <w:r>
              <w:rPr>
                <w:rFonts w:ascii="Arial" w:cs="Arial" w:eastAsia="Arial" w:hAnsi="Arial"/>
                <w:sz w:val="14"/>
                <w:szCs w:val="14"/>
                <w:color w:val="auto"/>
              </w:rPr>
              <w:t>Convertible 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3"/>
          </w:tcPr>
          <w:p>
            <w:pPr>
              <w:ind w:left="520"/>
              <w:spacing w:after="0"/>
              <w:rPr>
                <w:sz w:val="20"/>
                <w:szCs w:val="20"/>
                <w:color w:val="auto"/>
              </w:rPr>
            </w:pPr>
            <w:r>
              <w:rPr>
                <w:rFonts w:ascii="Arial" w:cs="Arial" w:eastAsia="Arial" w:hAnsi="Arial"/>
                <w:sz w:val="14"/>
                <w:szCs w:val="14"/>
                <w:color w:val="auto"/>
              </w:rPr>
              <w:t>shares, Series C</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615,763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1,913,484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(607,088)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1,306,396</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color w:val="auto"/>
              </w:rPr>
              <w:t>0.62%</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120" w:type="dxa"/>
            <w:vAlign w:val="bottom"/>
            <w:gridSpan w:val="3"/>
            <w:shd w:val="clear" w:color="auto" w:fill="CCEEFF"/>
          </w:tcPr>
          <w:p>
            <w:pPr>
              <w:ind w:left="180"/>
              <w:spacing w:after="0" w:line="141" w:lineRule="exact"/>
              <w:rPr>
                <w:sz w:val="20"/>
                <w:szCs w:val="20"/>
                <w:color w:val="auto"/>
              </w:rPr>
            </w:pPr>
            <w:r>
              <w:rPr>
                <w:rFonts w:ascii="Arial" w:cs="Arial" w:eastAsia="Arial" w:hAnsi="Arial"/>
                <w:sz w:val="14"/>
                <w:szCs w:val="14"/>
                <w:i w:val="1"/>
                <w:iCs w:val="1"/>
                <w:color w:val="auto"/>
              </w:rPr>
              <w:t>Total Corporate Education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32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2,689,345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(607,088)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2,082,257</w:t>
            </w:r>
          </w:p>
        </w:tc>
        <w:tc>
          <w:tcPr>
            <w:tcW w:w="980" w:type="dxa"/>
            <w:vAlign w:val="bottom"/>
            <w:gridSpan w:val="3"/>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0.99%</w:t>
            </w: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spacing w:after="0" w:line="147" w:lineRule="exact"/>
              <w:rPr>
                <w:sz w:val="20"/>
                <w:szCs w:val="20"/>
                <w:color w:val="auto"/>
              </w:rPr>
            </w:pPr>
            <w:r>
              <w:rPr>
                <w:rFonts w:ascii="Arial" w:cs="Arial" w:eastAsia="Arial" w:hAnsi="Arial"/>
                <w:sz w:val="14"/>
                <w:szCs w:val="14"/>
                <w:i w:val="1"/>
                <w:iCs w:val="1"/>
                <w:color w:val="auto"/>
              </w:rPr>
              <w:t>Globally-Focused Private School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9"/>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20" w:type="dxa"/>
            <w:vAlign w:val="bottom"/>
            <w:gridSpan w:val="3"/>
            <w:shd w:val="clear" w:color="auto" w:fill="CCEEFF"/>
          </w:tcPr>
          <w:p>
            <w:pPr>
              <w:ind w:left="340"/>
              <w:spacing w:after="0" w:line="169" w:lineRule="exact"/>
              <w:rPr>
                <w:sz w:val="20"/>
                <w:szCs w:val="20"/>
                <w:color w:val="auto"/>
              </w:rPr>
            </w:pPr>
            <w:r>
              <w:rPr>
                <w:rFonts w:ascii="Arial" w:cs="Arial" w:eastAsia="Arial" w:hAnsi="Arial"/>
                <w:sz w:val="12"/>
                <w:szCs w:val="12"/>
                <w:color w:val="auto"/>
              </w:rPr>
              <w:t>Whittle Schools, LLC</w:t>
            </w:r>
            <w:r>
              <w:rPr>
                <w:rFonts w:ascii="Arial" w:cs="Arial" w:eastAsia="Arial" w:hAnsi="Arial"/>
                <w:sz w:val="19"/>
                <w:szCs w:val="19"/>
                <w:color w:val="auto"/>
                <w:vertAlign w:val="superscript"/>
              </w:rPr>
              <w:t>(5)</w:t>
            </w:r>
            <w:r>
              <w:rPr>
                <w:rFonts w:ascii="Arial" w:cs="Arial" w:eastAsia="Arial" w:hAnsi="Arial"/>
                <w:sz w:val="12"/>
                <w:szCs w:val="12"/>
                <w:color w:val="auto"/>
              </w:rPr>
              <w:t xml:space="preserve">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r>
      <w:tr>
        <w:trPr>
          <w:trHeight w:val="166"/>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2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w w:val="93"/>
              </w:rPr>
              <w:t>Preferred shares, Series B</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3,000,000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1.43%</w:t>
            </w: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spacing w:after="0" w:line="147" w:lineRule="exact"/>
              <w:rPr>
                <w:sz w:val="20"/>
                <w:szCs w:val="20"/>
                <w:color w:val="auto"/>
              </w:rPr>
            </w:pPr>
            <w:r>
              <w:rPr>
                <w:rFonts w:ascii="Arial" w:cs="Arial" w:eastAsia="Arial" w:hAnsi="Arial"/>
                <w:sz w:val="14"/>
                <w:szCs w:val="14"/>
                <w:i w:val="1"/>
                <w:iCs w:val="1"/>
                <w:color w:val="auto"/>
              </w:rPr>
              <w:t>Online Education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20" w:type="dxa"/>
            <w:vAlign w:val="bottom"/>
            <w:gridSpan w:val="3"/>
            <w:shd w:val="clear" w:color="auto" w:fill="CCEEFF"/>
          </w:tcPr>
          <w:p>
            <w:pPr>
              <w:ind w:left="340"/>
              <w:spacing w:after="0" w:line="129" w:lineRule="exact"/>
              <w:rPr>
                <w:sz w:val="20"/>
                <w:szCs w:val="20"/>
                <w:color w:val="auto"/>
              </w:rPr>
            </w:pPr>
            <w:r>
              <w:rPr>
                <w:rFonts w:ascii="Arial" w:cs="Arial" w:eastAsia="Arial" w:hAnsi="Arial"/>
                <w:sz w:val="14"/>
                <w:szCs w:val="14"/>
                <w:color w:val="auto"/>
                <w:w w:val="96"/>
              </w:rPr>
              <w:t>Curious.com, Inc. – Preferred</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66"/>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12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shares, Series B</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3,407,834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9,984,954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(4,025,047)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5,960,187</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-3703955</wp:posOffset>
            </wp:positionV>
            <wp:extent cx="7026275" cy="247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26275" cy="24701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40" w:name="page41"/>
    <w:bookmarkEnd w:id="4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 xml:space="preserve">NOTE 3 — INVESTMENTS AT FAIR VALUE – (continued) </w:t>
      </w:r>
      <w:r>
        <w:rPr>
          <w:rFonts w:ascii="Arial" w:cs="Arial" w:eastAsia="Arial" w:hAnsi="Arial"/>
          <w:sz w:val="17"/>
          <w:szCs w:val="17"/>
          <w:b w:val="1"/>
          <w:bCs w:val="1"/>
          <w:u w:val="single" w:color="auto"/>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262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26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262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60"/>
              <w:spacing w:after="0" w:line="121" w:lineRule="exact"/>
              <w:rPr>
                <w:sz w:val="20"/>
                <w:szCs w:val="20"/>
                <w:color w:val="auto"/>
              </w:rPr>
            </w:pPr>
            <w:r>
              <w:rPr>
                <w:rFonts w:ascii="Arial" w:cs="Arial" w:eastAsia="Arial" w:hAnsi="Arial"/>
                <w:sz w:val="13"/>
                <w:szCs w:val="13"/>
                <w:b w:val="1"/>
                <w:bCs w:val="1"/>
                <w:color w:val="auto"/>
                <w:w w:val="80"/>
              </w:rPr>
              <w:t>Purchases,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34"/>
        </w:trPr>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6"/>
              </w:rPr>
              <w:t>Interest, Fees,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7"/>
              </w:rPr>
              <w:t>Capitalized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4"/>
        </w:trPr>
        <w:tc>
          <w:tcPr>
            <w:tcW w:w="2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or Dividends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4"/>
              </w:rPr>
              <w:t>Fees,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220" w:type="dxa"/>
            <w:vAlign w:val="bottom"/>
          </w:tcPr>
          <w:p>
            <w:pPr>
              <w:spacing w:after="0"/>
              <w:rPr>
                <w:sz w:val="11"/>
                <w:szCs w:val="11"/>
                <w:color w:val="auto"/>
              </w:rPr>
            </w:pPr>
          </w:p>
        </w:tc>
        <w:tc>
          <w:tcPr>
            <w:tcW w:w="820" w:type="dxa"/>
            <w:vAlign w:val="bottom"/>
          </w:tcPr>
          <w:p>
            <w:pPr>
              <w:jc w:val="right"/>
              <w:ind w:right="57"/>
              <w:spacing w:after="0" w:line="134" w:lineRule="exact"/>
              <w:rPr>
                <w:sz w:val="20"/>
                <w:szCs w:val="20"/>
                <w:color w:val="auto"/>
              </w:rPr>
            </w:pPr>
            <w:r>
              <w:rPr>
                <w:rFonts w:ascii="Arial" w:cs="Arial" w:eastAsia="Arial" w:hAnsi="Arial"/>
                <w:sz w:val="13"/>
                <w:szCs w:val="13"/>
                <w:b w:val="1"/>
                <w:bCs w:val="1"/>
                <w:color w:val="auto"/>
                <w:w w:val="96"/>
              </w:rPr>
              <w:t>Percentage</w:t>
            </w:r>
          </w:p>
        </w:tc>
      </w:tr>
      <w:tr>
        <w:trPr>
          <w:trHeight w:val="134"/>
        </w:trPr>
        <w:tc>
          <w:tcPr>
            <w:tcW w:w="236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60" w:type="dxa"/>
            <w:vAlign w:val="bottom"/>
          </w:tcPr>
          <w:p>
            <w:pPr>
              <w:spacing w:after="0"/>
              <w:rPr>
                <w:sz w:val="11"/>
                <w:szCs w:val="11"/>
                <w:color w:val="auto"/>
              </w:rPr>
            </w:pPr>
          </w:p>
        </w:tc>
        <w:tc>
          <w:tcPr>
            <w:tcW w:w="760" w:type="dxa"/>
            <w:vAlign w:val="bottom"/>
          </w:tcPr>
          <w:p>
            <w:pPr>
              <w:jc w:val="right"/>
              <w:ind w:right="52"/>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Credited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6"/>
              </w:rPr>
              <w:t>Interest and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8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7"/>
              </w:rPr>
              <w:t>September 30,</w:t>
            </w:r>
          </w:p>
        </w:tc>
        <w:tc>
          <w:tcPr>
            <w:tcW w:w="220" w:type="dxa"/>
            <w:vAlign w:val="bottom"/>
          </w:tcPr>
          <w:p>
            <w:pPr>
              <w:spacing w:after="0"/>
              <w:rPr>
                <w:sz w:val="11"/>
                <w:szCs w:val="11"/>
                <w:color w:val="auto"/>
              </w:rPr>
            </w:pPr>
          </w:p>
        </w:tc>
        <w:tc>
          <w:tcPr>
            <w:tcW w:w="820" w:type="dxa"/>
            <w:vAlign w:val="bottom"/>
          </w:tcPr>
          <w:p>
            <w:pPr>
              <w:jc w:val="right"/>
              <w:ind w:right="297"/>
              <w:spacing w:after="0" w:line="134" w:lineRule="exact"/>
              <w:rPr>
                <w:sz w:val="20"/>
                <w:szCs w:val="20"/>
                <w:color w:val="auto"/>
              </w:rPr>
            </w:pPr>
            <w:r>
              <w:rPr>
                <w:rFonts w:ascii="Arial" w:cs="Arial" w:eastAsia="Arial" w:hAnsi="Arial"/>
                <w:sz w:val="13"/>
                <w:szCs w:val="13"/>
                <w:b w:val="1"/>
                <w:bCs w:val="1"/>
                <w:color w:val="auto"/>
              </w:rPr>
              <w:t>of</w:t>
            </w:r>
          </w:p>
        </w:tc>
      </w:tr>
      <w:tr>
        <w:trPr>
          <w:trHeight w:val="152"/>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w w:val="98"/>
              </w:rPr>
              <w:t>in Income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Sales</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78"/>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8"/>
              </w:rPr>
              <w:t>Net Assets</w:t>
            </w:r>
          </w:p>
        </w:tc>
      </w:tr>
      <w:tr>
        <w:trPr>
          <w:trHeight w:val="141"/>
        </w:trPr>
        <w:tc>
          <w:tcPr>
            <w:tcW w:w="2360" w:type="dxa"/>
            <w:vAlign w:val="bottom"/>
          </w:tcPr>
          <w:p>
            <w:pPr>
              <w:ind w:left="200"/>
              <w:spacing w:after="0" w:line="141" w:lineRule="exact"/>
              <w:rPr>
                <w:sz w:val="20"/>
                <w:szCs w:val="20"/>
                <w:color w:val="auto"/>
              </w:rPr>
            </w:pPr>
            <w:r>
              <w:rPr>
                <w:rFonts w:ascii="Arial" w:cs="Arial" w:eastAsia="Arial" w:hAnsi="Arial"/>
                <w:sz w:val="14"/>
                <w:szCs w:val="14"/>
                <w:i w:val="1"/>
                <w:iCs w:val="1"/>
                <w:color w:val="auto"/>
              </w:rPr>
              <w:t>Sports Analytics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29"/>
        </w:trPr>
        <w:tc>
          <w:tcPr>
            <w:tcW w:w="23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Circle Media (f/k/a S3 Digital</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8"/>
        </w:trPr>
        <w:tc>
          <w:tcPr>
            <w:tcW w:w="23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Corp. (d/b/a S3i)) –</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66"/>
        </w:trPr>
        <w:tc>
          <w:tcPr>
            <w:tcW w:w="2360" w:type="dxa"/>
            <w:vAlign w:val="bottom"/>
            <w:shd w:val="clear" w:color="auto" w:fill="CCEEFF"/>
          </w:tcPr>
          <w:p>
            <w:pPr>
              <w:ind w:left="760"/>
              <w:spacing w:after="0"/>
              <w:rPr>
                <w:sz w:val="20"/>
                <w:szCs w:val="20"/>
                <w:color w:val="auto"/>
              </w:rPr>
            </w:pPr>
            <w:r>
              <w:rPr>
                <w:rFonts w:ascii="Arial" w:cs="Arial" w:eastAsia="Arial" w:hAnsi="Arial"/>
                <w:sz w:val="14"/>
                <w:szCs w:val="14"/>
                <w:color w:val="auto"/>
                <w:w w:val="95"/>
              </w:rPr>
              <w:t>Preferred shares, Series 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1,864,495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484,769</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(484,769)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0.00%</w:t>
            </w:r>
          </w:p>
        </w:tc>
      </w:tr>
      <w:tr>
        <w:trPr>
          <w:trHeight w:val="148"/>
        </w:trPr>
        <w:tc>
          <w:tcPr>
            <w:tcW w:w="236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Social Cognitive Learning</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29"/>
        </w:trPr>
        <w:tc>
          <w:tcPr>
            <w:tcW w:w="23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Declara, Inc. – Preferred</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66"/>
        </w:trPr>
        <w:tc>
          <w:tcPr>
            <w:tcW w:w="2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shares, Series 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10,716,390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4,786,654</w:t>
            </w: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(3,991,885)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794,769</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0.38%</w:t>
            </w:r>
          </w:p>
        </w:tc>
      </w:tr>
      <w:tr>
        <w:trPr>
          <w:trHeight w:val="148"/>
        </w:trPr>
        <w:tc>
          <w:tcPr>
            <w:tcW w:w="236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Education Media Platform</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29"/>
        </w:trPr>
        <w:tc>
          <w:tcPr>
            <w:tcW w:w="23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EdSurge, Inc. – Preferred</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66"/>
        </w:trPr>
        <w:tc>
          <w:tcPr>
            <w:tcW w:w="2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shares, Series A-1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378,788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0.24%</w:t>
            </w:r>
          </w:p>
        </w:tc>
      </w:tr>
      <w:tr>
        <w:trPr>
          <w:trHeight w:val="129"/>
        </w:trPr>
        <w:tc>
          <w:tcPr>
            <w:tcW w:w="2360" w:type="dxa"/>
            <w:vAlign w:val="bottom"/>
          </w:tcPr>
          <w:p>
            <w:pPr>
              <w:ind w:left="540"/>
              <w:spacing w:after="0" w:line="129" w:lineRule="exact"/>
              <w:rPr>
                <w:sz w:val="20"/>
                <w:szCs w:val="20"/>
                <w:color w:val="auto"/>
              </w:rPr>
            </w:pPr>
            <w:r>
              <w:rPr>
                <w:rFonts w:ascii="Arial" w:cs="Arial" w:eastAsia="Arial" w:hAnsi="Arial"/>
                <w:sz w:val="14"/>
                <w:szCs w:val="14"/>
                <w:color w:val="auto"/>
              </w:rPr>
              <w:t>EdSurge, Inc. – Preferred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6"/>
        </w:trPr>
        <w:tc>
          <w:tcPr>
            <w:tcW w:w="2360" w:type="dxa"/>
            <w:vAlign w:val="bottom"/>
          </w:tcPr>
          <w:p>
            <w:pPr>
              <w:ind w:left="720"/>
              <w:spacing w:after="0"/>
              <w:rPr>
                <w:sz w:val="20"/>
                <w:szCs w:val="20"/>
                <w:color w:val="auto"/>
              </w:rPr>
            </w:pPr>
            <w:r>
              <w:rPr>
                <w:rFonts w:ascii="Arial" w:cs="Arial" w:eastAsia="Arial" w:hAnsi="Arial"/>
                <w:sz w:val="14"/>
                <w:szCs w:val="14"/>
                <w:color w:val="auto"/>
              </w:rPr>
              <w:t>shares, Series A</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494,365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588,294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(88,293)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500,001</w:t>
            </w:r>
          </w:p>
        </w:tc>
        <w:tc>
          <w:tcPr>
            <w:tcW w:w="1040" w:type="dxa"/>
            <w:vAlign w:val="bottom"/>
            <w:gridSpan w:val="2"/>
          </w:tcPr>
          <w:p>
            <w:pPr>
              <w:jc w:val="right"/>
              <w:ind w:right="57"/>
              <w:spacing w:after="0"/>
              <w:rPr>
                <w:sz w:val="20"/>
                <w:szCs w:val="20"/>
                <w:color w:val="auto"/>
              </w:rPr>
            </w:pPr>
            <w:r>
              <w:rPr>
                <w:rFonts w:ascii="Arial" w:cs="Arial" w:eastAsia="Arial" w:hAnsi="Arial"/>
                <w:sz w:val="14"/>
                <w:szCs w:val="14"/>
                <w:color w:val="auto"/>
              </w:rPr>
              <w:t>0.24%</w:t>
            </w:r>
          </w:p>
        </w:tc>
      </w:tr>
      <w:tr>
        <w:trPr>
          <w:trHeight w:val="20"/>
        </w:trPr>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1"/>
        </w:trPr>
        <w:tc>
          <w:tcPr>
            <w:tcW w:w="2360" w:type="dxa"/>
            <w:vAlign w:val="bottom"/>
            <w:shd w:val="clear" w:color="auto" w:fill="CCEEFF"/>
          </w:tcPr>
          <w:p>
            <w:pPr>
              <w:ind w:left="380"/>
              <w:spacing w:after="0" w:line="141" w:lineRule="exact"/>
              <w:rPr>
                <w:sz w:val="20"/>
                <w:szCs w:val="20"/>
                <w:color w:val="auto"/>
              </w:rPr>
            </w:pPr>
            <w:r>
              <w:rPr>
                <w:rFonts w:ascii="Arial" w:cs="Arial" w:eastAsia="Arial" w:hAnsi="Arial"/>
                <w:sz w:val="14"/>
                <w:szCs w:val="14"/>
                <w:i w:val="1"/>
                <w:iCs w:val="1"/>
                <w:color w:val="auto"/>
              </w:rPr>
              <w:t>Total Education Media Platform</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1,088,294</w:t>
            </w: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(88,293)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1,000,001</w:t>
            </w:r>
          </w:p>
        </w:tc>
        <w:tc>
          <w:tcPr>
            <w:tcW w:w="1040" w:type="dxa"/>
            <w:vAlign w:val="bottom"/>
            <w:tcBorders>
              <w:left w:val="single" w:sz="8" w:color="CCEEFF"/>
            </w:tcBorders>
            <w:gridSpan w:val="2"/>
            <w:shd w:val="clear" w:color="auto" w:fill="CCEEFF"/>
          </w:tcPr>
          <w:p>
            <w:pPr>
              <w:jc w:val="right"/>
              <w:ind w:right="57"/>
              <w:spacing w:after="0" w:line="141" w:lineRule="exact"/>
              <w:rPr>
                <w:sz w:val="20"/>
                <w:szCs w:val="20"/>
                <w:color w:val="auto"/>
              </w:rPr>
            </w:pPr>
            <w:r>
              <w:rPr>
                <w:rFonts w:ascii="Arial" w:cs="Arial" w:eastAsia="Arial" w:hAnsi="Arial"/>
                <w:sz w:val="14"/>
                <w:szCs w:val="14"/>
                <w:color w:val="auto"/>
              </w:rPr>
              <w:t>0.48%</w:t>
            </w:r>
          </w:p>
        </w:tc>
      </w:tr>
      <w:tr>
        <w:trPr>
          <w:trHeight w:val="148"/>
        </w:trPr>
        <w:tc>
          <w:tcPr>
            <w:tcW w:w="236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Education Technology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9"/>
        </w:trPr>
        <w:tc>
          <w:tcPr>
            <w:tcW w:w="2360" w:type="dxa"/>
            <w:vAlign w:val="bottom"/>
            <w:shd w:val="clear" w:color="auto" w:fill="CCEEFF"/>
          </w:tcPr>
          <w:p>
            <w:pPr>
              <w:ind w:left="540"/>
              <w:spacing w:after="0" w:line="139" w:lineRule="exact"/>
              <w:rPr>
                <w:sz w:val="20"/>
                <w:szCs w:val="20"/>
                <w:color w:val="auto"/>
              </w:rPr>
            </w:pPr>
            <w:r>
              <w:rPr>
                <w:rFonts w:ascii="Arial" w:cs="Arial" w:eastAsia="Arial" w:hAnsi="Arial"/>
                <w:sz w:val="14"/>
                <w:szCs w:val="14"/>
                <w:color w:val="auto"/>
              </w:rPr>
              <w:t>Global Education Learning</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78"/>
        </w:trPr>
        <w:tc>
          <w:tcPr>
            <w:tcW w:w="2360" w:type="dxa"/>
            <w:vAlign w:val="bottom"/>
            <w:shd w:val="clear" w:color="auto" w:fill="CCEEFF"/>
          </w:tcPr>
          <w:p>
            <w:pPr>
              <w:ind w:left="720"/>
              <w:spacing w:after="0" w:line="178" w:lineRule="exact"/>
              <w:rPr>
                <w:sz w:val="20"/>
                <w:szCs w:val="20"/>
                <w:color w:val="auto"/>
              </w:rPr>
            </w:pPr>
            <w:r>
              <w:rPr>
                <w:rFonts w:ascii="Arial" w:cs="Arial" w:eastAsia="Arial" w:hAnsi="Arial"/>
                <w:sz w:val="13"/>
                <w:szCs w:val="13"/>
                <w:color w:val="auto"/>
              </w:rPr>
              <w:t>(Holdings) Ltd. **</w:t>
            </w:r>
            <w:r>
              <w:rPr>
                <w:rFonts w:ascii="Arial" w:cs="Arial" w:eastAsia="Arial" w:hAnsi="Arial"/>
                <w:sz w:val="20"/>
                <w:szCs w:val="20"/>
                <w:color w:val="auto"/>
                <w:vertAlign w:val="superscript"/>
              </w:rPr>
              <w:t>(9)</w:t>
            </w:r>
            <w:r>
              <w:rPr>
                <w:rFonts w:ascii="Arial" w:cs="Arial" w:eastAsia="Arial" w:hAnsi="Arial"/>
                <w:sz w:val="13"/>
                <w:szCs w:val="13"/>
                <w:color w:val="auto"/>
              </w:rPr>
              <w:t xml:space="preserve"> –</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6"/>
        </w:trPr>
        <w:tc>
          <w:tcPr>
            <w:tcW w:w="2360" w:type="dxa"/>
            <w:vAlign w:val="bottom"/>
            <w:shd w:val="clear" w:color="auto" w:fill="CCEEFF"/>
          </w:tcPr>
          <w:p>
            <w:pPr>
              <w:ind w:left="760"/>
              <w:spacing w:after="0"/>
              <w:rPr>
                <w:sz w:val="20"/>
                <w:szCs w:val="20"/>
                <w:color w:val="auto"/>
              </w:rPr>
            </w:pPr>
            <w:r>
              <w:rPr>
                <w:rFonts w:ascii="Arial" w:cs="Arial" w:eastAsia="Arial" w:hAnsi="Arial"/>
                <w:sz w:val="14"/>
                <w:szCs w:val="14"/>
                <w:color w:val="auto"/>
                <w:w w:val="95"/>
              </w:rPr>
              <w:t>Preferred shares, Series A</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(675,495)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675,495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0.00%</w:t>
            </w:r>
          </w:p>
        </w:tc>
      </w:tr>
      <w:tr>
        <w:trPr>
          <w:trHeight w:val="148"/>
        </w:trPr>
        <w:tc>
          <w:tcPr>
            <w:tcW w:w="236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Knowledge Networks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29"/>
        </w:trPr>
        <w:tc>
          <w:tcPr>
            <w:tcW w:w="23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Maven Research, Inc. -</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66"/>
        </w:trPr>
        <w:tc>
          <w:tcPr>
            <w:tcW w:w="2360" w:type="dxa"/>
            <w:vAlign w:val="bottom"/>
            <w:shd w:val="clear" w:color="auto" w:fill="CCEEFF"/>
          </w:tcPr>
          <w:p>
            <w:pPr>
              <w:ind w:left="720"/>
              <w:spacing w:after="0"/>
              <w:rPr>
                <w:sz w:val="20"/>
                <w:szCs w:val="20"/>
                <w:color w:val="auto"/>
              </w:rPr>
            </w:pPr>
            <w:r>
              <w:rPr>
                <w:rFonts w:ascii="Arial" w:cs="Arial" w:eastAsia="Arial" w:hAnsi="Arial"/>
                <w:sz w:val="14"/>
                <w:szCs w:val="14"/>
                <w:color w:val="auto"/>
                <w:w w:val="97"/>
              </w:rPr>
              <w:t>Preferred shares, Series 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318,979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1,999,998</w:t>
            </w: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2"/>
              </w:rPr>
              <w:t>(1,499,998)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0.24%</w:t>
            </w:r>
          </w:p>
        </w:tc>
      </w:tr>
      <w:tr>
        <w:trPr>
          <w:trHeight w:val="129"/>
        </w:trPr>
        <w:tc>
          <w:tcPr>
            <w:tcW w:w="2360" w:type="dxa"/>
            <w:vAlign w:val="bottom"/>
          </w:tcPr>
          <w:p>
            <w:pPr>
              <w:ind w:left="540"/>
              <w:spacing w:after="0" w:line="129" w:lineRule="exact"/>
              <w:rPr>
                <w:sz w:val="20"/>
                <w:szCs w:val="20"/>
                <w:color w:val="auto"/>
              </w:rPr>
            </w:pPr>
            <w:r>
              <w:rPr>
                <w:rFonts w:ascii="Arial" w:cs="Arial" w:eastAsia="Arial" w:hAnsi="Arial"/>
                <w:sz w:val="14"/>
                <w:szCs w:val="14"/>
                <w:color w:val="auto"/>
              </w:rPr>
              <w:t>Maven Research, Inc. -</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6"/>
        </w:trPr>
        <w:tc>
          <w:tcPr>
            <w:tcW w:w="2360" w:type="dxa"/>
            <w:vAlign w:val="bottom"/>
          </w:tcPr>
          <w:p>
            <w:pPr>
              <w:ind w:left="720"/>
              <w:spacing w:after="0"/>
              <w:rPr>
                <w:sz w:val="20"/>
                <w:szCs w:val="20"/>
                <w:color w:val="auto"/>
              </w:rPr>
            </w:pPr>
            <w:r>
              <w:rPr>
                <w:rFonts w:ascii="Arial" w:cs="Arial" w:eastAsia="Arial" w:hAnsi="Arial"/>
                <w:sz w:val="14"/>
                <w:szCs w:val="14"/>
                <w:color w:val="auto"/>
                <w:w w:val="98"/>
              </w:rPr>
              <w:t>Preferred shares, Series B</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49,505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223,763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(173,887)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49,876</w:t>
            </w:r>
          </w:p>
        </w:tc>
        <w:tc>
          <w:tcPr>
            <w:tcW w:w="1040" w:type="dxa"/>
            <w:vAlign w:val="bottom"/>
            <w:gridSpan w:val="2"/>
          </w:tcPr>
          <w:p>
            <w:pPr>
              <w:jc w:val="right"/>
              <w:ind w:right="57"/>
              <w:spacing w:after="0"/>
              <w:rPr>
                <w:sz w:val="20"/>
                <w:szCs w:val="20"/>
                <w:color w:val="auto"/>
              </w:rPr>
            </w:pPr>
            <w:r>
              <w:rPr>
                <w:rFonts w:ascii="Arial" w:cs="Arial" w:eastAsia="Arial" w:hAnsi="Arial"/>
                <w:sz w:val="14"/>
                <w:szCs w:val="14"/>
                <w:color w:val="auto"/>
              </w:rPr>
              <w:t>0.02%</w:t>
            </w:r>
          </w:p>
        </w:tc>
      </w:tr>
      <w:tr>
        <w:trPr>
          <w:trHeight w:val="20"/>
        </w:trPr>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1"/>
        </w:trPr>
        <w:tc>
          <w:tcPr>
            <w:tcW w:w="2360" w:type="dxa"/>
            <w:vAlign w:val="bottom"/>
            <w:shd w:val="clear" w:color="auto" w:fill="CCEEFF"/>
          </w:tcPr>
          <w:p>
            <w:pPr>
              <w:ind w:left="380"/>
              <w:spacing w:after="0" w:line="141" w:lineRule="exact"/>
              <w:rPr>
                <w:sz w:val="20"/>
                <w:szCs w:val="20"/>
                <w:color w:val="auto"/>
              </w:rPr>
            </w:pPr>
            <w:r>
              <w:rPr>
                <w:rFonts w:ascii="Arial" w:cs="Arial" w:eastAsia="Arial" w:hAnsi="Arial"/>
                <w:sz w:val="14"/>
                <w:szCs w:val="14"/>
                <w:i w:val="1"/>
                <w:iCs w:val="1"/>
                <w:color w:val="auto"/>
              </w:rPr>
              <w:t>Total Knowledge Networks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2,223,761</w:t>
            </w: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w w:val="92"/>
              </w:rPr>
              <w:t>(1,673,885)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549,876</w:t>
            </w:r>
          </w:p>
        </w:tc>
        <w:tc>
          <w:tcPr>
            <w:tcW w:w="1040" w:type="dxa"/>
            <w:vAlign w:val="bottom"/>
            <w:tcBorders>
              <w:left w:val="single" w:sz="8" w:color="CCEEFF"/>
            </w:tcBorders>
            <w:gridSpan w:val="2"/>
            <w:shd w:val="clear" w:color="auto" w:fill="CCEEFF"/>
          </w:tcPr>
          <w:p>
            <w:pPr>
              <w:jc w:val="right"/>
              <w:ind w:right="57"/>
              <w:spacing w:after="0" w:line="141" w:lineRule="exact"/>
              <w:rPr>
                <w:sz w:val="20"/>
                <w:szCs w:val="20"/>
                <w:color w:val="auto"/>
              </w:rPr>
            </w:pPr>
            <w:r>
              <w:rPr>
                <w:rFonts w:ascii="Arial" w:cs="Arial" w:eastAsia="Arial" w:hAnsi="Arial"/>
                <w:sz w:val="14"/>
                <w:szCs w:val="14"/>
                <w:color w:val="auto"/>
              </w:rPr>
              <w:t>0.26%</w:t>
            </w:r>
          </w:p>
        </w:tc>
      </w:tr>
      <w:tr>
        <w:trPr>
          <w:trHeight w:val="148"/>
        </w:trPr>
        <w:tc>
          <w:tcPr>
            <w:tcW w:w="236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Digital Media Platform</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29"/>
        </w:trPr>
        <w:tc>
          <w:tcPr>
            <w:tcW w:w="23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OzyMedia, Inc. – Preferred</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66"/>
        </w:trPr>
        <w:tc>
          <w:tcPr>
            <w:tcW w:w="2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shares, Series B</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922,509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4,999,999</w:t>
            </w: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(609,112)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4,390,887</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2.10%</w:t>
            </w:r>
          </w:p>
        </w:tc>
      </w:tr>
      <w:tr>
        <w:trPr>
          <w:trHeight w:val="129"/>
        </w:trPr>
        <w:tc>
          <w:tcPr>
            <w:tcW w:w="2360" w:type="dxa"/>
            <w:vAlign w:val="bottom"/>
          </w:tcPr>
          <w:p>
            <w:pPr>
              <w:ind w:left="540"/>
              <w:spacing w:after="0" w:line="129" w:lineRule="exact"/>
              <w:rPr>
                <w:sz w:val="20"/>
                <w:szCs w:val="20"/>
                <w:color w:val="auto"/>
              </w:rPr>
            </w:pPr>
            <w:r>
              <w:rPr>
                <w:rFonts w:ascii="Arial" w:cs="Arial" w:eastAsia="Arial" w:hAnsi="Arial"/>
                <w:sz w:val="14"/>
                <w:szCs w:val="14"/>
                <w:color w:val="auto"/>
              </w:rPr>
              <w:t>OzyMedia, Inc. – Preferred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6"/>
        </w:trPr>
        <w:tc>
          <w:tcPr>
            <w:tcW w:w="2360" w:type="dxa"/>
            <w:vAlign w:val="bottom"/>
          </w:tcPr>
          <w:p>
            <w:pPr>
              <w:ind w:left="720"/>
              <w:spacing w:after="0"/>
              <w:rPr>
                <w:sz w:val="20"/>
                <w:szCs w:val="20"/>
                <w:color w:val="auto"/>
              </w:rPr>
            </w:pPr>
            <w:r>
              <w:rPr>
                <w:rFonts w:ascii="Arial" w:cs="Arial" w:eastAsia="Arial" w:hAnsi="Arial"/>
                <w:sz w:val="14"/>
                <w:szCs w:val="14"/>
                <w:color w:val="auto"/>
              </w:rPr>
              <w:t>shares, Series A</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1,090,909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(366,216)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2,633,784</w:t>
            </w:r>
          </w:p>
        </w:tc>
        <w:tc>
          <w:tcPr>
            <w:tcW w:w="1040" w:type="dxa"/>
            <w:vAlign w:val="bottom"/>
            <w:gridSpan w:val="2"/>
          </w:tcPr>
          <w:p>
            <w:pPr>
              <w:jc w:val="right"/>
              <w:ind w:right="57"/>
              <w:spacing w:after="0"/>
              <w:rPr>
                <w:sz w:val="20"/>
                <w:szCs w:val="20"/>
                <w:color w:val="auto"/>
              </w:rPr>
            </w:pPr>
            <w:r>
              <w:rPr>
                <w:rFonts w:ascii="Arial" w:cs="Arial" w:eastAsia="Arial" w:hAnsi="Arial"/>
                <w:sz w:val="14"/>
                <w:szCs w:val="14"/>
                <w:color w:val="auto"/>
              </w:rPr>
              <w:t>1.26%</w:t>
            </w:r>
          </w:p>
        </w:tc>
      </w:tr>
      <w:tr>
        <w:trPr>
          <w:trHeight w:val="129"/>
        </w:trPr>
        <w:tc>
          <w:tcPr>
            <w:tcW w:w="23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OzyMedia, Inc. – Preferred</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66"/>
        </w:trPr>
        <w:tc>
          <w:tcPr>
            <w:tcW w:w="2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shares, Series Seed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610,000</w:t>
            </w: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(171,036)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438,964</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0.21%</w:t>
            </w:r>
          </w:p>
        </w:tc>
      </w:tr>
      <w:tr>
        <w:trPr>
          <w:trHeight w:val="20"/>
        </w:trPr>
        <w:tc>
          <w:tcPr>
            <w:tcW w:w="2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141"/>
        </w:trPr>
        <w:tc>
          <w:tcPr>
            <w:tcW w:w="2360" w:type="dxa"/>
            <w:vAlign w:val="bottom"/>
          </w:tcPr>
          <w:p>
            <w:pPr>
              <w:ind w:left="380"/>
              <w:spacing w:after="0" w:line="141" w:lineRule="exact"/>
              <w:rPr>
                <w:sz w:val="20"/>
                <w:szCs w:val="20"/>
                <w:color w:val="auto"/>
              </w:rPr>
            </w:pPr>
            <w:r>
              <w:rPr>
                <w:rFonts w:ascii="Arial" w:cs="Arial" w:eastAsia="Arial" w:hAnsi="Arial"/>
                <w:sz w:val="14"/>
                <w:szCs w:val="14"/>
                <w:i w:val="1"/>
                <w:iCs w:val="1"/>
                <w:color w:val="auto"/>
              </w:rPr>
              <w:t>Total Digital Media Platform</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8,609,999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w w:val="92"/>
              </w:rPr>
              <w:t>(1,146,364)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7,463,635</w:t>
            </w:r>
          </w:p>
        </w:tc>
        <w:tc>
          <w:tcPr>
            <w:tcW w:w="1040" w:type="dxa"/>
            <w:vAlign w:val="bottom"/>
            <w:gridSpan w:val="2"/>
          </w:tcPr>
          <w:p>
            <w:pPr>
              <w:jc w:val="right"/>
              <w:ind w:right="57"/>
              <w:spacing w:after="0" w:line="141" w:lineRule="exact"/>
              <w:rPr>
                <w:sz w:val="20"/>
                <w:szCs w:val="20"/>
                <w:color w:val="auto"/>
              </w:rPr>
            </w:pPr>
            <w:r>
              <w:rPr>
                <w:rFonts w:ascii="Arial" w:cs="Arial" w:eastAsia="Arial" w:hAnsi="Arial"/>
                <w:sz w:val="14"/>
                <w:szCs w:val="14"/>
                <w:color w:val="auto"/>
              </w:rPr>
              <w:t>3.57%</w:t>
            </w:r>
          </w:p>
        </w:tc>
      </w:tr>
      <w:tr>
        <w:trPr>
          <w:trHeight w:val="148"/>
        </w:trPr>
        <w:tc>
          <w:tcPr>
            <w:tcW w:w="236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Social Media</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39"/>
        </w:trPr>
        <w:tc>
          <w:tcPr>
            <w:tcW w:w="2360" w:type="dxa"/>
            <w:vAlign w:val="bottom"/>
          </w:tcPr>
          <w:p>
            <w:pPr>
              <w:ind w:left="540"/>
              <w:spacing w:after="0" w:line="139" w:lineRule="exact"/>
              <w:rPr>
                <w:sz w:val="20"/>
                <w:szCs w:val="20"/>
                <w:color w:val="auto"/>
              </w:rPr>
            </w:pPr>
            <w:r>
              <w:rPr>
                <w:rFonts w:ascii="Arial" w:cs="Arial" w:eastAsia="Arial" w:hAnsi="Arial"/>
                <w:sz w:val="14"/>
                <w:szCs w:val="14"/>
                <w:color w:val="auto"/>
              </w:rPr>
              <w:t>AlwaysOn, Inc. – Preferred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97"/>
        </w:trPr>
        <w:tc>
          <w:tcPr>
            <w:tcW w:w="2360" w:type="dxa"/>
            <w:vAlign w:val="bottom"/>
          </w:tcPr>
          <w:p>
            <w:pPr>
              <w:ind w:left="720"/>
              <w:spacing w:after="0" w:line="197" w:lineRule="exact"/>
              <w:rPr>
                <w:sz w:val="20"/>
                <w:szCs w:val="20"/>
                <w:color w:val="auto"/>
              </w:rPr>
            </w:pPr>
            <w:r>
              <w:rPr>
                <w:rFonts w:ascii="Arial" w:cs="Arial" w:eastAsia="Arial" w:hAnsi="Arial"/>
                <w:sz w:val="14"/>
                <w:szCs w:val="14"/>
                <w:color w:val="auto"/>
              </w:rPr>
              <w:t>shares, Series A-1</w:t>
            </w:r>
            <w:r>
              <w:rPr>
                <w:rFonts w:ascii="Arial" w:cs="Arial" w:eastAsia="Arial" w:hAnsi="Arial"/>
                <w:sz w:val="22"/>
                <w:szCs w:val="22"/>
                <w:color w:val="auto"/>
                <w:vertAlign w:val="superscript"/>
              </w:rPr>
              <w:t>(10)</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(876,023)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876,023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7"/>
              <w:spacing w:after="0"/>
              <w:rPr>
                <w:sz w:val="20"/>
                <w:szCs w:val="20"/>
                <w:color w:val="auto"/>
              </w:rPr>
            </w:pPr>
            <w:r>
              <w:rPr>
                <w:rFonts w:ascii="Arial" w:cs="Arial" w:eastAsia="Arial" w:hAnsi="Arial"/>
                <w:sz w:val="14"/>
                <w:szCs w:val="14"/>
                <w:color w:val="auto"/>
              </w:rPr>
              <w:t>0.00%</w:t>
            </w:r>
          </w:p>
        </w:tc>
      </w:tr>
      <w:tr>
        <w:trPr>
          <w:trHeight w:val="139"/>
        </w:trPr>
        <w:tc>
          <w:tcPr>
            <w:tcW w:w="2360" w:type="dxa"/>
            <w:vAlign w:val="bottom"/>
            <w:shd w:val="clear" w:color="auto" w:fill="CCEEFF"/>
          </w:tcPr>
          <w:p>
            <w:pPr>
              <w:ind w:left="540"/>
              <w:spacing w:after="0" w:line="139" w:lineRule="exact"/>
              <w:rPr>
                <w:sz w:val="20"/>
                <w:szCs w:val="20"/>
                <w:color w:val="auto"/>
              </w:rPr>
            </w:pPr>
            <w:r>
              <w:rPr>
                <w:rFonts w:ascii="Arial" w:cs="Arial" w:eastAsia="Arial" w:hAnsi="Arial"/>
                <w:sz w:val="14"/>
                <w:szCs w:val="14"/>
                <w:color w:val="auto"/>
              </w:rPr>
              <w:t>AlwaysOn, Inc. – Preferred</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97"/>
        </w:trPr>
        <w:tc>
          <w:tcPr>
            <w:tcW w:w="2360" w:type="dxa"/>
            <w:vAlign w:val="bottom"/>
            <w:shd w:val="clear" w:color="auto" w:fill="CCEEFF"/>
          </w:tcPr>
          <w:p>
            <w:pPr>
              <w:ind w:left="720"/>
              <w:spacing w:after="0" w:line="197" w:lineRule="exact"/>
              <w:rPr>
                <w:sz w:val="20"/>
                <w:szCs w:val="20"/>
                <w:color w:val="auto"/>
              </w:rPr>
            </w:pPr>
            <w:r>
              <w:rPr>
                <w:rFonts w:ascii="Arial" w:cs="Arial" w:eastAsia="Arial" w:hAnsi="Arial"/>
                <w:sz w:val="14"/>
                <w:szCs w:val="14"/>
                <w:color w:val="auto"/>
              </w:rPr>
              <w:t>shares, Series A</w:t>
            </w:r>
            <w:r>
              <w:rPr>
                <w:rFonts w:ascii="Arial" w:cs="Arial" w:eastAsia="Arial" w:hAnsi="Arial"/>
                <w:sz w:val="22"/>
                <w:szCs w:val="22"/>
                <w:color w:val="auto"/>
                <w:vertAlign w:val="superscript"/>
              </w:rPr>
              <w:t>(10)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(1,027,391)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1,027,391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4"/>
                <w:szCs w:val="14"/>
                <w:color w:val="auto"/>
              </w:rPr>
              <w:t>0.00%</w:t>
            </w:r>
          </w:p>
        </w:tc>
      </w:tr>
      <w:tr>
        <w:trPr>
          <w:trHeight w:val="20"/>
        </w:trPr>
        <w:tc>
          <w:tcPr>
            <w:tcW w:w="2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r>
        <w:trPr>
          <w:trHeight w:val="141"/>
        </w:trPr>
        <w:tc>
          <w:tcPr>
            <w:tcW w:w="2360" w:type="dxa"/>
            <w:vAlign w:val="bottom"/>
          </w:tcPr>
          <w:p>
            <w:pPr>
              <w:ind w:left="380"/>
              <w:spacing w:after="0" w:line="141" w:lineRule="exact"/>
              <w:rPr>
                <w:sz w:val="20"/>
                <w:szCs w:val="20"/>
                <w:color w:val="auto"/>
              </w:rPr>
            </w:pPr>
            <w:r>
              <w:rPr>
                <w:rFonts w:ascii="Arial" w:cs="Arial" w:eastAsia="Arial" w:hAnsi="Arial"/>
                <w:sz w:val="14"/>
                <w:szCs w:val="14"/>
                <w:i w:val="1"/>
                <w:iCs w:val="1"/>
                <w:color w:val="auto"/>
              </w:rPr>
              <w:t>Total Social Media</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w w:val="92"/>
              </w:rPr>
              <w:t>(1,903,414)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w w:val="99"/>
              </w:rPr>
              <w:t>1,903,414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57"/>
              <w:spacing w:after="0" w:line="141" w:lineRule="exact"/>
              <w:rPr>
                <w:sz w:val="20"/>
                <w:szCs w:val="20"/>
                <w:color w:val="auto"/>
              </w:rPr>
            </w:pPr>
            <w:r>
              <w:rPr>
                <w:rFonts w:ascii="Arial" w:cs="Arial" w:eastAsia="Arial" w:hAnsi="Arial"/>
                <w:sz w:val="14"/>
                <w:szCs w:val="14"/>
                <w:color w:val="auto"/>
              </w:rPr>
              <w:t>0.00%</w:t>
            </w:r>
          </w:p>
        </w:tc>
      </w:tr>
      <w:tr>
        <w:trPr>
          <w:trHeight w:val="148"/>
        </w:trPr>
        <w:tc>
          <w:tcPr>
            <w:tcW w:w="23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Total Preferred Stock</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32,867,776</w:t>
            </w:r>
          </w:p>
        </w:tc>
        <w:tc>
          <w:tcPr>
            <w:tcW w:w="280" w:type="dxa"/>
            <w:vAlign w:val="bottom"/>
            <w:tcBorders>
              <w:left w:val="single" w:sz="8" w:color="CCEEFF"/>
            </w:tcBorders>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280</w:t>
            </w:r>
          </w:p>
        </w:tc>
        <w:tc>
          <w:tcPr>
            <w:tcW w:w="2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w w:val="92"/>
              </w:rPr>
              <w:t>(2,578,909)</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w w:val="92"/>
              </w:rPr>
              <w:t>(9,438,422)</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20,850,725</w:t>
            </w:r>
          </w:p>
        </w:tc>
        <w:tc>
          <w:tcPr>
            <w:tcW w:w="1040" w:type="dxa"/>
            <w:vAlign w:val="bottom"/>
            <w:tcBorders>
              <w:left w:val="single" w:sz="8" w:color="CCEEFF"/>
            </w:tcBorders>
            <w:gridSpan w:val="2"/>
            <w:shd w:val="clear" w:color="auto" w:fill="CCEEFF"/>
          </w:tcPr>
          <w:p>
            <w:pPr>
              <w:jc w:val="right"/>
              <w:ind w:right="57"/>
              <w:spacing w:after="0" w:line="147" w:lineRule="exact"/>
              <w:rPr>
                <w:sz w:val="20"/>
                <w:szCs w:val="20"/>
                <w:color w:val="auto"/>
              </w:rPr>
            </w:pPr>
            <w:r>
              <w:rPr>
                <w:rFonts w:ascii="Arial" w:cs="Arial" w:eastAsia="Arial" w:hAnsi="Arial"/>
                <w:sz w:val="14"/>
                <w:szCs w:val="14"/>
                <w:color w:val="auto"/>
              </w:rPr>
              <w:t>9.95%</w:t>
            </w:r>
          </w:p>
        </w:tc>
      </w:tr>
      <w:tr>
        <w:trPr>
          <w:trHeight w:val="148"/>
        </w:trPr>
        <w:tc>
          <w:tcPr>
            <w:tcW w:w="23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236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Big Data Consulting</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39"/>
        </w:trPr>
        <w:tc>
          <w:tcPr>
            <w:tcW w:w="2360" w:type="dxa"/>
            <w:vAlign w:val="bottom"/>
          </w:tcPr>
          <w:p>
            <w:pPr>
              <w:ind w:left="540"/>
              <w:spacing w:after="0" w:line="139" w:lineRule="exact"/>
              <w:rPr>
                <w:sz w:val="20"/>
                <w:szCs w:val="20"/>
                <w:color w:val="auto"/>
              </w:rPr>
            </w:pPr>
            <w:r>
              <w:rPr>
                <w:rFonts w:ascii="Arial" w:cs="Arial" w:eastAsia="Arial" w:hAnsi="Arial"/>
                <w:sz w:val="14"/>
                <w:szCs w:val="14"/>
                <w:color w:val="auto"/>
              </w:rPr>
              <w:t>Strategic Data Command,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09"/>
        </w:trPr>
        <w:tc>
          <w:tcPr>
            <w:tcW w:w="2360" w:type="dxa"/>
            <w:vAlign w:val="bottom"/>
          </w:tcPr>
          <w:p>
            <w:pPr>
              <w:ind w:left="720"/>
              <w:spacing w:after="0"/>
              <w:rPr>
                <w:sz w:val="20"/>
                <w:szCs w:val="20"/>
                <w:color w:val="auto"/>
              </w:rPr>
            </w:pPr>
            <w:r>
              <w:rPr>
                <w:rFonts w:ascii="Arial" w:cs="Arial" w:eastAsia="Arial" w:hAnsi="Arial"/>
                <w:sz w:val="14"/>
                <w:szCs w:val="14"/>
                <w:color w:val="auto"/>
                <w:w w:val="99"/>
              </w:rPr>
              <w:t>LLC</w:t>
            </w:r>
            <w:r>
              <w:rPr>
                <w:rFonts w:ascii="Arial" w:cs="Arial" w:eastAsia="Arial" w:hAnsi="Arial"/>
                <w:sz w:val="23"/>
                <w:szCs w:val="23"/>
                <w:color w:val="auto"/>
                <w:w w:val="99"/>
                <w:vertAlign w:val="superscript"/>
              </w:rPr>
              <w:t>(7)</w:t>
            </w:r>
            <w:r>
              <w:rPr>
                <w:rFonts w:ascii="Arial" w:cs="Arial" w:eastAsia="Arial" w:hAnsi="Arial"/>
                <w:sz w:val="14"/>
                <w:szCs w:val="14"/>
                <w:color w:val="auto"/>
                <w:w w:val="99"/>
              </w:rPr>
              <w:t xml:space="preserve"> – Common shares</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2,400,000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2,052,555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4,600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2,057,155</w:t>
            </w:r>
          </w:p>
        </w:tc>
        <w:tc>
          <w:tcPr>
            <w:tcW w:w="1040" w:type="dxa"/>
            <w:vAlign w:val="bottom"/>
            <w:gridSpan w:val="2"/>
          </w:tcPr>
          <w:p>
            <w:pPr>
              <w:jc w:val="right"/>
              <w:ind w:right="177"/>
              <w:spacing w:after="0"/>
              <w:rPr>
                <w:sz w:val="20"/>
                <w:szCs w:val="20"/>
                <w:color w:val="auto"/>
              </w:rPr>
            </w:pPr>
            <w:r>
              <w:rPr>
                <w:rFonts w:ascii="Arial" w:cs="Arial" w:eastAsia="Arial" w:hAnsi="Arial"/>
                <w:sz w:val="14"/>
                <w:szCs w:val="14"/>
                <w:color w:val="auto"/>
              </w:rPr>
              <w:t>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-1289050</wp:posOffset>
            </wp:positionV>
            <wp:extent cx="7026275" cy="1022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26275" cy="102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-667385</wp:posOffset>
            </wp:positionV>
            <wp:extent cx="7026275" cy="1022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26275" cy="10223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41" w:name="page42"/>
    <w:bookmarkEnd w:id="4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 xml:space="preserve">NOTE 3 — INVESTMENTS AT FAIR VALUE – (continued) </w:t>
      </w:r>
      <w:r>
        <w:rPr>
          <w:rFonts w:ascii="Arial" w:cs="Arial" w:eastAsia="Arial" w:hAnsi="Arial"/>
          <w:sz w:val="17"/>
          <w:szCs w:val="17"/>
          <w:b w:val="1"/>
          <w:bCs w:val="1"/>
          <w:u w:val="single" w:color="auto"/>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262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26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262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60"/>
              <w:spacing w:after="0" w:line="121" w:lineRule="exact"/>
              <w:rPr>
                <w:sz w:val="20"/>
                <w:szCs w:val="20"/>
                <w:color w:val="auto"/>
              </w:rPr>
            </w:pPr>
            <w:r>
              <w:rPr>
                <w:rFonts w:ascii="Arial" w:cs="Arial" w:eastAsia="Arial" w:hAnsi="Arial"/>
                <w:sz w:val="13"/>
                <w:szCs w:val="13"/>
                <w:b w:val="1"/>
                <w:bCs w:val="1"/>
                <w:color w:val="auto"/>
                <w:w w:val="83"/>
              </w:rPr>
              <w:t>Purchases,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34"/>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6"/>
              </w:rPr>
              <w:t>Interest, Fees,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90"/>
              </w:rPr>
              <w:t>Capitalized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4"/>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or Dividends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0"/>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22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78"/>
              </w:rPr>
              <w:t>Fees,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0"/>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160" w:type="dxa"/>
            <w:vAlign w:val="bottom"/>
          </w:tcPr>
          <w:p>
            <w:pPr>
              <w:spacing w:after="0"/>
              <w:rPr>
                <w:sz w:val="11"/>
                <w:szCs w:val="11"/>
                <w:color w:val="auto"/>
              </w:rPr>
            </w:pPr>
          </w:p>
        </w:tc>
        <w:tc>
          <w:tcPr>
            <w:tcW w:w="8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242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60" w:type="dxa"/>
            <w:vAlign w:val="bottom"/>
          </w:tcPr>
          <w:p>
            <w:pPr>
              <w:spacing w:after="0"/>
              <w:rPr>
                <w:sz w:val="11"/>
                <w:szCs w:val="11"/>
                <w:color w:val="auto"/>
              </w:rPr>
            </w:pPr>
          </w:p>
        </w:tc>
        <w:tc>
          <w:tcPr>
            <w:tcW w:w="700" w:type="dxa"/>
            <w:vAlign w:val="bottom"/>
          </w:tcPr>
          <w:p>
            <w:pPr>
              <w:jc w:val="right"/>
              <w:ind w:right="14"/>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Credited</w:t>
            </w:r>
          </w:p>
        </w:tc>
        <w:tc>
          <w:tcPr>
            <w:tcW w:w="16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220" w:type="dxa"/>
            <w:vAlign w:val="bottom"/>
          </w:tcPr>
          <w:p>
            <w:pPr>
              <w:spacing w:after="0"/>
              <w:rPr>
                <w:sz w:val="11"/>
                <w:szCs w:val="11"/>
                <w:color w:val="auto"/>
              </w:rPr>
            </w:pPr>
          </w:p>
        </w:tc>
        <w:tc>
          <w:tcPr>
            <w:tcW w:w="80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9"/>
              </w:rPr>
              <w:t>Interest and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Gains/</w:t>
            </w:r>
          </w:p>
        </w:tc>
        <w:tc>
          <w:tcPr>
            <w:tcW w:w="16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7"/>
              </w:rPr>
              <w:t>September 30,</w:t>
            </w:r>
          </w:p>
        </w:tc>
        <w:tc>
          <w:tcPr>
            <w:tcW w:w="160" w:type="dxa"/>
            <w:vAlign w:val="bottom"/>
          </w:tcPr>
          <w:p>
            <w:pPr>
              <w:spacing w:after="0"/>
              <w:rPr>
                <w:sz w:val="11"/>
                <w:szCs w:val="11"/>
                <w:color w:val="auto"/>
              </w:rPr>
            </w:pPr>
          </w:p>
        </w:tc>
        <w:tc>
          <w:tcPr>
            <w:tcW w:w="8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5"/>
              </w:rPr>
              <w:t>in Income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9"/>
              </w:rPr>
              <w:t>2016</w:t>
            </w:r>
          </w:p>
        </w:tc>
        <w:tc>
          <w:tcPr>
            <w:tcW w:w="220" w:type="dxa"/>
            <w:vAlign w:val="bottom"/>
          </w:tcPr>
          <w:p>
            <w:pPr>
              <w:spacing w:after="0"/>
              <w:rPr>
                <w:sz w:val="13"/>
                <w:szCs w:val="13"/>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90"/>
              </w:rPr>
              <w:t>Amortization</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3"/>
                <w:szCs w:val="13"/>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41"/>
        </w:trPr>
        <w:tc>
          <w:tcPr>
            <w:tcW w:w="2420" w:type="dxa"/>
            <w:vAlign w:val="bottom"/>
          </w:tcPr>
          <w:p>
            <w:pPr>
              <w:ind w:left="200"/>
              <w:spacing w:after="0" w:line="141" w:lineRule="exact"/>
              <w:rPr>
                <w:sz w:val="20"/>
                <w:szCs w:val="20"/>
                <w:color w:val="auto"/>
              </w:rPr>
            </w:pPr>
            <w:r>
              <w:rPr>
                <w:rFonts w:ascii="Arial" w:cs="Arial" w:eastAsia="Arial" w:hAnsi="Arial"/>
                <w:sz w:val="14"/>
                <w:szCs w:val="14"/>
                <w:i w:val="1"/>
                <w:iCs w:val="1"/>
                <w:color w:val="auto"/>
              </w:rPr>
              <w:t>Globally-Focused Private School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9"/>
        </w:trPr>
        <w:tc>
          <w:tcPr>
            <w:tcW w:w="2420" w:type="dxa"/>
            <w:vAlign w:val="bottom"/>
            <w:shd w:val="clear" w:color="auto" w:fill="CCEEFF"/>
          </w:tcPr>
          <w:p>
            <w:pPr>
              <w:ind w:left="540"/>
              <w:spacing w:after="0" w:line="169" w:lineRule="exact"/>
              <w:rPr>
                <w:sz w:val="20"/>
                <w:szCs w:val="20"/>
                <w:color w:val="auto"/>
              </w:rPr>
            </w:pPr>
            <w:r>
              <w:rPr>
                <w:rFonts w:ascii="Arial" w:cs="Arial" w:eastAsia="Arial" w:hAnsi="Arial"/>
                <w:sz w:val="12"/>
                <w:szCs w:val="12"/>
                <w:color w:val="auto"/>
              </w:rPr>
              <w:t>Whittle Schools, LLC</w:t>
            </w:r>
            <w:r>
              <w:rPr>
                <w:rFonts w:ascii="Arial" w:cs="Arial" w:eastAsia="Arial" w:hAnsi="Arial"/>
                <w:sz w:val="19"/>
                <w:szCs w:val="19"/>
                <w:color w:val="auto"/>
                <w:vertAlign w:val="superscript"/>
              </w:rPr>
              <w:t>(5)</w:t>
            </w:r>
            <w:r>
              <w:rPr>
                <w:rFonts w:ascii="Arial" w:cs="Arial" w:eastAsia="Arial" w:hAnsi="Arial"/>
                <w:sz w:val="12"/>
                <w:szCs w:val="12"/>
                <w:color w:val="auto"/>
              </w:rPr>
              <w:t xml:space="preserve"> –</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r>
      <w:tr>
        <w:trPr>
          <w:trHeight w:val="166"/>
        </w:trPr>
        <w:tc>
          <w:tcPr>
            <w:tcW w:w="2420" w:type="dxa"/>
            <w:vAlign w:val="bottom"/>
            <w:shd w:val="clear" w:color="auto" w:fill="CCEEFF"/>
          </w:tcPr>
          <w:p>
            <w:pPr>
              <w:ind w:left="760"/>
              <w:spacing w:after="0"/>
              <w:rPr>
                <w:sz w:val="20"/>
                <w:szCs w:val="20"/>
                <w:color w:val="auto"/>
              </w:rPr>
            </w:pPr>
            <w:r>
              <w:rPr>
                <w:rFonts w:ascii="Arial" w:cs="Arial" w:eastAsia="Arial" w:hAnsi="Arial"/>
                <w:sz w:val="14"/>
                <w:szCs w:val="14"/>
                <w:color w:val="auto"/>
              </w:rPr>
              <w:t>Common shares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0.72%</w:t>
            </w:r>
          </w:p>
        </w:tc>
      </w:tr>
      <w:tr>
        <w:trPr>
          <w:trHeight w:val="148"/>
        </w:trPr>
        <w:tc>
          <w:tcPr>
            <w:tcW w:w="242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Total Common Stock</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3,552,555</w:t>
            </w:r>
          </w:p>
        </w:tc>
        <w:tc>
          <w:tcPr>
            <w:tcW w:w="22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4,600</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7" w:lineRule="exact"/>
              <w:rPr>
                <w:sz w:val="20"/>
                <w:szCs w:val="20"/>
                <w:color w:val="auto"/>
              </w:rPr>
            </w:pPr>
            <w:r>
              <w:rPr>
                <w:rFonts w:ascii="Arial" w:cs="Arial" w:eastAsia="Arial" w:hAnsi="Arial"/>
                <w:sz w:val="14"/>
                <w:szCs w:val="14"/>
                <w:color w:val="auto"/>
              </w:rPr>
              <w:t>3,557,155</w:t>
            </w:r>
          </w:p>
        </w:tc>
        <w:tc>
          <w:tcPr>
            <w:tcW w:w="980" w:type="dxa"/>
            <w:vAlign w:val="bottom"/>
            <w:gridSpan w:val="3"/>
          </w:tcPr>
          <w:p>
            <w:pPr>
              <w:jc w:val="right"/>
              <w:ind w:right="160"/>
              <w:spacing w:after="0" w:line="147" w:lineRule="exact"/>
              <w:rPr>
                <w:sz w:val="20"/>
                <w:szCs w:val="20"/>
                <w:color w:val="auto"/>
              </w:rPr>
            </w:pPr>
            <w:r>
              <w:rPr>
                <w:rFonts w:ascii="Arial" w:cs="Arial" w:eastAsia="Arial" w:hAnsi="Arial"/>
                <w:sz w:val="14"/>
                <w:szCs w:val="14"/>
                <w:color w:val="auto"/>
              </w:rPr>
              <w:t>1.70%</w:t>
            </w:r>
          </w:p>
        </w:tc>
      </w:tr>
      <w:tr>
        <w:trPr>
          <w:trHeight w:val="148"/>
        </w:trPr>
        <w:tc>
          <w:tcPr>
            <w:tcW w:w="24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Warrants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8"/>
        </w:trPr>
        <w:tc>
          <w:tcPr>
            <w:tcW w:w="242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Sports Analytics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29"/>
        </w:trPr>
        <w:tc>
          <w:tcPr>
            <w:tcW w:w="242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Circle Media (f/k/a S3 Digital</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48"/>
        </w:trPr>
        <w:tc>
          <w:tcPr>
            <w:tcW w:w="242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2"/>
              </w:rPr>
              <w:t>Corp. (d/b/a S3i)) – 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8"/>
        </w:trPr>
        <w:tc>
          <w:tcPr>
            <w:tcW w:w="242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5"/>
              </w:rPr>
              <w:t>warrants, $1.17 Strike 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66"/>
        </w:trPr>
        <w:tc>
          <w:tcPr>
            <w:tcW w:w="2420" w:type="dxa"/>
            <w:vAlign w:val="bottom"/>
            <w:shd w:val="clear" w:color="auto" w:fill="CCEEFF"/>
          </w:tcPr>
          <w:p>
            <w:pPr>
              <w:ind w:left="720"/>
              <w:spacing w:after="0"/>
              <w:rPr>
                <w:sz w:val="20"/>
                <w:szCs w:val="20"/>
                <w:color w:val="auto"/>
              </w:rPr>
            </w:pPr>
            <w:r>
              <w:rPr>
                <w:rFonts w:ascii="Arial" w:cs="Arial" w:eastAsia="Arial" w:hAnsi="Arial"/>
                <w:sz w:val="14"/>
                <w:szCs w:val="14"/>
                <w:color w:val="auto"/>
                <w:w w:val="98"/>
              </w:rPr>
              <w:t>Expiration Date 11/18/2022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5,360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r>
      <w:tr>
        <w:trPr>
          <w:trHeight w:val="129"/>
        </w:trPr>
        <w:tc>
          <w:tcPr>
            <w:tcW w:w="2420" w:type="dxa"/>
            <w:vAlign w:val="bottom"/>
          </w:tcPr>
          <w:p>
            <w:pPr>
              <w:ind w:left="540"/>
              <w:spacing w:after="0" w:line="129" w:lineRule="exact"/>
              <w:rPr>
                <w:sz w:val="20"/>
                <w:szCs w:val="20"/>
                <w:color w:val="auto"/>
              </w:rPr>
            </w:pPr>
            <w:r>
              <w:rPr>
                <w:rFonts w:ascii="Arial" w:cs="Arial" w:eastAsia="Arial" w:hAnsi="Arial"/>
                <w:sz w:val="14"/>
                <w:szCs w:val="14"/>
                <w:color w:val="auto"/>
              </w:rPr>
              <w:t>Circle Media (f/k/a S3 Digital</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8"/>
        </w:trPr>
        <w:tc>
          <w:tcPr>
            <w:tcW w:w="2420" w:type="dxa"/>
            <w:vAlign w:val="bottom"/>
          </w:tcPr>
          <w:p>
            <w:pPr>
              <w:ind w:left="720"/>
              <w:spacing w:after="0" w:line="147" w:lineRule="exact"/>
              <w:rPr>
                <w:sz w:val="20"/>
                <w:szCs w:val="20"/>
                <w:color w:val="auto"/>
              </w:rPr>
            </w:pPr>
            <w:r>
              <w:rPr>
                <w:rFonts w:ascii="Arial" w:cs="Arial" w:eastAsia="Arial" w:hAnsi="Arial"/>
                <w:sz w:val="14"/>
                <w:szCs w:val="14"/>
                <w:color w:val="auto"/>
                <w:w w:val="92"/>
              </w:rPr>
              <w:t>Corp. (d/b/a S3i)) – 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420" w:type="dxa"/>
            <w:vAlign w:val="bottom"/>
          </w:tcPr>
          <w:p>
            <w:pPr>
              <w:ind w:left="720"/>
              <w:spacing w:after="0" w:line="147" w:lineRule="exact"/>
              <w:rPr>
                <w:sz w:val="20"/>
                <w:szCs w:val="20"/>
                <w:color w:val="auto"/>
              </w:rPr>
            </w:pPr>
            <w:r>
              <w:rPr>
                <w:rFonts w:ascii="Arial" w:cs="Arial" w:eastAsia="Arial" w:hAnsi="Arial"/>
                <w:sz w:val="14"/>
                <w:szCs w:val="14"/>
                <w:color w:val="auto"/>
                <w:w w:val="95"/>
              </w:rPr>
              <w:t>warrants, $1.17 Strike 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6"/>
        </w:trPr>
        <w:tc>
          <w:tcPr>
            <w:tcW w:w="2420" w:type="dxa"/>
            <w:vAlign w:val="bottom"/>
          </w:tcPr>
          <w:p>
            <w:pPr>
              <w:ind w:left="720"/>
              <w:spacing w:after="0"/>
              <w:rPr>
                <w:sz w:val="20"/>
                <w:szCs w:val="20"/>
                <w:color w:val="auto"/>
              </w:rPr>
            </w:pPr>
            <w:r>
              <w:rPr>
                <w:rFonts w:ascii="Arial" w:cs="Arial" w:eastAsia="Arial" w:hAnsi="Arial"/>
                <w:sz w:val="14"/>
                <w:szCs w:val="14"/>
                <w:color w:val="auto"/>
              </w:rPr>
              <w:t>Expiration Date 8/29/2021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175,815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0.00%</w:t>
            </w:r>
          </w:p>
        </w:tc>
      </w:tr>
      <w:tr>
        <w:trPr>
          <w:trHeight w:val="129"/>
        </w:trPr>
        <w:tc>
          <w:tcPr>
            <w:tcW w:w="242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Circle Media (f/k/a S3 Digital</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48"/>
        </w:trPr>
        <w:tc>
          <w:tcPr>
            <w:tcW w:w="242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2"/>
              </w:rPr>
              <w:t>Corp. (d/b/a S3i)) – 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8"/>
        </w:trPr>
        <w:tc>
          <w:tcPr>
            <w:tcW w:w="242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5"/>
              </w:rPr>
              <w:t>warrants, $1.17 Strike 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66"/>
        </w:trPr>
        <w:tc>
          <w:tcPr>
            <w:tcW w:w="24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Expiration Date 6/26/2021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38,594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r>
      <w:tr>
        <w:trPr>
          <w:trHeight w:val="129"/>
        </w:trPr>
        <w:tc>
          <w:tcPr>
            <w:tcW w:w="2420" w:type="dxa"/>
            <w:vAlign w:val="bottom"/>
          </w:tcPr>
          <w:p>
            <w:pPr>
              <w:ind w:left="540"/>
              <w:spacing w:after="0" w:line="129" w:lineRule="exact"/>
              <w:rPr>
                <w:sz w:val="20"/>
                <w:szCs w:val="20"/>
                <w:color w:val="auto"/>
              </w:rPr>
            </w:pPr>
            <w:r>
              <w:rPr>
                <w:rFonts w:ascii="Arial" w:cs="Arial" w:eastAsia="Arial" w:hAnsi="Arial"/>
                <w:sz w:val="14"/>
                <w:szCs w:val="14"/>
                <w:color w:val="auto"/>
              </w:rPr>
              <w:t>Circle Media (f/k/a S3 Digital</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8"/>
        </w:trPr>
        <w:tc>
          <w:tcPr>
            <w:tcW w:w="2420" w:type="dxa"/>
            <w:vAlign w:val="bottom"/>
          </w:tcPr>
          <w:p>
            <w:pPr>
              <w:ind w:left="720"/>
              <w:spacing w:after="0" w:line="147" w:lineRule="exact"/>
              <w:rPr>
                <w:sz w:val="20"/>
                <w:szCs w:val="20"/>
                <w:color w:val="auto"/>
              </w:rPr>
            </w:pPr>
            <w:r>
              <w:rPr>
                <w:rFonts w:ascii="Arial" w:cs="Arial" w:eastAsia="Arial" w:hAnsi="Arial"/>
                <w:sz w:val="14"/>
                <w:szCs w:val="14"/>
                <w:color w:val="auto"/>
                <w:w w:val="92"/>
              </w:rPr>
              <w:t>Corp. (d/b/a S3i)) – 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420" w:type="dxa"/>
            <w:vAlign w:val="bottom"/>
          </w:tcPr>
          <w:p>
            <w:pPr>
              <w:ind w:left="720"/>
              <w:spacing w:after="0" w:line="147" w:lineRule="exact"/>
              <w:rPr>
                <w:sz w:val="20"/>
                <w:szCs w:val="20"/>
                <w:color w:val="auto"/>
              </w:rPr>
            </w:pPr>
            <w:r>
              <w:rPr>
                <w:rFonts w:ascii="Arial" w:cs="Arial" w:eastAsia="Arial" w:hAnsi="Arial"/>
                <w:sz w:val="14"/>
                <w:szCs w:val="14"/>
                <w:color w:val="auto"/>
                <w:w w:val="95"/>
              </w:rPr>
              <w:t>warrants, $1.17 Strike 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6"/>
        </w:trPr>
        <w:tc>
          <w:tcPr>
            <w:tcW w:w="2420" w:type="dxa"/>
            <w:vAlign w:val="bottom"/>
          </w:tcPr>
          <w:p>
            <w:pPr>
              <w:ind w:left="720"/>
              <w:spacing w:after="0"/>
              <w:rPr>
                <w:sz w:val="20"/>
                <w:szCs w:val="20"/>
                <w:color w:val="auto"/>
              </w:rPr>
            </w:pPr>
            <w:r>
              <w:rPr>
                <w:rFonts w:ascii="Arial" w:cs="Arial" w:eastAsia="Arial" w:hAnsi="Arial"/>
                <w:sz w:val="14"/>
                <w:szCs w:val="14"/>
                <w:color w:val="auto"/>
              </w:rPr>
              <w:t>Expiration Date 9/30/2020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160,806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0.00%</w:t>
            </w:r>
          </w:p>
        </w:tc>
      </w:tr>
      <w:tr>
        <w:trPr>
          <w:trHeight w:val="129"/>
        </w:trPr>
        <w:tc>
          <w:tcPr>
            <w:tcW w:w="242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Circle Media (f/k/a S3 Digital</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48"/>
        </w:trPr>
        <w:tc>
          <w:tcPr>
            <w:tcW w:w="242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2"/>
              </w:rPr>
              <w:t>Corp. (d/b/a S3i)) – 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8"/>
        </w:trPr>
        <w:tc>
          <w:tcPr>
            <w:tcW w:w="242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5"/>
              </w:rPr>
              <w:t>warrants, $1.00 Strike 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66"/>
        </w:trPr>
        <w:tc>
          <w:tcPr>
            <w:tcW w:w="2420" w:type="dxa"/>
            <w:vAlign w:val="bottom"/>
            <w:shd w:val="clear" w:color="auto" w:fill="CCEEFF"/>
          </w:tcPr>
          <w:p>
            <w:pPr>
              <w:ind w:left="720"/>
              <w:spacing w:after="0"/>
              <w:rPr>
                <w:sz w:val="20"/>
                <w:szCs w:val="20"/>
                <w:color w:val="auto"/>
              </w:rPr>
            </w:pPr>
            <w:r>
              <w:rPr>
                <w:rFonts w:ascii="Arial" w:cs="Arial" w:eastAsia="Arial" w:hAnsi="Arial"/>
                <w:sz w:val="14"/>
                <w:szCs w:val="14"/>
                <w:color w:val="auto"/>
                <w:w w:val="98"/>
              </w:rPr>
              <w:t>Expiration Date 11/21/2017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0.00%</w:t>
            </w:r>
          </w:p>
        </w:tc>
      </w:tr>
      <w:tr>
        <w:trPr>
          <w:trHeight w:val="20"/>
        </w:trPr>
        <w:tc>
          <w:tcPr>
            <w:tcW w:w="24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41"/>
        </w:trPr>
        <w:tc>
          <w:tcPr>
            <w:tcW w:w="2420" w:type="dxa"/>
            <w:vAlign w:val="bottom"/>
          </w:tcPr>
          <w:p>
            <w:pPr>
              <w:ind w:left="380"/>
              <w:spacing w:after="0" w:line="141" w:lineRule="exact"/>
              <w:rPr>
                <w:sz w:val="20"/>
                <w:szCs w:val="20"/>
                <w:color w:val="auto"/>
              </w:rPr>
            </w:pPr>
            <w:r>
              <w:rPr>
                <w:rFonts w:ascii="Arial" w:cs="Arial" w:eastAsia="Arial" w:hAnsi="Arial"/>
                <w:sz w:val="14"/>
                <w:szCs w:val="14"/>
                <w:i w:val="1"/>
                <w:iCs w:val="1"/>
                <w:color w:val="auto"/>
              </w:rPr>
              <w:t>Total Sports Analytics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60"/>
              <w:spacing w:after="0" w:line="141" w:lineRule="exact"/>
              <w:rPr>
                <w:sz w:val="20"/>
                <w:szCs w:val="20"/>
                <w:color w:val="auto"/>
              </w:rPr>
            </w:pPr>
            <w:r>
              <w:rPr>
                <w:rFonts w:ascii="Arial" w:cs="Arial" w:eastAsia="Arial" w:hAnsi="Arial"/>
                <w:sz w:val="14"/>
                <w:szCs w:val="14"/>
                <w:color w:val="auto"/>
              </w:rPr>
              <w:t>0.00%</w:t>
            </w:r>
          </w:p>
        </w:tc>
      </w:tr>
      <w:tr>
        <w:trPr>
          <w:trHeight w:val="148"/>
        </w:trPr>
        <w:tc>
          <w:tcPr>
            <w:tcW w:w="242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Corporate Education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29"/>
        </w:trPr>
        <w:tc>
          <w:tcPr>
            <w:tcW w:w="2420" w:type="dxa"/>
            <w:vAlign w:val="bottom"/>
          </w:tcPr>
          <w:p>
            <w:pPr>
              <w:ind w:left="540"/>
              <w:spacing w:after="0" w:line="129" w:lineRule="exact"/>
              <w:rPr>
                <w:sz w:val="20"/>
                <w:szCs w:val="20"/>
                <w:color w:val="auto"/>
              </w:rPr>
            </w:pPr>
            <w:r>
              <w:rPr>
                <w:rFonts w:ascii="Arial" w:cs="Arial" w:eastAsia="Arial" w:hAnsi="Arial"/>
                <w:sz w:val="14"/>
                <w:szCs w:val="14"/>
                <w:color w:val="auto"/>
              </w:rPr>
              <w:t>CUX, Inc. (d/b/a CorpU) -</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8"/>
        </w:trPr>
        <w:tc>
          <w:tcPr>
            <w:tcW w:w="2420" w:type="dxa"/>
            <w:vAlign w:val="bottom"/>
          </w:tcPr>
          <w:p>
            <w:pPr>
              <w:ind w:left="720"/>
              <w:spacing w:after="0" w:line="147" w:lineRule="exact"/>
              <w:rPr>
                <w:sz w:val="20"/>
                <w:szCs w:val="20"/>
                <w:color w:val="auto"/>
              </w:rPr>
            </w:pPr>
            <w:r>
              <w:rPr>
                <w:rFonts w:ascii="Arial" w:cs="Arial" w:eastAsia="Arial" w:hAnsi="Arial"/>
                <w:sz w:val="14"/>
                <w:szCs w:val="14"/>
                <w:color w:val="auto"/>
                <w:w w:val="92"/>
              </w:rPr>
              <w:t>Preferred warrants, Series 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8"/>
        </w:trPr>
        <w:tc>
          <w:tcPr>
            <w:tcW w:w="2420" w:type="dxa"/>
            <w:vAlign w:val="bottom"/>
          </w:tcPr>
          <w:p>
            <w:pPr>
              <w:ind w:left="720"/>
              <w:spacing w:after="0" w:line="147" w:lineRule="exact"/>
              <w:rPr>
                <w:sz w:val="20"/>
                <w:szCs w:val="20"/>
                <w:color w:val="auto"/>
              </w:rPr>
            </w:pPr>
            <w:r>
              <w:rPr>
                <w:rFonts w:ascii="Arial" w:cs="Arial" w:eastAsia="Arial" w:hAnsi="Arial"/>
                <w:sz w:val="14"/>
                <w:szCs w:val="14"/>
                <w:color w:val="auto"/>
              </w:rPr>
              <w:t>Strike Price $4.59,</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66"/>
        </w:trPr>
        <w:tc>
          <w:tcPr>
            <w:tcW w:w="2420" w:type="dxa"/>
            <w:vAlign w:val="bottom"/>
          </w:tcPr>
          <w:p>
            <w:pPr>
              <w:ind w:left="720"/>
              <w:spacing w:after="0"/>
              <w:rPr>
                <w:sz w:val="20"/>
                <w:szCs w:val="20"/>
                <w:color w:val="auto"/>
              </w:rPr>
            </w:pPr>
            <w:r>
              <w:rPr>
                <w:rFonts w:ascii="Arial" w:cs="Arial" w:eastAsia="Arial" w:hAnsi="Arial"/>
                <w:sz w:val="14"/>
                <w:szCs w:val="14"/>
                <w:color w:val="auto"/>
              </w:rPr>
              <w:t>Expiration Date 2/25/2018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16,903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4,395</w:t>
            </w:r>
          </w:p>
        </w:tc>
        <w:tc>
          <w:tcPr>
            <w:tcW w:w="2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(1,860)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2,535</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0.00%</w:t>
            </w:r>
          </w:p>
        </w:tc>
      </w:tr>
      <w:tr>
        <w:trPr>
          <w:trHeight w:val="148"/>
        </w:trPr>
        <w:tc>
          <w:tcPr>
            <w:tcW w:w="242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Social Media</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29"/>
        </w:trPr>
        <w:tc>
          <w:tcPr>
            <w:tcW w:w="2420" w:type="dxa"/>
            <w:vAlign w:val="bottom"/>
          </w:tcPr>
          <w:p>
            <w:pPr>
              <w:ind w:left="540"/>
              <w:spacing w:after="0" w:line="129" w:lineRule="exact"/>
              <w:rPr>
                <w:sz w:val="20"/>
                <w:szCs w:val="20"/>
                <w:color w:val="auto"/>
              </w:rPr>
            </w:pPr>
            <w:r>
              <w:rPr>
                <w:rFonts w:ascii="Arial" w:cs="Arial" w:eastAsia="Arial" w:hAnsi="Arial"/>
                <w:sz w:val="14"/>
                <w:szCs w:val="14"/>
                <w:color w:val="auto"/>
              </w:rPr>
              <w:t>AlwaysOn, Inc. – Preferred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48"/>
        </w:trPr>
        <w:tc>
          <w:tcPr>
            <w:tcW w:w="2420" w:type="dxa"/>
            <w:vAlign w:val="bottom"/>
          </w:tcPr>
          <w:p>
            <w:pPr>
              <w:ind w:left="720"/>
              <w:spacing w:after="0" w:line="147" w:lineRule="exact"/>
              <w:rPr>
                <w:sz w:val="20"/>
                <w:szCs w:val="20"/>
                <w:color w:val="auto"/>
              </w:rPr>
            </w:pPr>
            <w:r>
              <w:rPr>
                <w:rFonts w:ascii="Arial" w:cs="Arial" w:eastAsia="Arial" w:hAnsi="Arial"/>
                <w:sz w:val="14"/>
                <w:szCs w:val="14"/>
                <w:color w:val="auto"/>
              </w:rPr>
              <w:t>Warrants Series A, $1.00</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57"/>
        </w:trPr>
        <w:tc>
          <w:tcPr>
            <w:tcW w:w="2420" w:type="dxa"/>
            <w:vAlign w:val="bottom"/>
          </w:tcPr>
          <w:p>
            <w:pPr>
              <w:ind w:left="720"/>
              <w:spacing w:after="0" w:line="157" w:lineRule="exact"/>
              <w:rPr>
                <w:sz w:val="20"/>
                <w:szCs w:val="20"/>
                <w:color w:val="auto"/>
              </w:rPr>
            </w:pPr>
            <w:r>
              <w:rPr>
                <w:rFonts w:ascii="Arial" w:cs="Arial" w:eastAsia="Arial" w:hAnsi="Arial"/>
                <w:sz w:val="14"/>
                <w:szCs w:val="14"/>
                <w:color w:val="auto"/>
              </w:rPr>
              <w:t>strike price, expire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97"/>
        </w:trPr>
        <w:tc>
          <w:tcPr>
            <w:tcW w:w="2420" w:type="dxa"/>
            <w:vAlign w:val="bottom"/>
          </w:tcPr>
          <w:p>
            <w:pPr>
              <w:ind w:left="720"/>
              <w:spacing w:after="0" w:line="197" w:lineRule="exact"/>
              <w:rPr>
                <w:sz w:val="20"/>
                <w:szCs w:val="20"/>
                <w:color w:val="auto"/>
              </w:rPr>
            </w:pPr>
            <w:r>
              <w:rPr>
                <w:rFonts w:ascii="Arial" w:cs="Arial" w:eastAsia="Arial" w:hAnsi="Arial"/>
                <w:sz w:val="14"/>
                <w:szCs w:val="14"/>
                <w:color w:val="auto"/>
              </w:rPr>
              <w:t>1/9/2017</w:t>
            </w:r>
            <w:r>
              <w:rPr>
                <w:rFonts w:ascii="Arial" w:cs="Arial" w:eastAsia="Arial" w:hAnsi="Arial"/>
                <w:sz w:val="22"/>
                <w:szCs w:val="22"/>
                <w:color w:val="auto"/>
                <w:vertAlign w:val="superscript"/>
              </w:rPr>
              <w:t>(10)</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0.00%</w:t>
            </w:r>
          </w:p>
        </w:tc>
      </w:tr>
      <w:tr>
        <w:trPr>
          <w:trHeight w:val="148"/>
        </w:trPr>
        <w:tc>
          <w:tcPr>
            <w:tcW w:w="242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Total Warrants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4,395</w:t>
            </w:r>
          </w:p>
        </w:tc>
        <w:tc>
          <w:tcPr>
            <w:tcW w:w="220" w:type="dxa"/>
            <w:vAlign w:val="bottom"/>
            <w:tcBorders>
              <w:right w:val="single" w:sz="8" w:color="CCEEFF"/>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(1,860)</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2,535</w:t>
            </w:r>
          </w:p>
        </w:tc>
        <w:tc>
          <w:tcPr>
            <w:tcW w:w="980" w:type="dxa"/>
            <w:vAlign w:val="bottom"/>
            <w:gridSpan w:val="3"/>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0.00%</w:t>
            </w:r>
          </w:p>
        </w:tc>
      </w:tr>
      <w:tr>
        <w:trPr>
          <w:trHeight w:val="118"/>
        </w:trPr>
        <w:tc>
          <w:tcPr>
            <w:tcW w:w="2420" w:type="dxa"/>
            <w:vAlign w:val="bottom"/>
            <w:tcBorders>
              <w:top w:val="single" w:sz="8" w:color="CCEEFF"/>
            </w:tcBorders>
          </w:tcPr>
          <w:p>
            <w:pPr>
              <w:ind w:left="20"/>
              <w:spacing w:after="0" w:line="118" w:lineRule="exact"/>
              <w:rPr>
                <w:sz w:val="20"/>
                <w:szCs w:val="20"/>
                <w:color w:val="auto"/>
              </w:rPr>
            </w:pPr>
            <w:r>
              <w:rPr>
                <w:rFonts w:ascii="Arial" w:cs="Arial" w:eastAsia="Arial" w:hAnsi="Arial"/>
                <w:sz w:val="13"/>
                <w:szCs w:val="13"/>
                <w:b w:val="1"/>
                <w:bCs w:val="1"/>
                <w:color w:val="auto"/>
              </w:rPr>
              <w:t>TOTAL NON-</w:t>
            </w:r>
          </w:p>
        </w:tc>
        <w:tc>
          <w:tcPr>
            <w:tcW w:w="1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r>
      <w:tr>
        <w:trPr>
          <w:trHeight w:val="159"/>
        </w:trPr>
        <w:tc>
          <w:tcPr>
            <w:tcW w:w="2420" w:type="dxa"/>
            <w:vAlign w:val="bottom"/>
          </w:tcPr>
          <w:p>
            <w:pPr>
              <w:ind w:left="200"/>
              <w:spacing w:after="0" w:line="159" w:lineRule="exact"/>
              <w:rPr>
                <w:sz w:val="20"/>
                <w:szCs w:val="20"/>
                <w:color w:val="auto"/>
              </w:rPr>
            </w:pPr>
            <w:r>
              <w:rPr>
                <w:rFonts w:ascii="Arial" w:cs="Arial" w:eastAsia="Arial" w:hAnsi="Arial"/>
                <w:sz w:val="14"/>
                <w:szCs w:val="14"/>
                <w:b w:val="1"/>
                <w:bCs w:val="1"/>
                <w:color w:val="auto"/>
              </w:rPr>
              <w:t>CONTROLLED/AFFILIATE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99"/>
        </w:trPr>
        <w:tc>
          <w:tcPr>
            <w:tcW w:w="2420" w:type="dxa"/>
            <w:vAlign w:val="bottom"/>
          </w:tcPr>
          <w:p>
            <w:pPr>
              <w:ind w:left="200"/>
              <w:spacing w:after="0" w:line="199"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23"/>
                <w:szCs w:val="23"/>
                <w:b w:val="1"/>
                <w:bCs w:val="1"/>
                <w:color w:val="auto"/>
                <w:vertAlign w:val="superscript"/>
              </w:rPr>
              <w:t>(1)</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143,974</w:t>
            </w:r>
          </w:p>
        </w:tc>
        <w:tc>
          <w:tcPr>
            <w:tcW w:w="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9"/>
              </w:rPr>
              <w:t>42,444,690</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4,369</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tcPr>
          <w:p>
            <w:pPr>
              <w:ind w:left="18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2"/>
              </w:rPr>
              <w:t>(2,578,909)</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3"/>
              </w:rPr>
              <w:t>(10,082,924)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9"/>
              </w:rPr>
              <w:t>29,787,226</w:t>
            </w:r>
          </w:p>
        </w:tc>
        <w:tc>
          <w:tcPr>
            <w:tcW w:w="9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14.23%</w:t>
            </w:r>
          </w:p>
        </w:tc>
      </w:tr>
      <w:tr>
        <w:trPr>
          <w:trHeight w:val="20"/>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-1506855</wp:posOffset>
            </wp:positionV>
            <wp:extent cx="7026275" cy="1022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26275" cy="102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-348615</wp:posOffset>
            </wp:positionV>
            <wp:extent cx="7026275" cy="3492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26275" cy="34925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186690</wp:posOffset>
            </wp:positionV>
            <wp:extent cx="61341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3410" cy="1714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280" w:right="100" w:hanging="274"/>
        <w:spacing w:after="0" w:line="273" w:lineRule="auto"/>
        <w:tabs>
          <w:tab w:leader="none" w:pos="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portfolio investments are non-income-producing, unless otherwise identified. Equity investments are subject to lock-up restrictions upon their IPO. Unless otherwise noted, all investments were pledged as collateral under the Credit Facility. The Company’s and GSV Asset Management, LLC’s officers and staff, as applicable, may serve on the board of directors of the Company’s portfolio investments. All portfolio investments are considered Level 3 and valued using unobservable inputs, unless otherwise noted. All investments are restricted as to resale, unless otherwise noted, and were valued at fair value as determined in good faith by the Company’s board of directors.</w:t>
      </w:r>
    </w:p>
    <w:p>
      <w:pPr>
        <w:spacing w:after="0" w:line="68" w:lineRule="exact"/>
        <w:rPr>
          <w:sz w:val="20"/>
          <w:szCs w:val="20"/>
          <w:color w:val="auto"/>
        </w:rPr>
      </w:pPr>
    </w:p>
    <w:p>
      <w:pPr>
        <w:ind w:left="280" w:hanging="274"/>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1940 Act.</w:t>
      </w:r>
    </w:p>
    <w:p>
      <w:pPr>
        <w:spacing w:after="0" w:line="11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115" w:lineRule="exact"/>
        <w:rPr>
          <w:sz w:val="20"/>
          <w:szCs w:val="20"/>
          <w:color w:val="auto"/>
        </w:rPr>
      </w:pPr>
    </w:p>
    <w:p>
      <w:pPr>
        <w:ind w:left="280" w:right="120" w:hanging="274"/>
        <w:spacing w:after="0" w:line="260"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78" w:lineRule="exact"/>
        <w:rPr>
          <w:rFonts w:ascii="Arial" w:cs="Arial" w:eastAsia="Arial" w:hAnsi="Arial"/>
          <w:sz w:val="18"/>
          <w:szCs w:val="18"/>
          <w:color w:val="auto"/>
        </w:rPr>
      </w:pPr>
    </w:p>
    <w:p>
      <w:pPr>
        <w:ind w:left="280" w:right="140" w:hanging="274"/>
        <w:spacing w:after="0" w:line="256"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82" w:lineRule="exact"/>
        <w:rPr>
          <w:rFonts w:ascii="Arial" w:cs="Arial" w:eastAsia="Arial" w:hAnsi="Arial"/>
          <w:sz w:val="18"/>
          <w:szCs w:val="18"/>
          <w:color w:val="auto"/>
        </w:rPr>
      </w:pPr>
    </w:p>
    <w:p>
      <w:pPr>
        <w:ind w:left="280" w:hanging="274"/>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GSV Capital Corp.’s investment in StormWind, LLC is held through its wholly-owned subsidiary, GSVC SW Holdings, Inc.</w:t>
      </w:r>
    </w:p>
    <w:p>
      <w:pPr>
        <w:spacing w:after="0" w:line="114" w:lineRule="exact"/>
        <w:rPr>
          <w:rFonts w:ascii="Arial" w:cs="Arial" w:eastAsia="Arial" w:hAnsi="Arial"/>
          <w:sz w:val="18"/>
          <w:szCs w:val="18"/>
          <w:color w:val="auto"/>
        </w:rPr>
      </w:pPr>
    </w:p>
    <w:p>
      <w:pPr>
        <w:ind w:left="280" w:right="80" w:hanging="274"/>
        <w:spacing w:after="0" w:line="260"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May 29, 2017, the maturity date of the unsecured promissory note to NestGSV, Inc. (d/b/a GSV Labs, Inc.) was extended to November 29, 2017 in exchange for 125,000 Series B warrants. For accounting purposes, the extension of the maturity date was treated as an extinguishment of the existing note and creation of a new note.</w:t>
      </w:r>
    </w:p>
    <w:p>
      <w:pPr>
        <w:spacing w:after="0" w:line="78" w:lineRule="exact"/>
        <w:rPr>
          <w:rFonts w:ascii="Arial" w:cs="Arial" w:eastAsia="Arial" w:hAnsi="Arial"/>
          <w:sz w:val="18"/>
          <w:szCs w:val="18"/>
          <w:color w:val="auto"/>
        </w:rPr>
      </w:pPr>
    </w:p>
    <w:p>
      <w:pPr>
        <w:jc w:val="both"/>
        <w:ind w:left="280" w:right="80" w:hanging="274"/>
        <w:spacing w:after="0" w:line="260" w:lineRule="auto"/>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that is collateralized by Avenues Global Holdings, LLC, as well as the personal collateral of Chris Whittle, the former chairman of Avenues Global Holdings, LLC.</w:t>
      </w:r>
    </w:p>
    <w:p>
      <w:pPr>
        <w:spacing w:after="0" w:line="78" w:lineRule="exact"/>
        <w:rPr>
          <w:rFonts w:ascii="Arial" w:cs="Arial" w:eastAsia="Arial" w:hAnsi="Arial"/>
          <w:sz w:val="18"/>
          <w:szCs w:val="18"/>
          <w:color w:val="auto"/>
        </w:rPr>
      </w:pPr>
    </w:p>
    <w:p>
      <w:pPr>
        <w:jc w:val="both"/>
        <w:ind w:left="280" w:hanging="274"/>
        <w:spacing w:after="0" w:line="336" w:lineRule="auto"/>
        <w:tabs>
          <w:tab w:leader="none" w:pos="2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1" w:lineRule="exact"/>
        <w:rPr>
          <w:rFonts w:ascii="Arial" w:cs="Arial" w:eastAsia="Arial" w:hAnsi="Arial"/>
          <w:sz w:val="16"/>
          <w:szCs w:val="16"/>
          <w:color w:val="auto"/>
        </w:rPr>
      </w:pPr>
    </w:p>
    <w:p>
      <w:pPr>
        <w:ind w:left="280" w:hanging="274"/>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114" w:lineRule="exact"/>
        <w:rPr>
          <w:rFonts w:ascii="Arial" w:cs="Arial" w:eastAsia="Arial" w:hAnsi="Arial"/>
          <w:sz w:val="18"/>
          <w:szCs w:val="18"/>
          <w:color w:val="auto"/>
        </w:rPr>
      </w:pPr>
    </w:p>
    <w:p>
      <w:pPr>
        <w:ind w:left="280" w:hanging="274"/>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July 1, 2017, the maturity date of the convertible promissory note to Declara, Inc. was extended to December 31, 2017.</w:t>
      </w:r>
    </w:p>
    <w:p>
      <w:pPr>
        <w:spacing w:after="0" w:line="114" w:lineRule="exact"/>
        <w:rPr>
          <w:rFonts w:ascii="Arial" w:cs="Arial" w:eastAsia="Arial" w:hAnsi="Arial"/>
          <w:sz w:val="18"/>
          <w:szCs w:val="18"/>
          <w:color w:val="auto"/>
        </w:rPr>
      </w:pPr>
    </w:p>
    <w:p>
      <w:pPr>
        <w:ind w:left="280" w:hanging="274"/>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wrote-off its investment in Global Education Learning (Holdings) Ltd. during the three months ended June 30, 2017.</w:t>
      </w:r>
    </w:p>
    <w:p>
      <w:pPr>
        <w:spacing w:after="0" w:line="114" w:lineRule="exact"/>
        <w:rPr>
          <w:rFonts w:ascii="Arial" w:cs="Arial" w:eastAsia="Arial" w:hAnsi="Arial"/>
          <w:sz w:val="18"/>
          <w:szCs w:val="18"/>
          <w:color w:val="auto"/>
        </w:rPr>
      </w:pPr>
    </w:p>
    <w:p>
      <w:pPr>
        <w:ind w:left="320" w:hanging="314"/>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wrote-off its investment in AlwaysOn, Inc. during the three months ended March 31, 2017.</w:t>
      </w:r>
    </w:p>
    <w:p>
      <w:pPr>
        <w:spacing w:after="0" w:line="200" w:lineRule="exact"/>
        <w:rPr>
          <w:sz w:val="20"/>
          <w:szCs w:val="20"/>
          <w:color w:val="auto"/>
        </w:rPr>
      </w:pPr>
    </w:p>
    <w:p>
      <w:pPr>
        <w:spacing w:after="0" w:line="36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43" w:name="page44"/>
    <w:bookmarkEnd w:id="4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19" w:lineRule="exact"/>
        <w:rPr>
          <w:sz w:val="20"/>
          <w:szCs w:val="20"/>
          <w:color w:val="auto"/>
        </w:rPr>
      </w:pPr>
    </w:p>
    <w:p>
      <w:pPr>
        <w:ind w:left="60" w:firstLine="268"/>
        <w:spacing w:after="0" w:line="272" w:lineRule="auto"/>
        <w:rPr>
          <w:sz w:val="20"/>
          <w:szCs w:val="20"/>
          <w:color w:val="auto"/>
        </w:rPr>
      </w:pPr>
      <w:r>
        <w:rPr>
          <w:rFonts w:ascii="Arial" w:cs="Arial" w:eastAsia="Arial" w:hAnsi="Arial"/>
          <w:sz w:val="18"/>
          <w:szCs w:val="18"/>
          <w:color w:val="auto"/>
        </w:rPr>
        <w:t>Transactions during the year ended December 31, 2016 involving the Company’s controlled investments and non-controlled/affiliate investments were as follows: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262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9"/>
              </w:rPr>
              <w:t>Transfer</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34"/>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Interest,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8"/>
              </w:rPr>
              <w:t>from Control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4"/>
              </w:rPr>
              <w:t>Fees, or</w:t>
            </w:r>
          </w:p>
        </w:tc>
        <w:tc>
          <w:tcPr>
            <w:tcW w:w="160" w:type="dxa"/>
            <w:vAlign w:val="bottom"/>
          </w:tcPr>
          <w:p>
            <w:pPr>
              <w:spacing w:after="0"/>
              <w:rPr>
                <w:sz w:val="11"/>
                <w:szCs w:val="11"/>
                <w:color w:val="auto"/>
              </w:rPr>
            </w:pPr>
          </w:p>
        </w:tc>
        <w:tc>
          <w:tcPr>
            <w:tcW w:w="860" w:type="dxa"/>
            <w:vAlign w:val="bottom"/>
            <w:gridSpan w:val="4"/>
          </w:tcPr>
          <w:p>
            <w:pPr>
              <w:spacing w:after="0" w:line="134" w:lineRule="exact"/>
              <w:rPr>
                <w:sz w:val="20"/>
                <w:szCs w:val="20"/>
                <w:color w:val="auto"/>
              </w:rPr>
            </w:pPr>
            <w:r>
              <w:rPr>
                <w:rFonts w:ascii="Arial" w:cs="Arial" w:eastAsia="Arial" w:hAnsi="Arial"/>
                <w:sz w:val="13"/>
                <w:szCs w:val="13"/>
                <w:b w:val="1"/>
                <w:bCs w:val="1"/>
                <w:color w:val="auto"/>
              </w:rPr>
              <w:t>Fair Value at</w:t>
            </w: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Investment to</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Fair Value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Dividends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rPr>
              <w:t>December</w:t>
            </w: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8"/>
              </w:rPr>
              <w:t>Non-Control/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3"/>
              </w:rPr>
              <w:t>Realized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760" w:type="dxa"/>
            <w:vAlign w:val="bottom"/>
            <w:gridSpan w:val="6"/>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760" w:type="dxa"/>
            <w:vAlign w:val="bottom"/>
          </w:tcPr>
          <w:p>
            <w:pPr>
              <w:jc w:val="right"/>
              <w:ind w:right="51"/>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7"/>
              </w:rPr>
              <w:t>Credited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71"/>
              <w:spacing w:after="0" w:line="134" w:lineRule="exact"/>
              <w:rPr>
                <w:sz w:val="20"/>
                <w:szCs w:val="20"/>
                <w:color w:val="auto"/>
              </w:rPr>
            </w:pPr>
            <w:r>
              <w:rPr>
                <w:rFonts w:ascii="Arial" w:cs="Arial" w:eastAsia="Arial" w:hAnsi="Arial"/>
                <w:sz w:val="13"/>
                <w:szCs w:val="13"/>
                <w:b w:val="1"/>
                <w:bCs w:val="1"/>
                <w:color w:val="auto"/>
              </w:rPr>
              <w:t>31,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0"/>
              </w:rPr>
              <w:t>Non-Affiliate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60"/>
              <w:spacing w:after="0" w:line="134" w:lineRule="exact"/>
              <w:rPr>
                <w:sz w:val="20"/>
                <w:szCs w:val="20"/>
                <w:color w:val="auto"/>
              </w:rPr>
            </w:pPr>
            <w:r>
              <w:rPr>
                <w:rFonts w:ascii="Arial" w:cs="Arial" w:eastAsia="Arial" w:hAnsi="Arial"/>
                <w:sz w:val="13"/>
                <w:szCs w:val="13"/>
                <w:b w:val="1"/>
                <w:bCs w:val="1"/>
                <w:color w:val="auto"/>
                <w:w w:val="86"/>
              </w:rPr>
              <w:t>Corporate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90"/>
              </w:rPr>
              <w:t>Gains/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5"/>
              </w:rPr>
              <w:t>Gains/</w:t>
            </w:r>
          </w:p>
        </w:tc>
        <w:tc>
          <w:tcPr>
            <w:tcW w:w="180" w:type="dxa"/>
            <w:vAlign w:val="bottom"/>
          </w:tcPr>
          <w:p>
            <w:pPr>
              <w:spacing w:after="0"/>
              <w:rPr>
                <w:sz w:val="11"/>
                <w:szCs w:val="11"/>
                <w:color w:val="auto"/>
              </w:rPr>
            </w:pPr>
          </w:p>
        </w:tc>
        <w:tc>
          <w:tcPr>
            <w:tcW w:w="76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5"/>
              </w:rPr>
              <w:t>December 31,</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16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8"/>
              </w:rPr>
              <w:t>in Income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2015</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Action</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w w:val="79"/>
              </w:rPr>
              <w:t>Purchases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78"/>
              </w:rPr>
              <w:t>(Losses)</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2016</w:t>
            </w:r>
          </w:p>
        </w:tc>
        <w:tc>
          <w:tcPr>
            <w:tcW w:w="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Net Assets</w:t>
            </w:r>
          </w:p>
        </w:tc>
      </w:tr>
      <w:tr>
        <w:trPr>
          <w:trHeight w:val="128"/>
        </w:trPr>
        <w:tc>
          <w:tcPr>
            <w:tcW w:w="1760" w:type="dxa"/>
            <w:vAlign w:val="bottom"/>
            <w:gridSpan w:val="6"/>
            <w:shd w:val="clear" w:color="auto" w:fill="CCEEFF"/>
          </w:tcPr>
          <w:p>
            <w:pPr>
              <w:ind w:left="20"/>
              <w:spacing w:after="0" w:line="128" w:lineRule="exact"/>
              <w:rPr>
                <w:sz w:val="20"/>
                <w:szCs w:val="20"/>
                <w:color w:val="auto"/>
              </w:rPr>
            </w:pPr>
            <w:r>
              <w:rPr>
                <w:rFonts w:ascii="Arial" w:cs="Arial" w:eastAsia="Arial" w:hAnsi="Arial"/>
                <w:sz w:val="14"/>
                <w:szCs w:val="14"/>
                <w:b w:val="1"/>
                <w:bCs w:val="1"/>
                <w:color w:val="auto"/>
              </w:rPr>
              <w:t>CONTROLLED</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0"/>
              </w:rPr>
              <w:t>INVESTMENTS</w:t>
            </w:r>
          </w:p>
        </w:tc>
        <w:tc>
          <w:tcPr>
            <w:tcW w:w="740" w:type="dxa"/>
            <w:vAlign w:val="bottom"/>
            <w:tcBorders>
              <w:top w:val="single" w:sz="8" w:color="CCEEFF"/>
            </w:tcBorders>
            <w:gridSpan w:val="3"/>
            <w:shd w:val="clear" w:color="auto" w:fill="CCEEFF"/>
          </w:tcPr>
          <w:p>
            <w:pPr>
              <w:jc w:val="right"/>
              <w:ind w:right="320"/>
              <w:spacing w:after="0" w:line="168"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9"/>
                <w:szCs w:val="9"/>
                <w:b w:val="1"/>
                <w:bCs w:val="1"/>
                <w:color w:val="auto"/>
              </w:rPr>
              <w:t>(2)</w:t>
            </w:r>
          </w:p>
        </w:tc>
        <w:tc>
          <w:tcPr>
            <w:tcW w:w="7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141"/>
        </w:trPr>
        <w:tc>
          <w:tcPr>
            <w:tcW w:w="1760" w:type="dxa"/>
            <w:vAlign w:val="bottom"/>
            <w:gridSpan w:val="6"/>
          </w:tcPr>
          <w:p>
            <w:pPr>
              <w:ind w:left="20"/>
              <w:spacing w:after="0" w:line="141" w:lineRule="exact"/>
              <w:rPr>
                <w:sz w:val="20"/>
                <w:szCs w:val="20"/>
                <w:color w:val="auto"/>
              </w:rPr>
            </w:pPr>
            <w:r>
              <w:rPr>
                <w:rFonts w:ascii="Arial" w:cs="Arial" w:eastAsia="Arial" w:hAnsi="Arial"/>
                <w:sz w:val="14"/>
                <w:szCs w:val="14"/>
                <w:b w:val="1"/>
                <w:bCs w:val="1"/>
                <w:color w:val="auto"/>
              </w:rPr>
              <w:t>Debt Investments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6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Global Innovation</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6"/>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4"/>
            <w:shd w:val="clear" w:color="auto" w:fill="CCEEFF"/>
          </w:tcPr>
          <w:p>
            <w:pPr>
              <w:ind w:left="180"/>
              <w:spacing w:after="0"/>
              <w:rPr>
                <w:sz w:val="20"/>
                <w:szCs w:val="20"/>
                <w:color w:val="auto"/>
              </w:rPr>
            </w:pPr>
            <w:r>
              <w:rPr>
                <w:rFonts w:ascii="Arial" w:cs="Arial" w:eastAsia="Arial" w:hAnsi="Arial"/>
                <w:sz w:val="14"/>
                <w:szCs w:val="14"/>
                <w:i w:val="1"/>
                <w:iCs w:val="1"/>
                <w:color w:val="auto"/>
              </w:rPr>
              <w:t>Platform</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4"/>
          </w:tcPr>
          <w:p>
            <w:pPr>
              <w:ind w:left="340"/>
              <w:spacing w:after="0" w:line="129" w:lineRule="exact"/>
              <w:rPr>
                <w:sz w:val="20"/>
                <w:szCs w:val="20"/>
                <w:color w:val="auto"/>
              </w:rPr>
            </w:pPr>
            <w:r>
              <w:rPr>
                <w:rFonts w:ascii="Arial" w:cs="Arial" w:eastAsia="Arial" w:hAnsi="Arial"/>
                <w:sz w:val="14"/>
                <w:szCs w:val="14"/>
                <w:color w:val="auto"/>
              </w:rPr>
              <w:t>NestGSV, Inc.</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(d/b/a GSV</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Labs, Inc.) –</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Convertible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Promissory</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Note 8% Due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760" w:type="dxa"/>
            <w:vAlign w:val="bottom"/>
            <w:gridSpan w:val="6"/>
          </w:tcPr>
          <w:p>
            <w:pPr>
              <w:ind w:left="720"/>
              <w:spacing w:after="0"/>
              <w:rPr>
                <w:sz w:val="20"/>
                <w:szCs w:val="20"/>
                <w:color w:val="auto"/>
              </w:rPr>
            </w:pPr>
            <w:r>
              <w:rPr>
                <w:rFonts w:ascii="Arial" w:cs="Arial" w:eastAsia="Arial" w:hAnsi="Arial"/>
                <w:sz w:val="14"/>
                <w:szCs w:val="14"/>
                <w:color w:val="auto"/>
              </w:rPr>
              <w:t>07/31/2017***</w:t>
            </w:r>
          </w:p>
        </w:tc>
        <w:tc>
          <w:tcPr>
            <w:tcW w:w="760" w:type="dxa"/>
            <w:vAlign w:val="bottom"/>
          </w:tcPr>
          <w:p>
            <w:pPr>
              <w:jc w:val="right"/>
              <w:spacing w:after="0"/>
              <w:rPr>
                <w:sz w:val="20"/>
                <w:szCs w:val="20"/>
                <w:color w:val="auto"/>
              </w:rPr>
            </w:pPr>
            <w:r>
              <w:rPr>
                <w:rFonts w:ascii="Arial" w:cs="Arial" w:eastAsia="Arial" w:hAnsi="Arial"/>
                <w:sz w:val="14"/>
                <w:szCs w:val="14"/>
                <w:color w:val="auto"/>
              </w:rPr>
              <w:t>500,000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16,889</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425,620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31,972</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(29,692)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427,900</w:t>
            </w:r>
          </w:p>
        </w:tc>
        <w:tc>
          <w:tcPr>
            <w:tcW w:w="780" w:type="dxa"/>
            <w:vAlign w:val="bottom"/>
            <w:gridSpan w:val="2"/>
          </w:tcPr>
          <w:p>
            <w:pPr>
              <w:jc w:val="right"/>
              <w:ind w:right="37"/>
              <w:spacing w:after="0"/>
              <w:rPr>
                <w:sz w:val="20"/>
                <w:szCs w:val="20"/>
                <w:color w:val="auto"/>
              </w:rPr>
            </w:pPr>
            <w:r>
              <w:rPr>
                <w:rFonts w:ascii="Arial" w:cs="Arial" w:eastAsia="Arial" w:hAnsi="Arial"/>
                <w:sz w:val="14"/>
                <w:szCs w:val="14"/>
                <w:color w:val="auto"/>
              </w:rPr>
              <w:t>0.22%</w:t>
            </w: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60" w:type="dxa"/>
            <w:vAlign w:val="bottom"/>
            <w:gridSpan w:val="4"/>
            <w:shd w:val="clear" w:color="auto" w:fill="CCEEFF"/>
          </w:tcPr>
          <w:p>
            <w:pPr>
              <w:ind w:left="340"/>
              <w:spacing w:after="0" w:line="129" w:lineRule="exact"/>
              <w:rPr>
                <w:sz w:val="20"/>
                <w:szCs w:val="20"/>
                <w:color w:val="auto"/>
              </w:rPr>
            </w:pPr>
            <w:r>
              <w:rPr>
                <w:rFonts w:ascii="Arial" w:cs="Arial" w:eastAsia="Arial" w:hAnsi="Arial"/>
                <w:sz w:val="14"/>
                <w:szCs w:val="14"/>
                <w:color w:val="auto"/>
              </w:rPr>
              <w:t>NestGSV, Inc.</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ind w:left="520"/>
              <w:spacing w:after="0" w:line="147" w:lineRule="exact"/>
              <w:rPr>
                <w:sz w:val="20"/>
                <w:szCs w:val="20"/>
                <w:color w:val="auto"/>
              </w:rPr>
            </w:pPr>
            <w:r>
              <w:rPr>
                <w:rFonts w:ascii="Arial" w:cs="Arial" w:eastAsia="Arial" w:hAnsi="Arial"/>
                <w:sz w:val="14"/>
                <w:szCs w:val="14"/>
                <w:color w:val="auto"/>
              </w:rPr>
              <w:t>(d/b/a GSV</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ind w:left="520"/>
              <w:spacing w:after="0" w:line="147" w:lineRule="exact"/>
              <w:rPr>
                <w:sz w:val="20"/>
                <w:szCs w:val="20"/>
                <w:color w:val="auto"/>
              </w:rPr>
            </w:pPr>
            <w:r>
              <w:rPr>
                <w:rFonts w:ascii="Arial" w:cs="Arial" w:eastAsia="Arial" w:hAnsi="Arial"/>
                <w:sz w:val="14"/>
                <w:szCs w:val="14"/>
                <w:color w:val="auto"/>
              </w:rPr>
              <w:t>Labs, Inc.) –</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ind w:left="520"/>
              <w:spacing w:after="0" w:line="147" w:lineRule="exact"/>
              <w:rPr>
                <w:sz w:val="20"/>
                <w:szCs w:val="20"/>
                <w:color w:val="auto"/>
              </w:rPr>
            </w:pPr>
            <w:r>
              <w:rPr>
                <w:rFonts w:ascii="Arial" w:cs="Arial" w:eastAsia="Arial" w:hAnsi="Arial"/>
                <w:sz w:val="14"/>
                <w:szCs w:val="14"/>
                <w:color w:val="auto"/>
              </w:rPr>
              <w:t>Convertible</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ind w:left="520"/>
              <w:spacing w:after="0" w:line="147" w:lineRule="exact"/>
              <w:rPr>
                <w:sz w:val="20"/>
                <w:szCs w:val="20"/>
                <w:color w:val="auto"/>
              </w:rPr>
            </w:pPr>
            <w:r>
              <w:rPr>
                <w:rFonts w:ascii="Arial" w:cs="Arial" w:eastAsia="Arial" w:hAnsi="Arial"/>
                <w:sz w:val="14"/>
                <w:szCs w:val="14"/>
                <w:color w:val="auto"/>
              </w:rPr>
              <w:t>Promissory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ind w:left="520"/>
              <w:spacing w:after="0" w:line="147" w:lineRule="exact"/>
              <w:rPr>
                <w:sz w:val="20"/>
                <w:szCs w:val="20"/>
                <w:color w:val="auto"/>
              </w:rPr>
            </w:pPr>
            <w:r>
              <w:rPr>
                <w:rFonts w:ascii="Arial" w:cs="Arial" w:eastAsia="Arial" w:hAnsi="Arial"/>
                <w:sz w:val="14"/>
                <w:szCs w:val="14"/>
                <w:color w:val="auto"/>
              </w:rPr>
              <w:t>Note 8% Due</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600" w:type="dxa"/>
            <w:vAlign w:val="bottom"/>
            <w:gridSpan w:val="5"/>
            <w:shd w:val="clear" w:color="auto" w:fill="CCEEFF"/>
          </w:tcPr>
          <w:p>
            <w:pPr>
              <w:ind w:left="720"/>
              <w:spacing w:after="0"/>
              <w:rPr>
                <w:sz w:val="20"/>
                <w:szCs w:val="20"/>
                <w:color w:val="auto"/>
              </w:rPr>
            </w:pPr>
            <w:r>
              <w:rPr>
                <w:rFonts w:ascii="Arial" w:cs="Arial" w:eastAsia="Arial" w:hAnsi="Arial"/>
                <w:sz w:val="14"/>
                <w:szCs w:val="14"/>
                <w:color w:val="auto"/>
              </w:rPr>
              <w:t>06/30/16***</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48,248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(500,000)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0.00%</w:t>
            </w: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4"/>
          </w:tcPr>
          <w:p>
            <w:pPr>
              <w:ind w:left="340"/>
              <w:spacing w:after="0" w:line="129" w:lineRule="exact"/>
              <w:rPr>
                <w:sz w:val="20"/>
                <w:szCs w:val="20"/>
                <w:color w:val="auto"/>
              </w:rPr>
            </w:pPr>
            <w:r>
              <w:rPr>
                <w:rFonts w:ascii="Arial" w:cs="Arial" w:eastAsia="Arial" w:hAnsi="Arial"/>
                <w:sz w:val="14"/>
                <w:szCs w:val="14"/>
                <w:color w:val="auto"/>
              </w:rPr>
              <w:t>NestGSV, Inc.</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(d/b/a GSV</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Labs, Inc.) –</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Promissory</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Note 10% Due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gridSpan w:val="5"/>
          </w:tcPr>
          <w:p>
            <w:pPr>
              <w:ind w:left="720"/>
              <w:spacing w:after="0"/>
              <w:rPr>
                <w:sz w:val="20"/>
                <w:szCs w:val="20"/>
                <w:color w:val="auto"/>
              </w:rPr>
            </w:pPr>
            <w:r>
              <w:rPr>
                <w:rFonts w:ascii="Arial" w:cs="Arial" w:eastAsia="Arial" w:hAnsi="Arial"/>
                <w:sz w:val="14"/>
                <w:szCs w:val="14"/>
                <w:color w:val="auto"/>
                <w:w w:val="99"/>
              </w:rPr>
              <w:t>11/23/2016***</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26,000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(500,000)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7"/>
              <w:spacing w:after="0"/>
              <w:rPr>
                <w:sz w:val="20"/>
                <w:szCs w:val="20"/>
                <w:color w:val="auto"/>
              </w:rPr>
            </w:pPr>
            <w:r>
              <w:rPr>
                <w:rFonts w:ascii="Arial" w:cs="Arial" w:eastAsia="Arial" w:hAnsi="Arial"/>
                <w:sz w:val="14"/>
                <w:szCs w:val="14"/>
                <w:color w:val="auto"/>
              </w:rPr>
              <w:t>0.00%</w:t>
            </w: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60" w:type="dxa"/>
            <w:vAlign w:val="bottom"/>
            <w:gridSpan w:val="4"/>
            <w:shd w:val="clear" w:color="auto" w:fill="CCEEFF"/>
          </w:tcPr>
          <w:p>
            <w:pPr>
              <w:ind w:left="340"/>
              <w:spacing w:after="0" w:line="129" w:lineRule="exact"/>
              <w:rPr>
                <w:sz w:val="20"/>
                <w:szCs w:val="20"/>
                <w:color w:val="auto"/>
              </w:rPr>
            </w:pPr>
            <w:r>
              <w:rPr>
                <w:rFonts w:ascii="Arial" w:cs="Arial" w:eastAsia="Arial" w:hAnsi="Arial"/>
                <w:sz w:val="14"/>
                <w:szCs w:val="14"/>
                <w:color w:val="auto"/>
              </w:rPr>
              <w:t>NestGSV, Inc.</w:t>
            </w: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ind w:left="520"/>
              <w:spacing w:after="0" w:line="147" w:lineRule="exact"/>
              <w:rPr>
                <w:sz w:val="20"/>
                <w:szCs w:val="20"/>
                <w:color w:val="auto"/>
              </w:rPr>
            </w:pPr>
            <w:r>
              <w:rPr>
                <w:rFonts w:ascii="Arial" w:cs="Arial" w:eastAsia="Arial" w:hAnsi="Arial"/>
                <w:sz w:val="14"/>
                <w:szCs w:val="14"/>
                <w:color w:val="auto"/>
              </w:rPr>
              <w:t>(d/b/a GSV</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ind w:left="520"/>
              <w:spacing w:after="0" w:line="147" w:lineRule="exact"/>
              <w:rPr>
                <w:sz w:val="20"/>
                <w:szCs w:val="20"/>
                <w:color w:val="auto"/>
              </w:rPr>
            </w:pPr>
            <w:r>
              <w:rPr>
                <w:rFonts w:ascii="Arial" w:cs="Arial" w:eastAsia="Arial" w:hAnsi="Arial"/>
                <w:sz w:val="14"/>
                <w:szCs w:val="14"/>
                <w:color w:val="auto"/>
              </w:rPr>
              <w:t>Labs, Inc.) –</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ind w:left="520"/>
              <w:spacing w:after="0" w:line="147" w:lineRule="exact"/>
              <w:rPr>
                <w:sz w:val="20"/>
                <w:szCs w:val="20"/>
                <w:color w:val="auto"/>
              </w:rPr>
            </w:pPr>
            <w:r>
              <w:rPr>
                <w:rFonts w:ascii="Arial" w:cs="Arial" w:eastAsia="Arial" w:hAnsi="Arial"/>
                <w:sz w:val="14"/>
                <w:szCs w:val="14"/>
                <w:color w:val="auto"/>
              </w:rPr>
              <w:t>Unsecured</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ind w:left="520"/>
              <w:spacing w:after="0" w:line="147" w:lineRule="exact"/>
              <w:rPr>
                <w:sz w:val="20"/>
                <w:szCs w:val="20"/>
                <w:color w:val="auto"/>
              </w:rPr>
            </w:pPr>
            <w:r>
              <w:rPr>
                <w:rFonts w:ascii="Arial" w:cs="Arial" w:eastAsia="Arial" w:hAnsi="Arial"/>
                <w:sz w:val="14"/>
                <w:szCs w:val="14"/>
                <w:color w:val="auto"/>
              </w:rPr>
              <w:t>Promissory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ind w:left="520"/>
              <w:spacing w:after="0" w:line="147" w:lineRule="exact"/>
              <w:rPr>
                <w:sz w:val="20"/>
                <w:szCs w:val="20"/>
                <w:color w:val="auto"/>
              </w:rPr>
            </w:pPr>
            <w:r>
              <w:rPr>
                <w:rFonts w:ascii="Arial" w:cs="Arial" w:eastAsia="Arial" w:hAnsi="Arial"/>
                <w:sz w:val="14"/>
                <w:szCs w:val="14"/>
                <w:color w:val="auto"/>
              </w:rPr>
              <w:t>Note 12% Due</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760" w:type="dxa"/>
            <w:vAlign w:val="bottom"/>
            <w:gridSpan w:val="6"/>
            <w:shd w:val="clear" w:color="auto" w:fill="CCEEFF"/>
          </w:tcPr>
          <w:p>
            <w:pPr>
              <w:ind w:left="720"/>
              <w:spacing w:after="0"/>
              <w:rPr>
                <w:sz w:val="20"/>
                <w:szCs w:val="20"/>
                <w:color w:val="auto"/>
              </w:rPr>
            </w:pPr>
            <w:r>
              <w:rPr>
                <w:rFonts w:ascii="Arial" w:cs="Arial" w:eastAsia="Arial" w:hAnsi="Arial"/>
                <w:sz w:val="14"/>
                <w:szCs w:val="14"/>
                <w:color w:val="auto"/>
              </w:rPr>
              <w:t>05/29/2017***</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10,862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501,802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(5,077)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496,725</w:t>
            </w:r>
          </w:p>
        </w:tc>
        <w:tc>
          <w:tcPr>
            <w:tcW w:w="780" w:type="dxa"/>
            <w:vAlign w:val="bottom"/>
            <w:gridSpan w:val="2"/>
            <w:shd w:val="clear" w:color="auto" w:fill="CCEEFF"/>
          </w:tcPr>
          <w:p>
            <w:pPr>
              <w:jc w:val="right"/>
              <w:ind w:right="37"/>
              <w:spacing w:after="0"/>
              <w:rPr>
                <w:sz w:val="20"/>
                <w:szCs w:val="20"/>
                <w:color w:val="auto"/>
              </w:rPr>
            </w:pPr>
            <w:r>
              <w:rPr>
                <w:rFonts w:ascii="Arial" w:cs="Arial" w:eastAsia="Arial" w:hAnsi="Arial"/>
                <w:sz w:val="14"/>
                <w:szCs w:val="14"/>
                <w:color w:val="auto"/>
              </w:rPr>
              <w:t>0.26%</w:t>
            </w:r>
          </w:p>
        </w:tc>
      </w:tr>
      <w:tr>
        <w:trPr>
          <w:trHeight w:val="122"/>
        </w:trPr>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1560" w:type="dxa"/>
            <w:vAlign w:val="bottom"/>
            <w:tcBorders>
              <w:top w:val="single" w:sz="8" w:color="CCEEFF"/>
            </w:tcBorders>
            <w:gridSpan w:val="4"/>
          </w:tcPr>
          <w:p>
            <w:pPr>
              <w:ind w:left="180"/>
              <w:spacing w:after="0" w:line="123" w:lineRule="exact"/>
              <w:rPr>
                <w:sz w:val="20"/>
                <w:szCs w:val="20"/>
                <w:color w:val="auto"/>
              </w:rPr>
            </w:pPr>
            <w:r>
              <w:rPr>
                <w:rFonts w:ascii="Arial" w:cs="Arial" w:eastAsia="Arial" w:hAnsi="Arial"/>
                <w:sz w:val="14"/>
                <w:szCs w:val="14"/>
                <w:i w:val="1"/>
                <w:iCs w:val="1"/>
                <w:color w:val="auto"/>
              </w:rPr>
              <w:t>Total Global</w:t>
            </w:r>
          </w:p>
        </w:tc>
        <w:tc>
          <w:tcPr>
            <w:tcW w:w="7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340"/>
              <w:spacing w:after="0" w:line="147" w:lineRule="exact"/>
              <w:rPr>
                <w:sz w:val="20"/>
                <w:szCs w:val="20"/>
                <w:color w:val="auto"/>
              </w:rPr>
            </w:pPr>
            <w:r>
              <w:rPr>
                <w:rFonts w:ascii="Arial" w:cs="Arial" w:eastAsia="Arial" w:hAnsi="Arial"/>
                <w:sz w:val="14"/>
                <w:szCs w:val="14"/>
                <w:i w:val="1"/>
                <w:iCs w:val="1"/>
                <w:color w:val="auto"/>
              </w:rPr>
              <w:t>Innovation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ind w:left="340"/>
              <w:spacing w:after="0"/>
              <w:rPr>
                <w:sz w:val="20"/>
                <w:szCs w:val="20"/>
                <w:color w:val="auto"/>
              </w:rPr>
            </w:pPr>
            <w:r>
              <w:rPr>
                <w:rFonts w:ascii="Arial" w:cs="Arial" w:eastAsia="Arial" w:hAnsi="Arial"/>
                <w:sz w:val="14"/>
                <w:szCs w:val="14"/>
                <w:i w:val="1"/>
                <w:iCs w:val="1"/>
                <w:color w:val="auto"/>
              </w:rPr>
              <w:t>Platform</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101,999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(74,380)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89"/>
              </w:rPr>
              <w:t>1,533,774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w w:val="90"/>
              </w:rPr>
              <w:t>(500,000)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(34,769)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924,625</w:t>
            </w:r>
          </w:p>
        </w:tc>
        <w:tc>
          <w:tcPr>
            <w:tcW w:w="780" w:type="dxa"/>
            <w:vAlign w:val="bottom"/>
            <w:gridSpan w:val="2"/>
          </w:tcPr>
          <w:p>
            <w:pPr>
              <w:jc w:val="right"/>
              <w:ind w:right="37"/>
              <w:spacing w:after="0"/>
              <w:rPr>
                <w:sz w:val="20"/>
                <w:szCs w:val="20"/>
                <w:color w:val="auto"/>
              </w:rPr>
            </w:pPr>
            <w:r>
              <w:rPr>
                <w:rFonts w:ascii="Arial" w:cs="Arial" w:eastAsia="Arial" w:hAnsi="Arial"/>
                <w:sz w:val="14"/>
                <w:szCs w:val="14"/>
                <w:color w:val="auto"/>
              </w:rPr>
              <w:t>0.48%</w:t>
            </w:r>
          </w:p>
        </w:tc>
      </w:tr>
      <w:tr>
        <w:trPr>
          <w:trHeight w:val="148"/>
        </w:trPr>
        <w:tc>
          <w:tcPr>
            <w:tcW w:w="1760" w:type="dxa"/>
            <w:vAlign w:val="bottom"/>
            <w:gridSpan w:val="6"/>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Total Debt Investments</w:t>
            </w:r>
          </w:p>
        </w:tc>
        <w:tc>
          <w:tcPr>
            <w:tcW w:w="7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101,999</w:t>
            </w:r>
          </w:p>
        </w:tc>
        <w:tc>
          <w:tcPr>
            <w:tcW w:w="2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(74,380)</w:t>
            </w:r>
          </w:p>
        </w:tc>
        <w:tc>
          <w:tcPr>
            <w:tcW w:w="2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w w:val="89"/>
              </w:rPr>
              <w:t>1,533,774</w:t>
            </w:r>
          </w:p>
        </w:tc>
        <w:tc>
          <w:tcPr>
            <w:tcW w:w="2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w w:val="90"/>
              </w:rPr>
              <w:t>(500,000)</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(34,769)</w:t>
            </w:r>
          </w:p>
        </w:tc>
        <w:tc>
          <w:tcPr>
            <w:tcW w:w="2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924,625</w:t>
            </w:r>
          </w:p>
        </w:tc>
        <w:tc>
          <w:tcPr>
            <w:tcW w:w="780" w:type="dxa"/>
            <w:vAlign w:val="bottom"/>
            <w:gridSpan w:val="2"/>
            <w:shd w:val="clear" w:color="auto" w:fill="CCEEFF"/>
          </w:tcPr>
          <w:p>
            <w:pPr>
              <w:jc w:val="right"/>
              <w:ind w:right="37"/>
              <w:spacing w:after="0" w:line="147" w:lineRule="exact"/>
              <w:rPr>
                <w:sz w:val="20"/>
                <w:szCs w:val="20"/>
                <w:color w:val="auto"/>
              </w:rPr>
            </w:pPr>
            <w:r>
              <w:rPr>
                <w:rFonts w:ascii="Arial" w:cs="Arial" w:eastAsia="Arial" w:hAnsi="Arial"/>
                <w:sz w:val="14"/>
                <w:szCs w:val="14"/>
                <w:color w:val="auto"/>
              </w:rPr>
              <w:t>0.48%</w:t>
            </w:r>
          </w:p>
        </w:tc>
      </w:tr>
      <w:tr>
        <w:trPr>
          <w:trHeight w:val="148"/>
        </w:trPr>
        <w:tc>
          <w:tcPr>
            <w:tcW w:w="1760" w:type="dxa"/>
            <w:vAlign w:val="bottom"/>
            <w:gridSpan w:val="6"/>
          </w:tcPr>
          <w:p>
            <w:pPr>
              <w:ind w:left="20"/>
              <w:spacing w:after="0" w:line="147" w:lineRule="exact"/>
              <w:rPr>
                <w:sz w:val="20"/>
                <w:szCs w:val="20"/>
                <w:color w:val="auto"/>
              </w:rPr>
            </w:pPr>
            <w:r>
              <w:rPr>
                <w:rFonts w:ascii="Arial" w:cs="Arial" w:eastAsia="Arial" w:hAnsi="Arial"/>
                <w:sz w:val="14"/>
                <w:szCs w:val="14"/>
                <w:b w:val="1"/>
                <w:bCs w:val="1"/>
                <w:color w:val="auto"/>
              </w:rPr>
              <w:t>Preferred Stock</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gridSpan w:val="4"/>
            <w:shd w:val="clear" w:color="auto" w:fill="CCEEFF"/>
          </w:tcPr>
          <w:p>
            <w:pPr>
              <w:spacing w:after="0" w:line="147" w:lineRule="exact"/>
              <w:rPr>
                <w:sz w:val="20"/>
                <w:szCs w:val="20"/>
                <w:color w:val="auto"/>
              </w:rPr>
            </w:pPr>
            <w:r>
              <w:rPr>
                <w:rFonts w:ascii="Arial" w:cs="Arial" w:eastAsia="Arial" w:hAnsi="Arial"/>
                <w:sz w:val="14"/>
                <w:szCs w:val="14"/>
                <w:i w:val="1"/>
                <w:iCs w:val="1"/>
                <w:color w:val="auto"/>
              </w:rPr>
              <w:t>Clean Technology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4"/>
          </w:tcPr>
          <w:p>
            <w:pPr>
              <w:ind w:left="340"/>
              <w:spacing w:after="0" w:line="129" w:lineRule="exact"/>
              <w:rPr>
                <w:sz w:val="20"/>
                <w:szCs w:val="20"/>
                <w:color w:val="auto"/>
              </w:rPr>
            </w:pPr>
            <w:r>
              <w:rPr>
                <w:rFonts w:ascii="Arial" w:cs="Arial" w:eastAsia="Arial" w:hAnsi="Arial"/>
                <w:sz w:val="14"/>
                <w:szCs w:val="14"/>
                <w:color w:val="auto"/>
              </w:rPr>
              <w:t>SPBRX, INC.</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(f/k/a GSV</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Sustainability</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Partners,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Inc.) –</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Preferred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4"/>
          </w:tcPr>
          <w:p>
            <w:pPr>
              <w:ind w:left="520"/>
              <w:spacing w:after="0" w:line="147" w:lineRule="exact"/>
              <w:rPr>
                <w:sz w:val="20"/>
                <w:szCs w:val="20"/>
                <w:color w:val="auto"/>
              </w:rPr>
            </w:pPr>
            <w:r>
              <w:rPr>
                <w:rFonts w:ascii="Arial" w:cs="Arial" w:eastAsia="Arial" w:hAnsi="Arial"/>
                <w:sz w:val="14"/>
                <w:szCs w:val="14"/>
                <w:color w:val="auto"/>
              </w:rPr>
              <w:t>shares, Class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4"/>
          </w:tcPr>
          <w:p>
            <w:pPr>
              <w:ind w:left="520"/>
              <w:spacing w:after="0"/>
              <w:rPr>
                <w:sz w:val="20"/>
                <w:szCs w:val="20"/>
                <w:color w:val="auto"/>
              </w:rPr>
            </w:pPr>
            <w:r>
              <w:rPr>
                <w:rFonts w:ascii="Arial" w:cs="Arial" w:eastAsia="Arial" w:hAnsi="Arial"/>
                <w:sz w:val="14"/>
                <w:szCs w:val="14"/>
                <w:color w:val="auto"/>
              </w:rPr>
              <w:t>A</w:t>
            </w:r>
          </w:p>
        </w:tc>
        <w:tc>
          <w:tcPr>
            <w:tcW w:w="760" w:type="dxa"/>
            <w:vAlign w:val="bottom"/>
          </w:tcPr>
          <w:p>
            <w:pPr>
              <w:jc w:val="right"/>
              <w:spacing w:after="0"/>
              <w:rPr>
                <w:sz w:val="20"/>
                <w:szCs w:val="20"/>
                <w:color w:val="auto"/>
              </w:rPr>
            </w:pPr>
            <w:r>
              <w:rPr>
                <w:rFonts w:ascii="Arial" w:cs="Arial" w:eastAsia="Arial" w:hAnsi="Arial"/>
                <w:sz w:val="14"/>
                <w:szCs w:val="14"/>
                <w:color w:val="auto"/>
                <w:w w:val="99"/>
              </w:rPr>
              <w:t>14,300,000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6,250,000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(1,940,222)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4,309,778</w:t>
            </w:r>
          </w:p>
        </w:tc>
        <w:tc>
          <w:tcPr>
            <w:tcW w:w="780" w:type="dxa"/>
            <w:vAlign w:val="bottom"/>
            <w:gridSpan w:val="2"/>
          </w:tcPr>
          <w:p>
            <w:pPr>
              <w:jc w:val="right"/>
              <w:ind w:right="37"/>
              <w:spacing w:after="0"/>
              <w:rPr>
                <w:sz w:val="20"/>
                <w:szCs w:val="20"/>
                <w:color w:val="auto"/>
              </w:rPr>
            </w:pPr>
            <w:r>
              <w:rPr>
                <w:rFonts w:ascii="Arial" w:cs="Arial" w:eastAsia="Arial" w:hAnsi="Arial"/>
                <w:sz w:val="14"/>
                <w:szCs w:val="14"/>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-1329055</wp:posOffset>
            </wp:positionV>
            <wp:extent cx="7026275" cy="289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26275" cy="28956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00"/>
          </w:cols>
          <w:pgMar w:left="360" w:top="787" w:right="239" w:bottom="1440" w:gutter="0" w:footer="0" w:header="0"/>
        </w:sectPr>
      </w:pPr>
    </w:p>
    <w:bookmarkStart w:id="44" w:name="page45"/>
    <w:bookmarkEnd w:id="4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173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17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0173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17385" cy="8255"/>
                    </a:xfrm>
                    <a:prstGeom prst="rect">
                      <a:avLst/>
                    </a:prstGeom>
                    <a:noFill/>
                  </pic:spPr>
                </pic:pic>
              </a:graphicData>
            </a:graphic>
          </wp:anchor>
        </w:drawing>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Schedule of Investments In and Advances To Affiliates</w:t>
      </w:r>
    </w:p>
    <w:tbl>
      <w:tblPr>
        <w:tblLayout w:type="fixed"/>
        <w:tblInd w:w="0" w:type="dxa"/>
        <w:tblCellMar>
          <w:top w:w="0" w:type="dxa"/>
          <w:left w:w="0" w:type="dxa"/>
          <w:bottom w:w="0" w:type="dxa"/>
          <w:right w:w="0" w:type="dxa"/>
        </w:tblCellMar>
      </w:tblPr>
      <w:tr>
        <w:trPr>
          <w:trHeight w:val="142"/>
        </w:trPr>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w w:val="99"/>
              </w:rPr>
              <w:t>Transfer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34"/>
        </w:trPr>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6"/>
              </w:rPr>
              <w:t>Interest,</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8"/>
              </w:rPr>
              <w:t>from 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w w:val="92"/>
              </w:rPr>
              <w:t>Fees, or</w:t>
            </w:r>
          </w:p>
        </w:tc>
        <w:tc>
          <w:tcPr>
            <w:tcW w:w="160" w:type="dxa"/>
            <w:vAlign w:val="bottom"/>
          </w:tcPr>
          <w:p>
            <w:pPr>
              <w:spacing w:after="0"/>
              <w:rPr>
                <w:sz w:val="11"/>
                <w:szCs w:val="11"/>
                <w:color w:val="auto"/>
              </w:rPr>
            </w:pPr>
          </w:p>
        </w:tc>
        <w:tc>
          <w:tcPr>
            <w:tcW w:w="860" w:type="dxa"/>
            <w:vAlign w:val="bottom"/>
            <w:gridSpan w:val="3"/>
          </w:tcPr>
          <w:p>
            <w:pPr>
              <w:jc w:val="center"/>
              <w:ind w:right="160"/>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Investment to</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Dividends</w:t>
            </w:r>
          </w:p>
        </w:tc>
        <w:tc>
          <w:tcPr>
            <w:tcW w:w="160" w:type="dxa"/>
            <w:vAlign w:val="bottom"/>
          </w:tcPr>
          <w:p>
            <w:pPr>
              <w:spacing w:after="0"/>
              <w:rPr>
                <w:sz w:val="11"/>
                <w:szCs w:val="11"/>
                <w:color w:val="auto"/>
              </w:rPr>
            </w:pPr>
          </w:p>
        </w:tc>
        <w:tc>
          <w:tcPr>
            <w:tcW w:w="860" w:type="dxa"/>
            <w:vAlign w:val="bottom"/>
            <w:gridSpan w:val="3"/>
          </w:tcPr>
          <w:p>
            <w:pPr>
              <w:jc w:val="center"/>
              <w:ind w:right="160"/>
              <w:spacing w:after="0" w:line="134" w:lineRule="exact"/>
              <w:rPr>
                <w:sz w:val="20"/>
                <w:szCs w:val="20"/>
                <w:color w:val="auto"/>
              </w:rPr>
            </w:pPr>
            <w:r>
              <w:rPr>
                <w:rFonts w:ascii="Arial" w:cs="Arial" w:eastAsia="Arial" w:hAnsi="Arial"/>
                <w:sz w:val="13"/>
                <w:szCs w:val="13"/>
                <w:b w:val="1"/>
                <w:bCs w:val="1"/>
                <w:color w:val="auto"/>
                <w:w w:val="85"/>
              </w:rPr>
              <w:t>December</w:t>
            </w: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8"/>
              </w:rPr>
              <w:t>Non-Control/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56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60" w:type="dxa"/>
            <w:vAlign w:val="bottom"/>
          </w:tcPr>
          <w:p>
            <w:pPr>
              <w:spacing w:after="0"/>
              <w:rPr>
                <w:sz w:val="11"/>
                <w:szCs w:val="11"/>
                <w:color w:val="auto"/>
              </w:rPr>
            </w:pPr>
          </w:p>
        </w:tc>
        <w:tc>
          <w:tcPr>
            <w:tcW w:w="700" w:type="dxa"/>
            <w:vAlign w:val="bottom"/>
          </w:tcPr>
          <w:p>
            <w:pPr>
              <w:jc w:val="right"/>
              <w:ind w:right="11"/>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90"/>
              </w:rPr>
              <w:t>Credited</w:t>
            </w:r>
          </w:p>
        </w:tc>
        <w:tc>
          <w:tcPr>
            <w:tcW w:w="820" w:type="dxa"/>
            <w:vAlign w:val="bottom"/>
            <w:gridSpan w:val="2"/>
          </w:tcPr>
          <w:p>
            <w:pPr>
              <w:jc w:val="right"/>
              <w:ind w:right="151"/>
              <w:spacing w:after="0" w:line="134" w:lineRule="exact"/>
              <w:rPr>
                <w:sz w:val="20"/>
                <w:szCs w:val="20"/>
                <w:color w:val="auto"/>
              </w:rPr>
            </w:pPr>
            <w:r>
              <w:rPr>
                <w:rFonts w:ascii="Arial" w:cs="Arial" w:eastAsia="Arial" w:hAnsi="Arial"/>
                <w:sz w:val="13"/>
                <w:szCs w:val="13"/>
                <w:b w:val="1"/>
                <w:bCs w:val="1"/>
                <w:color w:val="auto"/>
              </w:rPr>
              <w:t>31,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0"/>
              </w:rPr>
              <w:t>Non-Affiliate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120"/>
              <w:spacing w:after="0" w:line="134" w:lineRule="exact"/>
              <w:rPr>
                <w:sz w:val="20"/>
                <w:szCs w:val="20"/>
                <w:color w:val="auto"/>
              </w:rPr>
            </w:pPr>
            <w:r>
              <w:rPr>
                <w:rFonts w:ascii="Arial" w:cs="Arial" w:eastAsia="Arial" w:hAnsi="Arial"/>
                <w:sz w:val="13"/>
                <w:szCs w:val="13"/>
                <w:b w:val="1"/>
                <w:bCs w:val="1"/>
                <w:color w:val="auto"/>
                <w:w w:val="93"/>
              </w:rPr>
              <w:t>Corporate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Gains/</w:t>
            </w: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1560" w:type="dxa"/>
            <w:vAlign w:val="bottom"/>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00" w:type="dxa"/>
            <w:vAlign w:val="bottom"/>
          </w:tcPr>
          <w:p>
            <w:pPr>
              <w:jc w:val="right"/>
              <w:ind w:right="31"/>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in Income</w:t>
            </w:r>
          </w:p>
        </w:tc>
        <w:tc>
          <w:tcPr>
            <w:tcW w:w="820" w:type="dxa"/>
            <w:vAlign w:val="bottom"/>
            <w:gridSpan w:val="2"/>
          </w:tcPr>
          <w:p>
            <w:pPr>
              <w:jc w:val="right"/>
              <w:ind w:right="111"/>
              <w:spacing w:after="0"/>
              <w:rPr>
                <w:sz w:val="20"/>
                <w:szCs w:val="20"/>
                <w:color w:val="auto"/>
              </w:rPr>
            </w:pPr>
            <w:r>
              <w:rPr>
                <w:rFonts w:ascii="Arial" w:cs="Arial" w:eastAsia="Arial" w:hAnsi="Arial"/>
                <w:sz w:val="13"/>
                <w:szCs w:val="13"/>
                <w:b w:val="1"/>
                <w:bCs w:val="1"/>
                <w:color w:val="auto"/>
              </w:rPr>
              <w:t>2015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7"/>
              </w:rPr>
              <w:t>Investment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Action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w w:val="91"/>
              </w:rPr>
              <w:t>Purchases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500" w:type="dxa"/>
            <w:vAlign w:val="bottom"/>
            <w:gridSpan w:val="3"/>
          </w:tcPr>
          <w:p>
            <w:pPr>
              <w:ind w:left="4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2016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22"/>
        </w:trPr>
        <w:tc>
          <w:tcPr>
            <w:tcW w:w="156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i w:val="1"/>
                <w:iCs w:val="1"/>
                <w:color w:val="auto"/>
              </w:rPr>
              <w:t>Global Innovation</w:t>
            </w: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66"/>
        </w:trPr>
        <w:tc>
          <w:tcPr>
            <w:tcW w:w="1560" w:type="dxa"/>
            <w:vAlign w:val="bottom"/>
          </w:tcPr>
          <w:p>
            <w:pPr>
              <w:ind w:left="380"/>
              <w:spacing w:after="0"/>
              <w:rPr>
                <w:sz w:val="20"/>
                <w:szCs w:val="20"/>
                <w:color w:val="auto"/>
              </w:rPr>
            </w:pPr>
            <w:r>
              <w:rPr>
                <w:rFonts w:ascii="Arial" w:cs="Arial" w:eastAsia="Arial" w:hAnsi="Arial"/>
                <w:sz w:val="14"/>
                <w:szCs w:val="14"/>
                <w:i w:val="1"/>
                <w:iCs w:val="1"/>
                <w:color w:val="auto"/>
              </w:rPr>
              <w:t>Platform</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29"/>
        </w:trPr>
        <w:tc>
          <w:tcPr>
            <w:tcW w:w="15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1"/>
              </w:rPr>
              <w:t>shares,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5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$4,960,565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(4,904,498)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(56,067)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56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w w:val="91"/>
              </w:rPr>
              <w:t>shares, Series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560" w:type="dxa"/>
            <w:vAlign w:val="bottom"/>
          </w:tcPr>
          <w:p>
            <w:pPr>
              <w:ind w:left="720"/>
              <w:spacing w:after="0"/>
              <w:rPr>
                <w:sz w:val="20"/>
                <w:szCs w:val="20"/>
                <w:color w:val="auto"/>
              </w:rPr>
            </w:pPr>
            <w:r>
              <w:rPr>
                <w:rFonts w:ascii="Arial" w:cs="Arial" w:eastAsia="Arial" w:hAnsi="Arial"/>
                <w:sz w:val="14"/>
                <w:szCs w:val="14"/>
                <w:color w:val="auto"/>
              </w:rPr>
              <w:t>C</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1,733,404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(2,005,730)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272,326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5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1"/>
              </w:rPr>
              <w:t>shares,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5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B</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(605,500)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605,500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56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w w:val="91"/>
              </w:rPr>
              <w:t>shares, Series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560" w:type="dxa"/>
            <w:vAlign w:val="bottom"/>
          </w:tcPr>
          <w:p>
            <w:pPr>
              <w:ind w:left="720"/>
              <w:spacing w:after="0"/>
              <w:rPr>
                <w:sz w:val="20"/>
                <w:szCs w:val="20"/>
                <w:color w:val="auto"/>
              </w:rPr>
            </w:pPr>
            <w:r>
              <w:rPr>
                <w:rFonts w:ascii="Arial" w:cs="Arial" w:eastAsia="Arial" w:hAnsi="Arial"/>
                <w:sz w:val="14"/>
                <w:szCs w:val="14"/>
                <w:color w:val="auto"/>
              </w:rPr>
              <w:t>A</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(1,021,778)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1,021,778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5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stock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5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3,720,424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4,904,498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(2,188,588)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2,715,910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129"/>
        </w:trPr>
        <w:tc>
          <w:tcPr>
            <w:tcW w:w="156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stock Series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560" w:type="dxa"/>
            <w:vAlign w:val="bottom"/>
          </w:tcPr>
          <w:p>
            <w:pPr>
              <w:ind w:left="720"/>
              <w:spacing w:after="0"/>
              <w:rPr>
                <w:sz w:val="20"/>
                <w:szCs w:val="20"/>
                <w:color w:val="auto"/>
              </w:rPr>
            </w:pPr>
            <w:r>
              <w:rPr>
                <w:rFonts w:ascii="Arial" w:cs="Arial" w:eastAsia="Arial" w:hAnsi="Arial"/>
                <w:sz w:val="14"/>
                <w:szCs w:val="14"/>
                <w:color w:val="auto"/>
              </w:rPr>
              <w:t>A-3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1,561,625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2,005,730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(1,053,139)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952,591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0.50%</w:t>
            </w:r>
          </w:p>
        </w:tc>
      </w:tr>
      <w:tr>
        <w:trPr>
          <w:trHeight w:val="129"/>
        </w:trPr>
        <w:tc>
          <w:tcPr>
            <w:tcW w:w="15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stock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5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450,001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605,500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(439,000)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166,500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0.09%</w:t>
            </w:r>
          </w:p>
        </w:tc>
      </w:tr>
      <w:tr>
        <w:trPr>
          <w:trHeight w:val="129"/>
        </w:trPr>
        <w:tc>
          <w:tcPr>
            <w:tcW w:w="156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60" w:type="dxa"/>
            <w:vAlign w:val="bottom"/>
          </w:tcPr>
          <w:p>
            <w:pPr>
              <w:ind w:left="720"/>
              <w:spacing w:after="0" w:line="147" w:lineRule="exact"/>
              <w:rPr>
                <w:sz w:val="20"/>
                <w:szCs w:val="20"/>
                <w:color w:val="auto"/>
              </w:rPr>
            </w:pPr>
            <w:r>
              <w:rPr>
                <w:rFonts w:ascii="Arial" w:cs="Arial" w:eastAsia="Arial" w:hAnsi="Arial"/>
                <w:sz w:val="14"/>
                <w:szCs w:val="14"/>
                <w:color w:val="auto"/>
              </w:rPr>
              <w:t>stock Series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560" w:type="dxa"/>
            <w:vAlign w:val="bottom"/>
          </w:tcPr>
          <w:p>
            <w:pPr>
              <w:ind w:left="720"/>
              <w:spacing w:after="0"/>
              <w:rPr>
                <w:sz w:val="20"/>
                <w:szCs w:val="20"/>
                <w:color w:val="auto"/>
              </w:rPr>
            </w:pPr>
            <w:r>
              <w:rPr>
                <w:rFonts w:ascii="Arial" w:cs="Arial" w:eastAsia="Arial" w:hAnsi="Arial"/>
                <w:sz w:val="14"/>
                <w:szCs w:val="14"/>
                <w:color w:val="auto"/>
              </w:rPr>
              <w:t>A-1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1,021,778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(751,778)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270,000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0.14%</w:t>
            </w:r>
          </w:p>
        </w:tc>
      </w:tr>
      <w:tr>
        <w:trPr>
          <w:trHeight w:val="122"/>
        </w:trPr>
        <w:tc>
          <w:tcPr>
            <w:tcW w:w="1560" w:type="dxa"/>
            <w:vAlign w:val="bottom"/>
            <w:shd w:val="clear" w:color="auto" w:fill="CCEEFF"/>
          </w:tcPr>
          <w:p>
            <w:pPr>
              <w:ind w:left="380"/>
              <w:spacing w:after="0" w:line="123" w:lineRule="exact"/>
              <w:rPr>
                <w:sz w:val="20"/>
                <w:szCs w:val="20"/>
                <w:color w:val="auto"/>
              </w:rPr>
            </w:pPr>
            <w:r>
              <w:rPr>
                <w:rFonts w:ascii="Arial" w:cs="Arial" w:eastAsia="Arial" w:hAnsi="Arial"/>
                <w:sz w:val="14"/>
                <w:szCs w:val="14"/>
                <w:i w:val="1"/>
                <w:iCs w:val="1"/>
                <w:color w:val="auto"/>
              </w:rPr>
              <w:t>Total Global</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48"/>
        </w:trPr>
        <w:tc>
          <w:tcPr>
            <w:tcW w:w="1560" w:type="dxa"/>
            <w:vAlign w:val="bottom"/>
            <w:shd w:val="clear" w:color="auto" w:fill="CCEEFF"/>
          </w:tcPr>
          <w:p>
            <w:pPr>
              <w:ind w:left="540"/>
              <w:spacing w:after="0" w:line="147" w:lineRule="exact"/>
              <w:rPr>
                <w:sz w:val="20"/>
                <w:szCs w:val="20"/>
                <w:color w:val="auto"/>
              </w:rPr>
            </w:pPr>
            <w:r>
              <w:rPr>
                <w:rFonts w:ascii="Arial" w:cs="Arial" w:eastAsia="Arial" w:hAnsi="Arial"/>
                <w:sz w:val="14"/>
                <w:szCs w:val="14"/>
                <w:i w:val="1"/>
                <w:iCs w:val="1"/>
                <w:color w:val="auto"/>
              </w:rPr>
              <w:t>Innovation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560" w:type="dxa"/>
            <w:vAlign w:val="bottom"/>
            <w:shd w:val="clear" w:color="auto" w:fill="CCEEFF"/>
          </w:tcPr>
          <w:p>
            <w:pPr>
              <w:ind w:left="540"/>
              <w:spacing w:after="0"/>
              <w:rPr>
                <w:sz w:val="20"/>
                <w:szCs w:val="20"/>
                <w:color w:val="auto"/>
              </w:rPr>
            </w:pPr>
            <w:r>
              <w:rPr>
                <w:rFonts w:ascii="Arial" w:cs="Arial" w:eastAsia="Arial" w:hAnsi="Arial"/>
                <w:sz w:val="14"/>
                <w:szCs w:val="14"/>
                <w:i w:val="1"/>
                <w:iCs w:val="1"/>
                <w:color w:val="auto"/>
              </w:rPr>
              <w:t>Platform</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6,693,969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(2,588,968)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4,105,001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148"/>
        </w:trPr>
        <w:tc>
          <w:tcPr>
            <w:tcW w:w="156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Interactive Learning</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15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StormWind,</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LLC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7"/>
        </w:trPr>
        <w:tc>
          <w:tcPr>
            <w:tcW w:w="156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97"/>
        </w:trPr>
        <w:tc>
          <w:tcPr>
            <w:tcW w:w="1560" w:type="dxa"/>
            <w:vAlign w:val="bottom"/>
            <w:shd w:val="clear" w:color="auto" w:fill="CCEEFF"/>
          </w:tcPr>
          <w:p>
            <w:pPr>
              <w:ind w:left="720"/>
              <w:spacing w:after="0" w:line="197" w:lineRule="exact"/>
              <w:rPr>
                <w:sz w:val="20"/>
                <w:szCs w:val="20"/>
                <w:color w:val="auto"/>
              </w:rPr>
            </w:pPr>
            <w:r>
              <w:rPr>
                <w:rFonts w:ascii="Arial" w:cs="Arial" w:eastAsia="Arial" w:hAnsi="Arial"/>
                <w:sz w:val="14"/>
                <w:szCs w:val="14"/>
                <w:color w:val="auto"/>
              </w:rPr>
              <w:t>Series C</w:t>
            </w:r>
            <w:r>
              <w:rPr>
                <w:rFonts w:ascii="Arial" w:cs="Arial" w:eastAsia="Arial" w:hAnsi="Arial"/>
                <w:sz w:val="22"/>
                <w:szCs w:val="22"/>
                <w:color w:val="auto"/>
                <w:vertAlign w:val="superscript"/>
              </w:rPr>
              <w:t>(4)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2,779,134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$4,599,718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51,120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4,650,838</w:t>
            </w:r>
          </w:p>
        </w:tc>
        <w:tc>
          <w:tcPr>
            <w:tcW w:w="78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2.42%</w:t>
            </w:r>
          </w:p>
        </w:tc>
      </w:tr>
    </w:tbl>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45" w:name="page46"/>
    <w:bookmarkEnd w:id="4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NOTE 3 — INVESTMENTS AT FAIR VALUE – (continued) 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173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17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173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0173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1" w:lineRule="exact"/>
              <w:rPr>
                <w:sz w:val="20"/>
                <w:szCs w:val="20"/>
                <w:color w:val="auto"/>
              </w:rPr>
            </w:pPr>
            <w:r>
              <w:rPr>
                <w:rFonts w:ascii="Arial" w:cs="Arial" w:eastAsia="Arial" w:hAnsi="Arial"/>
                <w:sz w:val="13"/>
                <w:szCs w:val="13"/>
                <w:b w:val="1"/>
                <w:bCs w:val="1"/>
                <w:color w:val="auto"/>
                <w:w w:val="99"/>
              </w:rPr>
              <w:t>Transfer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4"/>
        </w:trPr>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6"/>
              </w:rPr>
              <w:t>Interest,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1"/>
              </w:rPr>
              <w:t>from 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w w:val="92"/>
              </w:rPr>
              <w:t>Fees, 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5"/>
              </w:rPr>
              <w:t>Investment to</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Dividends</w:t>
            </w:r>
          </w:p>
        </w:tc>
        <w:tc>
          <w:tcPr>
            <w:tcW w:w="160" w:type="dxa"/>
            <w:vAlign w:val="bottom"/>
          </w:tcPr>
          <w:p>
            <w:pPr>
              <w:spacing w:after="0"/>
              <w:rPr>
                <w:sz w:val="11"/>
                <w:szCs w:val="11"/>
                <w:color w:val="auto"/>
              </w:rPr>
            </w:pPr>
          </w:p>
        </w:tc>
        <w:tc>
          <w:tcPr>
            <w:tcW w:w="76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0"/>
              </w:rPr>
              <w:t>Non-Control/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60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60" w:type="dxa"/>
            <w:vAlign w:val="bottom"/>
          </w:tcPr>
          <w:p>
            <w:pPr>
              <w:spacing w:after="0"/>
              <w:rPr>
                <w:sz w:val="11"/>
                <w:szCs w:val="11"/>
                <w:color w:val="auto"/>
              </w:rPr>
            </w:pPr>
          </w:p>
        </w:tc>
        <w:tc>
          <w:tcPr>
            <w:tcW w:w="700" w:type="dxa"/>
            <w:vAlign w:val="bottom"/>
          </w:tcPr>
          <w:p>
            <w:pPr>
              <w:jc w:val="right"/>
              <w:ind w:right="17"/>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90"/>
              </w:rPr>
              <w:t>Credited</w:t>
            </w:r>
          </w:p>
        </w:tc>
        <w:tc>
          <w:tcPr>
            <w:tcW w:w="160" w:type="dxa"/>
            <w:vAlign w:val="bottom"/>
          </w:tcPr>
          <w:p>
            <w:pPr>
              <w:spacing w:after="0"/>
              <w:rPr>
                <w:sz w:val="11"/>
                <w:szCs w:val="11"/>
                <w:color w:val="auto"/>
              </w:rPr>
            </w:pPr>
          </w:p>
        </w:tc>
        <w:tc>
          <w:tcPr>
            <w:tcW w:w="76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w w:val="85"/>
              </w:rPr>
              <w:t>December 31,</w:t>
            </w: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3"/>
              </w:rPr>
              <w:t>Non-Affiliate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60"/>
              <w:spacing w:after="0" w:line="134" w:lineRule="exact"/>
              <w:rPr>
                <w:sz w:val="20"/>
                <w:szCs w:val="20"/>
                <w:color w:val="auto"/>
              </w:rPr>
            </w:pPr>
            <w:r>
              <w:rPr>
                <w:rFonts w:ascii="Arial" w:cs="Arial" w:eastAsia="Arial" w:hAnsi="Arial"/>
                <w:sz w:val="13"/>
                <w:szCs w:val="13"/>
                <w:b w:val="1"/>
                <w:bCs w:val="1"/>
                <w:color w:val="auto"/>
                <w:w w:val="86"/>
              </w:rPr>
              <w:t>Corporate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Gains/</w:t>
            </w: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5"/>
              </w:rPr>
              <w:t>in Income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2015</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7"/>
              </w:rPr>
              <w:t>Investment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Action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79"/>
              </w:rPr>
              <w:t>Purchases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78"/>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22"/>
        </w:trPr>
        <w:tc>
          <w:tcPr>
            <w:tcW w:w="1600" w:type="dxa"/>
            <w:vAlign w:val="bottom"/>
          </w:tcPr>
          <w:p>
            <w:pPr>
              <w:ind w:left="540"/>
              <w:spacing w:after="0" w:line="123" w:lineRule="exact"/>
              <w:rPr>
                <w:sz w:val="20"/>
                <w:szCs w:val="20"/>
                <w:color w:val="auto"/>
              </w:rPr>
            </w:pPr>
            <w:r>
              <w:rPr>
                <w:rFonts w:ascii="Arial" w:cs="Arial" w:eastAsia="Arial" w:hAnsi="Arial"/>
                <w:sz w:val="14"/>
                <w:szCs w:val="14"/>
                <w:color w:val="auto"/>
              </w:rPr>
              <w:t>StormWind,</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LLC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1600" w:type="dxa"/>
            <w:vAlign w:val="bottom"/>
          </w:tcPr>
          <w:p>
            <w:pPr>
              <w:ind w:left="720"/>
              <w:spacing w:after="0" w:line="157"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1600" w:type="dxa"/>
            <w:vAlign w:val="bottom"/>
          </w:tcPr>
          <w:p>
            <w:pPr>
              <w:ind w:left="720"/>
              <w:spacing w:after="0" w:line="197" w:lineRule="exact"/>
              <w:rPr>
                <w:sz w:val="20"/>
                <w:szCs w:val="20"/>
                <w:color w:val="auto"/>
              </w:rPr>
            </w:pPr>
            <w:r>
              <w:rPr>
                <w:rFonts w:ascii="Arial" w:cs="Arial" w:eastAsia="Arial" w:hAnsi="Arial"/>
                <w:sz w:val="14"/>
                <w:szCs w:val="14"/>
                <w:color w:val="auto"/>
              </w:rPr>
              <w:t>Series B</w:t>
            </w:r>
            <w:r>
              <w:rPr>
                <w:rFonts w:ascii="Arial" w:cs="Arial" w:eastAsia="Arial" w:hAnsi="Arial"/>
                <w:sz w:val="22"/>
                <w:szCs w:val="22"/>
                <w:color w:val="auto"/>
                <w:vertAlign w:val="superscript"/>
              </w:rPr>
              <w:t>(4)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3,279,629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4,633,228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(162,825)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4,470,403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2.33%</w:t>
            </w: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StormWind,</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LLC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7"/>
        </w:trPr>
        <w:tc>
          <w:tcPr>
            <w:tcW w:w="160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w w:val="96"/>
              </w:rPr>
              <w:t>shares, Series</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97"/>
        </w:trPr>
        <w:tc>
          <w:tcPr>
            <w:tcW w:w="1600" w:type="dxa"/>
            <w:vAlign w:val="bottom"/>
            <w:shd w:val="clear" w:color="auto" w:fill="CCEEFF"/>
          </w:tcPr>
          <w:p>
            <w:pPr>
              <w:ind w:left="720"/>
              <w:spacing w:after="0" w:line="197" w:lineRule="exact"/>
              <w:rPr>
                <w:sz w:val="20"/>
                <w:szCs w:val="20"/>
                <w:color w:val="auto"/>
              </w:rPr>
            </w:pPr>
            <w:r>
              <w:rPr>
                <w:rFonts w:ascii="Arial" w:cs="Arial" w:eastAsia="Arial" w:hAnsi="Arial"/>
                <w:sz w:val="22"/>
                <w:szCs w:val="22"/>
                <w:color w:val="auto"/>
                <w:vertAlign w:val="subscript"/>
              </w:rPr>
              <w:t>A</w:t>
            </w:r>
            <w:r>
              <w:rPr>
                <w:rFonts w:ascii="Arial" w:cs="Arial" w:eastAsia="Arial" w:hAnsi="Arial"/>
                <w:sz w:val="10"/>
                <w:szCs w:val="10"/>
                <w:color w:val="auto"/>
              </w:rPr>
              <w:t xml:space="preserve"> (4)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366,666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518,000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(18,204)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499,796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0.26%</w:t>
            </w:r>
          </w:p>
        </w:tc>
      </w:tr>
      <w:tr>
        <w:trPr>
          <w:trHeight w:val="122"/>
        </w:trPr>
        <w:tc>
          <w:tcPr>
            <w:tcW w:w="1600" w:type="dxa"/>
            <w:vAlign w:val="bottom"/>
            <w:tcBorders>
              <w:top w:val="single" w:sz="8" w:color="CCEEFF"/>
            </w:tcBorders>
          </w:tcPr>
          <w:p>
            <w:pPr>
              <w:ind w:left="380"/>
              <w:spacing w:after="0" w:line="123" w:lineRule="exact"/>
              <w:rPr>
                <w:sz w:val="20"/>
                <w:szCs w:val="20"/>
                <w:color w:val="auto"/>
              </w:rPr>
            </w:pPr>
            <w:r>
              <w:rPr>
                <w:rFonts w:ascii="Arial" w:cs="Arial" w:eastAsia="Arial" w:hAnsi="Arial"/>
                <w:sz w:val="14"/>
                <w:szCs w:val="14"/>
                <w:i w:val="1"/>
                <w:iCs w:val="1"/>
                <w:color w:val="auto"/>
              </w:rPr>
              <w:t>Total Interactive</w:t>
            </w:r>
          </w:p>
        </w:tc>
        <w:tc>
          <w:tcPr>
            <w:tcW w:w="1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r>
      <w:tr>
        <w:trPr>
          <w:trHeight w:val="166"/>
        </w:trPr>
        <w:tc>
          <w:tcPr>
            <w:tcW w:w="1600" w:type="dxa"/>
            <w:vAlign w:val="bottom"/>
          </w:tcPr>
          <w:p>
            <w:pPr>
              <w:ind w:left="540"/>
              <w:spacing w:after="0"/>
              <w:rPr>
                <w:sz w:val="20"/>
                <w:szCs w:val="20"/>
                <w:color w:val="auto"/>
              </w:rPr>
            </w:pPr>
            <w:r>
              <w:rPr>
                <w:rFonts w:ascii="Arial" w:cs="Arial" w:eastAsia="Arial" w:hAnsi="Arial"/>
                <w:sz w:val="14"/>
                <w:szCs w:val="14"/>
                <w:i w:val="1"/>
                <w:iCs w:val="1"/>
                <w:color w:val="auto"/>
              </w:rPr>
              <w:t>Learning</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9,750,946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(129,909)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9,621,037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5.01%</w:t>
            </w:r>
          </w:p>
        </w:tc>
      </w:tr>
      <w:tr>
        <w:trPr>
          <w:trHeight w:val="148"/>
        </w:trPr>
        <w:tc>
          <w:tcPr>
            <w:tcW w:w="160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Total Preferred Stock</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w w:val="91"/>
              </w:rPr>
              <w:t>22,694,915</w:t>
            </w:r>
          </w:p>
        </w:tc>
        <w:tc>
          <w:tcPr>
            <w:tcW w:w="2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w w:val="92"/>
              </w:rPr>
              <w:t>(4,659,099)</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w w:val="88"/>
              </w:rPr>
              <w:t>18,035,816</w:t>
            </w:r>
          </w:p>
        </w:tc>
        <w:tc>
          <w:tcPr>
            <w:tcW w:w="7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9.39%</w:t>
            </w:r>
          </w:p>
        </w:tc>
      </w:tr>
      <w:tr>
        <w:trPr>
          <w:trHeight w:val="148"/>
        </w:trPr>
        <w:tc>
          <w:tcPr>
            <w:tcW w:w="160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160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i w:val="1"/>
                <w:iCs w:val="1"/>
                <w:color w:val="auto"/>
              </w:rPr>
              <w:t>Global Innovation</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6"/>
        </w:trPr>
        <w:tc>
          <w:tcPr>
            <w:tcW w:w="160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Platform</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w w:val="92"/>
              </w:rPr>
              <w:t>Warrant Series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A-4 – Strike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$1.33333,</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Expiration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Date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tcPr>
          <w:p>
            <w:pPr>
              <w:ind w:left="720"/>
              <w:spacing w:after="0"/>
              <w:rPr>
                <w:sz w:val="20"/>
                <w:szCs w:val="20"/>
                <w:color w:val="auto"/>
              </w:rPr>
            </w:pPr>
            <w:r>
              <w:rPr>
                <w:rFonts w:ascii="Arial" w:cs="Arial" w:eastAsia="Arial" w:hAnsi="Arial"/>
                <w:sz w:val="14"/>
                <w:szCs w:val="14"/>
                <w:color w:val="auto"/>
              </w:rPr>
              <w:t>10/6/2019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0.02%</w:t>
            </w: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2"/>
              </w:rPr>
              <w:t>Warrant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A-4 – Strike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$1.33333,</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Expiration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Date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6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7/18/2021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74,380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(51,880)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22,500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w w:val="92"/>
              </w:rPr>
              <w:t>Warrant Series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A-4 – Strike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$1.33333,</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Expiration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Date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tcPr>
          <w:p>
            <w:pPr>
              <w:ind w:left="720"/>
              <w:spacing w:after="0"/>
              <w:rPr>
                <w:sz w:val="20"/>
                <w:szCs w:val="20"/>
                <w:color w:val="auto"/>
              </w:rPr>
            </w:pPr>
            <w:r>
              <w:rPr>
                <w:rFonts w:ascii="Arial" w:cs="Arial" w:eastAsia="Arial" w:hAnsi="Arial"/>
                <w:sz w:val="14"/>
                <w:szCs w:val="14"/>
                <w:color w:val="auto"/>
              </w:rPr>
              <w:t>11/29/2021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29,275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(20,275)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2"/>
              </w:rPr>
              <w:t>Warrant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A-3 – Strike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$1.33333,</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Expiration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600" w:type="dxa"/>
            <w:vAlign w:val="bottom"/>
            <w:shd w:val="clear" w:color="auto" w:fill="CCEEFF"/>
          </w:tcPr>
          <w:p>
            <w:pPr>
              <w:ind w:left="720"/>
              <w:spacing w:after="0"/>
              <w:rPr>
                <w:sz w:val="20"/>
                <w:szCs w:val="20"/>
                <w:color w:val="auto"/>
              </w:rPr>
            </w:pPr>
            <w:r>
              <w:rPr>
                <w:rFonts w:ascii="Arial" w:cs="Arial" w:eastAsia="Arial" w:hAnsi="Arial"/>
                <w:sz w:val="14"/>
                <w:szCs w:val="14"/>
                <w:color w:val="auto"/>
                <w:w w:val="97"/>
              </w:rPr>
              <w:t>Date 4/4/2019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187,500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5,625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5,625</w:t>
            </w:r>
          </w:p>
        </w:tc>
        <w:tc>
          <w:tcPr>
            <w:tcW w:w="78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-4598035</wp:posOffset>
            </wp:positionV>
            <wp:extent cx="7026275" cy="1955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26275" cy="1955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46" w:name="page47"/>
    <w:bookmarkEnd w:id="4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NOTE 3 — INVESTMENTS AT FAIR VALUE – (continued) 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1738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17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173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173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1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21" w:lineRule="exact"/>
              <w:rPr>
                <w:sz w:val="20"/>
                <w:szCs w:val="20"/>
                <w:color w:val="auto"/>
              </w:rPr>
            </w:pPr>
            <w:r>
              <w:rPr>
                <w:rFonts w:ascii="Arial" w:cs="Arial" w:eastAsia="Arial" w:hAnsi="Arial"/>
                <w:sz w:val="13"/>
                <w:szCs w:val="13"/>
                <w:b w:val="1"/>
                <w:bCs w:val="1"/>
                <w:color w:val="auto"/>
                <w:w w:val="99"/>
              </w:rPr>
              <w:t>Transfer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4"/>
        </w:trPr>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2"/>
              <w:spacing w:after="0" w:line="134" w:lineRule="exact"/>
              <w:rPr>
                <w:sz w:val="20"/>
                <w:szCs w:val="20"/>
                <w:color w:val="auto"/>
              </w:rPr>
            </w:pPr>
            <w:r>
              <w:rPr>
                <w:rFonts w:ascii="Arial" w:cs="Arial" w:eastAsia="Arial" w:hAnsi="Arial"/>
                <w:sz w:val="13"/>
                <w:szCs w:val="13"/>
                <w:b w:val="1"/>
                <w:bCs w:val="1"/>
                <w:color w:val="auto"/>
                <w:w w:val="90"/>
              </w:rPr>
              <w:t>Interest,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right"/>
              <w:ind w:right="40"/>
              <w:spacing w:after="0" w:line="134" w:lineRule="exact"/>
              <w:rPr>
                <w:sz w:val="20"/>
                <w:szCs w:val="20"/>
                <w:color w:val="auto"/>
              </w:rPr>
            </w:pPr>
            <w:r>
              <w:rPr>
                <w:rFonts w:ascii="Arial" w:cs="Arial" w:eastAsia="Arial" w:hAnsi="Arial"/>
                <w:sz w:val="13"/>
                <w:szCs w:val="13"/>
                <w:b w:val="1"/>
                <w:bCs w:val="1"/>
                <w:color w:val="auto"/>
                <w:w w:val="91"/>
              </w:rPr>
              <w:t>from 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2"/>
              <w:spacing w:after="0" w:line="134" w:lineRule="exact"/>
              <w:rPr>
                <w:sz w:val="20"/>
                <w:szCs w:val="20"/>
                <w:color w:val="auto"/>
              </w:rPr>
            </w:pPr>
            <w:r>
              <w:rPr>
                <w:rFonts w:ascii="Arial" w:cs="Arial" w:eastAsia="Arial" w:hAnsi="Arial"/>
                <w:sz w:val="13"/>
                <w:szCs w:val="13"/>
                <w:b w:val="1"/>
                <w:bCs w:val="1"/>
                <w:color w:val="auto"/>
                <w:w w:val="84"/>
              </w:rPr>
              <w:t>Fees, 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w w:val="87"/>
              </w:rPr>
              <w:t>Investment to</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1"/>
              <w:spacing w:after="0" w:line="134"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2"/>
              <w:spacing w:after="0" w:line="134" w:lineRule="exact"/>
              <w:rPr>
                <w:sz w:val="20"/>
                <w:szCs w:val="20"/>
                <w:color w:val="auto"/>
              </w:rPr>
            </w:pPr>
            <w:r>
              <w:rPr>
                <w:rFonts w:ascii="Arial" w:cs="Arial" w:eastAsia="Arial" w:hAnsi="Arial"/>
                <w:sz w:val="13"/>
                <w:szCs w:val="13"/>
                <w:b w:val="1"/>
                <w:bCs w:val="1"/>
                <w:color w:val="auto"/>
                <w:w w:val="86"/>
              </w:rPr>
              <w:t>Dividends</w:t>
            </w:r>
          </w:p>
        </w:tc>
        <w:tc>
          <w:tcPr>
            <w:tcW w:w="160" w:type="dxa"/>
            <w:vAlign w:val="bottom"/>
          </w:tcPr>
          <w:p>
            <w:pPr>
              <w:spacing w:after="0"/>
              <w:rPr>
                <w:sz w:val="11"/>
                <w:szCs w:val="11"/>
                <w:color w:val="auto"/>
              </w:rPr>
            </w:pPr>
          </w:p>
        </w:tc>
        <w:tc>
          <w:tcPr>
            <w:tcW w:w="76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w w:val="93"/>
              </w:rPr>
              <w:t>Fair Value at</w:t>
            </w:r>
          </w:p>
        </w:tc>
        <w:tc>
          <w:tcPr>
            <w:tcW w:w="160" w:type="dxa"/>
            <w:vAlign w:val="bottom"/>
          </w:tcPr>
          <w:p>
            <w:pPr>
              <w:spacing w:after="0"/>
              <w:rPr>
                <w:sz w:val="11"/>
                <w:szCs w:val="11"/>
                <w:color w:val="auto"/>
              </w:rPr>
            </w:pPr>
          </w:p>
        </w:tc>
        <w:tc>
          <w:tcPr>
            <w:tcW w:w="78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w w:val="90"/>
              </w:rPr>
              <w:t>Non-Control/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1"/>
              <w:spacing w:after="0" w:line="134"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58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60" w:type="dxa"/>
            <w:vAlign w:val="bottom"/>
          </w:tcPr>
          <w:p>
            <w:pPr>
              <w:spacing w:after="0"/>
              <w:rPr>
                <w:sz w:val="11"/>
                <w:szCs w:val="11"/>
                <w:color w:val="auto"/>
              </w:rPr>
            </w:pPr>
          </w:p>
        </w:tc>
        <w:tc>
          <w:tcPr>
            <w:tcW w:w="700" w:type="dxa"/>
            <w:vAlign w:val="bottom"/>
          </w:tcPr>
          <w:p>
            <w:pPr>
              <w:jc w:val="right"/>
              <w:ind w:right="12"/>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2"/>
              <w:spacing w:after="0" w:line="134" w:lineRule="exact"/>
              <w:rPr>
                <w:sz w:val="20"/>
                <w:szCs w:val="20"/>
                <w:color w:val="auto"/>
              </w:rPr>
            </w:pPr>
            <w:r>
              <w:rPr>
                <w:rFonts w:ascii="Arial" w:cs="Arial" w:eastAsia="Arial" w:hAnsi="Arial"/>
                <w:sz w:val="13"/>
                <w:szCs w:val="13"/>
                <w:b w:val="1"/>
                <w:bCs w:val="1"/>
                <w:color w:val="auto"/>
                <w:w w:val="87"/>
              </w:rPr>
              <w:t>Credited</w:t>
            </w:r>
          </w:p>
        </w:tc>
        <w:tc>
          <w:tcPr>
            <w:tcW w:w="16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w w:val="82"/>
              </w:rPr>
              <w:t>December 31,</w:t>
            </w:r>
          </w:p>
        </w:tc>
        <w:tc>
          <w:tcPr>
            <w:tcW w:w="160" w:type="dxa"/>
            <w:vAlign w:val="bottom"/>
          </w:tcPr>
          <w:p>
            <w:pPr>
              <w:spacing w:after="0"/>
              <w:rPr>
                <w:sz w:val="11"/>
                <w:szCs w:val="11"/>
                <w:color w:val="auto"/>
              </w:rPr>
            </w:pPr>
          </w:p>
        </w:tc>
        <w:tc>
          <w:tcPr>
            <w:tcW w:w="78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w w:val="93"/>
              </w:rPr>
              <w:t>Non-Affiliate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60"/>
              <w:spacing w:after="0" w:line="134" w:lineRule="exact"/>
              <w:rPr>
                <w:sz w:val="20"/>
                <w:szCs w:val="20"/>
                <w:color w:val="auto"/>
              </w:rPr>
            </w:pPr>
            <w:r>
              <w:rPr>
                <w:rFonts w:ascii="Arial" w:cs="Arial" w:eastAsia="Arial" w:hAnsi="Arial"/>
                <w:sz w:val="13"/>
                <w:szCs w:val="13"/>
                <w:b w:val="1"/>
                <w:bCs w:val="1"/>
                <w:color w:val="auto"/>
                <w:w w:val="86"/>
              </w:rPr>
              <w:t>Corporate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Gains/</w:t>
            </w:r>
          </w:p>
        </w:tc>
        <w:tc>
          <w:tcPr>
            <w:tcW w:w="160" w:type="dxa"/>
            <w:vAlign w:val="bottom"/>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2"/>
              <w:spacing w:after="0"/>
              <w:rPr>
                <w:sz w:val="20"/>
                <w:szCs w:val="20"/>
                <w:color w:val="auto"/>
              </w:rPr>
            </w:pPr>
            <w:r>
              <w:rPr>
                <w:rFonts w:ascii="Arial" w:cs="Arial" w:eastAsia="Arial" w:hAnsi="Arial"/>
                <w:sz w:val="13"/>
                <w:szCs w:val="13"/>
                <w:b w:val="1"/>
                <w:bCs w:val="1"/>
                <w:color w:val="auto"/>
                <w:w w:val="88"/>
              </w:rPr>
              <w:t>in Income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87"/>
              </w:rPr>
              <w:t>Investment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Action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79"/>
              </w:rPr>
              <w:t>Purchases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5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22"/>
        </w:trPr>
        <w:tc>
          <w:tcPr>
            <w:tcW w:w="1580" w:type="dxa"/>
            <w:vAlign w:val="bottom"/>
          </w:tcPr>
          <w:p>
            <w:pPr>
              <w:ind w:left="540"/>
              <w:spacing w:after="0" w:line="123" w:lineRule="exact"/>
              <w:rPr>
                <w:sz w:val="20"/>
                <w:szCs w:val="20"/>
                <w:color w:val="auto"/>
              </w:rPr>
            </w:pPr>
            <w:r>
              <w:rPr>
                <w:rFonts w:ascii="Arial" w:cs="Arial" w:eastAsia="Arial" w:hAnsi="Arial"/>
                <w:sz w:val="14"/>
                <w:szCs w:val="14"/>
                <w:color w:val="auto"/>
              </w:rPr>
              <w:t>NestGSV, Inc.</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warrants,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Series D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60"/>
              <w:spacing w:after="0" w:line="147" w:lineRule="exact"/>
              <w:rPr>
                <w:sz w:val="20"/>
                <w:szCs w:val="20"/>
                <w:color w:val="auto"/>
              </w:rPr>
            </w:pPr>
            <w:r>
              <w:rPr>
                <w:rFonts w:ascii="Arial" w:cs="Arial" w:eastAsia="Arial" w:hAnsi="Arial"/>
                <w:sz w:val="14"/>
                <w:szCs w:val="14"/>
                <w:color w:val="auto"/>
              </w:rPr>
              <w:t>$1.33 Strike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Expiration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Date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580" w:type="dxa"/>
            <w:vAlign w:val="bottom"/>
          </w:tcPr>
          <w:p>
            <w:pPr>
              <w:ind w:left="720"/>
              <w:spacing w:after="0"/>
              <w:rPr>
                <w:sz w:val="20"/>
                <w:szCs w:val="20"/>
                <w:color w:val="auto"/>
              </w:rPr>
            </w:pPr>
            <w:r>
              <w:rPr>
                <w:rFonts w:ascii="Arial" w:cs="Arial" w:eastAsia="Arial" w:hAnsi="Arial"/>
                <w:sz w:val="14"/>
                <w:szCs w:val="14"/>
                <w:color w:val="auto"/>
              </w:rPr>
              <w:t>10/6/2019</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145,000</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(145,000)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58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warrants,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Series 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60"/>
              <w:spacing w:after="0" w:line="147" w:lineRule="exact"/>
              <w:rPr>
                <w:sz w:val="20"/>
                <w:szCs w:val="20"/>
                <w:color w:val="auto"/>
              </w:rPr>
            </w:pPr>
            <w:r>
              <w:rPr>
                <w:rFonts w:ascii="Arial" w:cs="Arial" w:eastAsia="Arial" w:hAnsi="Arial"/>
                <w:sz w:val="14"/>
                <w:szCs w:val="14"/>
                <w:color w:val="auto"/>
              </w:rPr>
              <w:t>$1.33 Strike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Expiration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580" w:type="dxa"/>
            <w:vAlign w:val="bottom"/>
            <w:shd w:val="clear" w:color="auto" w:fill="CCEEFF"/>
          </w:tcPr>
          <w:p>
            <w:pPr>
              <w:ind w:left="720"/>
              <w:spacing w:after="0"/>
              <w:rPr>
                <w:sz w:val="20"/>
                <w:szCs w:val="20"/>
                <w:color w:val="auto"/>
              </w:rPr>
            </w:pPr>
            <w:r>
              <w:rPr>
                <w:rFonts w:ascii="Arial" w:cs="Arial" w:eastAsia="Arial" w:hAnsi="Arial"/>
                <w:sz w:val="14"/>
                <w:szCs w:val="14"/>
                <w:color w:val="auto"/>
                <w:w w:val="95"/>
              </w:rPr>
              <w:t>Date 4/4/2019</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31,875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(31,875)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580" w:type="dxa"/>
            <w:vAlign w:val="bottom"/>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warrants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Series D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6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$1.33,</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Expiration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580" w:type="dxa"/>
            <w:vAlign w:val="bottom"/>
          </w:tcPr>
          <w:p>
            <w:pPr>
              <w:ind w:left="720"/>
              <w:spacing w:after="0" w:line="147" w:lineRule="exact"/>
              <w:rPr>
                <w:sz w:val="20"/>
                <w:szCs w:val="20"/>
                <w:color w:val="auto"/>
              </w:rPr>
            </w:pPr>
            <w:r>
              <w:rPr>
                <w:rFonts w:ascii="Arial" w:cs="Arial" w:eastAsia="Arial" w:hAnsi="Arial"/>
                <w:sz w:val="14"/>
                <w:szCs w:val="14"/>
                <w:color w:val="auto"/>
              </w:rPr>
              <w:t>Date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580" w:type="dxa"/>
            <w:vAlign w:val="bottom"/>
          </w:tcPr>
          <w:p>
            <w:pPr>
              <w:ind w:left="720"/>
              <w:spacing w:after="0"/>
              <w:rPr>
                <w:sz w:val="20"/>
                <w:szCs w:val="20"/>
                <w:color w:val="auto"/>
              </w:rPr>
            </w:pPr>
            <w:r>
              <w:rPr>
                <w:rFonts w:ascii="Arial" w:cs="Arial" w:eastAsia="Arial" w:hAnsi="Arial"/>
                <w:sz w:val="14"/>
                <w:szCs w:val="14"/>
                <w:color w:val="auto"/>
              </w:rPr>
              <w:t>7/18/2021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2"/>
        </w:trPr>
        <w:tc>
          <w:tcPr>
            <w:tcW w:w="1580" w:type="dxa"/>
            <w:vAlign w:val="bottom"/>
            <w:shd w:val="clear" w:color="auto" w:fill="CCEEFF"/>
          </w:tcPr>
          <w:p>
            <w:pPr>
              <w:ind w:left="380"/>
              <w:spacing w:after="0" w:line="123" w:lineRule="exact"/>
              <w:rPr>
                <w:sz w:val="20"/>
                <w:szCs w:val="20"/>
                <w:color w:val="auto"/>
              </w:rPr>
            </w:pPr>
            <w:r>
              <w:rPr>
                <w:rFonts w:ascii="Arial" w:cs="Arial" w:eastAsia="Arial" w:hAnsi="Arial"/>
                <w:sz w:val="14"/>
                <w:szCs w:val="14"/>
                <w:i w:val="1"/>
                <w:iCs w:val="1"/>
                <w:color w:val="auto"/>
              </w:rPr>
              <w:t>Total Global</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48"/>
        </w:trPr>
        <w:tc>
          <w:tcPr>
            <w:tcW w:w="1580" w:type="dxa"/>
            <w:vAlign w:val="bottom"/>
            <w:shd w:val="clear" w:color="auto" w:fill="CCEEFF"/>
          </w:tcPr>
          <w:p>
            <w:pPr>
              <w:ind w:left="540"/>
              <w:spacing w:after="0" w:line="147" w:lineRule="exact"/>
              <w:rPr>
                <w:sz w:val="20"/>
                <w:szCs w:val="20"/>
                <w:color w:val="auto"/>
              </w:rPr>
            </w:pPr>
            <w:r>
              <w:rPr>
                <w:rFonts w:ascii="Arial" w:cs="Arial" w:eastAsia="Arial" w:hAnsi="Arial"/>
                <w:sz w:val="14"/>
                <w:szCs w:val="14"/>
                <w:i w:val="1"/>
                <w:iCs w:val="1"/>
                <w:color w:val="auto"/>
              </w:rPr>
              <w:t>Innovation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580" w:type="dxa"/>
            <w:vAlign w:val="bottom"/>
            <w:shd w:val="clear" w:color="auto" w:fill="CCEEFF"/>
          </w:tcPr>
          <w:p>
            <w:pPr>
              <w:ind w:left="540"/>
              <w:spacing w:after="0"/>
              <w:rPr>
                <w:sz w:val="20"/>
                <w:szCs w:val="20"/>
                <w:color w:val="auto"/>
              </w:rPr>
            </w:pPr>
            <w:r>
              <w:rPr>
                <w:rFonts w:ascii="Arial" w:cs="Arial" w:eastAsia="Arial" w:hAnsi="Arial"/>
                <w:sz w:val="14"/>
                <w:szCs w:val="14"/>
                <w:i w:val="1"/>
                <w:iCs w:val="1"/>
                <w:color w:val="auto"/>
              </w:rPr>
              <w:t>Platform</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176,875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74,380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29,275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(203,405)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77,125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0.03%</w:t>
            </w:r>
          </w:p>
        </w:tc>
      </w:tr>
      <w:tr>
        <w:trPr>
          <w:trHeight w:val="148"/>
        </w:trPr>
        <w:tc>
          <w:tcPr>
            <w:tcW w:w="158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Total Warrants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7"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176,875</w:t>
            </w:r>
          </w:p>
        </w:tc>
        <w:tc>
          <w:tcPr>
            <w:tcW w:w="240" w:type="dxa"/>
            <w:vAlign w:val="bottom"/>
            <w:gridSpan w:val="2"/>
          </w:tcPr>
          <w:p>
            <w:pPr>
              <w:ind w:left="160"/>
              <w:spacing w:after="0" w:line="147"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74,380</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29,275</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7" w:lineRule="exact"/>
              <w:rPr>
                <w:sz w:val="20"/>
                <w:szCs w:val="20"/>
                <w:color w:val="auto"/>
              </w:rPr>
            </w:pPr>
            <w:r>
              <w:rPr>
                <w:rFonts w:ascii="Arial" w:cs="Arial" w:eastAsia="Arial" w:hAnsi="Arial"/>
                <w:sz w:val="14"/>
                <w:szCs w:val="14"/>
                <w:color w:val="auto"/>
                <w:w w:val="76"/>
              </w:rPr>
              <w:t>$</w:t>
            </w:r>
          </w:p>
        </w:tc>
        <w:tc>
          <w:tcPr>
            <w:tcW w:w="42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7" w:lineRule="exact"/>
              <w:rPr>
                <w:sz w:val="20"/>
                <w:szCs w:val="20"/>
                <w:color w:val="auto"/>
              </w:rPr>
            </w:pPr>
            <w:r>
              <w:rPr>
                <w:rFonts w:ascii="Arial" w:cs="Arial" w:eastAsia="Arial" w:hAnsi="Arial"/>
                <w:sz w:val="14"/>
                <w:szCs w:val="14"/>
                <w:color w:val="auto"/>
              </w:rPr>
              <w:t>(203,405)</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77,125</w:t>
            </w:r>
          </w:p>
        </w:tc>
        <w:tc>
          <w:tcPr>
            <w:tcW w:w="7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0.03%</w:t>
            </w:r>
          </w:p>
        </w:tc>
      </w:tr>
      <w:tr>
        <w:trPr>
          <w:trHeight w:val="148"/>
        </w:trPr>
        <w:tc>
          <w:tcPr>
            <w:tcW w:w="158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Common Stock</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29"/>
        </w:trPr>
        <w:tc>
          <w:tcPr>
            <w:tcW w:w="1580" w:type="dxa"/>
            <w:vAlign w:val="bottom"/>
          </w:tcPr>
          <w:p>
            <w:pPr>
              <w:ind w:left="200"/>
              <w:spacing w:after="0" w:line="129" w:lineRule="exact"/>
              <w:rPr>
                <w:sz w:val="20"/>
                <w:szCs w:val="20"/>
                <w:color w:val="auto"/>
              </w:rPr>
            </w:pPr>
            <w:r>
              <w:rPr>
                <w:rFonts w:ascii="Arial" w:cs="Arial" w:eastAsia="Arial" w:hAnsi="Arial"/>
                <w:sz w:val="14"/>
                <w:szCs w:val="14"/>
                <w:i w:val="1"/>
                <w:iCs w:val="1"/>
                <w:color w:val="auto"/>
              </w:rPr>
              <w:t>Global Innovation</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6"/>
        </w:trPr>
        <w:tc>
          <w:tcPr>
            <w:tcW w:w="1580" w:type="dxa"/>
            <w:vAlign w:val="bottom"/>
          </w:tcPr>
          <w:p>
            <w:pPr>
              <w:ind w:left="380"/>
              <w:spacing w:after="0"/>
              <w:rPr>
                <w:sz w:val="20"/>
                <w:szCs w:val="20"/>
                <w:color w:val="auto"/>
              </w:rPr>
            </w:pPr>
            <w:r>
              <w:rPr>
                <w:rFonts w:ascii="Arial" w:cs="Arial" w:eastAsia="Arial" w:hAnsi="Arial"/>
                <w:sz w:val="14"/>
                <w:szCs w:val="14"/>
                <w:i w:val="1"/>
                <w:iCs w:val="1"/>
                <w:color w:val="auto"/>
              </w:rPr>
              <w:t>Platform</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29"/>
        </w:trPr>
        <w:tc>
          <w:tcPr>
            <w:tcW w:w="158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NestGSV,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GSV</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Labs, 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Common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shares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48"/>
        </w:trPr>
        <w:tc>
          <w:tcPr>
            <w:tcW w:w="158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Clean Technology</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158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SPBRX, INC.</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(f/k/a GSV</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Sustainability</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Partners,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58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Common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5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shares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48"/>
        </w:trPr>
        <w:tc>
          <w:tcPr>
            <w:tcW w:w="158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Total Common Stock</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7"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7"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line="147" w:lineRule="exact"/>
              <w:rPr>
                <w:sz w:val="20"/>
                <w:szCs w:val="20"/>
                <w:color w:val="auto"/>
              </w:rPr>
            </w:pPr>
            <w:r>
              <w:rPr>
                <w:rFonts w:ascii="Arial" w:cs="Arial" w:eastAsia="Arial" w:hAnsi="Arial"/>
                <w:sz w:val="14"/>
                <w:szCs w:val="14"/>
                <w:color w:val="auto"/>
                <w:w w:val="76"/>
              </w:rPr>
              <w:t>$</w:t>
            </w:r>
          </w:p>
        </w:tc>
        <w:tc>
          <w:tcPr>
            <w:tcW w:w="420" w:type="dxa"/>
            <w:vAlign w:val="bottom"/>
            <w:gridSpan w:val="2"/>
          </w:tcPr>
          <w:p>
            <w:pPr>
              <w:ind w:left="1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0.00%</w:t>
            </w:r>
          </w:p>
        </w:tc>
      </w:tr>
      <w:tr>
        <w:trPr>
          <w:trHeight w:val="130"/>
        </w:trPr>
        <w:tc>
          <w:tcPr>
            <w:tcW w:w="15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b w:val="1"/>
                <w:bCs w:val="1"/>
                <w:color w:val="auto"/>
              </w:rPr>
              <w:t>TOTAL CONTROLLED</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219"/>
        </w:trPr>
        <w:tc>
          <w:tcPr>
            <w:tcW w:w="1580" w:type="dxa"/>
            <w:vAlign w:val="bottom"/>
            <w:shd w:val="clear" w:color="auto" w:fill="CCEEFF"/>
          </w:tcPr>
          <w:p>
            <w:pPr>
              <w:ind w:left="200"/>
              <w:spacing w:after="0" w:line="199"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23"/>
                <w:szCs w:val="23"/>
                <w:b w:val="1"/>
                <w:bCs w:val="1"/>
                <w:color w:val="auto"/>
                <w:vertAlign w:val="superscript"/>
              </w:rPr>
              <w:t>(2)</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101,999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u w:val="single" w:color="auto"/>
                <w:color w:val="auto"/>
                <w:w w:val="76"/>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22,871,790</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1,563,049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3"/>
              </w:rPr>
              <w:t>(500,000)</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w w:val="76"/>
              </w:rPr>
              <w:t>$</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2"/>
              </w:rPr>
              <w:t>(4,897,273)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u w:val="single" w:color="auto"/>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19,037,566</w:t>
            </w:r>
          </w:p>
        </w:tc>
        <w:tc>
          <w:tcPr>
            <w:tcW w:w="78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9.90%</w:t>
            </w:r>
          </w:p>
        </w:tc>
      </w:tr>
      <w:tr>
        <w:trPr>
          <w:trHeight w:val="20"/>
        </w:trPr>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26275"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47" w:name="page48"/>
    <w:bookmarkEnd w:id="4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NOTE 3 — INVESTMENTS AT FAIR VALUE – (continued) 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1738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17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173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173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60"/>
              <w:spacing w:after="0" w:line="121" w:lineRule="exact"/>
              <w:rPr>
                <w:sz w:val="20"/>
                <w:szCs w:val="20"/>
                <w:color w:val="auto"/>
              </w:rPr>
            </w:pPr>
            <w:r>
              <w:rPr>
                <w:rFonts w:ascii="Arial" w:cs="Arial" w:eastAsia="Arial" w:hAnsi="Arial"/>
                <w:sz w:val="13"/>
                <w:szCs w:val="13"/>
                <w:b w:val="1"/>
                <w:bCs w:val="1"/>
                <w:color w:val="auto"/>
                <w:w w:val="88"/>
              </w:rPr>
              <w:t>Transfer</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Interest,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1"/>
              </w:rPr>
              <w:t>from Control</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4"/>
              </w:rPr>
              <w:t>Fees, or</w:t>
            </w:r>
          </w:p>
        </w:tc>
        <w:tc>
          <w:tcPr>
            <w:tcW w:w="120" w:type="dxa"/>
            <w:vAlign w:val="bottom"/>
          </w:tcPr>
          <w:p>
            <w:pPr>
              <w:spacing w:after="0"/>
              <w:rPr>
                <w:sz w:val="11"/>
                <w:szCs w:val="11"/>
                <w:color w:val="auto"/>
              </w:rPr>
            </w:pPr>
          </w:p>
        </w:tc>
        <w:tc>
          <w:tcPr>
            <w:tcW w:w="820" w:type="dxa"/>
            <w:vAlign w:val="bottom"/>
            <w:gridSpan w:val="3"/>
          </w:tcPr>
          <w:p>
            <w:pPr>
              <w:jc w:val="center"/>
              <w:ind w:right="120"/>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8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5"/>
              </w:rPr>
              <w:t>Investment to</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0"/>
              </w:rPr>
              <w:t>Fair Value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Dividends</w:t>
            </w:r>
          </w:p>
        </w:tc>
        <w:tc>
          <w:tcPr>
            <w:tcW w:w="120" w:type="dxa"/>
            <w:vAlign w:val="bottom"/>
          </w:tcPr>
          <w:p>
            <w:pPr>
              <w:spacing w:after="0"/>
              <w:rPr>
                <w:sz w:val="11"/>
                <w:szCs w:val="11"/>
                <w:color w:val="auto"/>
              </w:rPr>
            </w:pPr>
          </w:p>
        </w:tc>
        <w:tc>
          <w:tcPr>
            <w:tcW w:w="820" w:type="dxa"/>
            <w:vAlign w:val="bottom"/>
            <w:gridSpan w:val="3"/>
          </w:tcPr>
          <w:p>
            <w:pPr>
              <w:jc w:val="center"/>
              <w:ind w:right="120"/>
              <w:spacing w:after="0" w:line="134" w:lineRule="exact"/>
              <w:rPr>
                <w:sz w:val="20"/>
                <w:szCs w:val="20"/>
                <w:color w:val="auto"/>
              </w:rPr>
            </w:pPr>
            <w:r>
              <w:rPr>
                <w:rFonts w:ascii="Arial" w:cs="Arial" w:eastAsia="Arial" w:hAnsi="Arial"/>
                <w:sz w:val="13"/>
                <w:szCs w:val="13"/>
                <w:b w:val="1"/>
                <w:bCs w:val="1"/>
                <w:color w:val="auto"/>
                <w:w w:val="85"/>
              </w:rPr>
              <w:t>December</w:t>
            </w:r>
          </w:p>
        </w:tc>
        <w:tc>
          <w:tcPr>
            <w:tcW w:w="8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0"/>
              </w:rPr>
              <w:t>Non-Control/</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Realized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40" w:type="dxa"/>
            <w:vAlign w:val="bottom"/>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6"/>
              </w:rPr>
              <w:t>at</w:t>
            </w: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2040" w:type="dxa"/>
            <w:vAlign w:val="bottom"/>
            <w:gridSpan w:val="6"/>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00" w:type="dxa"/>
            <w:vAlign w:val="bottom"/>
          </w:tcPr>
          <w:p>
            <w:pPr>
              <w:spacing w:after="0"/>
              <w:rPr>
                <w:sz w:val="11"/>
                <w:szCs w:val="11"/>
                <w:color w:val="auto"/>
              </w:rPr>
            </w:pPr>
          </w:p>
        </w:tc>
        <w:tc>
          <w:tcPr>
            <w:tcW w:w="700" w:type="dxa"/>
            <w:vAlign w:val="bottom"/>
          </w:tcPr>
          <w:p>
            <w:pPr>
              <w:jc w:val="right"/>
              <w:ind w:right="13"/>
              <w:spacing w:after="0" w:line="134" w:lineRule="exact"/>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7"/>
              </w:rPr>
              <w:t>Credited</w:t>
            </w:r>
          </w:p>
        </w:tc>
        <w:tc>
          <w:tcPr>
            <w:tcW w:w="780" w:type="dxa"/>
            <w:vAlign w:val="bottom"/>
            <w:gridSpan w:val="2"/>
          </w:tcPr>
          <w:p>
            <w:pPr>
              <w:jc w:val="right"/>
              <w:ind w:right="173"/>
              <w:spacing w:after="0" w:line="134" w:lineRule="exact"/>
              <w:rPr>
                <w:sz w:val="20"/>
                <w:szCs w:val="20"/>
                <w:color w:val="auto"/>
              </w:rPr>
            </w:pPr>
            <w:r>
              <w:rPr>
                <w:rFonts w:ascii="Arial" w:cs="Arial" w:eastAsia="Arial" w:hAnsi="Arial"/>
                <w:sz w:val="13"/>
                <w:szCs w:val="13"/>
                <w:b w:val="1"/>
                <w:bCs w:val="1"/>
                <w:color w:val="auto"/>
              </w:rPr>
              <w:t>31,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0"/>
              </w:rPr>
              <w:t>Non-Affiliate</w:t>
            </w:r>
          </w:p>
        </w:tc>
        <w:tc>
          <w:tcPr>
            <w:tcW w:w="20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99"/>
              </w:rPr>
              <w:t>Corporate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5"/>
              </w:rPr>
              <w:t>Gains/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5"/>
              </w:rPr>
              <w:t>Gains/</w:t>
            </w:r>
          </w:p>
        </w:tc>
        <w:tc>
          <w:tcPr>
            <w:tcW w:w="140" w:type="dxa"/>
            <w:vAlign w:val="bottom"/>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5"/>
              </w:rPr>
              <w:t>December 31,</w:t>
            </w:r>
          </w:p>
        </w:tc>
        <w:tc>
          <w:tcPr>
            <w:tcW w:w="14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2040" w:type="dxa"/>
            <w:vAlign w:val="bottom"/>
            <w:gridSpan w:val="6"/>
          </w:tcPr>
          <w:p>
            <w:pPr>
              <w:ind w:left="20"/>
              <w:spacing w:after="0"/>
              <w:rPr>
                <w:sz w:val="20"/>
                <w:szCs w:val="20"/>
                <w:color w:val="auto"/>
              </w:rPr>
            </w:pPr>
            <w:r>
              <w:rPr>
                <w:rFonts w:ascii="Arial" w:cs="Arial" w:eastAsia="Arial" w:hAnsi="Arial"/>
                <w:sz w:val="13"/>
                <w:szCs w:val="13"/>
                <w:b w:val="1"/>
                <w:bCs w:val="1"/>
                <w:color w:val="auto"/>
              </w:rPr>
              <w:t>Company/Investment</w:t>
            </w:r>
          </w:p>
        </w:tc>
        <w:tc>
          <w:tcPr>
            <w:tcW w:w="100" w:type="dxa"/>
            <w:vAlign w:val="bottom"/>
          </w:tcPr>
          <w:p>
            <w:pPr>
              <w:spacing w:after="0"/>
              <w:rPr>
                <w:sz w:val="13"/>
                <w:szCs w:val="13"/>
                <w:color w:val="auto"/>
              </w:rPr>
            </w:pPr>
          </w:p>
        </w:tc>
        <w:tc>
          <w:tcPr>
            <w:tcW w:w="700" w:type="dxa"/>
            <w:vAlign w:val="bottom"/>
          </w:tcPr>
          <w:p>
            <w:pPr>
              <w:jc w:val="right"/>
              <w:ind w:right="33"/>
              <w:spacing w:after="0"/>
              <w:rPr>
                <w:sz w:val="20"/>
                <w:szCs w:val="20"/>
                <w:color w:val="auto"/>
              </w:rPr>
            </w:pPr>
            <w:r>
              <w:rPr>
                <w:rFonts w:ascii="Arial" w:cs="Arial" w:eastAsia="Arial" w:hAnsi="Arial"/>
                <w:sz w:val="13"/>
                <w:szCs w:val="13"/>
                <w:b w:val="1"/>
                <w:bCs w:val="1"/>
                <w:color w:val="auto"/>
              </w:rPr>
              <w:t>Quantity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in Income</w:t>
            </w:r>
          </w:p>
        </w:tc>
        <w:tc>
          <w:tcPr>
            <w:tcW w:w="78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2015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Investment</w:t>
            </w:r>
          </w:p>
        </w:tc>
        <w:tc>
          <w:tcPr>
            <w:tcW w:w="200" w:type="dxa"/>
            <w:vAlign w:val="bottom"/>
          </w:tcPr>
          <w:p>
            <w:pPr>
              <w:spacing w:after="0"/>
              <w:rPr>
                <w:sz w:val="13"/>
                <w:szCs w:val="13"/>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b w:val="1"/>
                <w:bCs w:val="1"/>
                <w:color w:val="auto"/>
              </w:rPr>
              <w:t>Action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79"/>
              </w:rPr>
              <w:t>Purchases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Arial" w:cs="Arial" w:eastAsia="Arial" w:hAnsi="Arial"/>
                <w:sz w:val="13"/>
                <w:szCs w:val="13"/>
                <w:b w:val="1"/>
                <w:bCs w:val="1"/>
                <w:color w:val="auto"/>
              </w:rPr>
              <w:t>Sales</w:t>
            </w:r>
          </w:p>
        </w:tc>
        <w:tc>
          <w:tcPr>
            <w:tcW w:w="140" w:type="dxa"/>
            <w:vAlign w:val="bottom"/>
          </w:tcPr>
          <w:p>
            <w:pPr>
              <w:spacing w:after="0"/>
              <w:rPr>
                <w:sz w:val="13"/>
                <w:szCs w:val="13"/>
                <w:color w:val="auto"/>
              </w:rPr>
            </w:pPr>
          </w:p>
        </w:tc>
        <w:tc>
          <w:tcPr>
            <w:tcW w:w="500" w:type="dxa"/>
            <w:vAlign w:val="bottom"/>
            <w:gridSpan w:val="3"/>
          </w:tcPr>
          <w:p>
            <w:pPr>
              <w:jc w:val="center"/>
              <w:spacing w:after="0"/>
              <w:rPr>
                <w:sz w:val="20"/>
                <w:szCs w:val="20"/>
                <w:color w:val="auto"/>
              </w:rPr>
            </w:pPr>
            <w:r>
              <w:rPr>
                <w:rFonts w:ascii="Arial" w:cs="Arial" w:eastAsia="Arial" w:hAnsi="Arial"/>
                <w:sz w:val="13"/>
                <w:szCs w:val="13"/>
                <w:b w:val="1"/>
                <w:bCs w:val="1"/>
                <w:color w:val="auto"/>
                <w:w w:val="78"/>
              </w:rPr>
              <w:t>(Losses)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(Losses)</w:t>
            </w:r>
          </w:p>
        </w:tc>
        <w:tc>
          <w:tcPr>
            <w:tcW w:w="860" w:type="dxa"/>
            <w:vAlign w:val="bottom"/>
            <w:gridSpan w:val="2"/>
          </w:tcPr>
          <w:p>
            <w:pPr>
              <w:jc w:val="center"/>
              <w:ind w:left="150"/>
              <w:spacing w:after="0"/>
              <w:rPr>
                <w:sz w:val="20"/>
                <w:szCs w:val="20"/>
                <w:color w:val="auto"/>
              </w:rPr>
            </w:pPr>
            <w:r>
              <w:rPr>
                <w:rFonts w:ascii="Arial" w:cs="Arial" w:eastAsia="Arial" w:hAnsi="Arial"/>
                <w:sz w:val="13"/>
                <w:szCs w:val="13"/>
                <w:b w:val="1"/>
                <w:bCs w:val="1"/>
                <w:color w:val="auto"/>
                <w:w w:val="82"/>
              </w:rPr>
              <w:t>2016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28"/>
        </w:trPr>
        <w:tc>
          <w:tcPr>
            <w:tcW w:w="2040" w:type="dxa"/>
            <w:vAlign w:val="bottom"/>
            <w:tcBorders>
              <w:top w:val="single" w:sz="8" w:color="auto"/>
            </w:tcBorders>
            <w:gridSpan w:val="6"/>
          </w:tcPr>
          <w:p>
            <w:pPr>
              <w:ind w:left="20"/>
              <w:spacing w:after="0" w:line="128"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r>
        <w:trPr>
          <w:trHeight w:val="128"/>
        </w:trPr>
        <w:tc>
          <w:tcPr>
            <w:tcW w:w="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60" w:type="dxa"/>
            <w:vAlign w:val="bottom"/>
            <w:gridSpan w:val="3"/>
          </w:tcPr>
          <w:p>
            <w:pPr>
              <w:spacing w:after="0" w:line="128" w:lineRule="exact"/>
              <w:rPr>
                <w:sz w:val="20"/>
                <w:szCs w:val="20"/>
                <w:color w:val="auto"/>
              </w:rPr>
            </w:pPr>
            <w:r>
              <w:rPr>
                <w:rFonts w:ascii="Arial" w:cs="Arial" w:eastAsia="Arial" w:hAnsi="Arial"/>
                <w:sz w:val="14"/>
                <w:szCs w:val="14"/>
                <w:b w:val="1"/>
                <w:bCs w:val="1"/>
                <w:color w:val="auto"/>
                <w:w w:val="94"/>
              </w:rPr>
              <w:t>CONTROLLED/AFFILIATE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tcBorders>
              <w:top w:val="single" w:sz="8" w:color="auto"/>
            </w:tcBorders>
            <w:gridSpan w:val="3"/>
          </w:tcPr>
          <w:p>
            <w:pPr>
              <w:spacing w:after="0" w:line="168" w:lineRule="exact"/>
              <w:rPr>
                <w:sz w:val="20"/>
                <w:szCs w:val="20"/>
                <w:color w:val="auto"/>
              </w:rPr>
            </w:pPr>
            <w:r>
              <w:rPr>
                <w:rFonts w:ascii="Arial" w:cs="Arial" w:eastAsia="Arial" w:hAnsi="Arial"/>
                <w:sz w:val="12"/>
                <w:szCs w:val="12"/>
                <w:b w:val="1"/>
                <w:bCs w:val="1"/>
                <w:color w:val="auto"/>
              </w:rPr>
              <w:t>INVESTMENTS*</w:t>
            </w:r>
            <w:r>
              <w:rPr>
                <w:rFonts w:ascii="Arial" w:cs="Arial" w:eastAsia="Arial" w:hAnsi="Arial"/>
                <w:sz w:val="19"/>
                <w:szCs w:val="19"/>
                <w:b w:val="1"/>
                <w:bCs w:val="1"/>
                <w:color w:val="auto"/>
                <w:vertAlign w:val="superscript"/>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1"/>
        </w:trPr>
        <w:tc>
          <w:tcPr>
            <w:tcW w:w="2040" w:type="dxa"/>
            <w:vAlign w:val="bottom"/>
            <w:gridSpan w:val="6"/>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rPr>
              <w:t>Debt Investments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tcPr>
          <w:p>
            <w:pPr>
              <w:spacing w:after="0" w:line="147" w:lineRule="exact"/>
              <w:rPr>
                <w:sz w:val="20"/>
                <w:szCs w:val="20"/>
                <w:color w:val="auto"/>
              </w:rPr>
            </w:pPr>
            <w:r>
              <w:rPr>
                <w:rFonts w:ascii="Arial" w:cs="Arial" w:eastAsia="Arial" w:hAnsi="Arial"/>
                <w:sz w:val="14"/>
                <w:szCs w:val="14"/>
                <w:i w:val="1"/>
                <w:iCs w:val="1"/>
                <w:color w:val="auto"/>
              </w:rPr>
              <w:t>Corporate Education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gridSpan w:val="3"/>
            <w:shd w:val="clear" w:color="auto" w:fill="CCEEFF"/>
          </w:tcPr>
          <w:p>
            <w:pPr>
              <w:ind w:left="160"/>
              <w:spacing w:after="0" w:line="129" w:lineRule="exact"/>
              <w:rPr>
                <w:sz w:val="20"/>
                <w:szCs w:val="20"/>
                <w:color w:val="auto"/>
              </w:rPr>
            </w:pPr>
            <w:r>
              <w:rPr>
                <w:rFonts w:ascii="Arial" w:cs="Arial" w:eastAsia="Arial" w:hAnsi="Arial"/>
                <w:sz w:val="14"/>
                <w:szCs w:val="14"/>
                <w:color w:val="auto"/>
              </w:rPr>
              <w:t>CUX, Inc. (d/b/a</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CorpU) – Senior</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Subordinated</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Convertible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7"/>
        </w:trPr>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ind w:left="340"/>
              <w:spacing w:after="0" w:line="157" w:lineRule="exact"/>
              <w:rPr>
                <w:sz w:val="20"/>
                <w:szCs w:val="20"/>
                <w:color w:val="auto"/>
              </w:rPr>
            </w:pPr>
            <w:r>
              <w:rPr>
                <w:rFonts w:ascii="Arial" w:cs="Arial" w:eastAsia="Arial" w:hAnsi="Arial"/>
                <w:sz w:val="14"/>
                <w:szCs w:val="14"/>
                <w:color w:val="auto"/>
              </w:rPr>
              <w:t>Promissory Note 8%</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97"/>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ind w:left="340"/>
              <w:spacing w:after="0" w:line="197" w:lineRule="exact"/>
              <w:rPr>
                <w:sz w:val="20"/>
                <w:szCs w:val="20"/>
                <w:color w:val="auto"/>
              </w:rPr>
            </w:pPr>
            <w:r>
              <w:rPr>
                <w:rFonts w:ascii="Arial" w:cs="Arial" w:eastAsia="Arial" w:hAnsi="Arial"/>
                <w:sz w:val="14"/>
                <w:szCs w:val="14"/>
                <w:color w:val="auto"/>
                <w:w w:val="97"/>
              </w:rPr>
              <w:t>Due 11/26/2018***</w:t>
            </w:r>
            <w:r>
              <w:rPr>
                <w:rFonts w:ascii="Arial" w:cs="Arial" w:eastAsia="Arial" w:hAnsi="Arial"/>
                <w:sz w:val="22"/>
                <w:szCs w:val="22"/>
                <w:color w:val="auto"/>
                <w:w w:val="97"/>
                <w:vertAlign w:val="superscript"/>
              </w:rPr>
              <w:t>(5)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1,166,400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87,318</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$1,080,000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86,400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$ 1,166,400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0.61%</w:t>
            </w: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tcPr>
          <w:p>
            <w:pPr>
              <w:spacing w:after="0" w:line="147" w:lineRule="exact"/>
              <w:rPr>
                <w:sz w:val="20"/>
                <w:szCs w:val="20"/>
                <w:color w:val="auto"/>
              </w:rPr>
            </w:pPr>
            <w:r>
              <w:rPr>
                <w:rFonts w:ascii="Arial" w:cs="Arial" w:eastAsia="Arial" w:hAnsi="Arial"/>
                <w:sz w:val="14"/>
                <w:szCs w:val="14"/>
                <w:i w:val="1"/>
                <w:iCs w:val="1"/>
                <w:color w:val="auto"/>
              </w:rPr>
              <w:t>Digital Media Platform</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gridSpan w:val="3"/>
            <w:shd w:val="clear" w:color="auto" w:fill="CCEEFF"/>
          </w:tcPr>
          <w:p>
            <w:pPr>
              <w:ind w:left="160"/>
              <w:spacing w:after="0" w:line="129" w:lineRule="exact"/>
              <w:rPr>
                <w:sz w:val="20"/>
                <w:szCs w:val="20"/>
                <w:color w:val="auto"/>
              </w:rPr>
            </w:pPr>
            <w:r>
              <w:rPr>
                <w:rFonts w:ascii="Arial" w:cs="Arial" w:eastAsia="Arial" w:hAnsi="Arial"/>
                <w:sz w:val="14"/>
                <w:szCs w:val="14"/>
                <w:color w:val="auto"/>
              </w:rPr>
              <w:t>Ozy Media, Inc. –</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Convertible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w w:val="98"/>
              </w:rPr>
              <w:t>Promissory Note 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Due 02/28/2018***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33,700</w:t>
            </w:r>
          </w:p>
        </w:tc>
        <w:tc>
          <w:tcPr>
            <w:tcW w:w="12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9"/>
              </w:rPr>
              <w:t>2,000,000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tcPr>
          <w:p>
            <w:pPr>
              <w:spacing w:after="0" w:line="147" w:lineRule="exact"/>
              <w:rPr>
                <w:sz w:val="20"/>
                <w:szCs w:val="20"/>
                <w:color w:val="auto"/>
              </w:rPr>
            </w:pPr>
            <w:r>
              <w:rPr>
                <w:rFonts w:ascii="Arial" w:cs="Arial" w:eastAsia="Arial" w:hAnsi="Arial"/>
                <w:sz w:val="14"/>
                <w:szCs w:val="14"/>
                <w:i w:val="1"/>
                <w:iCs w:val="1"/>
                <w:color w:val="auto"/>
              </w:rPr>
              <w:t>Social Cognitive Learning</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gridSpan w:val="3"/>
            <w:shd w:val="clear" w:color="auto" w:fill="CCEEFF"/>
          </w:tcPr>
          <w:p>
            <w:pPr>
              <w:ind w:left="160"/>
              <w:spacing w:after="0" w:line="129" w:lineRule="exact"/>
              <w:rPr>
                <w:sz w:val="20"/>
                <w:szCs w:val="20"/>
                <w:color w:val="auto"/>
              </w:rPr>
            </w:pPr>
            <w:r>
              <w:rPr>
                <w:rFonts w:ascii="Arial" w:cs="Arial" w:eastAsia="Arial" w:hAnsi="Arial"/>
                <w:sz w:val="14"/>
                <w:szCs w:val="14"/>
                <w:color w:val="auto"/>
              </w:rPr>
              <w:t>Declara, Inc. –</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Convertible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Promissory Note 9%</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Due 6/30/2017***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2,120,658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120,523</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120,658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706,362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2,827,020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tcPr>
          <w:p>
            <w:pPr>
              <w:spacing w:after="0" w:line="147" w:lineRule="exact"/>
              <w:rPr>
                <w:sz w:val="20"/>
                <w:szCs w:val="20"/>
                <w:color w:val="auto"/>
              </w:rPr>
            </w:pPr>
            <w:r>
              <w:rPr>
                <w:rFonts w:ascii="Arial" w:cs="Arial" w:eastAsia="Arial" w:hAnsi="Arial"/>
                <w:sz w:val="14"/>
                <w:szCs w:val="14"/>
                <w:i w:val="1"/>
                <w:iCs w:val="1"/>
                <w:color w:val="auto"/>
              </w:rPr>
              <w:t>Sports Analytics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gridSpan w:val="3"/>
            <w:shd w:val="clear" w:color="auto" w:fill="CCEEFF"/>
          </w:tcPr>
          <w:p>
            <w:pPr>
              <w:ind w:left="160"/>
              <w:spacing w:after="0" w:line="129" w:lineRule="exact"/>
              <w:rPr>
                <w:sz w:val="20"/>
                <w:szCs w:val="20"/>
                <w:color w:val="auto"/>
              </w:rPr>
            </w:pPr>
            <w:r>
              <w:rPr>
                <w:rFonts w:ascii="Arial" w:cs="Arial" w:eastAsia="Arial" w:hAnsi="Arial"/>
                <w:sz w:val="14"/>
                <w:szCs w:val="14"/>
                <w:color w:val="auto"/>
              </w:rPr>
              <w:t>Circle Media (f/k/a S3</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Digital Corp. (d/b/a</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S3i)) – Promissory</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Note, 12%,</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2020" w:type="dxa"/>
            <w:vAlign w:val="bottom"/>
            <w:gridSpan w:val="5"/>
            <w:shd w:val="clear" w:color="auto" w:fill="CCEEFF"/>
          </w:tcPr>
          <w:p>
            <w:pPr>
              <w:ind w:left="720"/>
              <w:spacing w:after="0"/>
              <w:rPr>
                <w:sz w:val="20"/>
                <w:szCs w:val="20"/>
                <w:color w:val="auto"/>
              </w:rPr>
            </w:pPr>
            <w:r>
              <w:rPr>
                <w:rFonts w:ascii="Arial" w:cs="Arial" w:eastAsia="Arial" w:hAnsi="Arial"/>
                <w:sz w:val="14"/>
                <w:szCs w:val="14"/>
                <w:color w:val="auto"/>
              </w:rPr>
              <w:t>11/17/2017***</w:t>
            </w:r>
          </w:p>
        </w:tc>
        <w:tc>
          <w:tcPr>
            <w:tcW w:w="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3,304</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808</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26,544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tcPr>
          <w:p>
            <w:pPr>
              <w:spacing w:after="0" w:line="147" w:lineRule="exact"/>
              <w:rPr>
                <w:sz w:val="20"/>
                <w:szCs w:val="20"/>
                <w:color w:val="auto"/>
              </w:rPr>
            </w:pPr>
            <w:r>
              <w:rPr>
                <w:rFonts w:ascii="Arial" w:cs="Arial" w:eastAsia="Arial" w:hAnsi="Arial"/>
                <w:sz w:val="14"/>
                <w:szCs w:val="14"/>
                <w:i w:val="1"/>
                <w:iCs w:val="1"/>
                <w:color w:val="auto"/>
              </w:rPr>
              <w:t>Business Education</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gridSpan w:val="3"/>
            <w:shd w:val="clear" w:color="auto" w:fill="CCEEFF"/>
          </w:tcPr>
          <w:p>
            <w:pPr>
              <w:ind w:left="160"/>
              <w:spacing w:after="0" w:line="129" w:lineRule="exact"/>
              <w:rPr>
                <w:sz w:val="20"/>
                <w:szCs w:val="20"/>
                <w:color w:val="auto"/>
              </w:rPr>
            </w:pPr>
            <w:r>
              <w:rPr>
                <w:rFonts w:ascii="Arial" w:cs="Arial" w:eastAsia="Arial" w:hAnsi="Arial"/>
                <w:sz w:val="14"/>
                <w:szCs w:val="14"/>
                <w:color w:val="auto"/>
              </w:rPr>
              <w:t>Fullbridge, Inc. –</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340"/>
              <w:spacing w:after="0" w:line="147" w:lineRule="exact"/>
              <w:rPr>
                <w:sz w:val="20"/>
                <w:szCs w:val="20"/>
                <w:color w:val="auto"/>
              </w:rPr>
            </w:pPr>
            <w:r>
              <w:rPr>
                <w:rFonts w:ascii="Arial" w:cs="Arial" w:eastAsia="Arial" w:hAnsi="Arial"/>
                <w:sz w:val="14"/>
                <w:szCs w:val="14"/>
                <w:color w:val="auto"/>
              </w:rPr>
              <w:t>Convertible</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7"/>
        </w:trPr>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ind w:left="340"/>
              <w:spacing w:after="0" w:line="157" w:lineRule="exact"/>
              <w:rPr>
                <w:sz w:val="20"/>
                <w:szCs w:val="20"/>
                <w:color w:val="auto"/>
              </w:rPr>
            </w:pPr>
            <w:r>
              <w:rPr>
                <w:rFonts w:ascii="Arial" w:cs="Arial" w:eastAsia="Arial" w:hAnsi="Arial"/>
                <w:sz w:val="14"/>
                <w:szCs w:val="14"/>
                <w:color w:val="auto"/>
              </w:rPr>
              <w:t>Promissory Note,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97"/>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ind w:left="340"/>
              <w:spacing w:after="0" w:line="197" w:lineRule="exact"/>
              <w:rPr>
                <w:sz w:val="20"/>
                <w:szCs w:val="20"/>
                <w:color w:val="auto"/>
              </w:rPr>
            </w:pPr>
            <w:r>
              <w:rPr>
                <w:rFonts w:ascii="Arial" w:cs="Arial" w:eastAsia="Arial" w:hAnsi="Arial"/>
                <w:sz w:val="14"/>
                <w:szCs w:val="14"/>
                <w:color w:val="auto"/>
                <w:w w:val="97"/>
              </w:rPr>
              <w:t>10% Due 3/2/2016</w:t>
            </w:r>
            <w:r>
              <w:rPr>
                <w:rFonts w:ascii="Arial" w:cs="Arial" w:eastAsia="Arial" w:hAnsi="Arial"/>
                <w:sz w:val="22"/>
                <w:szCs w:val="22"/>
                <w:color w:val="auto"/>
                <w:w w:val="97"/>
                <w:vertAlign w:val="superscript"/>
              </w:rPr>
              <w:t>(8)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(85,829)</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1,020,859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(354,075)</w:t>
            </w:r>
          </w:p>
        </w:tc>
        <w:tc>
          <w:tcPr>
            <w:tcW w:w="20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(667,184)</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3"/>
          </w:tcPr>
          <w:p>
            <w:pPr>
              <w:ind w:left="160"/>
              <w:spacing w:after="0" w:line="129" w:lineRule="exact"/>
              <w:rPr>
                <w:sz w:val="20"/>
                <w:szCs w:val="20"/>
                <w:color w:val="auto"/>
              </w:rPr>
            </w:pPr>
            <w:r>
              <w:rPr>
                <w:rFonts w:ascii="Arial" w:cs="Arial" w:eastAsia="Arial" w:hAnsi="Arial"/>
                <w:sz w:val="14"/>
                <w:szCs w:val="14"/>
                <w:color w:val="auto"/>
              </w:rPr>
              <w:t>Fullbridge, Inc. –</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3"/>
          </w:tcPr>
          <w:p>
            <w:pPr>
              <w:ind w:left="340"/>
              <w:spacing w:after="0" w:line="147" w:lineRule="exact"/>
              <w:rPr>
                <w:sz w:val="20"/>
                <w:szCs w:val="20"/>
                <w:color w:val="auto"/>
              </w:rPr>
            </w:pPr>
            <w:r>
              <w:rPr>
                <w:rFonts w:ascii="Arial" w:cs="Arial" w:eastAsia="Arial" w:hAnsi="Arial"/>
                <w:sz w:val="14"/>
                <w:szCs w:val="14"/>
                <w:color w:val="auto"/>
              </w:rPr>
              <w:t>Convertible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3"/>
          </w:tcPr>
          <w:p>
            <w:pPr>
              <w:ind w:left="340"/>
              <w:spacing w:after="0" w:line="157" w:lineRule="exact"/>
              <w:rPr>
                <w:sz w:val="20"/>
                <w:szCs w:val="20"/>
                <w:color w:val="auto"/>
              </w:rPr>
            </w:pPr>
            <w:r>
              <w:rPr>
                <w:rFonts w:ascii="Arial" w:cs="Arial" w:eastAsia="Arial" w:hAnsi="Arial"/>
                <w:sz w:val="14"/>
                <w:szCs w:val="14"/>
                <w:color w:val="auto"/>
              </w:rPr>
              <w:t>Promissory Note,</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3"/>
          </w:tcPr>
          <w:p>
            <w:pPr>
              <w:ind w:left="340"/>
              <w:spacing w:after="0" w:line="197" w:lineRule="exact"/>
              <w:rPr>
                <w:sz w:val="20"/>
                <w:szCs w:val="20"/>
                <w:color w:val="auto"/>
              </w:rPr>
            </w:pPr>
            <w:r>
              <w:rPr>
                <w:rFonts w:ascii="Arial" w:cs="Arial" w:eastAsia="Arial" w:hAnsi="Arial"/>
                <w:sz w:val="14"/>
                <w:szCs w:val="14"/>
                <w:color w:val="auto"/>
                <w:w w:val="91"/>
              </w:rPr>
              <w:t>10% Due 3/14/2017</w:t>
            </w:r>
            <w:r>
              <w:rPr>
                <w:rFonts w:ascii="Arial" w:cs="Arial" w:eastAsia="Arial" w:hAnsi="Arial"/>
                <w:sz w:val="22"/>
                <w:szCs w:val="22"/>
                <w:color w:val="auto"/>
                <w:w w:val="91"/>
                <w:vertAlign w:val="superscript"/>
              </w:rPr>
              <w:t>(8)</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(935,849)</w:t>
            </w:r>
          </w:p>
        </w:tc>
        <w:tc>
          <w:tcPr>
            <w:tcW w:w="2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1,000,000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(64,151)</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40" w:type="dxa"/>
            <w:vAlign w:val="bottom"/>
            <w:gridSpan w:val="4"/>
            <w:shd w:val="clear" w:color="auto" w:fill="CCEEFF"/>
          </w:tcPr>
          <w:p>
            <w:pPr>
              <w:ind w:left="180"/>
              <w:spacing w:after="0" w:line="141" w:lineRule="exact"/>
              <w:rPr>
                <w:sz w:val="20"/>
                <w:szCs w:val="20"/>
                <w:color w:val="auto"/>
              </w:rPr>
            </w:pPr>
            <w:r>
              <w:rPr>
                <w:rFonts w:ascii="Arial" w:cs="Arial" w:eastAsia="Arial" w:hAnsi="Arial"/>
                <w:sz w:val="14"/>
                <w:szCs w:val="14"/>
                <w:i w:val="1"/>
                <w:iCs w:val="1"/>
                <w:color w:val="auto"/>
              </w:rPr>
              <w:t>Total Business Education</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(85,829)</w:t>
            </w:r>
          </w:p>
        </w:tc>
        <w:tc>
          <w:tcPr>
            <w:tcW w:w="820" w:type="dxa"/>
            <w:vAlign w:val="bottom"/>
            <w:gridSpan w:val="3"/>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1,020,859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w w:val="92"/>
              </w:rPr>
              <w:t>(1,289,924)</w:t>
            </w:r>
          </w:p>
        </w:tc>
        <w:tc>
          <w:tcPr>
            <w:tcW w:w="20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w w:val="89"/>
              </w:rPr>
              <w:t>1,000,400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20"/>
              <w:spacing w:after="0" w:line="14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(731,335)</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0.00%</w:t>
            </w:r>
          </w:p>
        </w:tc>
      </w:tr>
      <w:tr>
        <w:trPr>
          <w:trHeight w:val="125"/>
        </w:trPr>
        <w:tc>
          <w:tcPr>
            <w:tcW w:w="2040" w:type="dxa"/>
            <w:vAlign w:val="bottom"/>
            <w:gridSpan w:val="6"/>
          </w:tcPr>
          <w:p>
            <w:pPr>
              <w:ind w:left="20"/>
              <w:spacing w:after="0" w:line="125" w:lineRule="exact"/>
              <w:rPr>
                <w:sz w:val="20"/>
                <w:szCs w:val="20"/>
                <w:color w:val="auto"/>
              </w:rPr>
            </w:pPr>
            <w:r>
              <w:rPr>
                <w:rFonts w:ascii="Arial" w:cs="Arial" w:eastAsia="Arial" w:hAnsi="Arial"/>
                <w:sz w:val="14"/>
                <w:szCs w:val="14"/>
                <w:b w:val="1"/>
                <w:bCs w:val="1"/>
                <w:color w:val="auto"/>
              </w:rPr>
              <w:t>Total Debt</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159,016</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$4,125,859</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(1,289,924)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3,208,194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(24,165)</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$ 6,019,964</w:t>
            </w:r>
          </w:p>
        </w:tc>
        <w:tc>
          <w:tcPr>
            <w:tcW w:w="760" w:type="dxa"/>
            <w:vAlign w:val="bottom"/>
            <w:gridSpan w:val="2"/>
          </w:tcPr>
          <w:p>
            <w:pPr>
              <w:jc w:val="right"/>
              <w:ind w:right="97"/>
              <w:spacing w:after="0"/>
              <w:rPr>
                <w:sz w:val="20"/>
                <w:szCs w:val="20"/>
                <w:color w:val="auto"/>
              </w:rPr>
            </w:pPr>
            <w:r>
              <w:rPr>
                <w:rFonts w:ascii="Arial" w:cs="Arial" w:eastAsia="Arial" w:hAnsi="Arial"/>
                <w:sz w:val="14"/>
                <w:szCs w:val="14"/>
                <w:color w:val="auto"/>
              </w:rPr>
              <w:t>3.13%</w:t>
            </w:r>
          </w:p>
        </w:tc>
      </w:tr>
    </w:tbl>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48" w:name="page49"/>
    <w:bookmarkEnd w:id="4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NOTE 3 — INVESTMENTS AT FAIR VALUE – (continued) 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173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17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173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173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1" w:lineRule="exact"/>
              <w:rPr>
                <w:sz w:val="20"/>
                <w:szCs w:val="20"/>
                <w:color w:val="auto"/>
              </w:rPr>
            </w:pPr>
            <w:r>
              <w:rPr>
                <w:rFonts w:ascii="Arial" w:cs="Arial" w:eastAsia="Arial" w:hAnsi="Arial"/>
                <w:sz w:val="13"/>
                <w:szCs w:val="13"/>
                <w:b w:val="1"/>
                <w:bCs w:val="1"/>
                <w:color w:val="auto"/>
                <w:w w:val="99"/>
              </w:rPr>
              <w:t>Transfer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4"/>
        </w:trPr>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Interest,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1"/>
              </w:rPr>
              <w:t>from 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20"/>
              <w:spacing w:after="0" w:line="134" w:lineRule="exact"/>
              <w:rPr>
                <w:sz w:val="20"/>
                <w:szCs w:val="20"/>
                <w:color w:val="auto"/>
              </w:rPr>
            </w:pPr>
            <w:r>
              <w:rPr>
                <w:rFonts w:ascii="Arial" w:cs="Arial" w:eastAsia="Arial" w:hAnsi="Arial"/>
                <w:sz w:val="13"/>
                <w:szCs w:val="13"/>
                <w:b w:val="1"/>
                <w:bCs w:val="1"/>
                <w:color w:val="auto"/>
                <w:w w:val="92"/>
              </w:rPr>
              <w:t>Fees, or</w:t>
            </w:r>
          </w:p>
        </w:tc>
        <w:tc>
          <w:tcPr>
            <w:tcW w:w="160" w:type="dxa"/>
            <w:vAlign w:val="bottom"/>
          </w:tcPr>
          <w:p>
            <w:pPr>
              <w:spacing w:after="0"/>
              <w:rPr>
                <w:sz w:val="11"/>
                <w:szCs w:val="11"/>
                <w:color w:val="auto"/>
              </w:rPr>
            </w:pPr>
          </w:p>
        </w:tc>
        <w:tc>
          <w:tcPr>
            <w:tcW w:w="860" w:type="dxa"/>
            <w:vAlign w:val="bottom"/>
            <w:gridSpan w:val="4"/>
          </w:tcPr>
          <w:p>
            <w:pPr>
              <w:ind w:left="20"/>
              <w:spacing w:after="0" w:line="134" w:lineRule="exact"/>
              <w:rPr>
                <w:sz w:val="20"/>
                <w:szCs w:val="20"/>
                <w:color w:val="auto"/>
              </w:rPr>
            </w:pPr>
            <w:r>
              <w:rPr>
                <w:rFonts w:ascii="Arial" w:cs="Arial" w:eastAsia="Arial" w:hAnsi="Arial"/>
                <w:sz w:val="13"/>
                <w:szCs w:val="13"/>
                <w:b w:val="1"/>
                <w:bCs w:val="1"/>
                <w:color w:val="auto"/>
              </w:rPr>
              <w:t>Fair Value at</w:t>
            </w: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5"/>
              </w:rPr>
              <w:t>Investment to</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6"/>
              </w:rPr>
              <w:t>Dividends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rPr>
              <w:t>December</w:t>
            </w: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0"/>
              </w:rPr>
              <w:t>Non-Control/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60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60" w:type="dxa"/>
            <w:vAlign w:val="bottom"/>
          </w:tcPr>
          <w:p>
            <w:pPr>
              <w:spacing w:after="0"/>
              <w:rPr>
                <w:sz w:val="11"/>
                <w:szCs w:val="11"/>
                <w:color w:val="auto"/>
              </w:rPr>
            </w:pPr>
          </w:p>
        </w:tc>
        <w:tc>
          <w:tcPr>
            <w:tcW w:w="760" w:type="dxa"/>
            <w:vAlign w:val="bottom"/>
          </w:tcPr>
          <w:p>
            <w:pPr>
              <w:jc w:val="right"/>
              <w:ind w:right="37"/>
              <w:spacing w:after="0" w:line="134" w:lineRule="exact"/>
              <w:rPr>
                <w:sz w:val="20"/>
                <w:szCs w:val="20"/>
                <w:color w:val="auto"/>
              </w:rPr>
            </w:pPr>
            <w:r>
              <w:rPr>
                <w:rFonts w:ascii="Arial" w:cs="Arial" w:eastAsia="Arial" w:hAnsi="Arial"/>
                <w:sz w:val="13"/>
                <w:szCs w:val="13"/>
                <w:b w:val="1"/>
                <w:bCs w:val="1"/>
                <w:color w:val="auto"/>
              </w:rPr>
              <w:t>Principal/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Credited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51"/>
              <w:spacing w:after="0" w:line="134" w:lineRule="exact"/>
              <w:rPr>
                <w:sz w:val="20"/>
                <w:szCs w:val="20"/>
                <w:color w:val="auto"/>
              </w:rPr>
            </w:pPr>
            <w:r>
              <w:rPr>
                <w:rFonts w:ascii="Arial" w:cs="Arial" w:eastAsia="Arial" w:hAnsi="Arial"/>
                <w:sz w:val="13"/>
                <w:szCs w:val="13"/>
                <w:b w:val="1"/>
                <w:bCs w:val="1"/>
                <w:color w:val="auto"/>
              </w:rPr>
              <w:t>31,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3"/>
              </w:rPr>
              <w:t>Non-Affiliate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96"/>
              </w:rPr>
              <w:t>Corporate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Gains/</w:t>
            </w: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Quantity</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5"/>
              </w:rPr>
              <w:t>in Income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2015</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7"/>
              </w:rPr>
              <w:t>Investment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Action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79"/>
              </w:rPr>
              <w:t>Purchases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78"/>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41"/>
        </w:trPr>
        <w:tc>
          <w:tcPr>
            <w:tcW w:w="160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Corporate Education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rPr>
              <w:t>CUX, Inc. (d/b/a</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CorpU) –</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Convertible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tcPr>
          <w:p>
            <w:pPr>
              <w:ind w:left="720"/>
              <w:spacing w:after="0"/>
              <w:rPr>
                <w:sz w:val="20"/>
                <w:szCs w:val="20"/>
                <w:color w:val="auto"/>
              </w:rPr>
            </w:pPr>
            <w:r>
              <w:rPr>
                <w:rFonts w:ascii="Arial" w:cs="Arial" w:eastAsia="Arial" w:hAnsi="Arial"/>
                <w:sz w:val="14"/>
                <w:szCs w:val="14"/>
                <w:color w:val="auto"/>
              </w:rPr>
              <w:t>D</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169,033</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775,861</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775,861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0.40%</w:t>
            </w: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CUX, Inc. (d/b/a</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CorpU) –</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Convertible</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6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615,763</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1,959,127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(45,643)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1,913,484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22"/>
        </w:trPr>
        <w:tc>
          <w:tcPr>
            <w:tcW w:w="1600" w:type="dxa"/>
            <w:vAlign w:val="bottom"/>
            <w:tcBorders>
              <w:top w:val="single" w:sz="8" w:color="CCEEFF"/>
            </w:tcBorders>
          </w:tcPr>
          <w:p>
            <w:pPr>
              <w:ind w:left="380"/>
              <w:spacing w:after="0" w:line="123" w:lineRule="exact"/>
              <w:rPr>
                <w:sz w:val="20"/>
                <w:szCs w:val="20"/>
                <w:color w:val="auto"/>
              </w:rPr>
            </w:pPr>
            <w:r>
              <w:rPr>
                <w:rFonts w:ascii="Arial" w:cs="Arial" w:eastAsia="Arial" w:hAnsi="Arial"/>
                <w:sz w:val="14"/>
                <w:szCs w:val="14"/>
                <w:i w:val="1"/>
                <w:iCs w:val="1"/>
                <w:color w:val="auto"/>
              </w:rPr>
              <w:t>Total Corporate</w:t>
            </w:r>
          </w:p>
        </w:tc>
        <w:tc>
          <w:tcPr>
            <w:tcW w:w="16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r>
      <w:tr>
        <w:trPr>
          <w:trHeight w:val="166"/>
        </w:trPr>
        <w:tc>
          <w:tcPr>
            <w:tcW w:w="1600" w:type="dxa"/>
            <w:vAlign w:val="bottom"/>
          </w:tcPr>
          <w:p>
            <w:pPr>
              <w:ind w:left="540"/>
              <w:spacing w:after="0"/>
              <w:rPr>
                <w:sz w:val="20"/>
                <w:szCs w:val="20"/>
                <w:color w:val="auto"/>
              </w:rPr>
            </w:pPr>
            <w:r>
              <w:rPr>
                <w:rFonts w:ascii="Arial" w:cs="Arial" w:eastAsia="Arial" w:hAnsi="Arial"/>
                <w:sz w:val="14"/>
                <w:szCs w:val="14"/>
                <w:i w:val="1"/>
                <w:iCs w:val="1"/>
                <w:color w:val="auto"/>
              </w:rPr>
              <w:t>Education</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2,734,988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(45,643)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2,689,345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1.40%</w:t>
            </w:r>
          </w:p>
        </w:tc>
      </w:tr>
      <w:tr>
        <w:trPr>
          <w:trHeight w:val="129"/>
        </w:trPr>
        <w:tc>
          <w:tcPr>
            <w:tcW w:w="160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i w:val="1"/>
                <w:iCs w:val="1"/>
                <w:color w:val="auto"/>
              </w:rPr>
              <w:t>Globally-Focused</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6"/>
        </w:trPr>
        <w:tc>
          <w:tcPr>
            <w:tcW w:w="160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Private School</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rPr>
              <w:t>Whittle Schools,</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LLC –</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1600" w:type="dxa"/>
            <w:vAlign w:val="bottom"/>
          </w:tcPr>
          <w:p>
            <w:pPr>
              <w:ind w:left="720"/>
              <w:spacing w:after="0" w:line="157" w:lineRule="exact"/>
              <w:rPr>
                <w:sz w:val="20"/>
                <w:szCs w:val="20"/>
                <w:color w:val="auto"/>
              </w:rPr>
            </w:pPr>
            <w:r>
              <w:rPr>
                <w:rFonts w:ascii="Arial" w:cs="Arial" w:eastAsia="Arial" w:hAnsi="Arial"/>
                <w:sz w:val="14"/>
                <w:szCs w:val="14"/>
                <w:color w:val="auto"/>
                <w:w w:val="96"/>
              </w:rPr>
              <w:t>shares, Series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1600" w:type="dxa"/>
            <w:vAlign w:val="bottom"/>
          </w:tcPr>
          <w:p>
            <w:pPr>
              <w:ind w:left="720"/>
              <w:spacing w:after="0" w:line="197" w:lineRule="exact"/>
              <w:rPr>
                <w:sz w:val="20"/>
                <w:szCs w:val="20"/>
                <w:color w:val="auto"/>
              </w:rPr>
            </w:pPr>
            <w:r>
              <w:rPr>
                <w:rFonts w:ascii="Arial" w:cs="Arial" w:eastAsia="Arial" w:hAnsi="Arial"/>
                <w:sz w:val="22"/>
                <w:szCs w:val="22"/>
                <w:color w:val="auto"/>
                <w:vertAlign w:val="subscript"/>
              </w:rPr>
              <w:t>B</w:t>
            </w:r>
            <w:r>
              <w:rPr>
                <w:rFonts w:ascii="Arial" w:cs="Arial" w:eastAsia="Arial" w:hAnsi="Arial"/>
                <w:sz w:val="10"/>
                <w:szCs w:val="10"/>
                <w:color w:val="auto"/>
              </w:rPr>
              <w:t>(3)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3,000,000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3,000,000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1.56%</w:t>
            </w:r>
          </w:p>
        </w:tc>
      </w:tr>
      <w:tr>
        <w:trPr>
          <w:trHeight w:val="148"/>
        </w:trPr>
        <w:tc>
          <w:tcPr>
            <w:tcW w:w="160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Online Education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rPr>
              <w:t>Curious.com</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Inc. –</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tcPr>
          <w:p>
            <w:pPr>
              <w:ind w:left="720"/>
              <w:spacing w:after="0"/>
              <w:rPr>
                <w:sz w:val="20"/>
                <w:szCs w:val="20"/>
                <w:color w:val="auto"/>
              </w:rPr>
            </w:pPr>
            <w:r>
              <w:rPr>
                <w:rFonts w:ascii="Arial" w:cs="Arial" w:eastAsia="Arial" w:hAnsi="Arial"/>
                <w:sz w:val="14"/>
                <w:szCs w:val="14"/>
                <w:color w:val="auto"/>
              </w:rPr>
              <w:t>B</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3,407,834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9,996,311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w w:val="89"/>
              </w:rPr>
              <w:t>2,000,003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(2,011,360)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9,984,954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5.20%</w:t>
            </w:r>
          </w:p>
        </w:tc>
      </w:tr>
      <w:tr>
        <w:trPr>
          <w:trHeight w:val="148"/>
        </w:trPr>
        <w:tc>
          <w:tcPr>
            <w:tcW w:w="160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Sports Analytics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rPr>
              <w:t>Circle Media</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(f/k/a S3</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Digital Corp.</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(d/b/a S3i)) –</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tcPr>
          <w:p>
            <w:pPr>
              <w:ind w:left="720"/>
              <w:spacing w:after="0"/>
              <w:rPr>
                <w:sz w:val="20"/>
                <w:szCs w:val="20"/>
                <w:color w:val="auto"/>
              </w:rPr>
            </w:pPr>
            <w:r>
              <w:rPr>
                <w:rFonts w:ascii="Arial" w:cs="Arial" w:eastAsia="Arial" w:hAnsi="Arial"/>
                <w:sz w:val="14"/>
                <w:szCs w:val="14"/>
                <w:color w:val="auto"/>
              </w:rPr>
              <w:t>A</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1,864,495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1,156,175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(671,406)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484,769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0.26%</w:t>
            </w:r>
          </w:p>
        </w:tc>
      </w:tr>
      <w:tr>
        <w:trPr>
          <w:trHeight w:val="129"/>
        </w:trPr>
        <w:tc>
          <w:tcPr>
            <w:tcW w:w="160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i w:val="1"/>
                <w:iCs w:val="1"/>
                <w:color w:val="auto"/>
              </w:rPr>
              <w:t>Social Cognitive</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6"/>
        </w:trPr>
        <w:tc>
          <w:tcPr>
            <w:tcW w:w="160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Learning</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rPr>
              <w:t>Declara, Inc. –</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tcPr>
          <w:p>
            <w:pPr>
              <w:ind w:left="720"/>
              <w:spacing w:after="0"/>
              <w:rPr>
                <w:sz w:val="20"/>
                <w:szCs w:val="20"/>
                <w:color w:val="auto"/>
              </w:rPr>
            </w:pPr>
            <w:r>
              <w:rPr>
                <w:rFonts w:ascii="Arial" w:cs="Arial" w:eastAsia="Arial" w:hAnsi="Arial"/>
                <w:sz w:val="14"/>
                <w:szCs w:val="14"/>
                <w:color w:val="auto"/>
              </w:rPr>
              <w:t>A</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10,716,390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9,999,999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(5,213,345)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4,786,654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2.49%</w:t>
            </w:r>
          </w:p>
        </w:tc>
      </w:tr>
      <w:tr>
        <w:trPr>
          <w:trHeight w:val="129"/>
        </w:trPr>
        <w:tc>
          <w:tcPr>
            <w:tcW w:w="160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i w:val="1"/>
                <w:iCs w:val="1"/>
                <w:color w:val="auto"/>
              </w:rPr>
              <w:t>Education Media</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6"/>
        </w:trPr>
        <w:tc>
          <w:tcPr>
            <w:tcW w:w="160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Platform</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rPr>
              <w:t>EdSurge, Inc. –</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tcPr>
          <w:p>
            <w:pPr>
              <w:ind w:left="720"/>
              <w:spacing w:after="0"/>
              <w:rPr>
                <w:sz w:val="20"/>
                <w:szCs w:val="20"/>
                <w:color w:val="auto"/>
              </w:rPr>
            </w:pPr>
            <w:r>
              <w:rPr>
                <w:rFonts w:ascii="Arial" w:cs="Arial" w:eastAsia="Arial" w:hAnsi="Arial"/>
                <w:sz w:val="14"/>
                <w:szCs w:val="14"/>
                <w:color w:val="auto"/>
              </w:rPr>
              <w:t>A-1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378,788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500,000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0.26%</w:t>
            </w: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EdSurge, Inc. –</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6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494,365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524,867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63,427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588,294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0.31%</w:t>
            </w:r>
          </w:p>
        </w:tc>
      </w:tr>
      <w:tr>
        <w:trPr>
          <w:trHeight w:val="122"/>
        </w:trPr>
        <w:tc>
          <w:tcPr>
            <w:tcW w:w="1600" w:type="dxa"/>
            <w:vAlign w:val="bottom"/>
            <w:tcBorders>
              <w:top w:val="single" w:sz="8" w:color="CCEEFF"/>
            </w:tcBorders>
          </w:tcPr>
          <w:p>
            <w:pPr>
              <w:ind w:left="380"/>
              <w:spacing w:after="0" w:line="123" w:lineRule="exact"/>
              <w:rPr>
                <w:sz w:val="20"/>
                <w:szCs w:val="20"/>
                <w:color w:val="auto"/>
              </w:rPr>
            </w:pPr>
            <w:r>
              <w:rPr>
                <w:rFonts w:ascii="Arial" w:cs="Arial" w:eastAsia="Arial" w:hAnsi="Arial"/>
                <w:sz w:val="14"/>
                <w:szCs w:val="14"/>
                <w:i w:val="1"/>
                <w:iCs w:val="1"/>
                <w:color w:val="auto"/>
              </w:rPr>
              <w:t>Total Education</w:t>
            </w:r>
          </w:p>
        </w:tc>
        <w:tc>
          <w:tcPr>
            <w:tcW w:w="16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r>
      <w:tr>
        <w:trPr>
          <w:trHeight w:val="181"/>
        </w:trPr>
        <w:tc>
          <w:tcPr>
            <w:tcW w:w="1600" w:type="dxa"/>
            <w:vAlign w:val="bottom"/>
          </w:tcPr>
          <w:p>
            <w:pPr>
              <w:ind w:left="540"/>
              <w:spacing w:after="0"/>
              <w:rPr>
                <w:sz w:val="20"/>
                <w:szCs w:val="20"/>
                <w:color w:val="auto"/>
              </w:rPr>
            </w:pPr>
            <w:r>
              <w:rPr>
                <w:rFonts w:ascii="Arial" w:cs="Arial" w:eastAsia="Arial" w:hAnsi="Arial"/>
                <w:sz w:val="14"/>
                <w:szCs w:val="14"/>
                <w:i w:val="1"/>
                <w:iCs w:val="1"/>
                <w:color w:val="auto"/>
              </w:rPr>
              <w:t>Media Platform</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1,024,867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63,027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1,088,294</w:t>
            </w:r>
          </w:p>
        </w:tc>
        <w:tc>
          <w:tcPr>
            <w:tcW w:w="780" w:type="dxa"/>
            <w:vAlign w:val="bottom"/>
            <w:gridSpan w:val="2"/>
          </w:tcPr>
          <w:p>
            <w:pPr>
              <w:jc w:val="right"/>
              <w:ind w:right="97"/>
              <w:spacing w:after="0"/>
              <w:rPr>
                <w:sz w:val="20"/>
                <w:szCs w:val="20"/>
                <w:color w:val="auto"/>
              </w:rPr>
            </w:pPr>
            <w:r>
              <w:rPr>
                <w:rFonts w:ascii="Arial" w:cs="Arial" w:eastAsia="Arial" w:hAnsi="Arial"/>
                <w:sz w:val="14"/>
                <w:szCs w:val="14"/>
                <w:color w:val="auto"/>
              </w:rPr>
              <w:t>0.57%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-3892550</wp:posOffset>
            </wp:positionV>
            <wp:extent cx="7026275" cy="1955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26275" cy="195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026275" cy="1955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26275" cy="19558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NOTE 3 — INVESTMENTS AT FAIR VALUE – (continued) 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1738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17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173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173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1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0"/>
              <w:spacing w:after="0" w:line="121" w:lineRule="exact"/>
              <w:rPr>
                <w:sz w:val="20"/>
                <w:szCs w:val="20"/>
                <w:color w:val="auto"/>
              </w:rPr>
            </w:pPr>
            <w:r>
              <w:rPr>
                <w:rFonts w:ascii="Arial" w:cs="Arial" w:eastAsia="Arial" w:hAnsi="Arial"/>
                <w:sz w:val="13"/>
                <w:szCs w:val="13"/>
                <w:b w:val="1"/>
                <w:bCs w:val="1"/>
                <w:color w:val="auto"/>
                <w:w w:val="99"/>
              </w:rPr>
              <w:t>Transfer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4"/>
        </w:trPr>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86"/>
              </w:rPr>
              <w:t>Interest,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1"/>
              </w:rPr>
              <w:t>from 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w w:val="92"/>
              </w:rPr>
              <w:t>Fees, 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5"/>
              </w:rPr>
              <w:t>Investment to</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Dividends</w:t>
            </w:r>
          </w:p>
        </w:tc>
        <w:tc>
          <w:tcPr>
            <w:tcW w:w="16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0"/>
              </w:rPr>
              <w:t>Fair Value at</w:t>
            </w: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0"/>
              </w:rPr>
              <w:t>Non-Control/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60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60" w:type="dxa"/>
            <w:vAlign w:val="bottom"/>
          </w:tcPr>
          <w:p>
            <w:pPr>
              <w:spacing w:after="0"/>
              <w:rPr>
                <w:sz w:val="11"/>
                <w:szCs w:val="11"/>
                <w:color w:val="auto"/>
              </w:rPr>
            </w:pPr>
          </w:p>
        </w:tc>
        <w:tc>
          <w:tcPr>
            <w:tcW w:w="700" w:type="dxa"/>
            <w:vAlign w:val="bottom"/>
          </w:tcPr>
          <w:p>
            <w:pPr>
              <w:jc w:val="right"/>
              <w:ind w:right="13"/>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90"/>
              </w:rPr>
              <w:t>Credited</w:t>
            </w:r>
          </w:p>
        </w:tc>
        <w:tc>
          <w:tcPr>
            <w:tcW w:w="16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3"/>
              </w:rPr>
              <w:t>Non-Affiliate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96"/>
              </w:rPr>
              <w:t>Corporate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Gains/</w:t>
            </w: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5"/>
              </w:rPr>
              <w:t>in Income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7"/>
              </w:rPr>
              <w:t>Investment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Action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79"/>
              </w:rPr>
              <w:t>Purchases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78"/>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41"/>
        </w:trPr>
        <w:tc>
          <w:tcPr>
            <w:tcW w:w="1600" w:type="dxa"/>
            <w:vAlign w:val="bottom"/>
          </w:tcPr>
          <w:p>
            <w:pPr>
              <w:ind w:left="200"/>
              <w:spacing w:after="0" w:line="141" w:lineRule="exact"/>
              <w:rPr>
                <w:sz w:val="20"/>
                <w:szCs w:val="20"/>
                <w:color w:val="auto"/>
              </w:rPr>
            </w:pPr>
            <w:r>
              <w:rPr>
                <w:rFonts w:ascii="Arial" w:cs="Arial" w:eastAsia="Arial" w:hAnsi="Arial"/>
                <w:sz w:val="14"/>
                <w:szCs w:val="14"/>
                <w:i w:val="1"/>
                <w:iCs w:val="1"/>
                <w:color w:val="auto"/>
                <w:w w:val="99"/>
              </w:rPr>
              <w:t>Education Technology</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w w:val="97"/>
              </w:rPr>
              <w:t>Global Education</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Learning</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(Holdings)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Ltd.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6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2,126,475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48"/>
        </w:trPr>
        <w:tc>
          <w:tcPr>
            <w:tcW w:w="160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Knowledge Networks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w w:val="94"/>
              </w:rPr>
              <w:t>Maven Research,</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Inc.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6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Series C</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318,979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1,999,998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1,999,998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w w:val="94"/>
              </w:rPr>
              <w:t>Maven Research,</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Inc.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tcPr>
          <w:p>
            <w:pPr>
              <w:ind w:left="720"/>
              <w:spacing w:after="0"/>
              <w:rPr>
                <w:sz w:val="20"/>
                <w:szCs w:val="20"/>
                <w:color w:val="auto"/>
              </w:rPr>
            </w:pPr>
            <w:r>
              <w:rPr>
                <w:rFonts w:ascii="Arial" w:cs="Arial" w:eastAsia="Arial" w:hAnsi="Arial"/>
                <w:sz w:val="14"/>
                <w:szCs w:val="14"/>
                <w:color w:val="auto"/>
              </w:rPr>
              <w:t>Series B</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49,505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249,691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(25,928)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223,763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0.12%</w:t>
            </w:r>
          </w:p>
        </w:tc>
      </w:tr>
      <w:tr>
        <w:trPr>
          <w:trHeight w:val="122"/>
        </w:trPr>
        <w:tc>
          <w:tcPr>
            <w:tcW w:w="1600" w:type="dxa"/>
            <w:vAlign w:val="bottom"/>
            <w:shd w:val="clear" w:color="auto" w:fill="CCEEFF"/>
          </w:tcPr>
          <w:p>
            <w:pPr>
              <w:ind w:left="380"/>
              <w:spacing w:after="0" w:line="123" w:lineRule="exact"/>
              <w:rPr>
                <w:sz w:val="20"/>
                <w:szCs w:val="20"/>
                <w:color w:val="auto"/>
              </w:rPr>
            </w:pPr>
            <w:r>
              <w:rPr>
                <w:rFonts w:ascii="Arial" w:cs="Arial" w:eastAsia="Arial" w:hAnsi="Arial"/>
                <w:sz w:val="14"/>
                <w:szCs w:val="14"/>
                <w:i w:val="1"/>
                <w:iCs w:val="1"/>
                <w:color w:val="auto"/>
              </w:rPr>
              <w:t>Total Knowledge</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r>
      <w:tr>
        <w:trPr>
          <w:trHeight w:val="166"/>
        </w:trPr>
        <w:tc>
          <w:tcPr>
            <w:tcW w:w="1600" w:type="dxa"/>
            <w:vAlign w:val="bottom"/>
            <w:shd w:val="clear" w:color="auto" w:fill="CCEEFF"/>
          </w:tcPr>
          <w:p>
            <w:pPr>
              <w:ind w:left="540"/>
              <w:spacing w:after="0"/>
              <w:rPr>
                <w:sz w:val="20"/>
                <w:szCs w:val="20"/>
                <w:color w:val="auto"/>
              </w:rPr>
            </w:pPr>
            <w:r>
              <w:rPr>
                <w:rFonts w:ascii="Arial" w:cs="Arial" w:eastAsia="Arial" w:hAnsi="Arial"/>
                <w:sz w:val="14"/>
                <w:szCs w:val="14"/>
                <w:i w:val="1"/>
                <w:iCs w:val="1"/>
                <w:color w:val="auto"/>
              </w:rPr>
              <w:t>Networks</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2,249,689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(25,928)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2,223,761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148"/>
        </w:trPr>
        <w:tc>
          <w:tcPr>
            <w:tcW w:w="160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Digital Media Platform</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w w:val="95"/>
              </w:rPr>
              <w:t>Ozy Media, Inc. –</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80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6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B</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922,509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4,690,178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309,821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6"/>
              </w:rPr>
              <w:t>4,999,999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w w:val="95"/>
              </w:rPr>
              <w:t>Ozy Media, Inc. –</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tcPr>
          <w:p>
            <w:pPr>
              <w:ind w:left="720"/>
              <w:spacing w:after="0"/>
              <w:rPr>
                <w:sz w:val="20"/>
                <w:szCs w:val="20"/>
                <w:color w:val="auto"/>
              </w:rPr>
            </w:pPr>
            <w:r>
              <w:rPr>
                <w:rFonts w:ascii="Arial" w:cs="Arial" w:eastAsia="Arial" w:hAnsi="Arial"/>
                <w:sz w:val="14"/>
                <w:szCs w:val="14"/>
                <w:color w:val="auto"/>
              </w:rPr>
              <w:t>Series A</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1,090,909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3,907,004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(907,004)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3,000,000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1.56%</w:t>
            </w: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w w:val="95"/>
              </w:rPr>
              <w:t>Ozy Media, Inc. –</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80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6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Seed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1,531,812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(921,812)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0.32%</w:t>
            </w:r>
          </w:p>
        </w:tc>
      </w:tr>
      <w:tr>
        <w:trPr>
          <w:trHeight w:val="122"/>
        </w:trPr>
        <w:tc>
          <w:tcPr>
            <w:tcW w:w="1600" w:type="dxa"/>
            <w:vAlign w:val="bottom"/>
            <w:tcBorders>
              <w:top w:val="single" w:sz="8" w:color="CCEEFF"/>
            </w:tcBorders>
          </w:tcPr>
          <w:p>
            <w:pPr>
              <w:ind w:left="380"/>
              <w:spacing w:after="0" w:line="123" w:lineRule="exact"/>
              <w:rPr>
                <w:sz w:val="20"/>
                <w:szCs w:val="20"/>
                <w:color w:val="auto"/>
              </w:rPr>
            </w:pPr>
            <w:r>
              <w:rPr>
                <w:rFonts w:ascii="Arial" w:cs="Arial" w:eastAsia="Arial" w:hAnsi="Arial"/>
                <w:sz w:val="14"/>
                <w:szCs w:val="14"/>
                <w:i w:val="1"/>
                <w:iCs w:val="1"/>
                <w:color w:val="auto"/>
              </w:rPr>
              <w:t>Total Digital Media</w:t>
            </w:r>
          </w:p>
        </w:tc>
        <w:tc>
          <w:tcPr>
            <w:tcW w:w="1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r>
      <w:tr>
        <w:trPr>
          <w:trHeight w:val="166"/>
        </w:trPr>
        <w:tc>
          <w:tcPr>
            <w:tcW w:w="1600" w:type="dxa"/>
            <w:vAlign w:val="bottom"/>
          </w:tcPr>
          <w:p>
            <w:pPr>
              <w:ind w:left="540"/>
              <w:spacing w:after="0"/>
              <w:rPr>
                <w:sz w:val="20"/>
                <w:szCs w:val="20"/>
                <w:color w:val="auto"/>
              </w:rPr>
            </w:pPr>
            <w:r>
              <w:rPr>
                <w:rFonts w:ascii="Arial" w:cs="Arial" w:eastAsia="Arial" w:hAnsi="Arial"/>
                <w:sz w:val="14"/>
                <w:szCs w:val="14"/>
                <w:i w:val="1"/>
                <w:iCs w:val="1"/>
                <w:color w:val="auto"/>
              </w:rPr>
              <w:t>Platform</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1"/>
              </w:rPr>
              <w:t>10,128,994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(1,518,995)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8,609,999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4.48%</w:t>
            </w:r>
          </w:p>
        </w:tc>
      </w:tr>
      <w:tr>
        <w:trPr>
          <w:trHeight w:val="148"/>
        </w:trPr>
        <w:tc>
          <w:tcPr>
            <w:tcW w:w="160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Social Media</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w w:val="98"/>
              </w:rPr>
              <w:t>AlwaysOn, Inc. –</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600" w:type="dxa"/>
            <w:vAlign w:val="bottom"/>
          </w:tcPr>
          <w:p>
            <w:pPr>
              <w:ind w:left="720"/>
              <w:spacing w:after="0"/>
              <w:rPr>
                <w:sz w:val="20"/>
                <w:szCs w:val="20"/>
                <w:color w:val="auto"/>
              </w:rPr>
            </w:pPr>
            <w:r>
              <w:rPr>
                <w:rFonts w:ascii="Arial" w:cs="Arial" w:eastAsia="Arial" w:hAnsi="Arial"/>
                <w:sz w:val="14"/>
                <w:szCs w:val="14"/>
                <w:color w:val="auto"/>
              </w:rPr>
              <w:t>A-1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4,465,925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133,978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(133,978)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w w:val="98"/>
              </w:rPr>
              <w:t>AlwaysOn, Inc. –</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6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6"/>
              </w:rPr>
              <w:t>shares,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6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1,066,626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191,993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(191,993)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20"/>
        </w:trPr>
        <w:tc>
          <w:tcPr>
            <w:tcW w:w="1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r>
        <w:trPr>
          <w:trHeight w:val="141"/>
        </w:trPr>
        <w:tc>
          <w:tcPr>
            <w:tcW w:w="1600" w:type="dxa"/>
            <w:vAlign w:val="bottom"/>
          </w:tcPr>
          <w:p>
            <w:pPr>
              <w:ind w:left="380"/>
              <w:spacing w:after="0" w:line="141" w:lineRule="exact"/>
              <w:rPr>
                <w:sz w:val="20"/>
                <w:szCs w:val="20"/>
                <w:color w:val="auto"/>
              </w:rPr>
            </w:pPr>
            <w:r>
              <w:rPr>
                <w:rFonts w:ascii="Arial" w:cs="Arial" w:eastAsia="Arial" w:hAnsi="Arial"/>
                <w:sz w:val="14"/>
                <w:szCs w:val="14"/>
                <w:i w:val="1"/>
                <w:iCs w:val="1"/>
                <w:color w:val="auto"/>
              </w:rPr>
              <w:t>Total Social Media</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4"/>
                <w:szCs w:val="14"/>
                <w:color w:val="auto"/>
              </w:rPr>
              <w:t>325,971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34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ind w:left="24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00" w:type="dxa"/>
            <w:vAlign w:val="bottom"/>
            <w:gridSpan w:val="2"/>
          </w:tcPr>
          <w:p>
            <w:pPr>
              <w:jc w:val="right"/>
              <w:ind w:right="12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(325,971)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0.00%</w:t>
            </w:r>
          </w:p>
        </w:tc>
      </w:tr>
      <w:tr>
        <w:trPr>
          <w:trHeight w:val="148"/>
        </w:trPr>
        <w:tc>
          <w:tcPr>
            <w:tcW w:w="160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Business Education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29"/>
        </w:trPr>
        <w:tc>
          <w:tcPr>
            <w:tcW w:w="1600" w:type="dxa"/>
            <w:vAlign w:val="bottom"/>
          </w:tcPr>
          <w:p>
            <w:pPr>
              <w:ind w:left="540"/>
              <w:spacing w:after="0" w:line="129" w:lineRule="exact"/>
              <w:rPr>
                <w:sz w:val="20"/>
                <w:szCs w:val="20"/>
                <w:color w:val="auto"/>
              </w:rPr>
            </w:pPr>
            <w:r>
              <w:rPr>
                <w:rFonts w:ascii="Arial" w:cs="Arial" w:eastAsia="Arial" w:hAnsi="Arial"/>
                <w:sz w:val="14"/>
                <w:szCs w:val="14"/>
                <w:color w:val="auto"/>
              </w:rPr>
              <w:t>Fullbridge, Inc. –</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60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1600" w:type="dxa"/>
            <w:vAlign w:val="bottom"/>
          </w:tcPr>
          <w:p>
            <w:pPr>
              <w:ind w:left="720"/>
              <w:spacing w:after="0" w:line="157" w:lineRule="exact"/>
              <w:rPr>
                <w:sz w:val="20"/>
                <w:szCs w:val="20"/>
                <w:color w:val="auto"/>
              </w:rPr>
            </w:pPr>
            <w:r>
              <w:rPr>
                <w:rFonts w:ascii="Arial" w:cs="Arial" w:eastAsia="Arial" w:hAnsi="Arial"/>
                <w:sz w:val="14"/>
                <w:szCs w:val="14"/>
                <w:color w:val="auto"/>
                <w:w w:val="96"/>
              </w:rPr>
              <w:t>shares, Series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1600" w:type="dxa"/>
            <w:vAlign w:val="bottom"/>
          </w:tcPr>
          <w:p>
            <w:pPr>
              <w:ind w:left="720"/>
              <w:spacing w:after="0" w:line="197" w:lineRule="exact"/>
              <w:rPr>
                <w:sz w:val="20"/>
                <w:szCs w:val="20"/>
                <w:color w:val="auto"/>
              </w:rPr>
            </w:pPr>
            <w:r>
              <w:rPr>
                <w:rFonts w:ascii="Arial" w:cs="Arial" w:eastAsia="Arial" w:hAnsi="Arial"/>
                <w:sz w:val="22"/>
                <w:szCs w:val="22"/>
                <w:color w:val="auto"/>
                <w:vertAlign w:val="subscript"/>
              </w:rPr>
              <w:t>D</w:t>
            </w:r>
            <w:r>
              <w:rPr>
                <w:rFonts w:ascii="Arial" w:cs="Arial" w:eastAsia="Arial" w:hAnsi="Arial"/>
                <w:sz w:val="10"/>
                <w:szCs w:val="10"/>
                <w:color w:val="auto"/>
              </w:rPr>
              <w:t>(8)</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3,111,714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1,040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w w:val="92"/>
              </w:rPr>
              <w:t>(3,112,754)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6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Fullbridge, Inc. –</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600" w:type="dxa"/>
            <w:vAlign w:val="bottom"/>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7"/>
        </w:trPr>
        <w:tc>
          <w:tcPr>
            <w:tcW w:w="160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w w:val="96"/>
              </w:rPr>
              <w:t>shares, Series</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97"/>
        </w:trPr>
        <w:tc>
          <w:tcPr>
            <w:tcW w:w="1600" w:type="dxa"/>
            <w:vAlign w:val="bottom"/>
            <w:shd w:val="clear" w:color="auto" w:fill="CCEEFF"/>
          </w:tcPr>
          <w:p>
            <w:pPr>
              <w:ind w:left="720"/>
              <w:spacing w:after="0" w:line="197" w:lineRule="exact"/>
              <w:rPr>
                <w:sz w:val="20"/>
                <w:szCs w:val="20"/>
                <w:color w:val="auto"/>
              </w:rPr>
            </w:pPr>
            <w:r>
              <w:rPr>
                <w:rFonts w:ascii="Arial" w:cs="Arial" w:eastAsia="Arial" w:hAnsi="Arial"/>
                <w:sz w:val="22"/>
                <w:szCs w:val="22"/>
                <w:color w:val="auto"/>
                <w:vertAlign w:val="subscript"/>
              </w:rPr>
              <w:t>C</w:t>
            </w:r>
            <w:r>
              <w:rPr>
                <w:rFonts w:ascii="Arial" w:cs="Arial" w:eastAsia="Arial" w:hAnsi="Arial"/>
                <w:sz w:val="10"/>
                <w:szCs w:val="10"/>
                <w:color w:val="auto"/>
              </w:rPr>
              <w:t>(8)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1,625,001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2"/>
              </w:rPr>
              <w:t>(1,625,001)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0.00%</w:t>
            </w:r>
          </w:p>
        </w:tc>
      </w:tr>
      <w:tr>
        <w:trPr>
          <w:trHeight w:val="20"/>
        </w:trPr>
        <w:tc>
          <w:tcPr>
            <w:tcW w:w="1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-2043430</wp:posOffset>
            </wp:positionV>
            <wp:extent cx="7026275" cy="1955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26275" cy="195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-1004570</wp:posOffset>
            </wp:positionV>
            <wp:extent cx="7026275" cy="1022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26275" cy="102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02627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50" w:name="page51"/>
    <w:bookmarkEnd w:id="5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NOTE 3 — INVESTMENTS AT FAIR VALUE – (continued) 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1738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17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173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173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8"/>
              </w:rPr>
              <w:t>Transfer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4"/>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6"/>
              </w:rPr>
              <w:t>Interest,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from 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72"/>
              <w:spacing w:after="0" w:line="134" w:lineRule="exact"/>
              <w:rPr>
                <w:sz w:val="20"/>
                <w:szCs w:val="20"/>
                <w:color w:val="auto"/>
              </w:rPr>
            </w:pPr>
            <w:r>
              <w:rPr>
                <w:rFonts w:ascii="Arial" w:cs="Arial" w:eastAsia="Arial" w:hAnsi="Arial"/>
                <w:sz w:val="13"/>
                <w:szCs w:val="13"/>
                <w:b w:val="1"/>
                <w:bCs w:val="1"/>
                <w:color w:val="auto"/>
                <w:w w:val="92"/>
              </w:rPr>
              <w:t>Fees, 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7"/>
              </w:rPr>
              <w:t>Investment to</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1"/>
              <w:spacing w:after="0" w:line="134"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2"/>
              <w:spacing w:after="0" w:line="134" w:lineRule="exact"/>
              <w:rPr>
                <w:sz w:val="20"/>
                <w:szCs w:val="20"/>
                <w:color w:val="auto"/>
              </w:rPr>
            </w:pPr>
            <w:r>
              <w:rPr>
                <w:rFonts w:ascii="Arial" w:cs="Arial" w:eastAsia="Arial" w:hAnsi="Arial"/>
                <w:sz w:val="13"/>
                <w:szCs w:val="13"/>
                <w:b w:val="1"/>
                <w:bCs w:val="1"/>
                <w:color w:val="auto"/>
                <w:w w:val="86"/>
              </w:rPr>
              <w:t>Dividends</w:t>
            </w:r>
          </w:p>
        </w:tc>
        <w:tc>
          <w:tcPr>
            <w:tcW w:w="160" w:type="dxa"/>
            <w:vAlign w:val="bottom"/>
          </w:tcPr>
          <w:p>
            <w:pPr>
              <w:spacing w:after="0"/>
              <w:rPr>
                <w:sz w:val="11"/>
                <w:szCs w:val="11"/>
                <w:color w:val="auto"/>
              </w:rPr>
            </w:pPr>
          </w:p>
        </w:tc>
        <w:tc>
          <w:tcPr>
            <w:tcW w:w="760" w:type="dxa"/>
            <w:vAlign w:val="bottom"/>
            <w:gridSpan w:val="2"/>
          </w:tcPr>
          <w:p>
            <w:pPr>
              <w:jc w:val="right"/>
              <w:spacing w:after="0" w:line="134" w:lineRule="exact"/>
              <w:rPr>
                <w:sz w:val="20"/>
                <w:szCs w:val="20"/>
                <w:color w:val="auto"/>
              </w:rPr>
            </w:pPr>
            <w:r>
              <w:rPr>
                <w:rFonts w:ascii="Arial" w:cs="Arial" w:eastAsia="Arial" w:hAnsi="Arial"/>
                <w:sz w:val="13"/>
                <w:szCs w:val="13"/>
                <w:b w:val="1"/>
                <w:bCs w:val="1"/>
                <w:color w:val="auto"/>
                <w:w w:val="93"/>
              </w:rPr>
              <w:t>Fair Value at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2"/>
              <w:spacing w:after="0" w:line="134" w:lineRule="exact"/>
              <w:rPr>
                <w:sz w:val="20"/>
                <w:szCs w:val="20"/>
                <w:color w:val="auto"/>
              </w:rPr>
            </w:pPr>
            <w:r>
              <w:rPr>
                <w:rFonts w:ascii="Arial" w:cs="Arial" w:eastAsia="Arial" w:hAnsi="Arial"/>
                <w:sz w:val="13"/>
                <w:szCs w:val="13"/>
                <w:b w:val="1"/>
                <w:bCs w:val="1"/>
                <w:color w:val="auto"/>
                <w:w w:val="90"/>
              </w:rPr>
              <w:t>Non-Control/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3"/>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1"/>
              <w:spacing w:after="0" w:line="134"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460" w:type="dxa"/>
            <w:vAlign w:val="bottom"/>
          </w:tcPr>
          <w:p>
            <w:pPr>
              <w:ind w:left="20"/>
              <w:spacing w:after="0" w:line="134" w:lineRule="exact"/>
              <w:rPr>
                <w:sz w:val="20"/>
                <w:szCs w:val="20"/>
                <w:color w:val="auto"/>
              </w:rPr>
            </w:pPr>
            <w:r>
              <w:rPr>
                <w:rFonts w:ascii="Arial" w:cs="Arial" w:eastAsia="Arial" w:hAnsi="Arial"/>
                <w:sz w:val="13"/>
                <w:szCs w:val="13"/>
                <w:b w:val="1"/>
                <w:bCs w:val="1"/>
                <w:color w:val="auto"/>
                <w:w w:val="99"/>
              </w:rPr>
              <w:t>Type/Industry/Portfolio</w:t>
            </w:r>
          </w:p>
        </w:tc>
        <w:tc>
          <w:tcPr>
            <w:tcW w:w="140" w:type="dxa"/>
            <w:vAlign w:val="bottom"/>
          </w:tcPr>
          <w:p>
            <w:pPr>
              <w:spacing w:after="0"/>
              <w:rPr>
                <w:sz w:val="11"/>
                <w:szCs w:val="11"/>
                <w:color w:val="auto"/>
              </w:rPr>
            </w:pPr>
          </w:p>
        </w:tc>
        <w:tc>
          <w:tcPr>
            <w:tcW w:w="940" w:type="dxa"/>
            <w:vAlign w:val="bottom"/>
            <w:gridSpan w:val="3"/>
          </w:tcPr>
          <w:p>
            <w:pPr>
              <w:jc w:val="right"/>
              <w:ind w:right="320"/>
              <w:spacing w:after="0" w:line="134" w:lineRule="exact"/>
              <w:rPr>
                <w:sz w:val="20"/>
                <w:szCs w:val="20"/>
                <w:color w:val="auto"/>
              </w:rPr>
            </w:pPr>
            <w:r>
              <w:rPr>
                <w:rFonts w:ascii="Arial" w:cs="Arial" w:eastAsia="Arial" w:hAnsi="Arial"/>
                <w:sz w:val="13"/>
                <w:szCs w:val="13"/>
                <w:b w:val="1"/>
                <w:bCs w:val="1"/>
                <w:color w:val="auto"/>
              </w:rPr>
              <w:t>Principal/</w:t>
            </w: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Credited</w:t>
            </w:r>
          </w:p>
        </w:tc>
        <w:tc>
          <w:tcPr>
            <w:tcW w:w="160" w:type="dxa"/>
            <w:vAlign w:val="bottom"/>
          </w:tcPr>
          <w:p>
            <w:pPr>
              <w:spacing w:after="0"/>
              <w:rPr>
                <w:sz w:val="11"/>
                <w:szCs w:val="11"/>
                <w:color w:val="auto"/>
              </w:rPr>
            </w:pPr>
          </w:p>
        </w:tc>
        <w:tc>
          <w:tcPr>
            <w:tcW w:w="76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w w:val="85"/>
              </w:rPr>
              <w:t>December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Non-Affiliate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3"/>
                <w:szCs w:val="13"/>
                <w:b w:val="1"/>
                <w:bCs w:val="1"/>
                <w:color w:val="auto"/>
                <w:w w:val="96"/>
              </w:rPr>
              <w:t>Corporate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7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1460" w:type="dxa"/>
            <w:vAlign w:val="bottom"/>
          </w:tcPr>
          <w:p>
            <w:pPr>
              <w:ind w:left="20"/>
              <w:spacing w:after="0"/>
              <w:rPr>
                <w:sz w:val="20"/>
                <w:szCs w:val="20"/>
                <w:color w:val="auto"/>
              </w:rPr>
            </w:pPr>
            <w:r>
              <w:rPr>
                <w:rFonts w:ascii="Arial" w:cs="Arial" w:eastAsia="Arial" w:hAnsi="Arial"/>
                <w:sz w:val="13"/>
                <w:szCs w:val="13"/>
                <w:b w:val="1"/>
                <w:bCs w:val="1"/>
                <w:color w:val="auto"/>
              </w:rPr>
              <w:t>Company/Investment</w:t>
            </w:r>
          </w:p>
        </w:tc>
        <w:tc>
          <w:tcPr>
            <w:tcW w:w="140" w:type="dxa"/>
            <w:vAlign w:val="bottom"/>
          </w:tcPr>
          <w:p>
            <w:pPr>
              <w:spacing w:after="0"/>
              <w:rPr>
                <w:sz w:val="13"/>
                <w:szCs w:val="13"/>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Quantity</w:t>
            </w:r>
          </w:p>
        </w:tc>
        <w:tc>
          <w:tcPr>
            <w:tcW w:w="620" w:type="dxa"/>
            <w:vAlign w:val="bottom"/>
          </w:tcPr>
          <w:p>
            <w:pPr>
              <w:jc w:val="center"/>
              <w:ind w:right="12"/>
              <w:spacing w:after="0"/>
              <w:rPr>
                <w:sz w:val="20"/>
                <w:szCs w:val="20"/>
                <w:color w:val="auto"/>
              </w:rPr>
            </w:pPr>
            <w:r>
              <w:rPr>
                <w:rFonts w:ascii="Arial" w:cs="Arial" w:eastAsia="Arial" w:hAnsi="Arial"/>
                <w:sz w:val="13"/>
                <w:szCs w:val="13"/>
                <w:b w:val="1"/>
                <w:bCs w:val="1"/>
                <w:color w:val="auto"/>
                <w:w w:val="88"/>
              </w:rPr>
              <w:t>in Income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69"/>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2"/>
              <w:spacing w:after="0"/>
              <w:rPr>
                <w:sz w:val="20"/>
                <w:szCs w:val="20"/>
                <w:color w:val="auto"/>
              </w:rPr>
            </w:pPr>
            <w:r>
              <w:rPr>
                <w:rFonts w:ascii="Arial" w:cs="Arial" w:eastAsia="Arial" w:hAnsi="Arial"/>
                <w:sz w:val="13"/>
                <w:szCs w:val="13"/>
                <w:b w:val="1"/>
                <w:bCs w:val="1"/>
                <w:color w:val="auto"/>
                <w:w w:val="87"/>
              </w:rPr>
              <w:t>Investment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3"/>
                <w:szCs w:val="13"/>
                <w:b w:val="1"/>
                <w:bCs w:val="1"/>
                <w:color w:val="auto"/>
              </w:rPr>
              <w:t>Action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9"/>
              <w:spacing w:after="0"/>
              <w:rPr>
                <w:sz w:val="20"/>
                <w:szCs w:val="20"/>
                <w:color w:val="auto"/>
              </w:rPr>
            </w:pPr>
            <w:r>
              <w:rPr>
                <w:rFonts w:ascii="Arial" w:cs="Arial" w:eastAsia="Arial" w:hAnsi="Arial"/>
                <w:sz w:val="13"/>
                <w:szCs w:val="13"/>
                <w:b w:val="1"/>
                <w:bCs w:val="1"/>
                <w:color w:val="auto"/>
                <w:w w:val="79"/>
              </w:rPr>
              <w:t>Purchases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ind w:left="6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5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1"/>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1"/>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22"/>
        </w:trPr>
        <w:tc>
          <w:tcPr>
            <w:tcW w:w="1460" w:type="dxa"/>
            <w:vAlign w:val="bottom"/>
            <w:tcBorders>
              <w:top w:val="single" w:sz="8" w:color="auto"/>
            </w:tcBorders>
          </w:tcPr>
          <w:p>
            <w:pPr>
              <w:ind w:left="380"/>
              <w:spacing w:after="0" w:line="123" w:lineRule="exact"/>
              <w:rPr>
                <w:sz w:val="20"/>
                <w:szCs w:val="20"/>
                <w:color w:val="auto"/>
              </w:rPr>
            </w:pPr>
            <w:r>
              <w:rPr>
                <w:rFonts w:ascii="Arial" w:cs="Arial" w:eastAsia="Arial" w:hAnsi="Arial"/>
                <w:sz w:val="14"/>
                <w:szCs w:val="14"/>
                <w:i w:val="1"/>
                <w:iCs w:val="1"/>
                <w:color w:val="auto"/>
              </w:rPr>
              <w:t>Total Business</w:t>
            </w: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r>
      <w:tr>
        <w:trPr>
          <w:trHeight w:val="166"/>
        </w:trPr>
        <w:tc>
          <w:tcPr>
            <w:tcW w:w="1460" w:type="dxa"/>
            <w:vAlign w:val="bottom"/>
          </w:tcPr>
          <w:p>
            <w:pPr>
              <w:ind w:left="540"/>
              <w:spacing w:after="0"/>
              <w:rPr>
                <w:sz w:val="20"/>
                <w:szCs w:val="20"/>
                <w:color w:val="auto"/>
              </w:rPr>
            </w:pPr>
            <w:r>
              <w:rPr>
                <w:rFonts w:ascii="Arial" w:cs="Arial" w:eastAsia="Arial" w:hAnsi="Arial"/>
                <w:sz w:val="14"/>
                <w:szCs w:val="14"/>
                <w:i w:val="1"/>
                <w:iCs w:val="1"/>
                <w:color w:val="auto"/>
              </w:rPr>
              <w:t>Education</w:t>
            </w:r>
          </w:p>
        </w:tc>
        <w:tc>
          <w:tcPr>
            <w:tcW w:w="10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4,736,715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1,040</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ind w:left="1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(4,737,755)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46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i w:val="1"/>
                <w:iCs w:val="1"/>
                <w:color w:val="auto"/>
              </w:rPr>
              <w:t>Cash Payment</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6"/>
        </w:trPr>
        <w:tc>
          <w:tcPr>
            <w:tcW w:w="146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Network</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29"/>
        </w:trPr>
        <w:tc>
          <w:tcPr>
            <w:tcW w:w="1460" w:type="dxa"/>
            <w:vAlign w:val="bottom"/>
          </w:tcPr>
          <w:p>
            <w:pPr>
              <w:ind w:left="540"/>
              <w:spacing w:after="0" w:line="129" w:lineRule="exact"/>
              <w:rPr>
                <w:sz w:val="20"/>
                <w:szCs w:val="20"/>
                <w:color w:val="auto"/>
              </w:rPr>
            </w:pPr>
            <w:r>
              <w:rPr>
                <w:rFonts w:ascii="Arial" w:cs="Arial" w:eastAsia="Arial" w:hAnsi="Arial"/>
                <w:sz w:val="14"/>
                <w:szCs w:val="14"/>
                <w:color w:val="auto"/>
              </w:rPr>
              <w:t>Handle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Financial,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Inc. (f/k/a</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w w:val="92"/>
              </w:rPr>
              <w:t>PayNearMe,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Inc.) –</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60"/>
              <w:spacing w:after="0" w:line="147" w:lineRule="exact"/>
              <w:rPr>
                <w:sz w:val="20"/>
                <w:szCs w:val="20"/>
                <w:color w:val="auto"/>
              </w:rPr>
            </w:pPr>
            <w:r>
              <w:rPr>
                <w:rFonts w:ascii="Arial" w:cs="Arial" w:eastAsia="Arial" w:hAnsi="Arial"/>
                <w:sz w:val="14"/>
                <w:szCs w:val="14"/>
                <w:color w:val="auto"/>
              </w:rPr>
              <w:t>Preferred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1460" w:type="dxa"/>
            <w:vAlign w:val="bottom"/>
          </w:tcPr>
          <w:p>
            <w:pPr>
              <w:ind w:left="720"/>
              <w:spacing w:after="0" w:line="157"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1460" w:type="dxa"/>
            <w:vAlign w:val="bottom"/>
          </w:tcPr>
          <w:p>
            <w:pPr>
              <w:ind w:left="720"/>
              <w:spacing w:after="0" w:line="197" w:lineRule="exact"/>
              <w:rPr>
                <w:sz w:val="20"/>
                <w:szCs w:val="20"/>
                <w:color w:val="auto"/>
              </w:rPr>
            </w:pPr>
            <w:r>
              <w:rPr>
                <w:rFonts w:ascii="Arial" w:cs="Arial" w:eastAsia="Arial" w:hAnsi="Arial"/>
                <w:sz w:val="14"/>
                <w:szCs w:val="14"/>
                <w:color w:val="auto"/>
              </w:rPr>
              <w:t>Series E</w:t>
            </w:r>
            <w:r>
              <w:rPr>
                <w:rFonts w:ascii="Arial" w:cs="Arial" w:eastAsia="Arial" w:hAnsi="Arial"/>
                <w:sz w:val="22"/>
                <w:szCs w:val="22"/>
                <w:color w:val="auto"/>
                <w:vertAlign w:val="superscript"/>
              </w:rPr>
              <w:t>(8)</w:t>
            </w:r>
          </w:p>
        </w:tc>
        <w:tc>
          <w:tcPr>
            <w:tcW w:w="14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88"/>
              </w:rPr>
              <w:t>13,974,887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w w:val="93"/>
              </w:rPr>
              <w:t>(13,974,887)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ind w:left="1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48"/>
        </w:trPr>
        <w:tc>
          <w:tcPr>
            <w:tcW w:w="14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Total Preferred Stock</w:t>
            </w:r>
          </w:p>
        </w:tc>
        <w:tc>
          <w:tcPr>
            <w:tcW w:w="1080" w:type="dxa"/>
            <w:vAlign w:val="bottom"/>
            <w:gridSpan w:val="4"/>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88"/>
              </w:rPr>
              <w:t>59,328,596</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3"/>
              </w:rPr>
              <w:t>(13,974,887)</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89"/>
              </w:rPr>
              <w:t>2,001,563</w:t>
            </w:r>
          </w:p>
        </w:tc>
        <w:tc>
          <w:tcPr>
            <w:tcW w:w="3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3"/>
              </w:rPr>
              <w:t>(14,487,496)</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88"/>
              </w:rPr>
              <w:t>32,867,776</w:t>
            </w:r>
          </w:p>
        </w:tc>
        <w:tc>
          <w:tcPr>
            <w:tcW w:w="7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17.11%</w:t>
            </w:r>
          </w:p>
        </w:tc>
      </w:tr>
      <w:tr>
        <w:trPr>
          <w:trHeight w:val="148"/>
        </w:trPr>
        <w:tc>
          <w:tcPr>
            <w:tcW w:w="14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Big Data Consulting</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29"/>
        </w:trPr>
        <w:tc>
          <w:tcPr>
            <w:tcW w:w="1460" w:type="dxa"/>
            <w:vAlign w:val="bottom"/>
          </w:tcPr>
          <w:p>
            <w:pPr>
              <w:ind w:left="540"/>
              <w:spacing w:after="0" w:line="129" w:lineRule="exact"/>
              <w:rPr>
                <w:sz w:val="20"/>
                <w:szCs w:val="20"/>
                <w:color w:val="auto"/>
              </w:rPr>
            </w:pPr>
            <w:r>
              <w:rPr>
                <w:rFonts w:ascii="Arial" w:cs="Arial" w:eastAsia="Arial" w:hAnsi="Arial"/>
                <w:sz w:val="14"/>
                <w:szCs w:val="14"/>
                <w:color w:val="auto"/>
              </w:rPr>
              <w:t>Strategic Data</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Command,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LLC –</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1460" w:type="dxa"/>
            <w:vAlign w:val="bottom"/>
          </w:tcPr>
          <w:p>
            <w:pPr>
              <w:ind w:left="760"/>
              <w:spacing w:after="0" w:line="157" w:lineRule="exact"/>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1460" w:type="dxa"/>
            <w:vAlign w:val="bottom"/>
          </w:tcPr>
          <w:p>
            <w:pPr>
              <w:ind w:left="720"/>
              <w:spacing w:after="0" w:line="197" w:lineRule="exact"/>
              <w:rPr>
                <w:sz w:val="20"/>
                <w:szCs w:val="20"/>
                <w:color w:val="auto"/>
              </w:rPr>
            </w:pPr>
            <w:r>
              <w:rPr>
                <w:rFonts w:ascii="Arial" w:cs="Arial" w:eastAsia="Arial" w:hAnsi="Arial"/>
                <w:sz w:val="14"/>
                <w:szCs w:val="14"/>
                <w:color w:val="auto"/>
              </w:rPr>
              <w:t>shares</w:t>
            </w:r>
            <w:r>
              <w:rPr>
                <w:rFonts w:ascii="Arial" w:cs="Arial" w:eastAsia="Arial" w:hAnsi="Arial"/>
                <w:sz w:val="22"/>
                <w:szCs w:val="22"/>
                <w:color w:val="auto"/>
                <w:vertAlign w:val="superscript"/>
              </w:rPr>
              <w:t>(7)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2,400,000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1,001,650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1,050,905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2,052,555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1.07%</w:t>
            </w:r>
          </w:p>
        </w:tc>
      </w:tr>
      <w:tr>
        <w:trPr>
          <w:trHeight w:val="129"/>
        </w:trPr>
        <w:tc>
          <w:tcPr>
            <w:tcW w:w="146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i w:val="1"/>
                <w:iCs w:val="1"/>
                <w:color w:val="auto"/>
              </w:rPr>
              <w:t>Globally-Focused</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6"/>
        </w:trPr>
        <w:tc>
          <w:tcPr>
            <w:tcW w:w="146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Private School</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29"/>
        </w:trPr>
        <w:tc>
          <w:tcPr>
            <w:tcW w:w="1460" w:type="dxa"/>
            <w:vAlign w:val="bottom"/>
          </w:tcPr>
          <w:p>
            <w:pPr>
              <w:ind w:left="540"/>
              <w:spacing w:after="0" w:line="129" w:lineRule="exact"/>
              <w:rPr>
                <w:sz w:val="20"/>
                <w:szCs w:val="20"/>
                <w:color w:val="auto"/>
              </w:rPr>
            </w:pPr>
            <w:r>
              <w:rPr>
                <w:rFonts w:ascii="Arial" w:cs="Arial" w:eastAsia="Arial" w:hAnsi="Arial"/>
                <w:sz w:val="14"/>
                <w:szCs w:val="14"/>
                <w:color w:val="auto"/>
              </w:rPr>
              <w:t>Whittle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Schools,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LLC –</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1460" w:type="dxa"/>
            <w:vAlign w:val="bottom"/>
          </w:tcPr>
          <w:p>
            <w:pPr>
              <w:ind w:left="760"/>
              <w:spacing w:after="0" w:line="157" w:lineRule="exact"/>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1460" w:type="dxa"/>
            <w:vAlign w:val="bottom"/>
          </w:tcPr>
          <w:p>
            <w:pPr>
              <w:ind w:left="720"/>
              <w:spacing w:after="0" w:line="197" w:lineRule="exact"/>
              <w:rPr>
                <w:sz w:val="20"/>
                <w:szCs w:val="20"/>
                <w:color w:val="auto"/>
              </w:rPr>
            </w:pPr>
            <w:r>
              <w:rPr>
                <w:rFonts w:ascii="Arial" w:cs="Arial" w:eastAsia="Arial" w:hAnsi="Arial"/>
                <w:sz w:val="14"/>
                <w:szCs w:val="14"/>
                <w:color w:val="auto"/>
              </w:rPr>
              <w:t>shares</w:t>
            </w:r>
            <w:r>
              <w:rPr>
                <w:rFonts w:ascii="Arial" w:cs="Arial" w:eastAsia="Arial" w:hAnsi="Arial"/>
                <w:sz w:val="22"/>
                <w:szCs w:val="22"/>
                <w:color w:val="auto"/>
                <w:vertAlign w:val="superscript"/>
              </w:rPr>
              <w:t>(3)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229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9"/>
              </w:rPr>
              <w:t>1,500,000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1,500,000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0.78%</w:t>
            </w:r>
          </w:p>
        </w:tc>
      </w:tr>
      <w:tr>
        <w:trPr>
          <w:trHeight w:val="129"/>
        </w:trPr>
        <w:tc>
          <w:tcPr>
            <w:tcW w:w="146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i w:val="1"/>
                <w:iCs w:val="1"/>
                <w:color w:val="auto"/>
              </w:rPr>
              <w:t>Consumer Health</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66"/>
        </w:trPr>
        <w:tc>
          <w:tcPr>
            <w:tcW w:w="1460" w:type="dxa"/>
            <w:vAlign w:val="bottom"/>
            <w:shd w:val="clear" w:color="auto" w:fill="CCEEFF"/>
          </w:tcPr>
          <w:p>
            <w:pPr>
              <w:ind w:left="380"/>
              <w:spacing w:after="0"/>
              <w:rPr>
                <w:sz w:val="20"/>
                <w:szCs w:val="20"/>
                <w:color w:val="auto"/>
              </w:rPr>
            </w:pPr>
            <w:r>
              <w:rPr>
                <w:rFonts w:ascii="Arial" w:cs="Arial" w:eastAsia="Arial" w:hAnsi="Arial"/>
                <w:sz w:val="14"/>
                <w:szCs w:val="14"/>
                <w:i w:val="1"/>
                <w:iCs w:val="1"/>
                <w:color w:val="auto"/>
              </w:rPr>
              <w:t>Technology</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29"/>
        </w:trPr>
        <w:tc>
          <w:tcPr>
            <w:tcW w:w="1460" w:type="dxa"/>
            <w:vAlign w:val="bottom"/>
          </w:tcPr>
          <w:p>
            <w:pPr>
              <w:ind w:left="540"/>
              <w:spacing w:after="0" w:line="129" w:lineRule="exact"/>
              <w:rPr>
                <w:sz w:val="20"/>
                <w:szCs w:val="20"/>
                <w:color w:val="auto"/>
              </w:rPr>
            </w:pPr>
            <w:r>
              <w:rPr>
                <w:rFonts w:ascii="Arial" w:cs="Arial" w:eastAsia="Arial" w:hAnsi="Arial"/>
                <w:sz w:val="14"/>
                <w:szCs w:val="14"/>
                <w:color w:val="auto"/>
                <w:w w:val="93"/>
              </w:rPr>
              <w:t>Orchestra One,</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Inc. (f/k/a</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Learnist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Inc.) –</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1460" w:type="dxa"/>
            <w:vAlign w:val="bottom"/>
          </w:tcPr>
          <w:p>
            <w:pPr>
              <w:ind w:left="760"/>
              <w:spacing w:after="0" w:line="157" w:lineRule="exact"/>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1460" w:type="dxa"/>
            <w:vAlign w:val="bottom"/>
          </w:tcPr>
          <w:p>
            <w:pPr>
              <w:ind w:left="720"/>
              <w:spacing w:after="0" w:line="197"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22"/>
                <w:szCs w:val="22"/>
                <w:color w:val="auto"/>
                <w:vertAlign w:val="superscript"/>
              </w:rPr>
              <w:t>(6)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57,026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(4,364)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48"/>
        </w:trPr>
        <w:tc>
          <w:tcPr>
            <w:tcW w:w="14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Total Common Stock</w:t>
            </w:r>
          </w:p>
        </w:tc>
        <w:tc>
          <w:tcPr>
            <w:tcW w:w="1080" w:type="dxa"/>
            <w:vAlign w:val="bottom"/>
            <w:gridSpan w:val="4"/>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2,506,014</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(4,364)</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4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2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1"/>
              <w:spacing w:after="0" w:line="147" w:lineRule="exact"/>
              <w:rPr>
                <w:sz w:val="20"/>
                <w:szCs w:val="20"/>
                <w:color w:val="auto"/>
              </w:rPr>
            </w:pPr>
            <w:r>
              <w:rPr>
                <w:rFonts w:ascii="Arial" w:cs="Arial" w:eastAsia="Arial" w:hAnsi="Arial"/>
                <w:sz w:val="14"/>
                <w:szCs w:val="14"/>
                <w:color w:val="auto"/>
              </w:rPr>
              <w:t>1,050,905</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99"/>
              </w:rPr>
              <w:t>3,552,555</w:t>
            </w:r>
          </w:p>
        </w:tc>
        <w:tc>
          <w:tcPr>
            <w:tcW w:w="7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1.85%</w:t>
            </w:r>
          </w:p>
        </w:tc>
      </w:tr>
      <w:tr>
        <w:trPr>
          <w:trHeight w:val="148"/>
        </w:trPr>
        <w:tc>
          <w:tcPr>
            <w:tcW w:w="146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shd w:val="clear" w:color="auto" w:fill="CCEEFF"/>
          </w:tcPr>
          <w:p>
            <w:pPr>
              <w:ind w:left="200"/>
              <w:spacing w:after="0" w:line="147" w:lineRule="exact"/>
              <w:rPr>
                <w:sz w:val="20"/>
                <w:szCs w:val="20"/>
                <w:color w:val="auto"/>
              </w:rPr>
            </w:pPr>
            <w:r>
              <w:rPr>
                <w:rFonts w:ascii="Arial" w:cs="Arial" w:eastAsia="Arial" w:hAnsi="Arial"/>
                <w:sz w:val="14"/>
                <w:szCs w:val="14"/>
                <w:i w:val="1"/>
                <w:iCs w:val="1"/>
                <w:color w:val="auto"/>
              </w:rPr>
              <w:t>Sports Analytics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29"/>
        </w:trPr>
        <w:tc>
          <w:tcPr>
            <w:tcW w:w="1460" w:type="dxa"/>
            <w:vAlign w:val="bottom"/>
          </w:tcPr>
          <w:p>
            <w:pPr>
              <w:ind w:left="540"/>
              <w:spacing w:after="0" w:line="129" w:lineRule="exact"/>
              <w:rPr>
                <w:sz w:val="20"/>
                <w:szCs w:val="20"/>
                <w:color w:val="auto"/>
              </w:rPr>
            </w:pPr>
            <w:r>
              <w:rPr>
                <w:rFonts w:ascii="Arial" w:cs="Arial" w:eastAsia="Arial" w:hAnsi="Arial"/>
                <w:sz w:val="14"/>
                <w:szCs w:val="14"/>
                <w:color w:val="auto"/>
              </w:rPr>
              <w:t>Circle Media</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(f/k/a S3</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Digital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w w:val="97"/>
              </w:rPr>
              <w:t>Corp. (d/b/a</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S3i)) –</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warrants,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w w:val="96"/>
              </w:rPr>
              <w:t>$1.17 Strike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Price,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Expiration</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460" w:type="dxa"/>
            <w:vAlign w:val="bottom"/>
          </w:tcPr>
          <w:p>
            <w:pPr>
              <w:ind w:left="720"/>
              <w:spacing w:after="0" w:line="147" w:lineRule="exact"/>
              <w:rPr>
                <w:sz w:val="20"/>
                <w:szCs w:val="20"/>
                <w:color w:val="auto"/>
              </w:rPr>
            </w:pPr>
            <w:r>
              <w:rPr>
                <w:rFonts w:ascii="Arial" w:cs="Arial" w:eastAsia="Arial" w:hAnsi="Arial"/>
                <w:sz w:val="14"/>
                <w:szCs w:val="14"/>
                <w:color w:val="auto"/>
              </w:rPr>
              <w:t>Date</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460" w:type="dxa"/>
            <w:vAlign w:val="bottom"/>
          </w:tcPr>
          <w:p>
            <w:pPr>
              <w:ind w:left="720"/>
              <w:spacing w:after="0"/>
              <w:rPr>
                <w:sz w:val="20"/>
                <w:szCs w:val="20"/>
                <w:color w:val="auto"/>
              </w:rPr>
            </w:pPr>
            <w:r>
              <w:rPr>
                <w:rFonts w:ascii="Arial" w:cs="Arial" w:eastAsia="Arial" w:hAnsi="Arial"/>
                <w:sz w:val="14"/>
                <w:szCs w:val="14"/>
                <w:color w:val="auto"/>
              </w:rPr>
              <w:t>11/18/2022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5,360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46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Circle Media</w:t>
            </w: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4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(f/k/a S3</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4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Digital</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4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7"/>
              </w:rPr>
              <w:t>Corp. (d/b/a</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4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S3i)) –</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4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Preferred</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4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warrants,</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4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6"/>
              </w:rPr>
              <w:t>$1.17 Strike</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4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Price,</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4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Expiration</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46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Date</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4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8/29/2021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175,815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0.00%</w:t>
            </w:r>
          </w:p>
        </w:tc>
      </w:tr>
    </w:tbl>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51" w:name="page52"/>
    <w:bookmarkEnd w:id="5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NOTE 3 — INVESTMENTS AT FAIR VALUE – (continued) 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173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17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173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173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21" w:lineRule="exact"/>
              <w:rPr>
                <w:sz w:val="20"/>
                <w:szCs w:val="20"/>
                <w:color w:val="auto"/>
              </w:rPr>
            </w:pPr>
            <w:r>
              <w:rPr>
                <w:rFonts w:ascii="Arial" w:cs="Arial" w:eastAsia="Arial" w:hAnsi="Arial"/>
                <w:sz w:val="13"/>
                <w:szCs w:val="13"/>
                <w:b w:val="1"/>
                <w:bCs w:val="1"/>
                <w:color w:val="auto"/>
                <w:w w:val="99"/>
              </w:rPr>
              <w:t>Transfer</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4"/>
        </w:trPr>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Interest,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8"/>
              </w:rPr>
              <w:t>from Control</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w w:val="92"/>
              </w:rPr>
              <w:t>Fees, or</w:t>
            </w:r>
          </w:p>
        </w:tc>
        <w:tc>
          <w:tcPr>
            <w:tcW w:w="160" w:type="dxa"/>
            <w:vAlign w:val="bottom"/>
          </w:tcPr>
          <w:p>
            <w:pPr>
              <w:spacing w:after="0"/>
              <w:rPr>
                <w:sz w:val="11"/>
                <w:szCs w:val="11"/>
                <w:color w:val="auto"/>
              </w:rPr>
            </w:pPr>
          </w:p>
        </w:tc>
        <w:tc>
          <w:tcPr>
            <w:tcW w:w="860" w:type="dxa"/>
            <w:vAlign w:val="bottom"/>
            <w:gridSpan w:val="4"/>
          </w:tcPr>
          <w:p>
            <w:pPr>
              <w:spacing w:after="0" w:line="134" w:lineRule="exact"/>
              <w:rPr>
                <w:sz w:val="20"/>
                <w:szCs w:val="20"/>
                <w:color w:val="auto"/>
              </w:rPr>
            </w:pPr>
            <w:r>
              <w:rPr>
                <w:rFonts w:ascii="Arial" w:cs="Arial" w:eastAsia="Arial" w:hAnsi="Arial"/>
                <w:sz w:val="13"/>
                <w:szCs w:val="13"/>
                <w:b w:val="1"/>
                <w:bCs w:val="1"/>
                <w:color w:val="auto"/>
              </w:rPr>
              <w:t>Fair Value at</w:t>
            </w: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Investment to</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Dividends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rPr>
              <w:t>December</w:t>
            </w: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8"/>
              </w:rPr>
              <w:t>Non-Control/</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70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60" w:type="dxa"/>
            <w:vAlign w:val="bottom"/>
          </w:tcPr>
          <w:p>
            <w:pPr>
              <w:spacing w:after="0"/>
              <w:rPr>
                <w:sz w:val="11"/>
                <w:szCs w:val="11"/>
                <w:color w:val="auto"/>
              </w:rPr>
            </w:pPr>
          </w:p>
        </w:tc>
        <w:tc>
          <w:tcPr>
            <w:tcW w:w="700" w:type="dxa"/>
            <w:vAlign w:val="bottom"/>
          </w:tcPr>
          <w:p>
            <w:pPr>
              <w:jc w:val="right"/>
              <w:ind w:right="17"/>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7"/>
              </w:rPr>
              <w:t>Credited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31"/>
              <w:spacing w:after="0" w:line="134" w:lineRule="exact"/>
              <w:rPr>
                <w:sz w:val="20"/>
                <w:szCs w:val="20"/>
                <w:color w:val="auto"/>
              </w:rPr>
            </w:pPr>
            <w:r>
              <w:rPr>
                <w:rFonts w:ascii="Arial" w:cs="Arial" w:eastAsia="Arial" w:hAnsi="Arial"/>
                <w:sz w:val="13"/>
                <w:szCs w:val="13"/>
                <w:b w:val="1"/>
                <w:bCs w:val="1"/>
                <w:color w:val="auto"/>
              </w:rPr>
              <w:t>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0"/>
              </w:rPr>
              <w:t>Non-Affiliate</w:t>
            </w:r>
          </w:p>
        </w:tc>
        <w:tc>
          <w:tcPr>
            <w:tcW w:w="22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99"/>
              </w:rPr>
              <w:t>Corporate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8"/>
              </w:rPr>
              <w:t>in Income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2015</w:t>
            </w:r>
          </w:p>
        </w:tc>
        <w:tc>
          <w:tcPr>
            <w:tcW w:w="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220" w:type="dxa"/>
            <w:vAlign w:val="bottom"/>
          </w:tcPr>
          <w:p>
            <w:pPr>
              <w:spacing w:after="0"/>
              <w:rPr>
                <w:sz w:val="13"/>
                <w:szCs w:val="13"/>
                <w:color w:val="auto"/>
              </w:rPr>
            </w:pP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Action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8"/>
              </w:rPr>
              <w:t>Purchases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78"/>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78"/>
              </w:rPr>
              <w:t>(Losses)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22"/>
        </w:trPr>
        <w:tc>
          <w:tcPr>
            <w:tcW w:w="1700" w:type="dxa"/>
            <w:vAlign w:val="bottom"/>
          </w:tcPr>
          <w:p>
            <w:pPr>
              <w:ind w:left="540"/>
              <w:spacing w:after="0" w:line="123" w:lineRule="exact"/>
              <w:rPr>
                <w:sz w:val="20"/>
                <w:szCs w:val="20"/>
                <w:color w:val="auto"/>
              </w:rPr>
            </w:pPr>
            <w:r>
              <w:rPr>
                <w:rFonts w:ascii="Arial" w:cs="Arial" w:eastAsia="Arial" w:hAnsi="Arial"/>
                <w:sz w:val="14"/>
                <w:szCs w:val="14"/>
                <w:color w:val="auto"/>
              </w:rPr>
              <w:t>Circle Media (f/k/a</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w w:val="97"/>
              </w:rPr>
              <w:t>S3 Digital Corp.</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rPr>
              <w:t>(d/b/a S3i))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w w:val="99"/>
              </w:rPr>
              <w:t>warrants, $1.17</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rPr>
              <w:t>Expiration Date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700" w:type="dxa"/>
            <w:vAlign w:val="bottom"/>
          </w:tcPr>
          <w:p>
            <w:pPr>
              <w:ind w:left="720"/>
              <w:spacing w:after="0"/>
              <w:rPr>
                <w:sz w:val="20"/>
                <w:szCs w:val="20"/>
                <w:color w:val="auto"/>
              </w:rPr>
            </w:pPr>
            <w:r>
              <w:rPr>
                <w:rFonts w:ascii="Arial" w:cs="Arial" w:eastAsia="Arial" w:hAnsi="Arial"/>
                <w:sz w:val="14"/>
                <w:szCs w:val="14"/>
                <w:color w:val="auto"/>
              </w:rPr>
              <w:t>6/26/2021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38,594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3,088</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(3,088)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7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Circle Media (f/k/a</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7"/>
              </w:rPr>
              <w:t>S3 Digital Corp.</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(d/b/a S3i))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9"/>
              </w:rPr>
              <w:t>warrants, $1.17</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Expiration Date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9/30/2020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160,806</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12,864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(12,864)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700" w:type="dxa"/>
            <w:vAlign w:val="bottom"/>
          </w:tcPr>
          <w:p>
            <w:pPr>
              <w:ind w:left="540"/>
              <w:spacing w:after="0" w:line="129" w:lineRule="exact"/>
              <w:rPr>
                <w:sz w:val="20"/>
                <w:szCs w:val="20"/>
                <w:color w:val="auto"/>
              </w:rPr>
            </w:pPr>
            <w:r>
              <w:rPr>
                <w:rFonts w:ascii="Arial" w:cs="Arial" w:eastAsia="Arial" w:hAnsi="Arial"/>
                <w:sz w:val="14"/>
                <w:szCs w:val="14"/>
                <w:color w:val="auto"/>
              </w:rPr>
              <w:t>Circle Media (f/k/a</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w w:val="97"/>
              </w:rPr>
              <w:t>S3 Digital Corp.</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rPr>
              <w:t>(d/b/a S3i)) –</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w w:val="99"/>
              </w:rPr>
              <w:t>warrants, $1.00</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rPr>
              <w:t>Expiration Date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6"/>
        </w:trPr>
        <w:tc>
          <w:tcPr>
            <w:tcW w:w="1700" w:type="dxa"/>
            <w:vAlign w:val="bottom"/>
          </w:tcPr>
          <w:p>
            <w:pPr>
              <w:ind w:left="720"/>
              <w:spacing w:after="0"/>
              <w:rPr>
                <w:sz w:val="20"/>
                <w:szCs w:val="20"/>
                <w:color w:val="auto"/>
              </w:rPr>
            </w:pPr>
            <w:r>
              <w:rPr>
                <w:rFonts w:ascii="Arial" w:cs="Arial" w:eastAsia="Arial" w:hAnsi="Arial"/>
                <w:sz w:val="14"/>
                <w:szCs w:val="14"/>
                <w:color w:val="auto"/>
              </w:rPr>
              <w:t>11/21/2017</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55,000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20"/>
        </w:trPr>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41"/>
        </w:trPr>
        <w:tc>
          <w:tcPr>
            <w:tcW w:w="1700" w:type="dxa"/>
            <w:vAlign w:val="bottom"/>
            <w:shd w:val="clear" w:color="auto" w:fill="CCEEFF"/>
          </w:tcPr>
          <w:p>
            <w:pPr>
              <w:ind w:left="380"/>
              <w:spacing w:after="0" w:line="141" w:lineRule="exact"/>
              <w:rPr>
                <w:sz w:val="20"/>
                <w:szCs w:val="20"/>
                <w:color w:val="auto"/>
              </w:rPr>
            </w:pPr>
            <w:r>
              <w:rPr>
                <w:rFonts w:ascii="Arial" w:cs="Arial" w:eastAsia="Arial" w:hAnsi="Arial"/>
                <w:sz w:val="14"/>
                <w:szCs w:val="14"/>
                <w:i w:val="1"/>
                <w:iCs w:val="1"/>
                <w:color w:val="auto"/>
                <w:w w:val="95"/>
              </w:rPr>
              <w:t>Total Sports Analytics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color w:val="auto"/>
              </w:rPr>
              <w:t>85,446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0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4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80"/>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(85,446)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0.00%</w:t>
            </w:r>
          </w:p>
        </w:tc>
      </w:tr>
      <w:tr>
        <w:trPr>
          <w:trHeight w:val="148"/>
        </w:trPr>
        <w:tc>
          <w:tcPr>
            <w:tcW w:w="170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Corporate Education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17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CUX, Inc. (d/b/a</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CorpU) –</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9"/>
              </w:rPr>
              <w:t>warrants, $4.59</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Expiration Date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2/25/2018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16,903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10,142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4"/>
                <w:szCs w:val="14"/>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(5,747)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4,395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48"/>
        </w:trPr>
        <w:tc>
          <w:tcPr>
            <w:tcW w:w="1700" w:type="dxa"/>
            <w:vAlign w:val="bottom"/>
          </w:tcPr>
          <w:p>
            <w:pPr>
              <w:ind w:left="200"/>
              <w:spacing w:after="0" w:line="147" w:lineRule="exact"/>
              <w:rPr>
                <w:sz w:val="20"/>
                <w:szCs w:val="20"/>
                <w:color w:val="auto"/>
              </w:rPr>
            </w:pPr>
            <w:r>
              <w:rPr>
                <w:rFonts w:ascii="Arial" w:cs="Arial" w:eastAsia="Arial" w:hAnsi="Arial"/>
                <w:sz w:val="14"/>
                <w:szCs w:val="14"/>
                <w:i w:val="1"/>
                <w:iCs w:val="1"/>
                <w:color w:val="auto"/>
              </w:rPr>
              <w:t>Social Media</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170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AlwaysOn, Inc. –</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700" w:type="dxa"/>
            <w:vAlign w:val="bottom"/>
            <w:shd w:val="clear" w:color="auto" w:fill="CCEEFF"/>
          </w:tcPr>
          <w:p>
            <w:pPr>
              <w:ind w:left="760"/>
              <w:spacing w:after="0" w:line="147" w:lineRule="exact"/>
              <w:rPr>
                <w:sz w:val="20"/>
                <w:szCs w:val="20"/>
                <w:color w:val="auto"/>
              </w:rPr>
            </w:pPr>
            <w:r>
              <w:rPr>
                <w:rFonts w:ascii="Arial" w:cs="Arial" w:eastAsia="Arial" w:hAnsi="Arial"/>
                <w:sz w:val="14"/>
                <w:szCs w:val="14"/>
                <w:color w:val="auto"/>
              </w:rPr>
              <w:t>Preferred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8"/>
              </w:rPr>
              <w:t>warrants Series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A, $1.00 Strike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4"/>
              </w:rPr>
              <w:t>Price, Expiration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66"/>
        </w:trPr>
        <w:tc>
          <w:tcPr>
            <w:tcW w:w="1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Date 1/9/2017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109,375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97"/>
              <w:spacing w:after="0"/>
              <w:rPr>
                <w:sz w:val="20"/>
                <w:szCs w:val="20"/>
                <w:color w:val="auto"/>
              </w:rPr>
            </w:pPr>
            <w:r>
              <w:rPr>
                <w:rFonts w:ascii="Arial" w:cs="Arial" w:eastAsia="Arial" w:hAnsi="Arial"/>
                <w:sz w:val="14"/>
                <w:szCs w:val="14"/>
                <w:color w:val="auto"/>
              </w:rPr>
              <w:t>0.00%</w:t>
            </w:r>
          </w:p>
        </w:tc>
      </w:tr>
    </w:tbl>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52" w:name="page53"/>
    <w:bookmarkEnd w:id="5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320" w:firstLine="54"/>
        <w:spacing w:after="0" w:line="354" w:lineRule="auto"/>
        <w:rPr>
          <w:sz w:val="20"/>
          <w:szCs w:val="20"/>
          <w:color w:val="auto"/>
        </w:rPr>
      </w:pPr>
      <w:r>
        <w:rPr>
          <w:rFonts w:ascii="Arial" w:cs="Arial" w:eastAsia="Arial" w:hAnsi="Arial"/>
          <w:sz w:val="17"/>
          <w:szCs w:val="17"/>
          <w:b w:val="1"/>
          <w:bCs w:val="1"/>
          <w:color w:val="auto"/>
        </w:rPr>
        <w:t>NOTE 3 — INVESTMENTS AT FAIR VALUE – (continued) 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1738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0173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173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1738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line="121" w:lineRule="exact"/>
              <w:rPr>
                <w:sz w:val="20"/>
                <w:szCs w:val="20"/>
                <w:color w:val="auto"/>
              </w:rPr>
            </w:pPr>
            <w:r>
              <w:rPr>
                <w:rFonts w:ascii="Arial" w:cs="Arial" w:eastAsia="Arial" w:hAnsi="Arial"/>
                <w:sz w:val="13"/>
                <w:szCs w:val="13"/>
                <w:b w:val="1"/>
                <w:bCs w:val="1"/>
                <w:color w:val="auto"/>
                <w:w w:val="99"/>
              </w:rPr>
              <w:t>Transfer</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r>
      <w:tr>
        <w:trPr>
          <w:trHeight w:val="134"/>
        </w:trPr>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Interest,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8"/>
              </w:rPr>
              <w:t>from Control</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3"/>
                <w:szCs w:val="13"/>
                <w:b w:val="1"/>
                <w:bCs w:val="1"/>
                <w:color w:val="auto"/>
                <w:w w:val="92"/>
              </w:rPr>
              <w:t>Fees, or</w:t>
            </w:r>
          </w:p>
        </w:tc>
        <w:tc>
          <w:tcPr>
            <w:tcW w:w="160" w:type="dxa"/>
            <w:vAlign w:val="bottom"/>
          </w:tcPr>
          <w:p>
            <w:pPr>
              <w:spacing w:after="0"/>
              <w:rPr>
                <w:sz w:val="11"/>
                <w:szCs w:val="11"/>
                <w:color w:val="auto"/>
              </w:rPr>
            </w:pPr>
          </w:p>
        </w:tc>
        <w:tc>
          <w:tcPr>
            <w:tcW w:w="86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rPr>
              <w:t>Fair Value at</w:t>
            </w:r>
          </w:p>
        </w:tc>
        <w:tc>
          <w:tcPr>
            <w:tcW w:w="78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w w:val="87"/>
              </w:rPr>
              <w:t>Investment to</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3"/>
              </w:rPr>
              <w:t>Fair Value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4"/>
        </w:trPr>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Dividends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December</w:t>
            </w:r>
          </w:p>
        </w:tc>
        <w:tc>
          <w:tcPr>
            <w:tcW w:w="78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w w:val="90"/>
              </w:rPr>
              <w:t>Non-Control/</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70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Type/Industry/Portfolio</w:t>
            </w:r>
          </w:p>
        </w:tc>
        <w:tc>
          <w:tcPr>
            <w:tcW w:w="1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Principal/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7"/>
              </w:rPr>
              <w:t>Credited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ind w:right="211"/>
              <w:spacing w:after="0" w:line="134" w:lineRule="exact"/>
              <w:rPr>
                <w:sz w:val="20"/>
                <w:szCs w:val="20"/>
                <w:color w:val="auto"/>
              </w:rPr>
            </w:pPr>
            <w:r>
              <w:rPr>
                <w:rFonts w:ascii="Arial" w:cs="Arial" w:eastAsia="Arial" w:hAnsi="Arial"/>
                <w:sz w:val="13"/>
                <w:szCs w:val="13"/>
                <w:b w:val="1"/>
                <w:bCs w:val="1"/>
                <w:color w:val="auto"/>
              </w:rPr>
              <w:t>31,</w:t>
            </w:r>
          </w:p>
        </w:tc>
        <w:tc>
          <w:tcPr>
            <w:tcW w:w="160" w:type="dxa"/>
            <w:vAlign w:val="bottom"/>
          </w:tcPr>
          <w:p>
            <w:pPr>
              <w:spacing w:after="0"/>
              <w:rPr>
                <w:sz w:val="11"/>
                <w:szCs w:val="11"/>
                <w:color w:val="auto"/>
              </w:rPr>
            </w:pPr>
          </w:p>
        </w:tc>
        <w:tc>
          <w:tcPr>
            <w:tcW w:w="780" w:type="dxa"/>
            <w:vAlign w:val="bottom"/>
            <w:gridSpan w:val="3"/>
          </w:tcPr>
          <w:p>
            <w:pPr>
              <w:ind w:left="40"/>
              <w:spacing w:after="0" w:line="134" w:lineRule="exact"/>
              <w:rPr>
                <w:sz w:val="20"/>
                <w:szCs w:val="20"/>
                <w:color w:val="auto"/>
              </w:rPr>
            </w:pPr>
            <w:r>
              <w:rPr>
                <w:rFonts w:ascii="Arial" w:cs="Arial" w:eastAsia="Arial" w:hAnsi="Arial"/>
                <w:sz w:val="13"/>
                <w:szCs w:val="13"/>
                <w:b w:val="1"/>
                <w:bCs w:val="1"/>
                <w:color w:val="auto"/>
                <w:w w:val="93"/>
              </w:rPr>
              <w:t>Non-Affiliate</w:t>
            </w:r>
          </w:p>
        </w:tc>
        <w:tc>
          <w:tcPr>
            <w:tcW w:w="220" w:type="dxa"/>
            <w:vAlign w:val="bottom"/>
          </w:tcPr>
          <w:p>
            <w:pPr>
              <w:spacing w:after="0"/>
              <w:rPr>
                <w:sz w:val="11"/>
                <w:szCs w:val="11"/>
                <w:color w:val="auto"/>
              </w:rPr>
            </w:pPr>
          </w:p>
        </w:tc>
        <w:tc>
          <w:tcPr>
            <w:tcW w:w="64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w w:val="99"/>
              </w:rPr>
              <w:t>Corporate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5"/>
              </w:rPr>
              <w:t>Gains/</w:t>
            </w:r>
          </w:p>
        </w:tc>
        <w:tc>
          <w:tcPr>
            <w:tcW w:w="160" w:type="dxa"/>
            <w:vAlign w:val="bottom"/>
          </w:tcPr>
          <w:p>
            <w:pPr>
              <w:spacing w:after="0"/>
              <w:rPr>
                <w:sz w:val="11"/>
                <w:szCs w:val="11"/>
                <w:color w:val="auto"/>
              </w:rPr>
            </w:pPr>
          </w:p>
        </w:tc>
        <w:tc>
          <w:tcPr>
            <w:tcW w:w="78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87"/>
              </w:rPr>
              <w:t>December 31,</w:t>
            </w:r>
          </w:p>
        </w:tc>
        <w:tc>
          <w:tcPr>
            <w:tcW w:w="16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Quantity</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8"/>
              </w:rPr>
              <w:t>in Income</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220" w:type="dxa"/>
            <w:vAlign w:val="bottom"/>
          </w:tcPr>
          <w:p>
            <w:pPr>
              <w:spacing w:after="0"/>
              <w:rPr>
                <w:sz w:val="13"/>
                <w:szCs w:val="13"/>
                <w:color w:val="auto"/>
              </w:rPr>
            </w:pP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Action</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8"/>
              </w:rPr>
              <w:t>Purchases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50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78"/>
              </w:rPr>
              <w:t>(Losses)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Net Assets</w:t>
            </w:r>
          </w:p>
        </w:tc>
      </w:tr>
      <w:tr>
        <w:trPr>
          <w:trHeight w:val="141"/>
        </w:trPr>
        <w:tc>
          <w:tcPr>
            <w:tcW w:w="1700" w:type="dxa"/>
            <w:vAlign w:val="bottom"/>
          </w:tcPr>
          <w:p>
            <w:pPr>
              <w:ind w:left="200"/>
              <w:spacing w:after="0" w:line="141" w:lineRule="exact"/>
              <w:rPr>
                <w:sz w:val="20"/>
                <w:szCs w:val="20"/>
                <w:color w:val="auto"/>
              </w:rPr>
            </w:pPr>
            <w:r>
              <w:rPr>
                <w:rFonts w:ascii="Arial" w:cs="Arial" w:eastAsia="Arial" w:hAnsi="Arial"/>
                <w:sz w:val="14"/>
                <w:szCs w:val="14"/>
                <w:i w:val="1"/>
                <w:iCs w:val="1"/>
                <w:color w:val="auto"/>
              </w:rPr>
              <w:t>Business Education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29"/>
        </w:trPr>
        <w:tc>
          <w:tcPr>
            <w:tcW w:w="1700" w:type="dxa"/>
            <w:vAlign w:val="bottom"/>
            <w:shd w:val="clear" w:color="auto" w:fill="CCEEFF"/>
          </w:tcPr>
          <w:p>
            <w:pPr>
              <w:jc w:val="center"/>
              <w:ind w:left="309"/>
              <w:spacing w:after="0" w:line="129" w:lineRule="exact"/>
              <w:rPr>
                <w:sz w:val="20"/>
                <w:szCs w:val="20"/>
                <w:color w:val="auto"/>
              </w:rPr>
            </w:pPr>
            <w:r>
              <w:rPr>
                <w:rFonts w:ascii="Arial" w:cs="Arial" w:eastAsia="Arial" w:hAnsi="Arial"/>
                <w:sz w:val="14"/>
                <w:szCs w:val="14"/>
                <w:color w:val="auto"/>
                <w:w w:val="96"/>
              </w:rPr>
              <w:t>Fullbridge, Inc. –</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700" w:type="dxa"/>
            <w:vAlign w:val="bottom"/>
            <w:shd w:val="clear" w:color="auto" w:fill="CCEEFF"/>
          </w:tcPr>
          <w:p>
            <w:pPr>
              <w:jc w:val="center"/>
              <w:ind w:left="289"/>
              <w:spacing w:after="0" w:line="147" w:lineRule="exact"/>
              <w:rPr>
                <w:sz w:val="20"/>
                <w:szCs w:val="20"/>
                <w:color w:val="auto"/>
              </w:rPr>
            </w:pPr>
            <w:r>
              <w:rPr>
                <w:rFonts w:ascii="Arial" w:cs="Arial" w:eastAsia="Arial" w:hAnsi="Arial"/>
                <w:sz w:val="14"/>
                <w:szCs w:val="14"/>
                <w:color w:val="auto"/>
                <w:w w:val="95"/>
              </w:rPr>
              <w:t>Common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9"/>
              </w:rPr>
              <w:t>warrants, $0.91</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7"/>
        </w:trPr>
        <w:tc>
          <w:tcPr>
            <w:tcW w:w="170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rPr>
              <w:t>Expiration Date</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97"/>
        </w:trPr>
        <w:tc>
          <w:tcPr>
            <w:tcW w:w="1700" w:type="dxa"/>
            <w:vAlign w:val="bottom"/>
            <w:shd w:val="clear" w:color="auto" w:fill="CCEEFF"/>
          </w:tcPr>
          <w:p>
            <w:pPr>
              <w:ind w:left="720"/>
              <w:spacing w:after="0" w:line="197" w:lineRule="exact"/>
              <w:rPr>
                <w:sz w:val="20"/>
                <w:szCs w:val="20"/>
                <w:color w:val="auto"/>
              </w:rPr>
            </w:pPr>
            <w:r>
              <w:rPr>
                <w:rFonts w:ascii="Arial" w:cs="Arial" w:eastAsia="Arial" w:hAnsi="Arial"/>
                <w:sz w:val="14"/>
                <w:szCs w:val="14"/>
                <w:color w:val="auto"/>
              </w:rPr>
              <w:t>3/2/2020</w:t>
            </w:r>
            <w:r>
              <w:rPr>
                <w:rFonts w:ascii="Arial" w:cs="Arial" w:eastAsia="Arial" w:hAnsi="Arial"/>
                <w:sz w:val="22"/>
                <w:szCs w:val="22"/>
                <w:color w:val="auto"/>
                <w:vertAlign w:val="superscript"/>
              </w:rPr>
              <w:t>(8)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700" w:type="dxa"/>
            <w:vAlign w:val="bottom"/>
          </w:tcPr>
          <w:p>
            <w:pPr>
              <w:jc w:val="center"/>
              <w:ind w:left="309"/>
              <w:spacing w:after="0" w:line="129" w:lineRule="exact"/>
              <w:rPr>
                <w:sz w:val="20"/>
                <w:szCs w:val="20"/>
                <w:color w:val="auto"/>
              </w:rPr>
            </w:pPr>
            <w:r>
              <w:rPr>
                <w:rFonts w:ascii="Arial" w:cs="Arial" w:eastAsia="Arial" w:hAnsi="Arial"/>
                <w:sz w:val="14"/>
                <w:szCs w:val="14"/>
                <w:color w:val="auto"/>
                <w:w w:val="96"/>
              </w:rPr>
              <w:t>Fullbridge, Inc. –</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700" w:type="dxa"/>
            <w:vAlign w:val="bottom"/>
          </w:tcPr>
          <w:p>
            <w:pPr>
              <w:jc w:val="center"/>
              <w:ind w:left="289"/>
              <w:spacing w:after="0" w:line="147" w:lineRule="exact"/>
              <w:rPr>
                <w:sz w:val="20"/>
                <w:szCs w:val="20"/>
                <w:color w:val="auto"/>
              </w:rPr>
            </w:pPr>
            <w:r>
              <w:rPr>
                <w:rFonts w:ascii="Arial" w:cs="Arial" w:eastAsia="Arial" w:hAnsi="Arial"/>
                <w:sz w:val="14"/>
                <w:szCs w:val="14"/>
                <w:color w:val="auto"/>
                <w:w w:val="95"/>
              </w:rPr>
              <w:t>Common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w w:val="99"/>
              </w:rPr>
              <w:t>warrants, $0.91</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1700" w:type="dxa"/>
            <w:vAlign w:val="bottom"/>
          </w:tcPr>
          <w:p>
            <w:pPr>
              <w:ind w:left="720"/>
              <w:spacing w:after="0" w:line="157" w:lineRule="exact"/>
              <w:rPr>
                <w:sz w:val="20"/>
                <w:szCs w:val="20"/>
                <w:color w:val="auto"/>
              </w:rPr>
            </w:pPr>
            <w:r>
              <w:rPr>
                <w:rFonts w:ascii="Arial" w:cs="Arial" w:eastAsia="Arial" w:hAnsi="Arial"/>
                <w:sz w:val="14"/>
                <w:szCs w:val="14"/>
                <w:color w:val="auto"/>
              </w:rPr>
              <w:t>Expiration Date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1700" w:type="dxa"/>
            <w:vAlign w:val="bottom"/>
          </w:tcPr>
          <w:p>
            <w:pPr>
              <w:ind w:left="720"/>
              <w:spacing w:after="0" w:line="197" w:lineRule="exact"/>
              <w:rPr>
                <w:sz w:val="20"/>
                <w:szCs w:val="20"/>
                <w:color w:val="auto"/>
              </w:rPr>
            </w:pPr>
            <w:r>
              <w:rPr>
                <w:rFonts w:ascii="Arial" w:cs="Arial" w:eastAsia="Arial" w:hAnsi="Arial"/>
                <w:sz w:val="14"/>
                <w:szCs w:val="14"/>
                <w:color w:val="auto"/>
              </w:rPr>
              <w:t>3/22/2020</w:t>
            </w:r>
            <w:r>
              <w:rPr>
                <w:rFonts w:ascii="Arial" w:cs="Arial" w:eastAsia="Arial" w:hAnsi="Arial"/>
                <w:sz w:val="22"/>
                <w:szCs w:val="22"/>
                <w:color w:val="auto"/>
                <w:vertAlign w:val="superscript"/>
              </w:rPr>
              <w:t>(8)</w:t>
            </w:r>
          </w:p>
        </w:tc>
        <w:tc>
          <w:tcPr>
            <w:tcW w:w="160" w:type="dxa"/>
            <w:vAlign w:val="bottom"/>
          </w:tcPr>
          <w:p>
            <w:pPr>
              <w:spacing w:after="0"/>
              <w:rPr>
                <w:sz w:val="17"/>
                <w:szCs w:val="17"/>
                <w:color w:val="auto"/>
              </w:rPr>
            </w:pPr>
          </w:p>
        </w:tc>
        <w:tc>
          <w:tcPr>
            <w:tcW w:w="700" w:type="dxa"/>
            <w:vAlign w:val="bottom"/>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(1,862)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700" w:type="dxa"/>
            <w:vAlign w:val="bottom"/>
            <w:shd w:val="clear" w:color="auto" w:fill="CCEEFF"/>
          </w:tcPr>
          <w:p>
            <w:pPr>
              <w:jc w:val="center"/>
              <w:ind w:left="309"/>
              <w:spacing w:after="0" w:line="129" w:lineRule="exact"/>
              <w:rPr>
                <w:sz w:val="20"/>
                <w:szCs w:val="20"/>
                <w:color w:val="auto"/>
              </w:rPr>
            </w:pPr>
            <w:r>
              <w:rPr>
                <w:rFonts w:ascii="Arial" w:cs="Arial" w:eastAsia="Arial" w:hAnsi="Arial"/>
                <w:sz w:val="14"/>
                <w:szCs w:val="14"/>
                <w:color w:val="auto"/>
                <w:w w:val="96"/>
              </w:rPr>
              <w:t>Fullbridge, Inc. –</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700" w:type="dxa"/>
            <w:vAlign w:val="bottom"/>
            <w:shd w:val="clear" w:color="auto" w:fill="CCEEFF"/>
          </w:tcPr>
          <w:p>
            <w:pPr>
              <w:jc w:val="center"/>
              <w:ind w:left="289"/>
              <w:spacing w:after="0" w:line="147" w:lineRule="exact"/>
              <w:rPr>
                <w:sz w:val="20"/>
                <w:szCs w:val="20"/>
                <w:color w:val="auto"/>
              </w:rPr>
            </w:pPr>
            <w:r>
              <w:rPr>
                <w:rFonts w:ascii="Arial" w:cs="Arial" w:eastAsia="Arial" w:hAnsi="Arial"/>
                <w:sz w:val="14"/>
                <w:szCs w:val="14"/>
                <w:color w:val="auto"/>
                <w:w w:val="95"/>
              </w:rPr>
              <w:t>Common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9"/>
              </w:rPr>
              <w:t>warrants, $0.91</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7"/>
        </w:trPr>
        <w:tc>
          <w:tcPr>
            <w:tcW w:w="170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rPr>
              <w:t>Expiration Date</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97"/>
        </w:trPr>
        <w:tc>
          <w:tcPr>
            <w:tcW w:w="1700" w:type="dxa"/>
            <w:vAlign w:val="bottom"/>
            <w:shd w:val="clear" w:color="auto" w:fill="CCEEFF"/>
          </w:tcPr>
          <w:p>
            <w:pPr>
              <w:ind w:left="720"/>
              <w:spacing w:after="0" w:line="197" w:lineRule="exact"/>
              <w:rPr>
                <w:sz w:val="20"/>
                <w:szCs w:val="20"/>
                <w:color w:val="auto"/>
              </w:rPr>
            </w:pPr>
            <w:r>
              <w:rPr>
                <w:rFonts w:ascii="Arial" w:cs="Arial" w:eastAsia="Arial" w:hAnsi="Arial"/>
                <w:sz w:val="14"/>
                <w:szCs w:val="14"/>
                <w:color w:val="auto"/>
              </w:rPr>
              <w:t>5/16/2019</w:t>
            </w:r>
            <w:r>
              <w:rPr>
                <w:rFonts w:ascii="Arial" w:cs="Arial" w:eastAsia="Arial" w:hAnsi="Arial"/>
                <w:sz w:val="22"/>
                <w:szCs w:val="22"/>
                <w:color w:val="auto"/>
                <w:vertAlign w:val="superscript"/>
              </w:rPr>
              <w:t>(8)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700" w:type="dxa"/>
            <w:vAlign w:val="bottom"/>
          </w:tcPr>
          <w:p>
            <w:pPr>
              <w:jc w:val="center"/>
              <w:ind w:left="309"/>
              <w:spacing w:after="0" w:line="129" w:lineRule="exact"/>
              <w:rPr>
                <w:sz w:val="20"/>
                <w:szCs w:val="20"/>
                <w:color w:val="auto"/>
              </w:rPr>
            </w:pPr>
            <w:r>
              <w:rPr>
                <w:rFonts w:ascii="Arial" w:cs="Arial" w:eastAsia="Arial" w:hAnsi="Arial"/>
                <w:sz w:val="14"/>
                <w:szCs w:val="14"/>
                <w:color w:val="auto"/>
                <w:w w:val="96"/>
              </w:rPr>
              <w:t>Fullbridge, Inc. –</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700" w:type="dxa"/>
            <w:vAlign w:val="bottom"/>
          </w:tcPr>
          <w:p>
            <w:pPr>
              <w:jc w:val="center"/>
              <w:ind w:left="289"/>
              <w:spacing w:after="0" w:line="147" w:lineRule="exact"/>
              <w:rPr>
                <w:sz w:val="20"/>
                <w:szCs w:val="20"/>
                <w:color w:val="auto"/>
              </w:rPr>
            </w:pPr>
            <w:r>
              <w:rPr>
                <w:rFonts w:ascii="Arial" w:cs="Arial" w:eastAsia="Arial" w:hAnsi="Arial"/>
                <w:sz w:val="14"/>
                <w:szCs w:val="14"/>
                <w:color w:val="auto"/>
                <w:w w:val="95"/>
              </w:rPr>
              <w:t>Common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w w:val="99"/>
              </w:rPr>
              <w:t>warrants, $0.91</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1700" w:type="dxa"/>
            <w:vAlign w:val="bottom"/>
          </w:tcPr>
          <w:p>
            <w:pPr>
              <w:ind w:left="720"/>
              <w:spacing w:after="0" w:line="157" w:lineRule="exact"/>
              <w:rPr>
                <w:sz w:val="20"/>
                <w:szCs w:val="20"/>
                <w:color w:val="auto"/>
              </w:rPr>
            </w:pPr>
            <w:r>
              <w:rPr>
                <w:rFonts w:ascii="Arial" w:cs="Arial" w:eastAsia="Arial" w:hAnsi="Arial"/>
                <w:sz w:val="14"/>
                <w:szCs w:val="14"/>
                <w:color w:val="auto"/>
              </w:rPr>
              <w:t>Expiration Date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1700" w:type="dxa"/>
            <w:vAlign w:val="bottom"/>
          </w:tcPr>
          <w:p>
            <w:pPr>
              <w:ind w:left="720"/>
              <w:spacing w:after="0" w:line="197" w:lineRule="exact"/>
              <w:rPr>
                <w:sz w:val="20"/>
                <w:szCs w:val="20"/>
                <w:color w:val="auto"/>
              </w:rPr>
            </w:pPr>
            <w:r>
              <w:rPr>
                <w:rFonts w:ascii="Arial" w:cs="Arial" w:eastAsia="Arial" w:hAnsi="Arial"/>
                <w:sz w:val="14"/>
                <w:szCs w:val="14"/>
                <w:color w:val="auto"/>
              </w:rPr>
              <w:t>4/3/2019</w:t>
            </w:r>
            <w:r>
              <w:rPr>
                <w:rFonts w:ascii="Arial" w:cs="Arial" w:eastAsia="Arial" w:hAnsi="Arial"/>
                <w:sz w:val="22"/>
                <w:szCs w:val="22"/>
                <w:color w:val="auto"/>
                <w:vertAlign w:val="superscript"/>
              </w:rPr>
              <w:t>(8)</w:t>
            </w:r>
          </w:p>
        </w:tc>
        <w:tc>
          <w:tcPr>
            <w:tcW w:w="160" w:type="dxa"/>
            <w:vAlign w:val="bottom"/>
          </w:tcPr>
          <w:p>
            <w:pPr>
              <w:spacing w:after="0"/>
              <w:rPr>
                <w:sz w:val="17"/>
                <w:szCs w:val="17"/>
                <w:color w:val="auto"/>
              </w:rPr>
            </w:pPr>
          </w:p>
        </w:tc>
        <w:tc>
          <w:tcPr>
            <w:tcW w:w="700" w:type="dxa"/>
            <w:vAlign w:val="bottom"/>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(4,121)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700" w:type="dxa"/>
            <w:vAlign w:val="bottom"/>
            <w:shd w:val="clear" w:color="auto" w:fill="CCEEFF"/>
          </w:tcPr>
          <w:p>
            <w:pPr>
              <w:jc w:val="center"/>
              <w:ind w:left="309"/>
              <w:spacing w:after="0" w:line="129" w:lineRule="exact"/>
              <w:rPr>
                <w:sz w:val="20"/>
                <w:szCs w:val="20"/>
                <w:color w:val="auto"/>
              </w:rPr>
            </w:pPr>
            <w:r>
              <w:rPr>
                <w:rFonts w:ascii="Arial" w:cs="Arial" w:eastAsia="Arial" w:hAnsi="Arial"/>
                <w:sz w:val="14"/>
                <w:szCs w:val="14"/>
                <w:color w:val="auto"/>
                <w:w w:val="96"/>
              </w:rPr>
              <w:t>Fullbridge, Inc. –</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700" w:type="dxa"/>
            <w:vAlign w:val="bottom"/>
            <w:shd w:val="clear" w:color="auto" w:fill="CCEEFF"/>
          </w:tcPr>
          <w:p>
            <w:pPr>
              <w:jc w:val="center"/>
              <w:ind w:left="289"/>
              <w:spacing w:after="0" w:line="147" w:lineRule="exact"/>
              <w:rPr>
                <w:sz w:val="20"/>
                <w:szCs w:val="20"/>
                <w:color w:val="auto"/>
              </w:rPr>
            </w:pPr>
            <w:r>
              <w:rPr>
                <w:rFonts w:ascii="Arial" w:cs="Arial" w:eastAsia="Arial" w:hAnsi="Arial"/>
                <w:sz w:val="14"/>
                <w:szCs w:val="14"/>
                <w:color w:val="auto"/>
                <w:w w:val="95"/>
              </w:rPr>
              <w:t>Common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9"/>
              </w:rPr>
              <w:t>warrants, $0.91</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7"/>
        </w:trPr>
        <w:tc>
          <w:tcPr>
            <w:tcW w:w="170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rPr>
              <w:t>Expiration Date</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97"/>
        </w:trPr>
        <w:tc>
          <w:tcPr>
            <w:tcW w:w="1700" w:type="dxa"/>
            <w:vAlign w:val="bottom"/>
            <w:shd w:val="clear" w:color="auto" w:fill="CCEEFF"/>
          </w:tcPr>
          <w:p>
            <w:pPr>
              <w:ind w:left="720"/>
              <w:spacing w:after="0" w:line="197" w:lineRule="exact"/>
              <w:rPr>
                <w:sz w:val="20"/>
                <w:szCs w:val="20"/>
                <w:color w:val="auto"/>
              </w:rPr>
            </w:pPr>
            <w:r>
              <w:rPr>
                <w:rFonts w:ascii="Arial" w:cs="Arial" w:eastAsia="Arial" w:hAnsi="Arial"/>
                <w:sz w:val="14"/>
                <w:szCs w:val="14"/>
                <w:color w:val="auto"/>
              </w:rPr>
              <w:t>10/10/2018</w:t>
            </w:r>
            <w:r>
              <w:rPr>
                <w:rFonts w:ascii="Arial" w:cs="Arial" w:eastAsia="Arial" w:hAnsi="Arial"/>
                <w:sz w:val="22"/>
                <w:szCs w:val="22"/>
                <w:color w:val="auto"/>
                <w:vertAlign w:val="superscript"/>
              </w:rPr>
              <w:t>(8)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700" w:type="dxa"/>
            <w:vAlign w:val="bottom"/>
          </w:tcPr>
          <w:p>
            <w:pPr>
              <w:jc w:val="center"/>
              <w:ind w:left="309"/>
              <w:spacing w:after="0" w:line="129" w:lineRule="exact"/>
              <w:rPr>
                <w:sz w:val="20"/>
                <w:szCs w:val="20"/>
                <w:color w:val="auto"/>
              </w:rPr>
            </w:pPr>
            <w:r>
              <w:rPr>
                <w:rFonts w:ascii="Arial" w:cs="Arial" w:eastAsia="Arial" w:hAnsi="Arial"/>
                <w:sz w:val="14"/>
                <w:szCs w:val="14"/>
                <w:color w:val="auto"/>
                <w:w w:val="96"/>
              </w:rPr>
              <w:t>Fullbridge, Inc. –</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48"/>
        </w:trPr>
        <w:tc>
          <w:tcPr>
            <w:tcW w:w="1700" w:type="dxa"/>
            <w:vAlign w:val="bottom"/>
          </w:tcPr>
          <w:p>
            <w:pPr>
              <w:jc w:val="center"/>
              <w:ind w:left="289"/>
              <w:spacing w:after="0" w:line="147" w:lineRule="exact"/>
              <w:rPr>
                <w:sz w:val="20"/>
                <w:szCs w:val="20"/>
                <w:color w:val="auto"/>
              </w:rPr>
            </w:pPr>
            <w:r>
              <w:rPr>
                <w:rFonts w:ascii="Arial" w:cs="Arial" w:eastAsia="Arial" w:hAnsi="Arial"/>
                <w:sz w:val="14"/>
                <w:szCs w:val="14"/>
                <w:color w:val="auto"/>
                <w:w w:val="95"/>
              </w:rPr>
              <w:t>Common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w w:val="99"/>
              </w:rPr>
              <w:t>warrants, $0.91</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8"/>
        </w:trPr>
        <w:tc>
          <w:tcPr>
            <w:tcW w:w="1700" w:type="dxa"/>
            <w:vAlign w:val="bottom"/>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7"/>
        </w:trPr>
        <w:tc>
          <w:tcPr>
            <w:tcW w:w="1700" w:type="dxa"/>
            <w:vAlign w:val="bottom"/>
          </w:tcPr>
          <w:p>
            <w:pPr>
              <w:ind w:left="720"/>
              <w:spacing w:after="0" w:line="157" w:lineRule="exact"/>
              <w:rPr>
                <w:sz w:val="20"/>
                <w:szCs w:val="20"/>
                <w:color w:val="auto"/>
              </w:rPr>
            </w:pPr>
            <w:r>
              <w:rPr>
                <w:rFonts w:ascii="Arial" w:cs="Arial" w:eastAsia="Arial" w:hAnsi="Arial"/>
                <w:sz w:val="14"/>
                <w:szCs w:val="14"/>
                <w:color w:val="auto"/>
              </w:rPr>
              <w:t>Expiration Date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97"/>
        </w:trPr>
        <w:tc>
          <w:tcPr>
            <w:tcW w:w="1700" w:type="dxa"/>
            <w:vAlign w:val="bottom"/>
          </w:tcPr>
          <w:p>
            <w:pPr>
              <w:ind w:left="720"/>
              <w:spacing w:after="0" w:line="197" w:lineRule="exact"/>
              <w:rPr>
                <w:sz w:val="20"/>
                <w:szCs w:val="20"/>
                <w:color w:val="auto"/>
              </w:rPr>
            </w:pPr>
            <w:r>
              <w:rPr>
                <w:rFonts w:ascii="Arial" w:cs="Arial" w:eastAsia="Arial" w:hAnsi="Arial"/>
                <w:sz w:val="14"/>
                <w:szCs w:val="14"/>
                <w:color w:val="auto"/>
              </w:rPr>
              <w:t>12/11/2018</w:t>
            </w:r>
            <w:r>
              <w:rPr>
                <w:rFonts w:ascii="Arial" w:cs="Arial" w:eastAsia="Arial" w:hAnsi="Arial"/>
                <w:sz w:val="22"/>
                <w:szCs w:val="22"/>
                <w:color w:val="auto"/>
                <w:vertAlign w:val="superscript"/>
              </w:rPr>
              <w:t>(8)</w:t>
            </w:r>
          </w:p>
        </w:tc>
        <w:tc>
          <w:tcPr>
            <w:tcW w:w="160" w:type="dxa"/>
            <w:vAlign w:val="bottom"/>
          </w:tcPr>
          <w:p>
            <w:pPr>
              <w:spacing w:after="0"/>
              <w:rPr>
                <w:sz w:val="17"/>
                <w:szCs w:val="17"/>
                <w:color w:val="auto"/>
              </w:rPr>
            </w:pPr>
          </w:p>
        </w:tc>
        <w:tc>
          <w:tcPr>
            <w:tcW w:w="700" w:type="dxa"/>
            <w:vAlign w:val="bottom"/>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(824)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29"/>
        </w:trPr>
        <w:tc>
          <w:tcPr>
            <w:tcW w:w="1700" w:type="dxa"/>
            <w:vAlign w:val="bottom"/>
            <w:shd w:val="clear" w:color="auto" w:fill="CCEEFF"/>
          </w:tcPr>
          <w:p>
            <w:pPr>
              <w:jc w:val="center"/>
              <w:ind w:left="309"/>
              <w:spacing w:after="0" w:line="129" w:lineRule="exact"/>
              <w:rPr>
                <w:sz w:val="20"/>
                <w:szCs w:val="20"/>
                <w:color w:val="auto"/>
              </w:rPr>
            </w:pPr>
            <w:r>
              <w:rPr>
                <w:rFonts w:ascii="Arial" w:cs="Arial" w:eastAsia="Arial" w:hAnsi="Arial"/>
                <w:sz w:val="14"/>
                <w:szCs w:val="14"/>
                <w:color w:val="auto"/>
                <w:w w:val="96"/>
              </w:rPr>
              <w:t>Fullbridge, Inc. –</w:t>
            </w: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r>
      <w:tr>
        <w:trPr>
          <w:trHeight w:val="148"/>
        </w:trPr>
        <w:tc>
          <w:tcPr>
            <w:tcW w:w="1700" w:type="dxa"/>
            <w:vAlign w:val="bottom"/>
            <w:shd w:val="clear" w:color="auto" w:fill="CCEEFF"/>
          </w:tcPr>
          <w:p>
            <w:pPr>
              <w:jc w:val="center"/>
              <w:ind w:left="289"/>
              <w:spacing w:after="0" w:line="147" w:lineRule="exact"/>
              <w:rPr>
                <w:sz w:val="20"/>
                <w:szCs w:val="20"/>
                <w:color w:val="auto"/>
              </w:rPr>
            </w:pPr>
            <w:r>
              <w:rPr>
                <w:rFonts w:ascii="Arial" w:cs="Arial" w:eastAsia="Arial" w:hAnsi="Arial"/>
                <w:sz w:val="14"/>
                <w:szCs w:val="14"/>
                <w:color w:val="auto"/>
                <w:w w:val="95"/>
              </w:rPr>
              <w:t>Common</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w w:val="99"/>
              </w:rPr>
              <w:t>warrants, $0.91</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48"/>
        </w:trPr>
        <w:tc>
          <w:tcPr>
            <w:tcW w:w="1700" w:type="dxa"/>
            <w:vAlign w:val="bottom"/>
            <w:shd w:val="clear" w:color="auto" w:fill="CCEEFF"/>
          </w:tcPr>
          <w:p>
            <w:pPr>
              <w:ind w:left="720"/>
              <w:spacing w:after="0" w:line="147" w:lineRule="exact"/>
              <w:rPr>
                <w:sz w:val="20"/>
                <w:szCs w:val="20"/>
                <w:color w:val="auto"/>
              </w:rPr>
            </w:pPr>
            <w:r>
              <w:rPr>
                <w:rFonts w:ascii="Arial" w:cs="Arial" w:eastAsia="Arial" w:hAnsi="Arial"/>
                <w:sz w:val="14"/>
                <w:szCs w:val="14"/>
                <w:color w:val="auto"/>
              </w:rPr>
              <w:t>Strike Price,</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57"/>
        </w:trPr>
        <w:tc>
          <w:tcPr>
            <w:tcW w:w="1700" w:type="dxa"/>
            <w:vAlign w:val="bottom"/>
            <w:shd w:val="clear" w:color="auto" w:fill="CCEEFF"/>
          </w:tcPr>
          <w:p>
            <w:pPr>
              <w:ind w:left="720"/>
              <w:spacing w:after="0" w:line="157" w:lineRule="exact"/>
              <w:rPr>
                <w:sz w:val="20"/>
                <w:szCs w:val="20"/>
                <w:color w:val="auto"/>
              </w:rPr>
            </w:pPr>
            <w:r>
              <w:rPr>
                <w:rFonts w:ascii="Arial" w:cs="Arial" w:eastAsia="Arial" w:hAnsi="Arial"/>
                <w:sz w:val="14"/>
                <w:szCs w:val="14"/>
                <w:color w:val="auto"/>
              </w:rPr>
              <w:t>Expiration Date</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97"/>
        </w:trPr>
        <w:tc>
          <w:tcPr>
            <w:tcW w:w="1700" w:type="dxa"/>
            <w:vAlign w:val="bottom"/>
            <w:shd w:val="clear" w:color="auto" w:fill="CCEEFF"/>
          </w:tcPr>
          <w:p>
            <w:pPr>
              <w:ind w:left="720"/>
              <w:spacing w:after="0" w:line="197" w:lineRule="exact"/>
              <w:rPr>
                <w:sz w:val="20"/>
                <w:szCs w:val="20"/>
                <w:color w:val="auto"/>
              </w:rPr>
            </w:pPr>
            <w:r>
              <w:rPr>
                <w:rFonts w:ascii="Arial" w:cs="Arial" w:eastAsia="Arial" w:hAnsi="Arial"/>
                <w:sz w:val="14"/>
                <w:szCs w:val="14"/>
                <w:color w:val="auto"/>
              </w:rPr>
              <w:t>2/18/2019</w:t>
            </w:r>
            <w:r>
              <w:rPr>
                <w:rFonts w:ascii="Arial" w:cs="Arial" w:eastAsia="Arial" w:hAnsi="Arial"/>
                <w:sz w:val="22"/>
                <w:szCs w:val="22"/>
                <w:color w:val="auto"/>
                <w:vertAlign w:val="superscript"/>
              </w:rPr>
              <w:t>(8)</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0.00%</w:t>
            </w:r>
          </w:p>
        </w:tc>
      </w:tr>
      <w:tr>
        <w:trPr>
          <w:trHeight w:val="122"/>
        </w:trPr>
        <w:tc>
          <w:tcPr>
            <w:tcW w:w="1700" w:type="dxa"/>
            <w:vAlign w:val="bottom"/>
            <w:tcBorders>
              <w:top w:val="single" w:sz="8" w:color="CCEEFF"/>
            </w:tcBorders>
          </w:tcPr>
          <w:p>
            <w:pPr>
              <w:ind w:left="380"/>
              <w:spacing w:after="0" w:line="123" w:lineRule="exact"/>
              <w:rPr>
                <w:sz w:val="20"/>
                <w:szCs w:val="20"/>
                <w:color w:val="auto"/>
              </w:rPr>
            </w:pPr>
            <w:r>
              <w:rPr>
                <w:rFonts w:ascii="Arial" w:cs="Arial" w:eastAsia="Arial" w:hAnsi="Arial"/>
                <w:sz w:val="14"/>
                <w:szCs w:val="14"/>
                <w:i w:val="1"/>
                <w:iCs w:val="1"/>
                <w:color w:val="auto"/>
              </w:rPr>
              <w:t>Total Business</w:t>
            </w:r>
          </w:p>
        </w:tc>
        <w:tc>
          <w:tcPr>
            <w:tcW w:w="160" w:type="dxa"/>
            <w:vAlign w:val="bottom"/>
            <w:tcBorders>
              <w:top w:val="single" w:sz="8" w:color="CCEEFF"/>
            </w:tcBorders>
          </w:tcPr>
          <w:p>
            <w:pPr>
              <w:spacing w:after="0"/>
              <w:rPr>
                <w:sz w:val="10"/>
                <w:szCs w:val="10"/>
                <w:color w:val="auto"/>
              </w:rPr>
            </w:pPr>
          </w:p>
        </w:tc>
        <w:tc>
          <w:tcPr>
            <w:tcW w:w="7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spacing w:after="0"/>
              <w:rPr>
                <w:sz w:val="10"/>
                <w:szCs w:val="10"/>
                <w:color w:val="auto"/>
              </w:rPr>
            </w:pPr>
          </w:p>
        </w:tc>
      </w:tr>
      <w:tr>
        <w:trPr>
          <w:trHeight w:val="166"/>
        </w:trPr>
        <w:tc>
          <w:tcPr>
            <w:tcW w:w="1700" w:type="dxa"/>
            <w:vAlign w:val="bottom"/>
          </w:tcPr>
          <w:p>
            <w:pPr>
              <w:ind w:left="540"/>
              <w:spacing w:after="0"/>
              <w:rPr>
                <w:sz w:val="20"/>
                <w:szCs w:val="20"/>
                <w:color w:val="auto"/>
              </w:rPr>
            </w:pPr>
            <w:r>
              <w:rPr>
                <w:rFonts w:ascii="Arial" w:cs="Arial" w:eastAsia="Arial" w:hAnsi="Arial"/>
                <w:sz w:val="14"/>
                <w:szCs w:val="14"/>
                <w:i w:val="1"/>
                <w:iCs w:val="1"/>
                <w:color w:val="auto"/>
              </w:rPr>
              <w:t>Education</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19,528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(19,528)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0.00%</w:t>
            </w:r>
          </w:p>
        </w:tc>
      </w:tr>
      <w:tr>
        <w:trPr>
          <w:trHeight w:val="148"/>
        </w:trPr>
        <w:tc>
          <w:tcPr>
            <w:tcW w:w="170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b w:val="1"/>
                <w:bCs w:val="1"/>
                <w:color w:val="auto"/>
              </w:rPr>
              <w:t>Total Warrants</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4"/>
                <w:szCs w:val="14"/>
                <w:color w:val="auto"/>
                <w:w w:val="76"/>
              </w:rPr>
              <w:t>$</w:t>
            </w:r>
          </w:p>
        </w:tc>
        <w:tc>
          <w:tcPr>
            <w:tcW w:w="620" w:type="dxa"/>
            <w:vAlign w:val="bottom"/>
            <w:tcBorders>
              <w:right w:val="single" w:sz="8" w:color="CCEEFF"/>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115,116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00"/>
              <w:spacing w:after="0" w:line="147"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7"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24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CEEFF"/>
          </w:tcPr>
          <w:p>
            <w:pPr>
              <w:ind w:left="18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(110,721)</w:t>
            </w:r>
          </w:p>
        </w:tc>
        <w:tc>
          <w:tcPr>
            <w:tcW w:w="26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4,395</w:t>
            </w:r>
          </w:p>
        </w:tc>
        <w:tc>
          <w:tcPr>
            <w:tcW w:w="780" w:type="dxa"/>
            <w:vAlign w:val="bottom"/>
            <w:gridSpan w:val="2"/>
            <w:shd w:val="clear" w:color="auto" w:fill="CCEEFF"/>
          </w:tcPr>
          <w:p>
            <w:pPr>
              <w:jc w:val="right"/>
              <w:ind w:right="97"/>
              <w:spacing w:after="0" w:line="147" w:lineRule="exact"/>
              <w:rPr>
                <w:sz w:val="20"/>
                <w:szCs w:val="20"/>
                <w:color w:val="auto"/>
              </w:rPr>
            </w:pPr>
            <w:r>
              <w:rPr>
                <w:rFonts w:ascii="Arial" w:cs="Arial" w:eastAsia="Arial" w:hAnsi="Arial"/>
                <w:sz w:val="14"/>
                <w:szCs w:val="14"/>
                <w:color w:val="auto"/>
              </w:rPr>
              <w:t>0.00%</w:t>
            </w:r>
          </w:p>
        </w:tc>
      </w:tr>
      <w:tr>
        <w:trPr>
          <w:trHeight w:val="20"/>
        </w:trPr>
        <w:tc>
          <w:tcPr>
            <w:tcW w:w="1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026275" cy="1955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026275" cy="195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0262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53" w:name="page54"/>
    <w:bookmarkEnd w:id="5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20" w:right="6640" w:firstLine="54"/>
        <w:spacing w:after="0" w:line="354" w:lineRule="auto"/>
        <w:rPr>
          <w:sz w:val="20"/>
          <w:szCs w:val="20"/>
          <w:color w:val="auto"/>
        </w:rPr>
      </w:pPr>
      <w:r>
        <w:rPr>
          <w:rFonts w:ascii="Arial" w:cs="Arial" w:eastAsia="Arial" w:hAnsi="Arial"/>
          <w:sz w:val="17"/>
          <w:szCs w:val="17"/>
          <w:b w:val="1"/>
          <w:bCs w:val="1"/>
          <w:color w:val="auto"/>
        </w:rPr>
        <w:t>NOTE 3 — INVESTMENTS AT FAIR VALUE – (continued) Schedule of Investments In and Advances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0262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26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2627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center"/>
              <w:spacing w:after="0" w:line="121" w:lineRule="exact"/>
              <w:rPr>
                <w:sz w:val="20"/>
                <w:szCs w:val="20"/>
                <w:color w:val="auto"/>
              </w:rPr>
            </w:pPr>
            <w:r>
              <w:rPr>
                <w:rFonts w:ascii="Arial" w:cs="Arial" w:eastAsia="Arial" w:hAnsi="Arial"/>
                <w:sz w:val="13"/>
                <w:szCs w:val="13"/>
                <w:b w:val="1"/>
                <w:bCs w:val="1"/>
                <w:color w:val="auto"/>
                <w:w w:val="92"/>
              </w:rPr>
              <w:t>Transfer</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Interest,</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1"/>
              </w:rPr>
              <w:t>from Control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4"/>
              </w:rPr>
              <w:t>Fees, or</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5"/>
              </w:rPr>
              <w:t>Investment to</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0"/>
              </w:rPr>
              <w:t>Fair Value</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6"/>
              </w:rPr>
              <w:t>Dividends</w:t>
            </w:r>
          </w:p>
        </w:tc>
        <w:tc>
          <w:tcPr>
            <w:tcW w:w="16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7"/>
              </w:rPr>
              <w:t>Fair Value at</w:t>
            </w:r>
          </w:p>
        </w:tc>
        <w:tc>
          <w:tcPr>
            <w:tcW w:w="160" w:type="dxa"/>
            <w:vAlign w:val="bottom"/>
          </w:tcPr>
          <w:p>
            <w:pPr>
              <w:spacing w:after="0"/>
              <w:rPr>
                <w:sz w:val="11"/>
                <w:szCs w:val="11"/>
                <w:color w:val="auto"/>
              </w:rPr>
            </w:pPr>
          </w:p>
        </w:tc>
        <w:tc>
          <w:tcPr>
            <w:tcW w:w="8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0"/>
              </w:rPr>
              <w:t>Non-Control/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w w:val="87"/>
              </w:rPr>
              <w:t>Realized</w:t>
            </w:r>
          </w:p>
        </w:tc>
        <w:tc>
          <w:tcPr>
            <w:tcW w:w="16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6"/>
              </w:rPr>
              <w:t>at</w:t>
            </w:r>
          </w:p>
        </w:tc>
        <w:tc>
          <w:tcPr>
            <w:tcW w:w="160" w:type="dxa"/>
            <w:vAlign w:val="bottom"/>
          </w:tcPr>
          <w:p>
            <w:pPr>
              <w:spacing w:after="0"/>
              <w:rPr>
                <w:sz w:val="11"/>
                <w:szCs w:val="11"/>
                <w:color w:val="auto"/>
              </w:rPr>
            </w:pPr>
          </w:p>
        </w:tc>
        <w:tc>
          <w:tcPr>
            <w:tcW w:w="6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2"/>
              </w:rPr>
              <w:t>Percentage</w:t>
            </w:r>
          </w:p>
        </w:tc>
      </w:tr>
      <w:tr>
        <w:trPr>
          <w:trHeight w:val="134"/>
        </w:trPr>
        <w:tc>
          <w:tcPr>
            <w:tcW w:w="146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w w:val="99"/>
              </w:rPr>
              <w:t>Type/Industry/Portfolio</w:t>
            </w:r>
          </w:p>
        </w:tc>
        <w:tc>
          <w:tcPr>
            <w:tcW w:w="160" w:type="dxa"/>
            <w:vAlign w:val="bottom"/>
          </w:tcPr>
          <w:p>
            <w:pPr>
              <w:spacing w:after="0"/>
              <w:rPr>
                <w:sz w:val="11"/>
                <w:szCs w:val="11"/>
                <w:color w:val="auto"/>
              </w:rPr>
            </w:pPr>
          </w:p>
        </w:tc>
        <w:tc>
          <w:tcPr>
            <w:tcW w:w="940" w:type="dxa"/>
            <w:vAlign w:val="bottom"/>
            <w:gridSpan w:val="3"/>
          </w:tcPr>
          <w:p>
            <w:pPr>
              <w:jc w:val="center"/>
              <w:ind w:right="240"/>
              <w:spacing w:after="0" w:line="134" w:lineRule="exact"/>
              <w:rPr>
                <w:sz w:val="20"/>
                <w:szCs w:val="20"/>
                <w:color w:val="auto"/>
              </w:rPr>
            </w:pPr>
            <w:r>
              <w:rPr>
                <w:rFonts w:ascii="Arial" w:cs="Arial" w:eastAsia="Arial" w:hAnsi="Arial"/>
                <w:sz w:val="13"/>
                <w:szCs w:val="13"/>
                <w:b w:val="1"/>
                <w:bCs w:val="1"/>
                <w:color w:val="auto"/>
                <w:w w:val="92"/>
              </w:rPr>
              <w:t>Principal/</w:t>
            </w:r>
          </w:p>
        </w:tc>
        <w:tc>
          <w:tcPr>
            <w:tcW w:w="6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87"/>
              </w:rPr>
              <w:t>Credited</w:t>
            </w:r>
          </w:p>
        </w:tc>
        <w:tc>
          <w:tcPr>
            <w:tcW w:w="16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5"/>
              </w:rPr>
              <w:t>December 31,</w:t>
            </w:r>
          </w:p>
        </w:tc>
        <w:tc>
          <w:tcPr>
            <w:tcW w:w="160" w:type="dxa"/>
            <w:vAlign w:val="bottom"/>
          </w:tcPr>
          <w:p>
            <w:pPr>
              <w:spacing w:after="0"/>
              <w:rPr>
                <w:sz w:val="11"/>
                <w:szCs w:val="11"/>
                <w:color w:val="auto"/>
              </w:rPr>
            </w:pPr>
          </w:p>
        </w:tc>
        <w:tc>
          <w:tcPr>
            <w:tcW w:w="8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3"/>
              </w:rPr>
              <w:t>Non-Affiliate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60"/>
              <w:spacing w:after="0" w:line="134" w:lineRule="exact"/>
              <w:rPr>
                <w:sz w:val="20"/>
                <w:szCs w:val="20"/>
                <w:color w:val="auto"/>
              </w:rPr>
            </w:pPr>
            <w:r>
              <w:rPr>
                <w:rFonts w:ascii="Arial" w:cs="Arial" w:eastAsia="Arial" w:hAnsi="Arial"/>
                <w:sz w:val="13"/>
                <w:szCs w:val="13"/>
                <w:b w:val="1"/>
                <w:bCs w:val="1"/>
                <w:color w:val="auto"/>
                <w:w w:val="90"/>
              </w:rPr>
              <w:t>Corporate</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ind w:left="80"/>
              <w:spacing w:after="0" w:line="134" w:lineRule="exact"/>
              <w:rPr>
                <w:sz w:val="20"/>
                <w:szCs w:val="20"/>
                <w:color w:val="auto"/>
              </w:rPr>
            </w:pPr>
            <w:r>
              <w:rPr>
                <w:rFonts w:ascii="Arial" w:cs="Arial" w:eastAsia="Arial" w:hAnsi="Arial"/>
                <w:sz w:val="13"/>
                <w:szCs w:val="13"/>
                <w:b w:val="1"/>
                <w:bCs w:val="1"/>
                <w:color w:val="auto"/>
              </w:rPr>
              <w:t>Gains/</w:t>
            </w:r>
          </w:p>
        </w:tc>
        <w:tc>
          <w:tcPr>
            <w:tcW w:w="160" w:type="dxa"/>
            <w:vAlign w:val="bottom"/>
          </w:tcPr>
          <w:p>
            <w:pPr>
              <w:spacing w:after="0"/>
              <w:rPr>
                <w:sz w:val="11"/>
                <w:szCs w:val="11"/>
                <w:color w:val="auto"/>
              </w:rPr>
            </w:pPr>
          </w:p>
        </w:tc>
        <w:tc>
          <w:tcPr>
            <w:tcW w:w="8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90"/>
              </w:rPr>
              <w:t>Gains/</w:t>
            </w:r>
          </w:p>
        </w:tc>
        <w:tc>
          <w:tcPr>
            <w:tcW w:w="180" w:type="dxa"/>
            <w:vAlign w:val="bottom"/>
          </w:tcPr>
          <w:p>
            <w:pPr>
              <w:spacing w:after="0"/>
              <w:rPr>
                <w:sz w:val="11"/>
                <w:szCs w:val="11"/>
                <w:color w:val="auto"/>
              </w:rPr>
            </w:pPr>
          </w:p>
        </w:tc>
        <w:tc>
          <w:tcPr>
            <w:tcW w:w="76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5"/>
              </w:rPr>
              <w:t>December 31,</w:t>
            </w:r>
          </w:p>
        </w:tc>
        <w:tc>
          <w:tcPr>
            <w:tcW w:w="160" w:type="dxa"/>
            <w:vAlign w:val="bottom"/>
          </w:tcPr>
          <w:p>
            <w:pPr>
              <w:spacing w:after="0"/>
              <w:rPr>
                <w:sz w:val="11"/>
                <w:szCs w:val="11"/>
                <w:color w:val="auto"/>
              </w:rPr>
            </w:pPr>
          </w:p>
        </w:tc>
        <w:tc>
          <w:tcPr>
            <w:tcW w:w="62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r>
      <w:tr>
        <w:trPr>
          <w:trHeight w:val="152"/>
        </w:trPr>
        <w:tc>
          <w:tcPr>
            <w:tcW w:w="14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Company/Investment</w:t>
            </w:r>
          </w:p>
        </w:tc>
        <w:tc>
          <w:tcPr>
            <w:tcW w:w="160" w:type="dxa"/>
            <w:vAlign w:val="bottom"/>
          </w:tcPr>
          <w:p>
            <w:pPr>
              <w:spacing w:after="0"/>
              <w:rPr>
                <w:sz w:val="13"/>
                <w:szCs w:val="13"/>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Quantity</w:t>
            </w: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in Income</w:t>
            </w:r>
          </w:p>
        </w:tc>
        <w:tc>
          <w:tcPr>
            <w:tcW w:w="880" w:type="dxa"/>
            <w:vAlign w:val="bottom"/>
            <w:gridSpan w:val="2"/>
          </w:tcPr>
          <w:p>
            <w:pPr>
              <w:jc w:val="center"/>
              <w:ind w:left="133"/>
              <w:spacing w:after="0"/>
              <w:rPr>
                <w:sz w:val="20"/>
                <w:szCs w:val="20"/>
                <w:color w:val="auto"/>
              </w:rPr>
            </w:pPr>
            <w:r>
              <w:rPr>
                <w:rFonts w:ascii="Arial" w:cs="Arial" w:eastAsia="Arial" w:hAnsi="Arial"/>
                <w:sz w:val="13"/>
                <w:szCs w:val="13"/>
                <w:b w:val="1"/>
                <w:bCs w:val="1"/>
                <w:color w:val="auto"/>
                <w:w w:val="82"/>
              </w:rPr>
              <w:t>2015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Investment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Action</w:t>
            </w:r>
          </w:p>
        </w:tc>
        <w:tc>
          <w:tcPr>
            <w:tcW w:w="18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Purchases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ind w:left="80"/>
              <w:spacing w:after="0"/>
              <w:rPr>
                <w:sz w:val="20"/>
                <w:szCs w:val="20"/>
                <w:color w:val="auto"/>
              </w:rPr>
            </w:pPr>
            <w:r>
              <w:rPr>
                <w:rFonts w:ascii="Arial" w:cs="Arial" w:eastAsia="Arial" w:hAnsi="Arial"/>
                <w:sz w:val="13"/>
                <w:szCs w:val="13"/>
                <w:b w:val="1"/>
                <w:bCs w:val="1"/>
                <w:color w:val="auto"/>
              </w:rPr>
              <w:t>Sales</w:t>
            </w:r>
          </w:p>
        </w:tc>
        <w:tc>
          <w:tcPr>
            <w:tcW w:w="160" w:type="dxa"/>
            <w:vAlign w:val="bottom"/>
          </w:tcPr>
          <w:p>
            <w:pPr>
              <w:spacing w:after="0"/>
              <w:rPr>
                <w:sz w:val="13"/>
                <w:szCs w:val="13"/>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b w:val="1"/>
                <w:bCs w:val="1"/>
                <w:color w:val="auto"/>
                <w:w w:val="82"/>
              </w:rPr>
              <w:t>(Losses)</w:t>
            </w:r>
          </w:p>
        </w:tc>
        <w:tc>
          <w:tcPr>
            <w:tcW w:w="16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(Losses)</w:t>
            </w:r>
          </w:p>
        </w:tc>
        <w:tc>
          <w:tcPr>
            <w:tcW w:w="90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w w:val="82"/>
              </w:rPr>
              <w:t>2016</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Net Assets</w:t>
            </w:r>
          </w:p>
        </w:tc>
      </w:tr>
      <w:tr>
        <w:trPr>
          <w:trHeight w:val="118"/>
        </w:trPr>
        <w:tc>
          <w:tcPr>
            <w:tcW w:w="1460" w:type="dxa"/>
            <w:vAlign w:val="bottom"/>
            <w:tcBorders>
              <w:top w:val="single" w:sz="8" w:color="auto"/>
            </w:tcBorders>
            <w:gridSpan w:val="3"/>
          </w:tcPr>
          <w:p>
            <w:pPr>
              <w:ind w:left="20"/>
              <w:spacing w:after="0" w:line="118" w:lineRule="exact"/>
              <w:rPr>
                <w:sz w:val="20"/>
                <w:szCs w:val="20"/>
                <w:color w:val="auto"/>
              </w:rPr>
            </w:pPr>
            <w:r>
              <w:rPr>
                <w:rFonts w:ascii="Arial" w:cs="Arial" w:eastAsia="Arial" w:hAnsi="Arial"/>
                <w:sz w:val="13"/>
                <w:szCs w:val="13"/>
                <w:b w:val="1"/>
                <w:bCs w:val="1"/>
                <w:color w:val="auto"/>
              </w:rPr>
              <w:t>TOTAL NON-</w:t>
            </w:r>
          </w:p>
        </w:tc>
        <w:tc>
          <w:tcPr>
            <w:tcW w:w="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144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CONTROLLED/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440" w:type="dxa"/>
            <w:vAlign w:val="bottom"/>
            <w:gridSpan w:val="2"/>
          </w:tcPr>
          <w:p>
            <w:pPr>
              <w:ind w:left="180"/>
              <w:spacing w:after="0" w:line="159" w:lineRule="exact"/>
              <w:rPr>
                <w:sz w:val="20"/>
                <w:szCs w:val="20"/>
                <w:color w:val="auto"/>
              </w:rPr>
            </w:pPr>
            <w:r>
              <w:rPr>
                <w:rFonts w:ascii="Arial" w:cs="Arial" w:eastAsia="Arial" w:hAnsi="Arial"/>
                <w:sz w:val="14"/>
                <w:szCs w:val="14"/>
                <w:b w:val="1"/>
                <w:bCs w:val="1"/>
                <w:color w:val="auto"/>
              </w:rPr>
              <w:t>AFFILIATE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99"/>
        </w:trPr>
        <w:tc>
          <w:tcPr>
            <w:tcW w:w="20" w:type="dxa"/>
            <w:vAlign w:val="bottom"/>
          </w:tcPr>
          <w:p>
            <w:pPr>
              <w:spacing w:after="0"/>
              <w:rPr>
                <w:sz w:val="17"/>
                <w:szCs w:val="17"/>
                <w:color w:val="auto"/>
              </w:rPr>
            </w:pPr>
          </w:p>
        </w:tc>
        <w:tc>
          <w:tcPr>
            <w:tcW w:w="1440" w:type="dxa"/>
            <w:vAlign w:val="bottom"/>
            <w:gridSpan w:val="2"/>
          </w:tcPr>
          <w:p>
            <w:pPr>
              <w:ind w:left="180"/>
              <w:spacing w:after="0" w:line="199" w:lineRule="exact"/>
              <w:rPr>
                <w:sz w:val="20"/>
                <w:szCs w:val="20"/>
                <w:color w:val="auto"/>
              </w:rPr>
            </w:pPr>
            <w:r>
              <w:rPr>
                <w:rFonts w:ascii="Arial" w:cs="Arial" w:eastAsia="Arial" w:hAnsi="Arial"/>
                <w:sz w:val="14"/>
                <w:szCs w:val="14"/>
                <w:b w:val="1"/>
                <w:bCs w:val="1"/>
                <w:color w:val="auto"/>
              </w:rPr>
              <w:t>INVESTMENTS*</w:t>
            </w:r>
            <w:r>
              <w:rPr>
                <w:rFonts w:ascii="Arial" w:cs="Arial" w:eastAsia="Arial" w:hAnsi="Arial"/>
                <w:sz w:val="23"/>
                <w:szCs w:val="23"/>
                <w:b w:val="1"/>
                <w:bCs w:val="1"/>
                <w:color w:val="auto"/>
                <w:vertAlign w:val="superscript"/>
              </w:rPr>
              <w:t>(1)</w:t>
            </w:r>
          </w:p>
        </w:tc>
        <w:tc>
          <w:tcPr>
            <w:tcW w:w="110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159,016</w:t>
            </w:r>
          </w:p>
        </w:tc>
        <w:tc>
          <w:tcPr>
            <w:tcW w:w="60" w:type="dxa"/>
            <w:vAlign w:val="bottom"/>
          </w:tcPr>
          <w:p>
            <w:pPr>
              <w:spacing w:after="0"/>
              <w:rPr>
                <w:sz w:val="17"/>
                <w:szCs w:val="17"/>
                <w:color w:val="auto"/>
              </w:rPr>
            </w:pPr>
          </w:p>
        </w:tc>
        <w:tc>
          <w:tcPr>
            <w:tcW w:w="920" w:type="dxa"/>
            <w:vAlign w:val="bottom"/>
            <w:gridSpan w:val="3"/>
          </w:tcPr>
          <w:p>
            <w:pPr>
              <w:jc w:val="center"/>
              <w:ind w:left="53"/>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66,075,585</w:t>
            </w:r>
          </w:p>
        </w:tc>
        <w:tc>
          <w:tcPr>
            <w:tcW w:w="1040" w:type="dxa"/>
            <w:vAlign w:val="bottom"/>
            <w:gridSpan w:val="3"/>
          </w:tcPr>
          <w:p>
            <w:pPr>
              <w:jc w:val="right"/>
              <w:ind w:right="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(15,269,175)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5,209,757</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ind w:lef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(13,571,477)</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42,444,690</w:t>
            </w:r>
          </w:p>
        </w:tc>
        <w:tc>
          <w:tcPr>
            <w:tcW w:w="780" w:type="dxa"/>
            <w:vAlign w:val="bottom"/>
            <w:gridSpan w:val="3"/>
          </w:tcPr>
          <w:p>
            <w:pPr>
              <w:jc w:val="center"/>
              <w:ind w:left="129"/>
              <w:spacing w:after="0"/>
              <w:rPr>
                <w:sz w:val="20"/>
                <w:szCs w:val="20"/>
                <w:color w:val="auto"/>
              </w:rPr>
            </w:pPr>
            <w:r>
              <w:rPr>
                <w:rFonts w:ascii="Arial" w:cs="Arial" w:eastAsia="Arial" w:hAnsi="Arial"/>
                <w:sz w:val="14"/>
                <w:szCs w:val="14"/>
                <w:b w:val="1"/>
                <w:bCs w:val="1"/>
                <w:color w:val="auto"/>
                <w:w w:val="96"/>
              </w:rPr>
              <w:t>22.09%</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r>
    </w:tbl>
    <w:p>
      <w:pPr>
        <w:spacing w:after="0" w:line="254" w:lineRule="exact"/>
        <w:rPr>
          <w:sz w:val="20"/>
          <w:szCs w:val="20"/>
          <w:color w:val="auto"/>
        </w:rPr>
      </w:pPr>
    </w:p>
    <w:p>
      <w:pPr>
        <w:ind w:left="300" w:right="100" w:hanging="274"/>
        <w:spacing w:after="0" w:line="273" w:lineRule="auto"/>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portfolio investments are non-income-producing, unless otherwise identified. Equity investments are subject to lock-up restrictions upon their IPO. Unless otherwise noted, all investments were pledged as collateral under the Credit Facility. The Company’s and GSV Asset Management, LLC’s officers and staff, as applicable, may serve on the board of directors of the Company’s portfolio investments. All portfolio investments are considered Level 3 and valued using unobservable inputs, unless otherwise noted. All investments are restricted as to resale, unless otherwise noted, and were valued at fair value as determined in good faith by the Company’s board of directors.</w:t>
      </w:r>
    </w:p>
    <w:p>
      <w:pPr>
        <w:spacing w:after="0" w:line="68" w:lineRule="exact"/>
        <w:rPr>
          <w:sz w:val="20"/>
          <w:szCs w:val="20"/>
          <w:color w:val="auto"/>
        </w:rPr>
      </w:pPr>
    </w:p>
    <w:p>
      <w:pPr>
        <w:ind w:left="300" w:hanging="274"/>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1940 Act.</w:t>
      </w:r>
    </w:p>
    <w:p>
      <w:pPr>
        <w:spacing w:after="0" w:line="114"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***Investment is income-producing.</w:t>
      </w:r>
    </w:p>
    <w:p>
      <w:pPr>
        <w:spacing w:after="0" w:line="200" w:lineRule="exact"/>
        <w:rPr>
          <w:sz w:val="20"/>
          <w:szCs w:val="20"/>
          <w:color w:val="auto"/>
        </w:rPr>
      </w:pPr>
    </w:p>
    <w:p>
      <w:pPr>
        <w:spacing w:after="0" w:line="237" w:lineRule="exact"/>
        <w:rPr>
          <w:sz w:val="20"/>
          <w:szCs w:val="20"/>
          <w:color w:val="auto"/>
        </w:rPr>
      </w:pPr>
    </w:p>
    <w:p>
      <w:pPr>
        <w:ind w:left="300" w:right="120" w:hanging="274"/>
        <w:spacing w:after="0" w:line="260"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Denotes an Affiliate Investment. “Affiliate Investments” are investments in those companies that are “Affiliated Companies” of GSV Capital Corp., as defined in the 1940 Act. In general, a company is deemed to be an “Affiliate” of GSV Capital Corp. if GSV Capital Corp. owns 5% or more of the voting securities (</w:t>
      </w:r>
      <w:r>
        <w:rPr>
          <w:rFonts w:ascii="Arial" w:cs="Arial" w:eastAsia="Arial" w:hAnsi="Arial"/>
          <w:sz w:val="18"/>
          <w:szCs w:val="18"/>
          <w:i w:val="1"/>
          <w:iCs w:val="1"/>
          <w:color w:val="auto"/>
        </w:rPr>
        <w:t>i.e.</w:t>
      </w:r>
      <w:r>
        <w:rPr>
          <w:rFonts w:ascii="Arial" w:cs="Arial" w:eastAsia="Arial" w:hAnsi="Arial"/>
          <w:sz w:val="18"/>
          <w:szCs w:val="18"/>
          <w:color w:val="auto"/>
        </w:rPr>
        <w:t>, securities with the right to elect directors) of such company.</w:t>
      </w:r>
    </w:p>
    <w:p>
      <w:pPr>
        <w:spacing w:after="0" w:line="78" w:lineRule="exact"/>
        <w:rPr>
          <w:rFonts w:ascii="Arial" w:cs="Arial" w:eastAsia="Arial" w:hAnsi="Arial"/>
          <w:sz w:val="18"/>
          <w:szCs w:val="18"/>
          <w:color w:val="auto"/>
        </w:rPr>
      </w:pPr>
    </w:p>
    <w:p>
      <w:pPr>
        <w:ind w:left="300" w:right="140" w:hanging="274"/>
        <w:spacing w:after="0" w:line="256"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Denotes a Control Investment. “Control Investments” are investments in those companies that are “Controlled Companies” of GSV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82" w:lineRule="exact"/>
        <w:rPr>
          <w:rFonts w:ascii="Arial" w:cs="Arial" w:eastAsia="Arial" w:hAnsi="Arial"/>
          <w:sz w:val="18"/>
          <w:szCs w:val="18"/>
          <w:color w:val="auto"/>
        </w:rPr>
      </w:pPr>
    </w:p>
    <w:p>
      <w:pPr>
        <w:jc w:val="both"/>
        <w:ind w:left="300" w:right="80" w:hanging="274"/>
        <w:spacing w:after="0" w:line="260" w:lineRule="auto"/>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wholly-owned subsidiary GSVC WS Holdings, Inc. Whittle Schools, LLC is an investment that is collateralized by Avenues Global Holdings, LLC, as well as the personal collateral of Chris Whittle, the former chairman of Avenues Global Holdings, LLC.</w:t>
      </w:r>
    </w:p>
    <w:p>
      <w:pPr>
        <w:spacing w:after="0" w:line="78" w:lineRule="exact"/>
        <w:rPr>
          <w:rFonts w:ascii="Arial" w:cs="Arial" w:eastAsia="Arial" w:hAnsi="Arial"/>
          <w:sz w:val="18"/>
          <w:szCs w:val="18"/>
          <w:color w:val="auto"/>
        </w:rPr>
      </w:pPr>
    </w:p>
    <w:p>
      <w:pPr>
        <w:ind w:left="300" w:hanging="274"/>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GSV Capital Corp.’s investment in StormWind, LLC is held through its wholly-owned subsidiary GSVC SW Holdings, Inc.</w:t>
      </w:r>
    </w:p>
    <w:p>
      <w:pPr>
        <w:spacing w:after="0" w:line="114" w:lineRule="exact"/>
        <w:rPr>
          <w:rFonts w:ascii="Arial" w:cs="Arial" w:eastAsia="Arial" w:hAnsi="Arial"/>
          <w:sz w:val="18"/>
          <w:szCs w:val="18"/>
          <w:color w:val="auto"/>
        </w:rPr>
      </w:pPr>
    </w:p>
    <w:p>
      <w:pPr>
        <w:jc w:val="both"/>
        <w:ind w:left="300" w:hanging="274"/>
        <w:spacing w:after="0" w:line="336" w:lineRule="auto"/>
        <w:tabs>
          <w:tab w:leader="none" w:pos="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will accrue daily on the unpaid principal balance of the note. Interest began compounding annually on November 26, 2015. Accrued interest is not payable until the earlier of (a) the closing of a subsequent equity offering by CUX, Inc. (d/b/a CorpU), or (b) the maturity of the note (November 26, 2018).</w:t>
      </w:r>
    </w:p>
    <w:p>
      <w:pPr>
        <w:spacing w:after="0" w:line="21" w:lineRule="exact"/>
        <w:rPr>
          <w:rFonts w:ascii="Arial" w:cs="Arial" w:eastAsia="Arial" w:hAnsi="Arial"/>
          <w:sz w:val="16"/>
          <w:szCs w:val="16"/>
          <w:color w:val="auto"/>
        </w:rPr>
      </w:pPr>
    </w:p>
    <w:p>
      <w:pPr>
        <w:ind w:left="300" w:right="160" w:hanging="274"/>
        <w:spacing w:after="0" w:line="276" w:lineRule="auto"/>
        <w:tabs>
          <w:tab w:leader="none" w:pos="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GSV Capital Corp.’s ownership percentage in Orchestra One, Inc. (f/k/a Learnist Inc.) decreased to below 5% and, as such, Orchestra One, Inc. is no longer classified as an “affiliate investment” as of September 30, 2016. As such, the Company has reflected a “transfer out” of the “Affiliate Investment” category above as of September 30, 2016 to indicate that the investment in Orchestra One, Inc., while still held as of September 30, 2016, does not meet the criteria of an affiliate investment as defined in the Investment Company Act of 1940.</w:t>
      </w:r>
    </w:p>
    <w:p>
      <w:pPr>
        <w:spacing w:after="0" w:line="66" w:lineRule="exact"/>
        <w:rPr>
          <w:rFonts w:ascii="Arial" w:cs="Arial" w:eastAsia="Arial" w:hAnsi="Arial"/>
          <w:sz w:val="17"/>
          <w:szCs w:val="17"/>
          <w:color w:val="auto"/>
        </w:rPr>
      </w:pPr>
    </w:p>
    <w:p>
      <w:pPr>
        <w:ind w:left="300" w:hanging="274"/>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wholly-owned subsidiary GSVC SVDS Holdings, Inc.</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19" w:lineRule="exact"/>
        <w:rPr>
          <w:sz w:val="20"/>
          <w:szCs w:val="20"/>
          <w:color w:val="auto"/>
        </w:rPr>
      </w:pPr>
    </w:p>
    <w:p>
      <w:pPr>
        <w:ind w:left="280" w:right="40" w:hanging="274"/>
        <w:spacing w:after="0" w:line="254" w:lineRule="auto"/>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GSV Capital Corp.’s ownership percentage in Handle Financial, Inc. (f/k/a PayNearMe, Inc.) and Fullbridge, Inc. decreased to below 5% and, as such, Handle Financial, Inc. (f/k/a PayNearMe, Inc.) and Fullbridge, Inc. are no longer classified as “affiliate investments” as of December 31, 2016. As such, the Company has reflected a “transfer out” of the “Affiliate Investment” category above as of December 31, 2016 to indicate that the investment in Handle Financial, Inc. (f/k/a PayNearMe, Inc.) and Fullbridge, Inc., while still held as of December 31, 2016, does not meet the criteria of an affiliate investment as defined in the Investment Company Act of 1940.</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SHARE REPURCHASE PROGRAM, EQUITY OFFERINGS AND RELATED EXPENSES</w:t>
      </w:r>
    </w:p>
    <w:p>
      <w:pPr>
        <w:spacing w:after="0" w:line="119" w:lineRule="exact"/>
        <w:rPr>
          <w:sz w:val="20"/>
          <w:szCs w:val="20"/>
          <w:color w:val="auto"/>
        </w:rPr>
      </w:pPr>
    </w:p>
    <w:p>
      <w:pPr>
        <w:ind w:left="40" w:firstLine="268"/>
        <w:spacing w:after="0" w:line="294" w:lineRule="auto"/>
        <w:rPr>
          <w:sz w:val="20"/>
          <w:szCs w:val="20"/>
          <w:color w:val="auto"/>
        </w:rPr>
      </w:pPr>
      <w:r>
        <w:rPr>
          <w:rFonts w:ascii="Arial" w:cs="Arial" w:eastAsia="Arial" w:hAnsi="Arial"/>
          <w:sz w:val="16"/>
          <w:szCs w:val="16"/>
          <w:color w:val="auto"/>
        </w:rPr>
        <w:t>On August 7, 2017, the Company’s board of directors authorized a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During each of the three and nine months ended September 30, 2017, the Company repurchased 574,109 shares of the Company’s common stock pursuant to the Share Repurchase Program for an aggregate of $2,800,810. For more information on the Share Repurchase Program, see “Part II. Item 2. Unregistered Sales of Equity Securities and Use of Proceeds.”</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new shares of the Company’s common stock were issued during the nine months ended September 30, 2017 and 2016, respectively.</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5" w:name="page56"/>
    <w:bookmarkEnd w:id="5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right="460"/>
        <w:spacing w:after="0" w:line="277" w:lineRule="auto"/>
        <w:rPr>
          <w:sz w:val="20"/>
          <w:szCs w:val="20"/>
          <w:color w:val="auto"/>
        </w:rPr>
      </w:pPr>
      <w:r>
        <w:rPr>
          <w:rFonts w:ascii="Arial" w:cs="Arial" w:eastAsia="Arial" w:hAnsi="Arial"/>
          <w:sz w:val="18"/>
          <w:szCs w:val="18"/>
          <w:b w:val="1"/>
          <w:bCs w:val="1"/>
          <w:color w:val="auto"/>
        </w:rPr>
        <w:t>NOTE 5 — NET INCREASE/(DECREASE) IN NET ASSETS RESULTING FROM OPERATIONS PER COMMON SHARE — BASIC AND DILUTED</w:t>
      </w:r>
    </w:p>
    <w:p>
      <w:pPr>
        <w:spacing w:after="0" w:line="63" w:lineRule="exact"/>
        <w:rPr>
          <w:sz w:val="20"/>
          <w:szCs w:val="20"/>
          <w:color w:val="auto"/>
        </w:rPr>
      </w:pPr>
    </w:p>
    <w:p>
      <w:pPr>
        <w:ind w:left="60" w:firstLine="268"/>
        <w:spacing w:after="0" w:line="287" w:lineRule="auto"/>
        <w:rPr>
          <w:sz w:val="20"/>
          <w:szCs w:val="20"/>
          <w:color w:val="auto"/>
        </w:rPr>
      </w:pPr>
      <w:r>
        <w:rPr>
          <w:rFonts w:ascii="Arial" w:cs="Arial" w:eastAsia="Arial" w:hAnsi="Arial"/>
          <w:sz w:val="16"/>
          <w:szCs w:val="16"/>
          <w:color w:val="auto"/>
        </w:rPr>
        <w:t>The following information sets forth the computation of basic and diluted net increase/(decrease) in net assets resulting from operations per common share for the three and nine months ended September 30, 2017 and 2016. The use of the if-converted method as promulgated under ASC 260 considers all potentially dilutive securities in a company’s capital structure when calculating diluted earnings per share, regardless of whether it would be economically beneficial for a holder of such potentially dilutive security to exercise their conversion option (such as out of the money warrants.) In scenarios where diluted net increase in net assets resulting from operations per share is higher than basic net increase in net assets resulting from operations per share, ASC 260 prohibits the separate presentation of the diluted net increase in net assets resulting from operations per share figure. In scenarios where diluted net decrease in net assets resulting from operations per share is lower than basic net decrease in net assets resulting from operations per share, ASC 260 prohibits the separate presentation of the net decrease in net assets resulting from operations per share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3247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24735" cy="8255"/>
                    </a:xfrm>
                    <a:prstGeom prst="rect">
                      <a:avLst/>
                    </a:prstGeom>
                    <a:noFill/>
                  </pic:spPr>
                </pic:pic>
              </a:graphicData>
            </a:graphic>
          </wp:anchor>
        </w:drawing>
        <w:drawing>
          <wp:anchor simplePos="0" relativeHeight="251657728" behindDoc="1" locked="0" layoutInCell="0" allowOverlap="1">
            <wp:simplePos x="0" y="0"/>
            <wp:positionH relativeFrom="column">
              <wp:posOffset>4093210</wp:posOffset>
            </wp:positionH>
            <wp:positionV relativeFrom="paragraph">
              <wp:posOffset>6985</wp:posOffset>
            </wp:positionV>
            <wp:extent cx="28956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9560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64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Earnings/(loss) per common share – basic:</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10,071,004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(2,273,339)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20,051,965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(43,503,968)</w:t>
            </w:r>
          </w:p>
        </w:tc>
        <w:tc>
          <w:tcPr>
            <w:tcW w:w="0" w:type="dxa"/>
            <w:vAlign w:val="bottom"/>
          </w:tcPr>
          <w:p>
            <w:pPr>
              <w:spacing w:after="0"/>
              <w:rPr>
                <w:sz w:val="1"/>
                <w:szCs w:val="1"/>
                <w:color w:val="auto"/>
              </w:rPr>
            </w:pPr>
          </w:p>
        </w:tc>
      </w:tr>
      <w:tr>
        <w:trPr>
          <w:trHeight w:val="215"/>
        </w:trPr>
        <w:tc>
          <w:tcPr>
            <w:tcW w:w="6440" w:type="dxa"/>
            <w:vAlign w:val="bottom"/>
            <w:gridSpan w:val="3"/>
          </w:tcPr>
          <w:p>
            <w:pPr>
              <w:ind w:left="20"/>
              <w:spacing w:after="0"/>
              <w:rPr>
                <w:sz w:val="20"/>
                <w:szCs w:val="20"/>
                <w:color w:val="auto"/>
              </w:rPr>
            </w:pPr>
            <w:r>
              <w:rPr>
                <w:rFonts w:ascii="Arial" w:cs="Arial" w:eastAsia="Arial" w:hAnsi="Arial"/>
                <w:sz w:val="18"/>
                <w:szCs w:val="18"/>
                <w:color w:val="auto"/>
              </w:rPr>
              <w:t>Weighted-average common shares – basic</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22,000,571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22,181,003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22,120,198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22,181,003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Earnings/(loss) per common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8"/>
        </w:trPr>
        <w:tc>
          <w:tcPr>
            <w:tcW w:w="644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Earnings/(loss) per common share – diluted:</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6"/>
              </w:rPr>
              <w:t>Net increase/(decrease) in net assets resulting from operations, before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10,071,004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(2,273,339)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20,051,965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(43,503,968)</w:t>
            </w:r>
          </w:p>
        </w:tc>
        <w:tc>
          <w:tcPr>
            <w:tcW w:w="0" w:type="dxa"/>
            <w:vAlign w:val="bottom"/>
          </w:tcPr>
          <w:p>
            <w:pPr>
              <w:spacing w:after="0"/>
              <w:rPr>
                <w:sz w:val="1"/>
                <w:szCs w:val="1"/>
                <w:color w:val="auto"/>
              </w:rPr>
            </w:pPr>
          </w:p>
        </w:tc>
      </w:tr>
      <w:tr>
        <w:trPr>
          <w:trHeight w:val="215"/>
        </w:trPr>
        <w:tc>
          <w:tcPr>
            <w:tcW w:w="6440" w:type="dxa"/>
            <w:vAlign w:val="bottom"/>
            <w:gridSpan w:val="3"/>
          </w:tcPr>
          <w:p>
            <w:pPr>
              <w:ind w:left="20"/>
              <w:spacing w:after="0"/>
              <w:rPr>
                <w:sz w:val="20"/>
                <w:szCs w:val="20"/>
                <w:color w:val="auto"/>
              </w:rPr>
            </w:pPr>
            <w:r>
              <w:rPr>
                <w:rFonts w:ascii="Arial" w:cs="Arial" w:eastAsia="Arial" w:hAnsi="Arial"/>
                <w:sz w:val="18"/>
                <w:szCs w:val="18"/>
                <w:color w:val="auto"/>
                <w:w w:val="92"/>
              </w:rPr>
              <w:t>Adjustments for interest on Convertible Senior Notes and deferred debt issuance costs</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1,124,917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3,366,801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increase/(decrease) in net assets resulting from operations, as adjusted</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11,195,921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(2,273,339)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23,418,766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(43,503,968)</w:t>
            </w:r>
          </w:p>
        </w:tc>
        <w:tc>
          <w:tcPr>
            <w:tcW w:w="0" w:type="dxa"/>
            <w:vAlign w:val="bottom"/>
          </w:tcPr>
          <w:p>
            <w:pPr>
              <w:spacing w:after="0"/>
              <w:rPr>
                <w:sz w:val="1"/>
                <w:szCs w:val="1"/>
                <w:color w:val="auto"/>
              </w:rPr>
            </w:pPr>
          </w:p>
        </w:tc>
      </w:tr>
      <w:tr>
        <w:trPr>
          <w:trHeight w:val="215"/>
        </w:trPr>
        <w:tc>
          <w:tcPr>
            <w:tcW w:w="6440" w:type="dxa"/>
            <w:vAlign w:val="bottom"/>
            <w:gridSpan w:val="3"/>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22,000,571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22,181,003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22,120,198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22,181,003</w:t>
            </w:r>
          </w:p>
        </w:tc>
        <w:tc>
          <w:tcPr>
            <w:tcW w:w="0" w:type="dxa"/>
            <w:vAlign w:val="bottom"/>
          </w:tcPr>
          <w:p>
            <w:pPr>
              <w:spacing w:after="0"/>
              <w:rPr>
                <w:sz w:val="1"/>
                <w:szCs w:val="1"/>
                <w:color w:val="auto"/>
              </w:rPr>
            </w:pPr>
          </w:p>
        </w:tc>
      </w:tr>
      <w:tr>
        <w:trPr>
          <w:trHeight w:val="255"/>
        </w:trPr>
        <w:tc>
          <w:tcPr>
            <w:tcW w:w="6440" w:type="dxa"/>
            <w:vAlign w:val="bottom"/>
            <w:gridSpan w:val="3"/>
            <w:shd w:val="clear" w:color="auto" w:fill="CCEEFF"/>
          </w:tcPr>
          <w:p>
            <w:pPr>
              <w:ind w:left="20"/>
              <w:spacing w:after="0" w:line="255" w:lineRule="exact"/>
              <w:rPr>
                <w:sz w:val="20"/>
                <w:szCs w:val="20"/>
                <w:color w:val="auto"/>
              </w:rPr>
            </w:pPr>
            <w:r>
              <w:rPr>
                <w:rFonts w:ascii="Arial" w:cs="Arial" w:eastAsia="Arial" w:hAnsi="Arial"/>
                <w:sz w:val="18"/>
                <w:szCs w:val="18"/>
                <w:color w:val="auto"/>
              </w:rPr>
              <w:t>Adjustments for dilutive effect of Convertible Senior Notes</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5,751,815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5,751,815</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440" w:type="dxa"/>
            <w:vAlign w:val="bottom"/>
            <w:gridSpan w:val="3"/>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27,752,386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22,181,003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27,872,013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22,181,003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Earnings/(loss) per common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960" w:type="dxa"/>
            <w:vAlign w:val="bottom"/>
            <w:tcBorders>
              <w:top w:val="single" w:sz="8" w:color="CCEEFF"/>
              <w:bottom w:val="single" w:sz="8" w:color="auto"/>
            </w:tcBorders>
          </w:tcPr>
          <w:p>
            <w:pPr>
              <w:spacing w:after="0"/>
              <w:rPr>
                <w:sz w:val="23"/>
                <w:szCs w:val="23"/>
                <w:color w:val="auto"/>
              </w:rPr>
            </w:pPr>
          </w:p>
        </w:tc>
        <w:tc>
          <w:tcPr>
            <w:tcW w:w="54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7026275" cy="1447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26275" cy="144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026275"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34" w:lineRule="exact"/>
        <w:rPr>
          <w:sz w:val="20"/>
          <w:szCs w:val="20"/>
          <w:color w:val="auto"/>
        </w:rPr>
      </w:pPr>
    </w:p>
    <w:p>
      <w:pPr>
        <w:jc w:val="both"/>
        <w:ind w:left="300" w:hanging="274"/>
        <w:spacing w:after="0" w:line="260"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each of the three and nine months ended September 30, 2016, 5,710,212 potentially dilutive common shares were excluded from the weighted-average common shares outstanding for diluted net decrease in net assets resulting from operations per common share because the effect of these shares would have been anti-dilutive.</w:t>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19" w:lineRule="exact"/>
        <w:rPr>
          <w:sz w:val="20"/>
          <w:szCs w:val="20"/>
          <w:color w:val="auto"/>
        </w:rPr>
      </w:pPr>
    </w:p>
    <w:p>
      <w:pPr>
        <w:jc w:val="both"/>
        <w:ind w:left="60" w:right="520" w:firstLine="268"/>
        <w:spacing w:after="0" w:line="260"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September 30, 2017 and December 31, 2016, the Company had not entered into any investment agreements that required it to make a future investment in a portfolio company.</w:t>
      </w:r>
    </w:p>
    <w:p>
      <w:pPr>
        <w:spacing w:after="0" w:line="78" w:lineRule="exact"/>
        <w:rPr>
          <w:sz w:val="20"/>
          <w:szCs w:val="20"/>
          <w:color w:val="auto"/>
        </w:rPr>
      </w:pPr>
    </w:p>
    <w:p>
      <w:pPr>
        <w:jc w:val="both"/>
        <w:ind w:left="60" w:right="20" w:firstLine="268"/>
        <w:spacing w:after="0" w:line="260" w:lineRule="auto"/>
        <w:rPr>
          <w:sz w:val="20"/>
          <w:szCs w:val="20"/>
          <w:color w:val="auto"/>
        </w:rPr>
      </w:pPr>
      <w:r>
        <w:rPr>
          <w:rFonts w:ascii="Arial" w:cs="Arial" w:eastAsia="Arial" w:hAnsi="Arial"/>
          <w:sz w:val="18"/>
          <w:szCs w:val="18"/>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w:t>
      </w:r>
    </w:p>
    <w:p>
      <w:pPr>
        <w:spacing w:after="0" w:line="200" w:lineRule="exact"/>
        <w:rPr>
          <w:sz w:val="20"/>
          <w:szCs w:val="20"/>
          <w:color w:val="auto"/>
        </w:rPr>
      </w:pPr>
    </w:p>
    <w:p>
      <w:pPr>
        <w:spacing w:after="0" w:line="33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56" w:name="page57"/>
    <w:bookmarkEnd w:id="56"/>
    <w:p>
      <w:pPr>
        <w:ind w:left="14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6 — COMMITMENTS AND CONTINGENCIES – (continued)</w:t>
      </w:r>
    </w:p>
    <w:p>
      <w:pPr>
        <w:spacing w:after="0" w:line="119" w:lineRule="exact"/>
        <w:rPr>
          <w:sz w:val="20"/>
          <w:szCs w:val="20"/>
          <w:color w:val="auto"/>
        </w:rPr>
      </w:pPr>
    </w:p>
    <w:p>
      <w:pPr>
        <w:ind w:left="180" w:right="140"/>
        <w:spacing w:after="0" w:line="272" w:lineRule="auto"/>
        <w:rPr>
          <w:sz w:val="20"/>
          <w:szCs w:val="20"/>
          <w:color w:val="auto"/>
        </w:rPr>
      </w:pPr>
      <w:r>
        <w:rPr>
          <w:rFonts w:ascii="Arial" w:cs="Arial" w:eastAsia="Arial" w:hAnsi="Arial"/>
          <w:sz w:val="18"/>
          <w:szCs w:val="18"/>
          <w:color w:val="auto"/>
        </w:rPr>
        <w:t>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41910</wp:posOffset>
            </wp:positionV>
            <wp:extent cx="66770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77025"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240" w:type="dxa"/>
            <w:vAlign w:val="bottom"/>
          </w:tcPr>
          <w:p>
            <w:pPr>
              <w:spacing w:after="0"/>
              <w:rPr>
                <w:sz w:val="14"/>
                <w:szCs w:val="14"/>
                <w:color w:val="auto"/>
              </w:rPr>
            </w:pPr>
          </w:p>
        </w:tc>
      </w:tr>
      <w:tr>
        <w:trPr>
          <w:trHeight w:val="148"/>
        </w:trPr>
        <w:tc>
          <w:tcPr>
            <w:tcW w:w="1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r>
      <w:tr>
        <w:trPr>
          <w:trHeight w:val="148"/>
        </w:trPr>
        <w:tc>
          <w:tcPr>
            <w:tcW w:w="1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2"/>
                <w:szCs w:val="12"/>
                <w:color w:val="auto"/>
              </w:rPr>
            </w:pPr>
          </w:p>
        </w:tc>
      </w:tr>
      <w:tr>
        <w:trPr>
          <w:trHeight w:val="170"/>
        </w:trPr>
        <w:tc>
          <w:tcPr>
            <w:tcW w:w="1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154"/>
              <w:spacing w:after="0"/>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254"/>
              <w:spacing w:after="0"/>
              <w:rPr>
                <w:sz w:val="20"/>
                <w:szCs w:val="20"/>
                <w:color w:val="auto"/>
              </w:rPr>
            </w:pPr>
            <w:r>
              <w:rPr>
                <w:rFonts w:ascii="Arial" w:cs="Arial" w:eastAsia="Arial" w:hAnsi="Arial"/>
                <w:sz w:val="14"/>
                <w:szCs w:val="14"/>
                <w:b w:val="1"/>
                <w:bCs w:val="1"/>
                <w:color w:val="auto"/>
                <w:w w:val="89"/>
              </w:rPr>
              <w:t>2016</w:t>
            </w: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08"/>
        </w:trPr>
        <w:tc>
          <w:tcPr>
            <w:tcW w:w="120" w:type="dxa"/>
            <w:vAlign w:val="bottom"/>
          </w:tcPr>
          <w:p>
            <w:pPr>
              <w:spacing w:after="0"/>
              <w:rPr>
                <w:sz w:val="18"/>
                <w:szCs w:val="18"/>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Basic Share Data:</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55"/>
        </w:trPr>
        <w:tc>
          <w:tcPr>
            <w:tcW w:w="120" w:type="dxa"/>
            <w:vAlign w:val="bottom"/>
          </w:tcPr>
          <w:p>
            <w:pPr>
              <w:spacing w:after="0"/>
              <w:rPr>
                <w:sz w:val="22"/>
                <w:szCs w:val="22"/>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Net asset value at beginning of period</w:t>
            </w:r>
          </w:p>
        </w:tc>
        <w:tc>
          <w:tcPr>
            <w:tcW w:w="246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20"/>
              <w:spacing w:after="0" w:line="255" w:lineRule="exact"/>
              <w:rPr>
                <w:sz w:val="20"/>
                <w:szCs w:val="20"/>
                <w:color w:val="auto"/>
              </w:rPr>
            </w:pPr>
            <w:r>
              <w:rPr>
                <w:rFonts w:ascii="Arial" w:cs="Arial" w:eastAsia="Arial" w:hAnsi="Arial"/>
                <w:sz w:val="18"/>
                <w:szCs w:val="18"/>
                <w:color w:val="auto"/>
              </w:rPr>
              <w:t>9.11</w:t>
            </w:r>
            <w:r>
              <w:rPr>
                <w:rFonts w:ascii="Arial" w:cs="Arial" w:eastAsia="Arial" w:hAnsi="Arial"/>
                <w:sz w:val="29"/>
                <w:szCs w:val="29"/>
                <w:color w:val="auto"/>
                <w:vertAlign w:val="superscript"/>
              </w:rPr>
              <w:t>(1)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40"/>
              <w:spacing w:after="0" w:line="255" w:lineRule="exact"/>
              <w:rPr>
                <w:sz w:val="20"/>
                <w:szCs w:val="20"/>
                <w:color w:val="auto"/>
              </w:rPr>
            </w:pPr>
            <w:r>
              <w:rPr>
                <w:rFonts w:ascii="Arial" w:cs="Arial" w:eastAsia="Arial" w:hAnsi="Arial"/>
                <w:sz w:val="18"/>
                <w:szCs w:val="18"/>
                <w:color w:val="auto"/>
              </w:rPr>
              <w:t>10.22</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r>
      <w:tr>
        <w:trPr>
          <w:trHeight w:val="255"/>
        </w:trPr>
        <w:tc>
          <w:tcPr>
            <w:tcW w:w="120" w:type="dxa"/>
            <w:vAlign w:val="bottom"/>
          </w:tcPr>
          <w:p>
            <w:pPr>
              <w:spacing w:after="0"/>
              <w:rPr>
                <w:sz w:val="22"/>
                <w:szCs w:val="22"/>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loss</w:t>
            </w:r>
          </w:p>
        </w:tc>
        <w:tc>
          <w:tcPr>
            <w:tcW w:w="2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60"/>
              <w:spacing w:after="0" w:line="255" w:lineRule="exact"/>
              <w:rPr>
                <w:sz w:val="20"/>
                <w:szCs w:val="20"/>
                <w:color w:val="auto"/>
              </w:rPr>
            </w:pPr>
            <w:r>
              <w:rPr>
                <w:rFonts w:ascii="Arial" w:cs="Arial" w:eastAsia="Arial" w:hAnsi="Arial"/>
                <w:sz w:val="18"/>
                <w:szCs w:val="18"/>
                <w:color w:val="auto"/>
              </w:rPr>
              <w:t>(0.30)</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380"/>
              <w:spacing w:after="0" w:line="255"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r>
      <w:tr>
        <w:trPr>
          <w:trHeight w:val="255"/>
        </w:trPr>
        <w:tc>
          <w:tcPr>
            <w:tcW w:w="120" w:type="dxa"/>
            <w:vAlign w:val="bottom"/>
          </w:tcPr>
          <w:p>
            <w:pPr>
              <w:spacing w:after="0"/>
              <w:rPr>
                <w:sz w:val="22"/>
                <w:szCs w:val="22"/>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Realized gain</w:t>
            </w:r>
          </w:p>
        </w:tc>
        <w:tc>
          <w:tcPr>
            <w:tcW w:w="2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right"/>
              <w:ind w:right="320"/>
              <w:spacing w:after="0" w:line="255" w:lineRule="exact"/>
              <w:rPr>
                <w:sz w:val="20"/>
                <w:szCs w:val="20"/>
                <w:color w:val="auto"/>
              </w:rPr>
            </w:pPr>
            <w:r>
              <w:rPr>
                <w:rFonts w:ascii="Arial" w:cs="Arial" w:eastAsia="Arial" w:hAnsi="Arial"/>
                <w:sz w:val="18"/>
                <w:szCs w:val="18"/>
                <w:color w:val="auto"/>
              </w:rPr>
              <w:t>0.05</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440"/>
              <w:spacing w:after="0" w:line="255"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r>
      <w:tr>
        <w:trPr>
          <w:trHeight w:val="255"/>
        </w:trPr>
        <w:tc>
          <w:tcPr>
            <w:tcW w:w="120" w:type="dxa"/>
            <w:vAlign w:val="bottom"/>
          </w:tcPr>
          <w:p>
            <w:pPr>
              <w:spacing w:after="0"/>
              <w:rPr>
                <w:sz w:val="22"/>
                <w:szCs w:val="22"/>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appreciation/(depreciation)</w:t>
            </w:r>
          </w:p>
        </w:tc>
        <w:tc>
          <w:tcPr>
            <w:tcW w:w="2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20"/>
              <w:spacing w:after="0" w:line="255" w:lineRule="exact"/>
              <w:rPr>
                <w:sz w:val="20"/>
                <w:szCs w:val="20"/>
                <w:color w:val="auto"/>
              </w:rPr>
            </w:pPr>
            <w:r>
              <w:rPr>
                <w:rFonts w:ascii="Arial" w:cs="Arial" w:eastAsia="Arial" w:hAnsi="Arial"/>
                <w:sz w:val="18"/>
                <w:szCs w:val="18"/>
                <w:color w:val="auto"/>
              </w:rPr>
              <w:t>0.71</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380"/>
              <w:spacing w:after="0" w:line="255" w:lineRule="exact"/>
              <w:rPr>
                <w:sz w:val="20"/>
                <w:szCs w:val="20"/>
                <w:color w:val="auto"/>
              </w:rPr>
            </w:pPr>
            <w:r>
              <w:rPr>
                <w:rFonts w:ascii="Arial" w:cs="Arial" w:eastAsia="Arial" w:hAnsi="Arial"/>
                <w:sz w:val="18"/>
                <w:szCs w:val="18"/>
                <w:color w:val="auto"/>
              </w:rPr>
              <w:t>(0.06)</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r>
      <w:tr>
        <w:trPr>
          <w:trHeight w:val="255"/>
        </w:trPr>
        <w:tc>
          <w:tcPr>
            <w:tcW w:w="120" w:type="dxa"/>
            <w:vAlign w:val="bottom"/>
          </w:tcPr>
          <w:p>
            <w:pPr>
              <w:spacing w:after="0"/>
              <w:rPr>
                <w:sz w:val="22"/>
                <w:szCs w:val="22"/>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Benefit from taxes on unrealized depreciation of investments</w:t>
            </w:r>
          </w:p>
        </w:tc>
        <w:tc>
          <w:tcPr>
            <w:tcW w:w="2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right"/>
              <w:ind w:right="320"/>
              <w:spacing w:after="0" w:line="255"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440"/>
              <w:spacing w:after="0" w:line="255" w:lineRule="exact"/>
              <w:rPr>
                <w:sz w:val="20"/>
                <w:szCs w:val="20"/>
                <w:color w:val="auto"/>
              </w:rPr>
            </w:pPr>
            <w:r>
              <w:rPr>
                <w:rFonts w:ascii="Arial" w:cs="Arial" w:eastAsia="Arial" w:hAnsi="Arial"/>
                <w:sz w:val="18"/>
                <w:szCs w:val="18"/>
                <w:color w:val="auto"/>
              </w:rPr>
              <w:t>0.02</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r>
      <w:tr>
        <w:trPr>
          <w:trHeight w:val="215"/>
        </w:trPr>
        <w:tc>
          <w:tcPr>
            <w:tcW w:w="120" w:type="dxa"/>
            <w:vAlign w:val="bottom"/>
          </w:tcPr>
          <w:p>
            <w:pPr>
              <w:spacing w:after="0"/>
              <w:rPr>
                <w:sz w:val="18"/>
                <w:szCs w:val="18"/>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distributed</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r>
      <w:tr>
        <w:trPr>
          <w:trHeight w:val="255"/>
        </w:trPr>
        <w:tc>
          <w:tcPr>
            <w:tcW w:w="120" w:type="dxa"/>
            <w:vAlign w:val="bottom"/>
          </w:tcPr>
          <w:p>
            <w:pPr>
              <w:spacing w:after="0"/>
              <w:rPr>
                <w:sz w:val="22"/>
                <w:szCs w:val="22"/>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2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right"/>
              <w:ind w:right="320"/>
              <w:spacing w:after="0" w:line="255"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8"/>
        </w:trPr>
        <w:tc>
          <w:tcPr>
            <w:tcW w:w="120" w:type="dxa"/>
            <w:vAlign w:val="bottom"/>
          </w:tcPr>
          <w:p>
            <w:pPr>
              <w:spacing w:after="0"/>
              <w:rPr>
                <w:sz w:val="23"/>
                <w:szCs w:val="23"/>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value at end of period</w:t>
            </w:r>
          </w:p>
        </w:tc>
        <w:tc>
          <w:tcPr>
            <w:tcW w:w="218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20"/>
              <w:spacing w:after="0" w:line="249" w:lineRule="exact"/>
              <w:rPr>
                <w:sz w:val="20"/>
                <w:szCs w:val="20"/>
                <w:color w:val="auto"/>
              </w:rPr>
            </w:pPr>
            <w:r>
              <w:rPr>
                <w:rFonts w:ascii="Arial" w:cs="Arial" w:eastAsia="Arial" w:hAnsi="Arial"/>
                <w:sz w:val="17"/>
                <w:szCs w:val="17"/>
                <w:color w:val="auto"/>
              </w:rPr>
              <w:t>9.69</w:t>
            </w:r>
            <w:r>
              <w:rPr>
                <w:rFonts w:ascii="Arial" w:cs="Arial" w:eastAsia="Arial" w:hAnsi="Arial"/>
                <w:sz w:val="28"/>
                <w:szCs w:val="28"/>
                <w:color w:val="auto"/>
                <w:vertAlign w:val="superscript"/>
              </w:rPr>
              <w:t>(1)</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40"/>
              <w:spacing w:after="0" w:line="249" w:lineRule="exact"/>
              <w:rPr>
                <w:sz w:val="20"/>
                <w:szCs w:val="20"/>
                <w:color w:val="auto"/>
              </w:rPr>
            </w:pPr>
            <w:r>
              <w:rPr>
                <w:rFonts w:ascii="Arial" w:cs="Arial" w:eastAsia="Arial" w:hAnsi="Arial"/>
                <w:sz w:val="17"/>
                <w:szCs w:val="17"/>
                <w:color w:val="auto"/>
              </w:rPr>
              <w:t>10.08</w:t>
            </w:r>
            <w:r>
              <w:rPr>
                <w:rFonts w:ascii="Arial" w:cs="Arial" w:eastAsia="Arial" w:hAnsi="Arial"/>
                <w:sz w:val="28"/>
                <w:szCs w:val="28"/>
                <w:color w:val="auto"/>
                <w:vertAlign w:val="superscript"/>
              </w:rPr>
              <w:t>(1)</w:t>
            </w:r>
          </w:p>
        </w:tc>
        <w:tc>
          <w:tcPr>
            <w:tcW w:w="240" w:type="dxa"/>
            <w:vAlign w:val="bottom"/>
          </w:tcPr>
          <w:p>
            <w:pPr>
              <w:spacing w:after="0"/>
              <w:rPr>
                <w:sz w:val="23"/>
                <w:szCs w:val="23"/>
                <w:color w:val="auto"/>
              </w:rPr>
            </w:pPr>
          </w:p>
        </w:tc>
      </w:tr>
      <w:tr>
        <w:trPr>
          <w:trHeight w:val="20"/>
        </w:trPr>
        <w:tc>
          <w:tcPr>
            <w:tcW w:w="12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12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218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5.41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8"/>
                <w:szCs w:val="18"/>
                <w:color w:val="auto"/>
              </w:rPr>
            </w:pPr>
          </w:p>
        </w:tc>
      </w:tr>
      <w:tr>
        <w:trPr>
          <w:trHeight w:val="255"/>
        </w:trPr>
        <w:tc>
          <w:tcPr>
            <w:tcW w:w="120" w:type="dxa"/>
            <w:vAlign w:val="bottom"/>
          </w:tcPr>
          <w:p>
            <w:pPr>
              <w:spacing w:after="0"/>
              <w:rPr>
                <w:sz w:val="22"/>
                <w:szCs w:val="22"/>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return based on market value</w:t>
            </w:r>
          </w:p>
        </w:tc>
        <w:tc>
          <w:tcPr>
            <w:tcW w:w="2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line="255" w:lineRule="exact"/>
              <w:rPr>
                <w:sz w:val="20"/>
                <w:szCs w:val="20"/>
                <w:color w:val="auto"/>
              </w:rPr>
            </w:pPr>
            <w:r>
              <w:rPr>
                <w:rFonts w:ascii="Arial" w:cs="Arial" w:eastAsia="Arial" w:hAnsi="Arial"/>
                <w:sz w:val="18"/>
                <w:szCs w:val="18"/>
                <w:color w:val="auto"/>
              </w:rPr>
              <w:t>24.65%</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20"/>
              <w:spacing w:after="0" w:line="255" w:lineRule="exact"/>
              <w:rPr>
                <w:sz w:val="20"/>
                <w:szCs w:val="20"/>
                <w:color w:val="auto"/>
              </w:rPr>
            </w:pPr>
            <w:r>
              <w:rPr>
                <w:rFonts w:ascii="Arial" w:cs="Arial" w:eastAsia="Arial" w:hAnsi="Arial"/>
                <w:sz w:val="18"/>
                <w:szCs w:val="18"/>
                <w:color w:val="auto"/>
              </w:rPr>
              <w:t>(5.23)%</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r>
      <w:tr>
        <w:trPr>
          <w:trHeight w:val="255"/>
        </w:trPr>
        <w:tc>
          <w:tcPr>
            <w:tcW w:w="120" w:type="dxa"/>
            <w:vAlign w:val="bottom"/>
          </w:tcPr>
          <w:p>
            <w:pPr>
              <w:spacing w:after="0"/>
              <w:rPr>
                <w:sz w:val="22"/>
                <w:szCs w:val="22"/>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Total return based on net asset value</w:t>
            </w:r>
          </w:p>
        </w:tc>
        <w:tc>
          <w:tcPr>
            <w:tcW w:w="2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right"/>
              <w:ind w:right="180"/>
              <w:spacing w:after="0" w:line="255" w:lineRule="exact"/>
              <w:rPr>
                <w:sz w:val="20"/>
                <w:szCs w:val="20"/>
                <w:color w:val="auto"/>
              </w:rPr>
            </w:pPr>
            <w:r>
              <w:rPr>
                <w:rFonts w:ascii="Arial" w:cs="Arial" w:eastAsia="Arial" w:hAnsi="Arial"/>
                <w:sz w:val="18"/>
                <w:szCs w:val="18"/>
                <w:color w:val="auto"/>
              </w:rPr>
              <w:t>6.37%</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220"/>
              <w:spacing w:after="0" w:line="255" w:lineRule="exact"/>
              <w:rPr>
                <w:sz w:val="20"/>
                <w:szCs w:val="20"/>
                <w:color w:val="auto"/>
              </w:rPr>
            </w:pPr>
            <w:r>
              <w:rPr>
                <w:rFonts w:ascii="Arial" w:cs="Arial" w:eastAsia="Arial" w:hAnsi="Arial"/>
                <w:sz w:val="18"/>
                <w:szCs w:val="18"/>
                <w:color w:val="auto"/>
              </w:rPr>
              <w:t>(0.59)%</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r>
      <w:tr>
        <w:trPr>
          <w:trHeight w:val="215"/>
        </w:trPr>
        <w:tc>
          <w:tcPr>
            <w:tcW w:w="120" w:type="dxa"/>
            <w:vAlign w:val="bottom"/>
          </w:tcPr>
          <w:p>
            <w:pPr>
              <w:spacing w:after="0"/>
              <w:rPr>
                <w:sz w:val="18"/>
                <w:szCs w:val="18"/>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 at end of period</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21,606,894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22,181,003</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Ratios/Supplemental Data:</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at end of period</w:t>
            </w:r>
          </w:p>
        </w:tc>
        <w:tc>
          <w:tcPr>
            <w:tcW w:w="24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209,379,965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223,619,737</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Average net assets</w:t>
            </w:r>
          </w:p>
        </w:tc>
        <w:tc>
          <w:tcPr>
            <w:tcW w:w="246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201,557,182</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226,900,410</w:t>
            </w:r>
          </w:p>
        </w:tc>
        <w:tc>
          <w:tcPr>
            <w:tcW w:w="240" w:type="dxa"/>
            <w:vAlign w:val="bottom"/>
          </w:tcPr>
          <w:p>
            <w:pPr>
              <w:spacing w:after="0"/>
              <w:rPr>
                <w:sz w:val="18"/>
                <w:szCs w:val="18"/>
                <w:color w:val="auto"/>
              </w:rPr>
            </w:pPr>
          </w:p>
        </w:tc>
      </w:tr>
      <w:tr>
        <w:trPr>
          <w:trHeight w:val="255"/>
        </w:trPr>
        <w:tc>
          <w:tcPr>
            <w:tcW w:w="120" w:type="dxa"/>
            <w:vAlign w:val="bottom"/>
          </w:tcPr>
          <w:p>
            <w:pPr>
              <w:spacing w:after="0"/>
              <w:rPr>
                <w:sz w:val="22"/>
                <w:szCs w:val="22"/>
                <w:color w:val="auto"/>
              </w:rPr>
            </w:pPr>
          </w:p>
        </w:tc>
        <w:tc>
          <w:tcPr>
            <w:tcW w:w="4940" w:type="dxa"/>
            <w:vAlign w:val="bottom"/>
            <w:shd w:val="clear" w:color="auto" w:fill="CCEEFF"/>
          </w:tcPr>
          <w:p>
            <w:pPr>
              <w:ind w:left="20"/>
              <w:spacing w:after="0" w:line="255" w:lineRule="exact"/>
              <w:rPr>
                <w:sz w:val="20"/>
                <w:szCs w:val="20"/>
                <w:color w:val="auto"/>
              </w:rPr>
            </w:pPr>
            <w:r>
              <w:rPr>
                <w:rFonts w:ascii="Arial" w:cs="Arial" w:eastAsia="Arial" w:hAnsi="Arial"/>
                <w:sz w:val="18"/>
                <w:szCs w:val="18"/>
                <w:color w:val="auto"/>
              </w:rPr>
              <w:t>Ratio of gross operating expenses to average net assets</w:t>
            </w:r>
            <w:r>
              <w:rPr>
                <w:rFonts w:ascii="Arial" w:cs="Arial" w:eastAsia="Arial" w:hAnsi="Arial"/>
                <w:sz w:val="29"/>
                <w:szCs w:val="29"/>
                <w:color w:val="auto"/>
                <w:vertAlign w:val="superscript"/>
              </w:rPr>
              <w:t>(3)</w:t>
            </w:r>
          </w:p>
        </w:tc>
        <w:tc>
          <w:tcPr>
            <w:tcW w:w="2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7.53%</w:t>
            </w:r>
          </w:p>
        </w:tc>
        <w:tc>
          <w:tcPr>
            <w:tcW w:w="240" w:type="dxa"/>
            <w:vAlign w:val="bottom"/>
          </w:tcPr>
          <w:p>
            <w:pPr>
              <w:spacing w:after="0"/>
              <w:rPr>
                <w:sz w:val="22"/>
                <w:szCs w:val="22"/>
                <w:color w:val="auto"/>
              </w:rPr>
            </w:pPr>
          </w:p>
        </w:tc>
      </w:tr>
      <w:tr>
        <w:trPr>
          <w:trHeight w:val="255"/>
        </w:trPr>
        <w:tc>
          <w:tcPr>
            <w:tcW w:w="120" w:type="dxa"/>
            <w:vAlign w:val="bottom"/>
          </w:tcPr>
          <w:p>
            <w:pPr>
              <w:spacing w:after="0"/>
              <w:rPr>
                <w:sz w:val="22"/>
                <w:szCs w:val="22"/>
                <w:color w:val="auto"/>
              </w:rPr>
            </w:pPr>
          </w:p>
        </w:tc>
        <w:tc>
          <w:tcPr>
            <w:tcW w:w="4940" w:type="dxa"/>
            <w:vAlign w:val="bottom"/>
          </w:tcPr>
          <w:p>
            <w:pPr>
              <w:ind w:left="20"/>
              <w:spacing w:after="0" w:line="255" w:lineRule="exact"/>
              <w:rPr>
                <w:sz w:val="20"/>
                <w:szCs w:val="20"/>
                <w:color w:val="auto"/>
              </w:rPr>
            </w:pPr>
            <w:r>
              <w:rPr>
                <w:rFonts w:ascii="Arial" w:cs="Arial" w:eastAsia="Arial" w:hAnsi="Arial"/>
                <w:sz w:val="18"/>
                <w:szCs w:val="18"/>
                <w:color w:val="auto"/>
              </w:rPr>
              <w:t>Ratio of net income tax provisions to average net assets</w:t>
            </w:r>
            <w:r>
              <w:rPr>
                <w:rFonts w:ascii="Arial" w:cs="Arial" w:eastAsia="Arial" w:hAnsi="Arial"/>
                <w:sz w:val="29"/>
                <w:szCs w:val="29"/>
                <w:color w:val="auto"/>
                <w:vertAlign w:val="superscript"/>
              </w:rPr>
              <w:t>(3)</w:t>
            </w:r>
          </w:p>
        </w:tc>
        <w:tc>
          <w:tcPr>
            <w:tcW w:w="2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(0.96)%</w:t>
            </w:r>
          </w:p>
        </w:tc>
        <w:tc>
          <w:tcPr>
            <w:tcW w:w="24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4940" w:type="dxa"/>
            <w:vAlign w:val="bottom"/>
            <w:shd w:val="clear" w:color="auto" w:fill="CCEEFF"/>
          </w:tcPr>
          <w:p>
            <w:pPr>
              <w:ind w:left="20"/>
              <w:spacing w:after="0" w:line="249" w:lineRule="exact"/>
              <w:rPr>
                <w:sz w:val="20"/>
                <w:szCs w:val="20"/>
                <w:color w:val="auto"/>
              </w:rPr>
            </w:pPr>
            <w:r>
              <w:rPr>
                <w:rFonts w:ascii="Arial" w:cs="Arial" w:eastAsia="Arial" w:hAnsi="Arial"/>
                <w:sz w:val="17"/>
                <w:szCs w:val="17"/>
                <w:color w:val="auto"/>
              </w:rPr>
              <w:t>Ratio of operating expenses to average net assets</w:t>
            </w:r>
            <w:r>
              <w:rPr>
                <w:rFonts w:ascii="Arial" w:cs="Arial" w:eastAsia="Arial" w:hAnsi="Arial"/>
                <w:sz w:val="28"/>
                <w:szCs w:val="28"/>
                <w:color w:val="auto"/>
                <w:vertAlign w:val="superscript"/>
              </w:rPr>
              <w:t>(3)</w:t>
            </w:r>
          </w:p>
        </w:tc>
        <w:tc>
          <w:tcPr>
            <w:tcW w:w="2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13.68%</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21"/>
                <w:szCs w:val="21"/>
                <w:color w:val="auto"/>
              </w:rPr>
            </w:pPr>
          </w:p>
        </w:tc>
      </w:tr>
      <w:tr>
        <w:trPr>
          <w:trHeight w:val="255"/>
        </w:trPr>
        <w:tc>
          <w:tcPr>
            <w:tcW w:w="120" w:type="dxa"/>
            <w:vAlign w:val="bottom"/>
          </w:tcPr>
          <w:p>
            <w:pPr>
              <w:spacing w:after="0"/>
              <w:rPr>
                <w:sz w:val="22"/>
                <w:szCs w:val="22"/>
                <w:color w:val="auto"/>
              </w:rPr>
            </w:pPr>
          </w:p>
        </w:tc>
        <w:tc>
          <w:tcPr>
            <w:tcW w:w="4940" w:type="dxa"/>
            <w:vAlign w:val="bottom"/>
          </w:tcPr>
          <w:p>
            <w:pPr>
              <w:ind w:left="20"/>
              <w:spacing w:after="0" w:line="255" w:lineRule="exact"/>
              <w:rPr>
                <w:sz w:val="20"/>
                <w:szCs w:val="20"/>
                <w:color w:val="auto"/>
              </w:rPr>
            </w:pPr>
            <w:r>
              <w:rPr>
                <w:rFonts w:ascii="Arial" w:cs="Arial" w:eastAsia="Arial" w:hAnsi="Arial"/>
                <w:sz w:val="18"/>
                <w:szCs w:val="18"/>
                <w:color w:val="auto"/>
              </w:rPr>
              <w:t>Ratio of management fee waiver to average net assets</w:t>
            </w:r>
            <w:r>
              <w:rPr>
                <w:rFonts w:ascii="Arial" w:cs="Arial" w:eastAsia="Arial" w:hAnsi="Arial"/>
                <w:sz w:val="29"/>
                <w:szCs w:val="29"/>
                <w:color w:val="auto"/>
                <w:vertAlign w:val="superscript"/>
              </w:rPr>
              <w:t>(3)</w:t>
            </w:r>
          </w:p>
        </w:tc>
        <w:tc>
          <w:tcPr>
            <w:tcW w:w="2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r>
      <w:tr>
        <w:trPr>
          <w:trHeight w:val="20"/>
        </w:trPr>
        <w:tc>
          <w:tcPr>
            <w:tcW w:w="1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8"/>
        </w:trPr>
        <w:tc>
          <w:tcPr>
            <w:tcW w:w="120" w:type="dxa"/>
            <w:vAlign w:val="bottom"/>
          </w:tcPr>
          <w:p>
            <w:pPr>
              <w:spacing w:after="0"/>
              <w:rPr>
                <w:sz w:val="23"/>
                <w:szCs w:val="23"/>
                <w:color w:val="auto"/>
              </w:rPr>
            </w:pPr>
          </w:p>
        </w:tc>
        <w:tc>
          <w:tcPr>
            <w:tcW w:w="4940" w:type="dxa"/>
            <w:vAlign w:val="bottom"/>
            <w:shd w:val="clear" w:color="auto" w:fill="CCEEFF"/>
          </w:tcPr>
          <w:p>
            <w:pPr>
              <w:ind w:left="20"/>
              <w:spacing w:after="0" w:line="249" w:lineRule="exact"/>
              <w:rPr>
                <w:sz w:val="20"/>
                <w:szCs w:val="20"/>
                <w:color w:val="auto"/>
              </w:rPr>
            </w:pPr>
            <w:r>
              <w:rPr>
                <w:rFonts w:ascii="Arial" w:cs="Arial" w:eastAsia="Arial" w:hAnsi="Arial"/>
                <w:sz w:val="17"/>
                <w:szCs w:val="17"/>
                <w:color w:val="auto"/>
              </w:rPr>
              <w:t>Ratio of net operating expenses to average net assets</w:t>
            </w:r>
            <w:r>
              <w:rPr>
                <w:rFonts w:ascii="Arial" w:cs="Arial" w:eastAsia="Arial" w:hAnsi="Arial"/>
                <w:sz w:val="28"/>
                <w:szCs w:val="28"/>
                <w:color w:val="auto"/>
                <w:vertAlign w:val="superscript"/>
              </w:rPr>
              <w:t>(3)</w:t>
            </w:r>
          </w:p>
        </w:tc>
        <w:tc>
          <w:tcPr>
            <w:tcW w:w="2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13.34%</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23"/>
                <w:szCs w:val="23"/>
                <w:color w:val="auto"/>
              </w:rPr>
            </w:pPr>
          </w:p>
        </w:tc>
      </w:tr>
      <w:tr>
        <w:trPr>
          <w:trHeight w:val="20"/>
        </w:trPr>
        <w:tc>
          <w:tcPr>
            <w:tcW w:w="120" w:type="dxa"/>
            <w:vAlign w:val="bottom"/>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8"/>
        </w:trPr>
        <w:tc>
          <w:tcPr>
            <w:tcW w:w="120" w:type="dxa"/>
            <w:vAlign w:val="bottom"/>
          </w:tcPr>
          <w:p>
            <w:pPr>
              <w:spacing w:after="0"/>
              <w:rPr>
                <w:sz w:val="21"/>
                <w:szCs w:val="21"/>
                <w:color w:val="auto"/>
              </w:rPr>
            </w:pPr>
          </w:p>
        </w:tc>
        <w:tc>
          <w:tcPr>
            <w:tcW w:w="4940" w:type="dxa"/>
            <w:vAlign w:val="bottom"/>
          </w:tcPr>
          <w:p>
            <w:pPr>
              <w:ind w:left="20"/>
              <w:spacing w:after="0" w:line="249" w:lineRule="exact"/>
              <w:rPr>
                <w:sz w:val="20"/>
                <w:szCs w:val="20"/>
                <w:color w:val="auto"/>
              </w:rPr>
            </w:pPr>
            <w:r>
              <w:rPr>
                <w:rFonts w:ascii="Arial" w:cs="Arial" w:eastAsia="Arial" w:hAnsi="Arial"/>
                <w:sz w:val="17"/>
                <w:szCs w:val="17"/>
                <w:color w:val="auto"/>
              </w:rPr>
              <w:t>Ratio of net investment loss to average net assets</w:t>
            </w:r>
            <w:r>
              <w:rPr>
                <w:rFonts w:ascii="Arial" w:cs="Arial" w:eastAsia="Arial" w:hAnsi="Arial"/>
                <w:sz w:val="28"/>
                <w:szCs w:val="28"/>
                <w:color w:val="auto"/>
                <w:vertAlign w:val="superscript"/>
              </w:rPr>
              <w:t>(3)</w:t>
            </w:r>
          </w:p>
        </w:tc>
        <w:tc>
          <w:tcPr>
            <w:tcW w:w="2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(13.04)%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21"/>
                <w:szCs w:val="21"/>
                <w:color w:val="auto"/>
              </w:rPr>
            </w:pPr>
          </w:p>
        </w:tc>
      </w:tr>
      <w:tr>
        <w:trPr>
          <w:trHeight w:val="215"/>
        </w:trPr>
        <w:tc>
          <w:tcPr>
            <w:tcW w:w="120" w:type="dxa"/>
            <w:vAlign w:val="bottom"/>
          </w:tcPr>
          <w:p>
            <w:pPr>
              <w:spacing w:after="0"/>
              <w:rPr>
                <w:sz w:val="18"/>
                <w:szCs w:val="18"/>
                <w:color w:val="auto"/>
              </w:rPr>
            </w:pPr>
          </w:p>
        </w:tc>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Turnover Ratio</w:t>
            </w:r>
          </w:p>
        </w:tc>
        <w:tc>
          <w:tcPr>
            <w:tcW w:w="2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18"/>
                <w:szCs w:val="18"/>
                <w:color w:val="auto"/>
              </w:rPr>
            </w:pPr>
          </w:p>
        </w:tc>
      </w:tr>
      <w:tr>
        <w:trPr>
          <w:trHeight w:val="763"/>
        </w:trPr>
        <w:tc>
          <w:tcPr>
            <w:tcW w:w="1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180" w:type="dxa"/>
            <w:vAlign w:val="bottom"/>
          </w:tcPr>
          <w:p>
            <w:pPr>
              <w:jc w:val="right"/>
              <w:ind w:right="1351"/>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49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49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-2818130</wp:posOffset>
            </wp:positionV>
            <wp:extent cx="7026275" cy="1701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-953135</wp:posOffset>
            </wp:positionV>
            <wp:extent cx="7026275" cy="1955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026275" cy="195580"/>
                    </a:xfrm>
                    <a:prstGeom prst="rect">
                      <a:avLst/>
                    </a:prstGeom>
                    <a:noFill/>
                  </pic:spPr>
                </pic:pic>
              </a:graphicData>
            </a:graphic>
          </wp:anchor>
        </w:drawing>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57" w:name="page58"/>
    <w:bookmarkEnd w:id="5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66770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677025"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Nine Months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Nine Months</w:t>
            </w: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Ended</w:t>
            </w: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1"/>
              </w:rPr>
              <w:t>September 30,</w:t>
            </w: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154"/>
              <w:spacing w:after="0"/>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254"/>
              <w:spacing w:after="0"/>
              <w:rPr>
                <w:sz w:val="20"/>
                <w:szCs w:val="20"/>
                <w:color w:val="auto"/>
              </w:rPr>
            </w:pPr>
            <w:r>
              <w:rPr>
                <w:rFonts w:ascii="Arial" w:cs="Arial" w:eastAsia="Arial" w:hAnsi="Arial"/>
                <w:sz w:val="14"/>
                <w:szCs w:val="14"/>
                <w:b w:val="1"/>
                <w:bCs w:val="1"/>
                <w:color w:val="auto"/>
                <w:w w:val="89"/>
              </w:rPr>
              <w:t>2016</w:t>
            </w:r>
          </w:p>
        </w:tc>
        <w:tc>
          <w:tcPr>
            <w:tcW w:w="620" w:type="dxa"/>
            <w:vAlign w:val="bottom"/>
            <w:tcBorders>
              <w:bottom w:val="single" w:sz="8" w:color="auto"/>
            </w:tcBorders>
          </w:tcPr>
          <w:p>
            <w:pPr>
              <w:spacing w:after="0"/>
              <w:rPr>
                <w:sz w:val="14"/>
                <w:szCs w:val="14"/>
                <w:color w:val="auto"/>
              </w:rPr>
            </w:pPr>
          </w:p>
        </w:tc>
      </w:tr>
      <w:tr>
        <w:trPr>
          <w:trHeight w:val="208"/>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Per Basic Share Data:</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55"/>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Net asset value at beginning of period</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20"/>
              <w:spacing w:after="0" w:line="255" w:lineRule="exact"/>
              <w:rPr>
                <w:sz w:val="20"/>
                <w:szCs w:val="20"/>
                <w:color w:val="auto"/>
              </w:rPr>
            </w:pPr>
            <w:r>
              <w:rPr>
                <w:rFonts w:ascii="Arial" w:cs="Arial" w:eastAsia="Arial" w:hAnsi="Arial"/>
                <w:sz w:val="18"/>
                <w:szCs w:val="18"/>
                <w:color w:val="auto"/>
              </w:rPr>
              <w:t>8.66</w:t>
            </w:r>
            <w:r>
              <w:rPr>
                <w:rFonts w:ascii="Arial" w:cs="Arial" w:eastAsia="Arial" w:hAnsi="Arial"/>
                <w:sz w:val="29"/>
                <w:szCs w:val="29"/>
                <w:color w:val="auto"/>
                <w:vertAlign w:val="superscript"/>
              </w:rPr>
              <w:t>(1)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440"/>
              <w:spacing w:after="0" w:line="255" w:lineRule="exact"/>
              <w:rPr>
                <w:sz w:val="20"/>
                <w:szCs w:val="20"/>
                <w:color w:val="auto"/>
              </w:rPr>
            </w:pPr>
            <w:r>
              <w:rPr>
                <w:rFonts w:ascii="Arial" w:cs="Arial" w:eastAsia="Arial" w:hAnsi="Arial"/>
                <w:sz w:val="18"/>
                <w:szCs w:val="18"/>
                <w:color w:val="auto"/>
              </w:rPr>
              <w:t>12.08</w:t>
            </w:r>
            <w:r>
              <w:rPr>
                <w:rFonts w:ascii="Arial" w:cs="Arial" w:eastAsia="Arial" w:hAnsi="Arial"/>
                <w:sz w:val="29"/>
                <w:szCs w:val="29"/>
                <w:color w:val="auto"/>
                <w:vertAlign w:val="superscript"/>
              </w:rPr>
              <w:t>(1)</w:t>
            </w:r>
          </w:p>
        </w:tc>
      </w:tr>
      <w:tr>
        <w:trPr>
          <w:trHeight w:val="255"/>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investment loss</w:t>
            </w:r>
          </w:p>
        </w:tc>
        <w:tc>
          <w:tcPr>
            <w:tcW w:w="2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60"/>
              <w:spacing w:after="0" w:line="255" w:lineRule="exact"/>
              <w:rPr>
                <w:sz w:val="20"/>
                <w:szCs w:val="20"/>
                <w:color w:val="auto"/>
              </w:rPr>
            </w:pPr>
            <w:r>
              <w:rPr>
                <w:rFonts w:ascii="Arial" w:cs="Arial" w:eastAsia="Arial" w:hAnsi="Arial"/>
                <w:sz w:val="18"/>
                <w:szCs w:val="18"/>
                <w:color w:val="auto"/>
              </w:rPr>
              <w:t>(0.78)</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380"/>
              <w:spacing w:after="0" w:line="255" w:lineRule="exact"/>
              <w:rPr>
                <w:sz w:val="20"/>
                <w:szCs w:val="20"/>
                <w:color w:val="auto"/>
              </w:rPr>
            </w:pPr>
            <w:r>
              <w:rPr>
                <w:rFonts w:ascii="Arial" w:cs="Arial" w:eastAsia="Arial" w:hAnsi="Arial"/>
                <w:sz w:val="18"/>
                <w:szCs w:val="18"/>
                <w:color w:val="auto"/>
              </w:rPr>
              <w:t>(0.23)</w:t>
            </w:r>
            <w:r>
              <w:rPr>
                <w:rFonts w:ascii="Arial" w:cs="Arial" w:eastAsia="Arial" w:hAnsi="Arial"/>
                <w:sz w:val="29"/>
                <w:szCs w:val="29"/>
                <w:color w:val="auto"/>
                <w:vertAlign w:val="superscript"/>
              </w:rPr>
              <w:t>(1)</w:t>
            </w:r>
          </w:p>
        </w:tc>
      </w:tr>
      <w:tr>
        <w:trPr>
          <w:trHeight w:val="255"/>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Realized loss</w:t>
            </w:r>
          </w:p>
        </w:tc>
        <w:tc>
          <w:tcPr>
            <w:tcW w:w="280" w:type="dxa"/>
            <w:vAlign w:val="bottom"/>
          </w:tcPr>
          <w:p>
            <w:pPr>
              <w:spacing w:after="0"/>
              <w:rPr>
                <w:sz w:val="22"/>
                <w:szCs w:val="22"/>
                <w:color w:val="auto"/>
              </w:rPr>
            </w:pPr>
          </w:p>
        </w:tc>
        <w:tc>
          <w:tcPr>
            <w:tcW w:w="1560" w:type="dxa"/>
            <w:vAlign w:val="bottom"/>
            <w:gridSpan w:val="2"/>
          </w:tcPr>
          <w:p>
            <w:pPr>
              <w:jc w:val="right"/>
              <w:ind w:right="260"/>
              <w:spacing w:after="0" w:line="255" w:lineRule="exact"/>
              <w:rPr>
                <w:sz w:val="20"/>
                <w:szCs w:val="20"/>
                <w:color w:val="auto"/>
              </w:rPr>
            </w:pPr>
            <w:r>
              <w:rPr>
                <w:rFonts w:ascii="Arial" w:cs="Arial" w:eastAsia="Arial" w:hAnsi="Arial"/>
                <w:sz w:val="18"/>
                <w:szCs w:val="18"/>
                <w:color w:val="auto"/>
              </w:rPr>
              <w:t>(1.10)</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380"/>
              <w:spacing w:after="0" w:line="255" w:lineRule="exact"/>
              <w:rPr>
                <w:sz w:val="20"/>
                <w:szCs w:val="20"/>
                <w:color w:val="auto"/>
              </w:rPr>
            </w:pPr>
            <w:r>
              <w:rPr>
                <w:rFonts w:ascii="Arial" w:cs="Arial" w:eastAsia="Arial" w:hAnsi="Arial"/>
                <w:sz w:val="18"/>
                <w:szCs w:val="18"/>
                <w:color w:val="auto"/>
              </w:rPr>
              <w:t>(0.10)</w:t>
            </w:r>
            <w:r>
              <w:rPr>
                <w:rFonts w:ascii="Arial" w:cs="Arial" w:eastAsia="Arial" w:hAnsi="Arial"/>
                <w:sz w:val="29"/>
                <w:szCs w:val="29"/>
                <w:color w:val="auto"/>
                <w:vertAlign w:val="superscript"/>
              </w:rPr>
              <w:t>(1)</w:t>
            </w:r>
          </w:p>
        </w:tc>
      </w:tr>
      <w:tr>
        <w:trPr>
          <w:trHeight w:val="255"/>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Change in unrealized appreciation/(depreciation)</w:t>
            </w:r>
          </w:p>
        </w:tc>
        <w:tc>
          <w:tcPr>
            <w:tcW w:w="2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20"/>
              <w:spacing w:after="0" w:line="255" w:lineRule="exact"/>
              <w:rPr>
                <w:sz w:val="20"/>
                <w:szCs w:val="20"/>
                <w:color w:val="auto"/>
              </w:rPr>
            </w:pPr>
            <w:r>
              <w:rPr>
                <w:rFonts w:ascii="Arial" w:cs="Arial" w:eastAsia="Arial" w:hAnsi="Arial"/>
                <w:sz w:val="18"/>
                <w:szCs w:val="18"/>
                <w:color w:val="auto"/>
              </w:rPr>
              <w:t>2.79</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380"/>
              <w:spacing w:after="0" w:line="255" w:lineRule="exact"/>
              <w:rPr>
                <w:sz w:val="20"/>
                <w:szCs w:val="20"/>
                <w:color w:val="auto"/>
              </w:rPr>
            </w:pPr>
            <w:r>
              <w:rPr>
                <w:rFonts w:ascii="Arial" w:cs="Arial" w:eastAsia="Arial" w:hAnsi="Arial"/>
                <w:sz w:val="18"/>
                <w:szCs w:val="18"/>
                <w:color w:val="auto"/>
              </w:rPr>
              <w:t>(1.65)</w:t>
            </w:r>
            <w:r>
              <w:rPr>
                <w:rFonts w:ascii="Arial" w:cs="Arial" w:eastAsia="Arial" w:hAnsi="Arial"/>
                <w:sz w:val="29"/>
                <w:szCs w:val="29"/>
                <w:color w:val="auto"/>
                <w:vertAlign w:val="superscript"/>
              </w:rPr>
              <w:t>(1)</w:t>
            </w:r>
          </w:p>
        </w:tc>
      </w:tr>
      <w:tr>
        <w:trPr>
          <w:trHeight w:val="255"/>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Benefit from taxes on unrealized depreciation of investments</w:t>
            </w:r>
          </w:p>
        </w:tc>
        <w:tc>
          <w:tcPr>
            <w:tcW w:w="280" w:type="dxa"/>
            <w:vAlign w:val="bottom"/>
          </w:tcPr>
          <w:p>
            <w:pPr>
              <w:spacing w:after="0"/>
              <w:rPr>
                <w:sz w:val="22"/>
                <w:szCs w:val="22"/>
                <w:color w:val="auto"/>
              </w:rPr>
            </w:pPr>
          </w:p>
        </w:tc>
        <w:tc>
          <w:tcPr>
            <w:tcW w:w="1560" w:type="dxa"/>
            <w:vAlign w:val="bottom"/>
            <w:gridSpan w:val="2"/>
          </w:tcPr>
          <w:p>
            <w:pPr>
              <w:jc w:val="right"/>
              <w:ind w:right="320"/>
              <w:spacing w:after="0" w:line="255"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(1)</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440"/>
              <w:spacing w:after="0" w:line="255" w:lineRule="exact"/>
              <w:rPr>
                <w:sz w:val="20"/>
                <w:szCs w:val="20"/>
                <w:color w:val="auto"/>
              </w:rPr>
            </w:pPr>
            <w:r>
              <w:rPr>
                <w:rFonts w:ascii="Arial" w:cs="Arial" w:eastAsia="Arial" w:hAnsi="Arial"/>
                <w:sz w:val="18"/>
                <w:szCs w:val="18"/>
                <w:color w:val="auto"/>
              </w:rPr>
              <w:t>0.02</w:t>
            </w:r>
            <w:r>
              <w:rPr>
                <w:rFonts w:ascii="Arial" w:cs="Arial" w:eastAsia="Arial" w:hAnsi="Arial"/>
                <w:sz w:val="29"/>
                <w:szCs w:val="29"/>
                <w:color w:val="auto"/>
                <w:vertAlign w:val="superscript"/>
              </w:rPr>
              <w:t>(1)</w:t>
            </w:r>
          </w:p>
        </w:tc>
      </w:tr>
      <w:tr>
        <w:trPr>
          <w:trHeight w:val="215"/>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Dividends distributed</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r>
      <w:tr>
        <w:trPr>
          <w:trHeight w:val="255"/>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Repurchase of common stock</w:t>
            </w:r>
          </w:p>
        </w:tc>
        <w:tc>
          <w:tcPr>
            <w:tcW w:w="280" w:type="dxa"/>
            <w:vAlign w:val="bottom"/>
          </w:tcPr>
          <w:p>
            <w:pPr>
              <w:spacing w:after="0"/>
              <w:rPr>
                <w:sz w:val="22"/>
                <w:szCs w:val="22"/>
                <w:color w:val="auto"/>
              </w:rPr>
            </w:pPr>
          </w:p>
        </w:tc>
        <w:tc>
          <w:tcPr>
            <w:tcW w:w="1560" w:type="dxa"/>
            <w:vAlign w:val="bottom"/>
            <w:gridSpan w:val="2"/>
          </w:tcPr>
          <w:p>
            <w:pPr>
              <w:jc w:val="right"/>
              <w:ind w:right="320"/>
              <w:spacing w:after="0" w:line="255" w:lineRule="exact"/>
              <w:rPr>
                <w:sz w:val="20"/>
                <w:szCs w:val="20"/>
                <w:color w:val="auto"/>
              </w:rPr>
            </w:pPr>
            <w:r>
              <w:rPr>
                <w:rFonts w:ascii="Arial" w:cs="Arial" w:eastAsia="Arial" w:hAnsi="Arial"/>
                <w:sz w:val="18"/>
                <w:szCs w:val="18"/>
                <w:color w:val="auto"/>
              </w:rPr>
              <w:t>0.12</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8"/>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 value at end of period</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320"/>
              <w:spacing w:after="0" w:line="249" w:lineRule="exact"/>
              <w:rPr>
                <w:sz w:val="20"/>
                <w:szCs w:val="20"/>
                <w:color w:val="auto"/>
              </w:rPr>
            </w:pPr>
            <w:r>
              <w:rPr>
                <w:rFonts w:ascii="Arial" w:cs="Arial" w:eastAsia="Arial" w:hAnsi="Arial"/>
                <w:sz w:val="17"/>
                <w:szCs w:val="17"/>
                <w:color w:val="auto"/>
              </w:rPr>
              <w:t>9.69</w:t>
            </w:r>
            <w:r>
              <w:rPr>
                <w:rFonts w:ascii="Arial" w:cs="Arial" w:eastAsia="Arial" w:hAnsi="Arial"/>
                <w:sz w:val="28"/>
                <w:szCs w:val="28"/>
                <w:color w:val="auto"/>
                <w:vertAlign w:val="superscript"/>
              </w:rPr>
              <w:t>(1)</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40"/>
              <w:spacing w:after="0" w:line="249" w:lineRule="exact"/>
              <w:rPr>
                <w:sz w:val="20"/>
                <w:szCs w:val="20"/>
                <w:color w:val="auto"/>
              </w:rPr>
            </w:pPr>
            <w:r>
              <w:rPr>
                <w:rFonts w:ascii="Arial" w:cs="Arial" w:eastAsia="Arial" w:hAnsi="Arial"/>
                <w:sz w:val="17"/>
                <w:szCs w:val="17"/>
                <w:color w:val="auto"/>
              </w:rPr>
              <w:t>10.08</w:t>
            </w:r>
            <w:r>
              <w:rPr>
                <w:rFonts w:ascii="Arial" w:cs="Arial" w:eastAsia="Arial" w:hAnsi="Arial"/>
                <w:sz w:val="28"/>
                <w:szCs w:val="28"/>
                <w:color w:val="auto"/>
                <w:vertAlign w:val="superscript"/>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208"/>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5.41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4.72</w:t>
            </w:r>
          </w:p>
        </w:tc>
      </w:tr>
      <w:tr>
        <w:trPr>
          <w:trHeight w:val="255"/>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return based on market value</w:t>
            </w:r>
          </w:p>
        </w:tc>
        <w:tc>
          <w:tcPr>
            <w:tcW w:w="2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line="255" w:lineRule="exact"/>
              <w:rPr>
                <w:sz w:val="20"/>
                <w:szCs w:val="20"/>
                <w:color w:val="auto"/>
              </w:rPr>
            </w:pPr>
            <w:r>
              <w:rPr>
                <w:rFonts w:ascii="Arial" w:cs="Arial" w:eastAsia="Arial" w:hAnsi="Arial"/>
                <w:sz w:val="18"/>
                <w:szCs w:val="18"/>
                <w:color w:val="auto"/>
              </w:rPr>
              <w:t>7.55%</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20"/>
              <w:spacing w:after="0" w:line="255" w:lineRule="exact"/>
              <w:rPr>
                <w:sz w:val="20"/>
                <w:szCs w:val="20"/>
                <w:color w:val="auto"/>
              </w:rPr>
            </w:pPr>
            <w:r>
              <w:rPr>
                <w:rFonts w:ascii="Arial" w:cs="Arial" w:eastAsia="Arial" w:hAnsi="Arial"/>
                <w:sz w:val="18"/>
                <w:szCs w:val="18"/>
                <w:color w:val="auto"/>
              </w:rPr>
              <w:t>(28.03)%</w:t>
            </w:r>
            <w:r>
              <w:rPr>
                <w:rFonts w:ascii="Arial" w:cs="Arial" w:eastAsia="Arial" w:hAnsi="Arial"/>
                <w:sz w:val="29"/>
                <w:szCs w:val="29"/>
                <w:color w:val="auto"/>
                <w:vertAlign w:val="superscript"/>
              </w:rPr>
              <w:t>(2)</w:t>
            </w:r>
          </w:p>
        </w:tc>
      </w:tr>
      <w:tr>
        <w:trPr>
          <w:trHeight w:val="255"/>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Total return based on net asset value</w:t>
            </w:r>
          </w:p>
        </w:tc>
        <w:tc>
          <w:tcPr>
            <w:tcW w:w="280" w:type="dxa"/>
            <w:vAlign w:val="bottom"/>
          </w:tcPr>
          <w:p>
            <w:pPr>
              <w:spacing w:after="0"/>
              <w:rPr>
                <w:sz w:val="22"/>
                <w:szCs w:val="22"/>
                <w:color w:val="auto"/>
              </w:rPr>
            </w:pPr>
          </w:p>
        </w:tc>
        <w:tc>
          <w:tcPr>
            <w:tcW w:w="1560" w:type="dxa"/>
            <w:vAlign w:val="bottom"/>
            <w:gridSpan w:val="2"/>
          </w:tcPr>
          <w:p>
            <w:pPr>
              <w:jc w:val="right"/>
              <w:ind w:right="180"/>
              <w:spacing w:after="0" w:line="255" w:lineRule="exact"/>
              <w:rPr>
                <w:sz w:val="20"/>
                <w:szCs w:val="20"/>
                <w:color w:val="auto"/>
              </w:rPr>
            </w:pPr>
            <w:r>
              <w:rPr>
                <w:rFonts w:ascii="Arial" w:cs="Arial" w:eastAsia="Arial" w:hAnsi="Arial"/>
                <w:sz w:val="18"/>
                <w:szCs w:val="18"/>
                <w:color w:val="auto"/>
              </w:rPr>
              <w:t>11.89%</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220"/>
              <w:spacing w:after="0" w:line="255" w:lineRule="exact"/>
              <w:rPr>
                <w:sz w:val="20"/>
                <w:szCs w:val="20"/>
                <w:color w:val="auto"/>
              </w:rPr>
            </w:pPr>
            <w:r>
              <w:rPr>
                <w:rFonts w:ascii="Arial" w:cs="Arial" w:eastAsia="Arial" w:hAnsi="Arial"/>
                <w:sz w:val="18"/>
                <w:szCs w:val="18"/>
                <w:color w:val="auto"/>
              </w:rPr>
              <w:t>(15.90)%</w:t>
            </w:r>
            <w:r>
              <w:rPr>
                <w:rFonts w:ascii="Arial" w:cs="Arial" w:eastAsia="Arial" w:hAnsi="Arial"/>
                <w:sz w:val="29"/>
                <w:szCs w:val="29"/>
                <w:color w:val="auto"/>
                <w:vertAlign w:val="superscript"/>
              </w:rPr>
              <w:t>(2)</w:t>
            </w:r>
          </w:p>
        </w:tc>
      </w:tr>
      <w:tr>
        <w:trPr>
          <w:trHeight w:val="215"/>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outstanding at end of period</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21,606,894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22,181,003</w:t>
            </w:r>
          </w:p>
        </w:tc>
      </w:tr>
      <w:tr>
        <w:trPr>
          <w:trHeight w:val="215"/>
        </w:trPr>
        <w:tc>
          <w:tcPr>
            <w:tcW w:w="7120" w:type="dxa"/>
            <w:vAlign w:val="bottom"/>
            <w:gridSpan w:val="3"/>
          </w:tcPr>
          <w:p>
            <w:pPr>
              <w:ind w:left="20"/>
              <w:spacing w:after="0"/>
              <w:rPr>
                <w:sz w:val="20"/>
                <w:szCs w:val="20"/>
                <w:color w:val="auto"/>
              </w:rPr>
            </w:pPr>
            <w:r>
              <w:rPr>
                <w:rFonts w:ascii="Arial" w:cs="Arial" w:eastAsia="Arial" w:hAnsi="Arial"/>
                <w:sz w:val="18"/>
                <w:szCs w:val="18"/>
                <w:b w:val="1"/>
                <w:bCs w:val="1"/>
                <w:color w:val="auto"/>
              </w:rPr>
              <w:t>Ratios/Supplemental Data:</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5"/>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assets at end of period</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209,379,965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223,619,737</w:t>
            </w:r>
          </w:p>
        </w:tc>
      </w:tr>
      <w:tr>
        <w:trPr>
          <w:trHeight w:val="215"/>
        </w:trPr>
        <w:tc>
          <w:tcPr>
            <w:tcW w:w="7120" w:type="dxa"/>
            <w:vAlign w:val="bottom"/>
            <w:gridSpan w:val="3"/>
          </w:tcPr>
          <w:p>
            <w:pPr>
              <w:ind w:left="20"/>
              <w:spacing w:after="0"/>
              <w:rPr>
                <w:sz w:val="20"/>
                <w:szCs w:val="20"/>
                <w:color w:val="auto"/>
              </w:rPr>
            </w:pPr>
            <w:r>
              <w:rPr>
                <w:rFonts w:ascii="Arial" w:cs="Arial" w:eastAsia="Arial" w:hAnsi="Arial"/>
                <w:sz w:val="18"/>
                <w:szCs w:val="18"/>
                <w:color w:val="auto"/>
              </w:rPr>
              <w:t>Average net assets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196,478,030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250,723,620</w:t>
            </w:r>
          </w:p>
        </w:tc>
      </w:tr>
      <w:tr>
        <w:trPr>
          <w:trHeight w:val="255"/>
        </w:trPr>
        <w:tc>
          <w:tcPr>
            <w:tcW w:w="7120" w:type="dxa"/>
            <w:vAlign w:val="bottom"/>
            <w:gridSpan w:val="3"/>
            <w:shd w:val="clear" w:color="auto" w:fill="CCEEFF"/>
          </w:tcPr>
          <w:p>
            <w:pPr>
              <w:ind w:left="20"/>
              <w:spacing w:after="0" w:line="255" w:lineRule="exact"/>
              <w:rPr>
                <w:sz w:val="20"/>
                <w:szCs w:val="20"/>
                <w:color w:val="auto"/>
              </w:rPr>
            </w:pPr>
            <w:r>
              <w:rPr>
                <w:rFonts w:ascii="Arial" w:cs="Arial" w:eastAsia="Arial" w:hAnsi="Arial"/>
                <w:sz w:val="18"/>
                <w:szCs w:val="18"/>
                <w:color w:val="auto"/>
              </w:rPr>
              <w:t>Ratio of gross operating expenses to average net assets</w:t>
            </w:r>
            <w:r>
              <w:rPr>
                <w:rFonts w:ascii="Arial" w:cs="Arial" w:eastAsia="Arial" w:hAnsi="Arial"/>
                <w:sz w:val="29"/>
                <w:szCs w:val="29"/>
                <w:color w:val="auto"/>
                <w:vertAlign w:val="superscript"/>
              </w:rPr>
              <w:t>(3)</w:t>
            </w:r>
          </w:p>
        </w:tc>
        <w:tc>
          <w:tcPr>
            <w:tcW w:w="2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w:t>
            </w:r>
          </w:p>
        </w:tc>
      </w:tr>
      <w:tr>
        <w:trPr>
          <w:trHeight w:val="255"/>
        </w:trPr>
        <w:tc>
          <w:tcPr>
            <w:tcW w:w="7120" w:type="dxa"/>
            <w:vAlign w:val="bottom"/>
            <w:gridSpan w:val="3"/>
          </w:tcPr>
          <w:p>
            <w:pPr>
              <w:ind w:left="20"/>
              <w:spacing w:after="0" w:line="255" w:lineRule="exact"/>
              <w:rPr>
                <w:sz w:val="20"/>
                <w:szCs w:val="20"/>
                <w:color w:val="auto"/>
              </w:rPr>
            </w:pPr>
            <w:r>
              <w:rPr>
                <w:rFonts w:ascii="Arial" w:cs="Arial" w:eastAsia="Arial" w:hAnsi="Arial"/>
                <w:sz w:val="18"/>
                <w:szCs w:val="18"/>
                <w:color w:val="auto"/>
              </w:rPr>
              <w:t>Ratio of net income tax provisions to average net assets</w:t>
            </w:r>
            <w:r>
              <w:rPr>
                <w:rFonts w:ascii="Arial" w:cs="Arial" w:eastAsia="Arial" w:hAnsi="Arial"/>
                <w:sz w:val="29"/>
                <w:szCs w:val="29"/>
                <w:color w:val="auto"/>
                <w:vertAlign w:val="superscript"/>
              </w:rPr>
              <w:t>(3)</w:t>
            </w:r>
          </w:p>
        </w:tc>
        <w:tc>
          <w:tcPr>
            <w:tcW w:w="280" w:type="dxa"/>
            <w:vAlign w:val="bottom"/>
          </w:tcPr>
          <w:p>
            <w:pPr>
              <w:spacing w:after="0"/>
              <w:rPr>
                <w:sz w:val="22"/>
                <w:szCs w:val="22"/>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(0.29)%</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48"/>
        </w:trPr>
        <w:tc>
          <w:tcPr>
            <w:tcW w:w="712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Ratio of operating expenses to average net assets</w:t>
            </w:r>
            <w:r>
              <w:rPr>
                <w:rFonts w:ascii="Arial" w:cs="Arial" w:eastAsia="Arial" w:hAnsi="Arial"/>
                <w:sz w:val="28"/>
                <w:szCs w:val="28"/>
                <w:color w:val="auto"/>
                <w:vertAlign w:val="superscript"/>
              </w:rPr>
              <w:t>(3)</w:t>
            </w:r>
          </w:p>
        </w:tc>
        <w:tc>
          <w:tcPr>
            <w:tcW w:w="28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w:t>
            </w:r>
          </w:p>
        </w:tc>
      </w:tr>
      <w:tr>
        <w:trPr>
          <w:trHeight w:val="255"/>
        </w:trPr>
        <w:tc>
          <w:tcPr>
            <w:tcW w:w="7120" w:type="dxa"/>
            <w:vAlign w:val="bottom"/>
            <w:gridSpan w:val="3"/>
          </w:tcPr>
          <w:p>
            <w:pPr>
              <w:ind w:left="20"/>
              <w:spacing w:after="0" w:line="255" w:lineRule="exact"/>
              <w:rPr>
                <w:sz w:val="20"/>
                <w:szCs w:val="20"/>
                <w:color w:val="auto"/>
              </w:rPr>
            </w:pPr>
            <w:r>
              <w:rPr>
                <w:rFonts w:ascii="Arial" w:cs="Arial" w:eastAsia="Arial" w:hAnsi="Arial"/>
                <w:sz w:val="18"/>
                <w:szCs w:val="18"/>
                <w:color w:val="auto"/>
              </w:rPr>
              <w:t>Ratio of management fee waiver to average net assets</w:t>
            </w:r>
            <w:r>
              <w:rPr>
                <w:rFonts w:ascii="Arial" w:cs="Arial" w:eastAsia="Arial" w:hAnsi="Arial"/>
                <w:sz w:val="29"/>
                <w:szCs w:val="29"/>
                <w:color w:val="auto"/>
                <w:vertAlign w:val="superscript"/>
              </w:rPr>
              <w:t>(3)</w:t>
            </w:r>
          </w:p>
        </w:tc>
        <w:tc>
          <w:tcPr>
            <w:tcW w:w="280" w:type="dxa"/>
            <w:vAlign w:val="bottom"/>
          </w:tcPr>
          <w:p>
            <w:pPr>
              <w:spacing w:after="0"/>
              <w:rPr>
                <w:sz w:val="22"/>
                <w:szCs w:val="22"/>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8"/>
        </w:trPr>
        <w:tc>
          <w:tcPr>
            <w:tcW w:w="712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Ratio of net operating expenses to average net assets</w:t>
            </w:r>
            <w:r>
              <w:rPr>
                <w:rFonts w:ascii="Arial" w:cs="Arial" w:eastAsia="Arial" w:hAnsi="Arial"/>
                <w:sz w:val="28"/>
                <w:szCs w:val="28"/>
                <w:color w:val="auto"/>
                <w:vertAlign w:val="superscript"/>
              </w:rPr>
              <w:t>(3)</w:t>
            </w:r>
          </w:p>
        </w:tc>
        <w:tc>
          <w:tcPr>
            <w:tcW w:w="2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12.36%</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r>
      <w:tr>
        <w:trPr>
          <w:trHeight w:val="248"/>
        </w:trPr>
        <w:tc>
          <w:tcPr>
            <w:tcW w:w="712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Ratio of net investment loss to average net assets</w:t>
            </w:r>
            <w:r>
              <w:rPr>
                <w:rFonts w:ascii="Arial" w:cs="Arial" w:eastAsia="Arial" w:hAnsi="Arial"/>
                <w:sz w:val="28"/>
                <w:szCs w:val="28"/>
                <w:color w:val="auto"/>
                <w:vertAlign w:val="superscript"/>
              </w:rPr>
              <w:t>(3)</w:t>
            </w:r>
          </w:p>
        </w:tc>
        <w:tc>
          <w:tcPr>
            <w:tcW w:w="28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(11.78)%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(2.72)%</w:t>
            </w:r>
          </w:p>
        </w:tc>
      </w:tr>
      <w:tr>
        <w:trPr>
          <w:trHeight w:val="215"/>
        </w:trPr>
        <w:tc>
          <w:tcPr>
            <w:tcW w:w="7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Portfolio Turnover Ratio</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4.05%</w:t>
            </w:r>
          </w:p>
        </w:tc>
      </w:tr>
      <w:tr>
        <w:trPr>
          <w:trHeight w:val="275"/>
        </w:trPr>
        <w:tc>
          <w:tcPr>
            <w:tcW w:w="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-2383790</wp:posOffset>
            </wp:positionV>
            <wp:extent cx="7026275" cy="1701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026275" cy="170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-518795</wp:posOffset>
            </wp:positionV>
            <wp:extent cx="7026275" cy="1955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026275" cy="195580"/>
                    </a:xfrm>
                    <a:prstGeom prst="rect">
                      <a:avLst/>
                    </a:prstGeom>
                    <a:noFill/>
                  </pic:spPr>
                </pic:pic>
              </a:graphicData>
            </a:graphic>
          </wp:anchor>
        </w:drawing>
      </w:r>
    </w:p>
    <w:p>
      <w:pPr>
        <w:spacing w:after="0" w:line="234" w:lineRule="exact"/>
        <w:rPr>
          <w:sz w:val="20"/>
          <w:szCs w:val="20"/>
          <w:color w:val="auto"/>
        </w:rPr>
      </w:pPr>
    </w:p>
    <w:p>
      <w:pPr>
        <w:ind w:left="300" w:right="80" w:hanging="274"/>
        <w:spacing w:after="0" w:line="260"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22,000,571, and 22,181,003 basic common shares outstanding for the three months ended September 30, 2017, and 2016, respectively. The per-share figures noted are based on a weighted average of 22,120,198 and 22,181,003 basic common shares outstanding for the nine months ended September 30, 2017 and 2016, respectively.</w:t>
      </w:r>
    </w:p>
    <w:p>
      <w:pPr>
        <w:spacing w:after="0" w:line="78" w:lineRule="exact"/>
        <w:rPr>
          <w:rFonts w:ascii="Arial" w:cs="Arial" w:eastAsia="Arial" w:hAnsi="Arial"/>
          <w:sz w:val="18"/>
          <w:szCs w:val="18"/>
          <w:color w:val="auto"/>
        </w:rPr>
      </w:pPr>
    </w:p>
    <w:p>
      <w:pPr>
        <w:ind w:left="300" w:right="20" w:hanging="274"/>
        <w:spacing w:after="0" w:line="373" w:lineRule="auto"/>
        <w:tabs>
          <w:tab w:leader="none" w:pos="3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w:t>
      </w:r>
    </w:p>
    <w:p>
      <w:pPr>
        <w:ind w:left="300" w:hanging="274"/>
        <w:spacing w:after="0" w:line="256"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Non-recurring expenses are not annualized. For each of the three and nine months ended September 30, 2017 and 2016, the Company did not incur any non-recurring expenses.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3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60" w:top="787" w:right="17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w:t>
      </w:r>
    </w:p>
    <w:p>
      <w:pPr>
        <w:spacing w:after="0" w:line="119"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 Accordingly, the Company must generally distribute at least 90% of its ICTI to qualify for the treatment accorded to a RIC. As part of maintaining tax treatment as a RIC,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w:t>
      </w:r>
    </w:p>
    <w:p>
      <w:pPr>
        <w:spacing w:after="0" w:line="70" w:lineRule="exact"/>
        <w:rPr>
          <w:sz w:val="20"/>
          <w:szCs w:val="20"/>
          <w:color w:val="auto"/>
        </w:rPr>
      </w:pPr>
    </w:p>
    <w:p>
      <w:pPr>
        <w:ind w:left="40" w:firstLine="268"/>
        <w:spacing w:after="0" w:line="273"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68" w:lineRule="exact"/>
        <w:rPr>
          <w:sz w:val="20"/>
          <w:szCs w:val="20"/>
          <w:color w:val="auto"/>
        </w:rPr>
      </w:pPr>
    </w:p>
    <w:p>
      <w:pPr>
        <w:ind w:left="40" w:firstLine="268"/>
        <w:spacing w:after="0" w:line="271" w:lineRule="auto"/>
        <w:rPr>
          <w:sz w:val="20"/>
          <w:szCs w:val="20"/>
          <w:color w:val="auto"/>
        </w:rPr>
      </w:pPr>
      <w:r>
        <w:rPr>
          <w:rFonts w:ascii="Arial" w:cs="Arial" w:eastAsia="Arial" w:hAnsi="Arial"/>
          <w:sz w:val="17"/>
          <w:szCs w:val="17"/>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w:t>
      </w:r>
    </w:p>
    <w:p>
      <w:pPr>
        <w:spacing w:after="0" w:line="70" w:lineRule="exact"/>
        <w:rPr>
          <w:sz w:val="20"/>
          <w:szCs w:val="20"/>
          <w:color w:val="auto"/>
        </w:rPr>
      </w:pPr>
    </w:p>
    <w:p>
      <w:pPr>
        <w:ind w:left="40" w:right="80" w:firstLine="268"/>
        <w:spacing w:after="0" w:line="289" w:lineRule="auto"/>
        <w:rPr>
          <w:sz w:val="20"/>
          <w:szCs w:val="20"/>
          <w:color w:val="auto"/>
        </w:rPr>
      </w:pPr>
      <w:r>
        <w:rPr>
          <w:rFonts w:ascii="Arial" w:cs="Arial" w:eastAsia="Arial" w:hAnsi="Arial"/>
          <w:sz w:val="16"/>
          <w:szCs w:val="16"/>
          <w:color w:val="auto"/>
        </w:rPr>
        <w:t>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 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w:t>
      </w:r>
    </w:p>
    <w:p>
      <w:pPr>
        <w:spacing w:after="0" w:line="59" w:lineRule="exact"/>
        <w:rPr>
          <w:sz w:val="20"/>
          <w:szCs w:val="20"/>
          <w:color w:val="auto"/>
        </w:rPr>
      </w:pPr>
    </w:p>
    <w:p>
      <w:pPr>
        <w:ind w:left="40" w:right="180" w:firstLine="268"/>
        <w:spacing w:after="0" w:line="283" w:lineRule="auto"/>
        <w:rPr>
          <w:sz w:val="20"/>
          <w:szCs w:val="20"/>
          <w:color w:val="auto"/>
        </w:rPr>
      </w:pPr>
      <w:r>
        <w:rPr>
          <w:rFonts w:ascii="Arial" w:cs="Arial" w:eastAsia="Arial" w:hAnsi="Arial"/>
          <w:sz w:val="17"/>
          <w:szCs w:val="17"/>
          <w:color w:val="auto"/>
        </w:rPr>
        <w:t>As of both September 30, 2017 and December 31, 3016, the Company recorded a deferred tax liability of approximately $10.3 million, of which approximately $10.2 million has been recorded in the event that such gains are recognized by December 31, 2018, and approximately $0.2 million relates to the difference in the book and tax basis of certain equity investments and tax net operating losses held by the GSVC Holdings.</w:t>
      </w:r>
    </w:p>
    <w:p>
      <w:pPr>
        <w:spacing w:after="0" w:line="60" w:lineRule="exact"/>
        <w:rPr>
          <w:sz w:val="20"/>
          <w:szCs w:val="20"/>
          <w:color w:val="auto"/>
        </w:rPr>
      </w:pPr>
    </w:p>
    <w:p>
      <w:pPr>
        <w:ind w:left="40" w:right="60" w:firstLine="268"/>
        <w:spacing w:after="0" w:line="256" w:lineRule="auto"/>
        <w:rPr>
          <w:sz w:val="20"/>
          <w:szCs w:val="20"/>
          <w:color w:val="auto"/>
        </w:rPr>
      </w:pPr>
      <w:r>
        <w:rPr>
          <w:rFonts w:ascii="Arial" w:cs="Arial" w:eastAsia="Arial" w:hAnsi="Arial"/>
          <w:sz w:val="18"/>
          <w:szCs w:val="18"/>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200" w:lineRule="exact"/>
        <w:rPr>
          <w:sz w:val="20"/>
          <w:szCs w:val="20"/>
          <w:color w:val="auto"/>
        </w:rPr>
      </w:pPr>
    </w:p>
    <w:p>
      <w:pPr>
        <w:spacing w:after="0" w:line="3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59" w:name="page60"/>
    <w:bookmarkEnd w:id="5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TAXES – (continued)</w:t>
      </w:r>
    </w:p>
    <w:p>
      <w:pPr>
        <w:spacing w:after="0" w:line="119" w:lineRule="exact"/>
        <w:rPr>
          <w:sz w:val="20"/>
          <w:szCs w:val="20"/>
          <w:color w:val="auto"/>
        </w:rPr>
      </w:pPr>
    </w:p>
    <w:p>
      <w:pPr>
        <w:ind w:left="60" w:right="120" w:firstLine="268"/>
        <w:spacing w:after="0" w:line="272" w:lineRule="auto"/>
        <w:rPr>
          <w:sz w:val="20"/>
          <w:szCs w:val="20"/>
          <w:color w:val="auto"/>
        </w:rPr>
      </w:pPr>
      <w:r>
        <w:rPr>
          <w:rFonts w:ascii="Arial" w:cs="Arial" w:eastAsia="Arial" w:hAnsi="Arial"/>
          <w:sz w:val="18"/>
          <w:szCs w:val="18"/>
          <w:color w:val="auto"/>
        </w:rPr>
        <w:t>The Company and the GSVC Holdings identified their major tax jurisdictions as U.S. federal and California and may be subject to the taxing authorities’ examination for the tax years 2013 – 2016 and 2012 – 2016, respectively.</w:t>
      </w:r>
    </w:p>
    <w:p>
      <w:pPr>
        <w:spacing w:after="0" w:line="67" w:lineRule="exact"/>
        <w:rPr>
          <w:sz w:val="20"/>
          <w:szCs w:val="20"/>
          <w:color w:val="auto"/>
        </w:rPr>
      </w:pPr>
    </w:p>
    <w:p>
      <w:pPr>
        <w:ind w:left="60" w:right="360" w:firstLine="268"/>
        <w:spacing w:after="0" w:line="272" w:lineRule="auto"/>
        <w:rPr>
          <w:sz w:val="20"/>
          <w:szCs w:val="20"/>
          <w:color w:val="auto"/>
        </w:rPr>
      </w:pPr>
      <w:r>
        <w:rPr>
          <w:rFonts w:ascii="Arial" w:cs="Arial" w:eastAsia="Arial" w:hAnsi="Arial"/>
          <w:sz w:val="18"/>
          <w:szCs w:val="18"/>
          <w:color w:val="auto"/>
        </w:rPr>
        <w:t>The Company and the GSVC Holdings accrue all interest and penalties related to uncertain tax positions as incurred. As of September 30, 2017, there were no interest or penalties incurred related to uncertain tax positions.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DEBT CAPITAL ACTIVITIES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Convertible Senior Notes Payable</w:t>
      </w:r>
    </w:p>
    <w:p>
      <w:pPr>
        <w:spacing w:after="0" w:line="119" w:lineRule="exact"/>
        <w:rPr>
          <w:sz w:val="20"/>
          <w:szCs w:val="20"/>
          <w:color w:val="auto"/>
        </w:rPr>
      </w:pPr>
    </w:p>
    <w:p>
      <w:pPr>
        <w:ind w:left="60" w:right="100" w:firstLine="268"/>
        <w:spacing w:after="0" w:line="291" w:lineRule="auto"/>
        <w:rPr>
          <w:sz w:val="20"/>
          <w:szCs w:val="20"/>
          <w:color w:val="auto"/>
        </w:rPr>
      </w:pPr>
      <w:r>
        <w:rPr>
          <w:rFonts w:ascii="Arial" w:cs="Arial" w:eastAsia="Arial" w:hAnsi="Arial"/>
          <w:sz w:val="16"/>
          <w:szCs w:val="16"/>
          <w:color w:val="auto"/>
        </w:rPr>
        <w:t>On September 17, 2013, the Company issued $69.0 million aggregate principal amount of Convertible Senior Notes, which bear interest at a fixed rate of 5.25% per year, payable semi-annually in arrears on March 15 and September 15 of each year, commencing on March 15, 2014 (the “Convertible Senior Notes”). The Convertible Senior Notes mature on September 15, 2018, unless previously repurchased or converted in accordance with their terms. The Company does not have the right to redeem the Convertible Senior Notes prior to maturity. The Convertible Senior Notes are convertible into shares of the Company’s common stock based on a conversion rate of 83.3596 shares of the Company’s common stock per $1,000 of principal amount of the Convertible Senior Notes, which is equivalent to a conversion price of approximately $12.00 per share of common stock.</w:t>
      </w:r>
    </w:p>
    <w:p>
      <w:pPr>
        <w:spacing w:after="0" w:line="56" w:lineRule="exact"/>
        <w:rPr>
          <w:sz w:val="20"/>
          <w:szCs w:val="20"/>
          <w:color w:val="auto"/>
        </w:rPr>
      </w:pPr>
    </w:p>
    <w:p>
      <w:pPr>
        <w:ind w:left="60" w:right="680" w:firstLine="268"/>
        <w:spacing w:after="0" w:line="272" w:lineRule="auto"/>
        <w:rPr>
          <w:sz w:val="20"/>
          <w:szCs w:val="20"/>
          <w:color w:val="auto"/>
        </w:rPr>
      </w:pPr>
      <w:r>
        <w:rPr>
          <w:rFonts w:ascii="Arial" w:cs="Arial" w:eastAsia="Arial" w:hAnsi="Arial"/>
          <w:sz w:val="18"/>
          <w:szCs w:val="18"/>
          <w:color w:val="auto"/>
        </w:rPr>
        <w:t>The table below shows a reconciliation from the aggregate principal amount of Convertible Senior Notes to the balance shown on the 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6277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627755" cy="825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9525</wp:posOffset>
            </wp:positionV>
            <wp:extent cx="16268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626870"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0"/>
        </w:trPr>
        <w:tc>
          <w:tcPr>
            <w:tcW w:w="8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r>
      <w:tr>
        <w:trPr>
          <w:trHeight w:val="194"/>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8120" w:type="dxa"/>
            <w:vAlign w:val="bottom"/>
          </w:tcPr>
          <w:p>
            <w:pPr>
              <w:ind w:left="20"/>
              <w:spacing w:after="0"/>
              <w:rPr>
                <w:sz w:val="20"/>
                <w:szCs w:val="20"/>
                <w:color w:val="auto"/>
              </w:rPr>
            </w:pPr>
            <w:r>
              <w:rPr>
                <w:rFonts w:ascii="Arial" w:cs="Arial" w:eastAsia="Arial" w:hAnsi="Arial"/>
                <w:sz w:val="18"/>
                <w:szCs w:val="18"/>
                <w:color w:val="auto"/>
              </w:rPr>
              <w:t>Aggregate principal amount of Convertible Senior Notes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69,000,000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69,000,000</w:t>
            </w:r>
          </w:p>
        </w:tc>
      </w:tr>
      <w:tr>
        <w:trPr>
          <w:trHeight w:val="215"/>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embedded derivative discount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(149,721)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(261,099)</w:t>
            </w:r>
          </w:p>
        </w:tc>
      </w:tr>
      <w:tr>
        <w:trPr>
          <w:trHeight w:val="215"/>
        </w:trPr>
        <w:tc>
          <w:tcPr>
            <w:tcW w:w="8120" w:type="dxa"/>
            <w:vAlign w:val="bottom"/>
          </w:tcPr>
          <w:p>
            <w:pPr>
              <w:ind w:left="20"/>
              <w:spacing w:after="0"/>
              <w:rPr>
                <w:sz w:val="20"/>
                <w:szCs w:val="20"/>
                <w:color w:val="auto"/>
              </w:rPr>
            </w:pPr>
            <w:r>
              <w:rPr>
                <w:rFonts w:ascii="Arial" w:cs="Arial" w:eastAsia="Arial" w:hAnsi="Arial"/>
                <w:sz w:val="18"/>
                <w:szCs w:val="18"/>
                <w:color w:val="auto"/>
              </w:rPr>
              <w:t>Direct deduction of deferred debt issuance costs</w:t>
            </w:r>
          </w:p>
        </w:tc>
        <w:tc>
          <w:tcPr>
            <w:tcW w:w="1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(687,555)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(1,226,103)</w:t>
            </w:r>
          </w:p>
        </w:tc>
      </w:tr>
      <w:tr>
        <w:trPr>
          <w:trHeight w:val="20"/>
        </w:trPr>
        <w:tc>
          <w:tcPr>
            <w:tcW w:w="8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Convertible Senior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68,162,724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67,512,798</w:t>
            </w:r>
          </w:p>
        </w:tc>
      </w:tr>
      <w:tr>
        <w:trPr>
          <w:trHeight w:val="20"/>
        </w:trPr>
        <w:tc>
          <w:tcPr>
            <w:tcW w:w="8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262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26275" cy="8255"/>
                    </a:xfrm>
                    <a:prstGeom prst="rect">
                      <a:avLst/>
                    </a:prstGeom>
                    <a:noFill/>
                  </pic:spPr>
                </pic:pic>
              </a:graphicData>
            </a:graphic>
          </wp:anchor>
        </w:drawing>
      </w:r>
    </w:p>
    <w:p>
      <w:pPr>
        <w:spacing w:after="0" w:line="73" w:lineRule="exact"/>
        <w:rPr>
          <w:sz w:val="20"/>
          <w:szCs w:val="20"/>
          <w:color w:val="auto"/>
        </w:rPr>
      </w:pPr>
    </w:p>
    <w:p>
      <w:pPr>
        <w:ind w:left="60" w:right="380" w:firstLine="268"/>
        <w:spacing w:after="0" w:line="272" w:lineRule="auto"/>
        <w:rPr>
          <w:sz w:val="20"/>
          <w:szCs w:val="20"/>
          <w:color w:val="auto"/>
        </w:rPr>
      </w:pPr>
      <w:r>
        <w:rPr>
          <w:rFonts w:ascii="Arial" w:cs="Arial" w:eastAsia="Arial" w:hAnsi="Arial"/>
          <w:sz w:val="18"/>
          <w:szCs w:val="18"/>
          <w:color w:val="auto"/>
        </w:rPr>
        <w:t>As of September 30, 2017 and December 31, 2016, the principal amount of the Convertible Senior Notes exceeded the value of the underlying shares multiplied by the per share closing price of the Company’s common stock.</w:t>
      </w:r>
    </w:p>
    <w:p>
      <w:pPr>
        <w:spacing w:after="0" w:line="67" w:lineRule="exact"/>
        <w:rPr>
          <w:sz w:val="20"/>
          <w:szCs w:val="20"/>
          <w:color w:val="auto"/>
        </w:rPr>
      </w:pPr>
    </w:p>
    <w:p>
      <w:pPr>
        <w:ind w:left="60" w:firstLine="268"/>
        <w:spacing w:after="0" w:line="276" w:lineRule="auto"/>
        <w:rPr>
          <w:sz w:val="20"/>
          <w:szCs w:val="20"/>
          <w:color w:val="auto"/>
        </w:rPr>
      </w:pPr>
      <w:r>
        <w:rPr>
          <w:rFonts w:ascii="Arial" w:cs="Arial" w:eastAsia="Arial" w:hAnsi="Arial"/>
          <w:sz w:val="17"/>
          <w:szCs w:val="17"/>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to any future secured indebtedness to the extent of the value of the assets securing such indebtedness, and structurally junior to all future indebtedness (including trade payables) incurred by the Company’s subsidiaries.</w:t>
      </w:r>
    </w:p>
    <w:p>
      <w:pPr>
        <w:spacing w:after="0" w:line="66" w:lineRule="exact"/>
        <w:rPr>
          <w:sz w:val="20"/>
          <w:szCs w:val="20"/>
          <w:color w:val="auto"/>
        </w:rPr>
      </w:pPr>
    </w:p>
    <w:p>
      <w:pPr>
        <w:ind w:left="60" w:firstLine="268"/>
        <w:spacing w:after="0" w:line="253" w:lineRule="auto"/>
        <w:rPr>
          <w:sz w:val="20"/>
          <w:szCs w:val="20"/>
          <w:color w:val="auto"/>
        </w:rPr>
      </w:pPr>
      <w:r>
        <w:rPr>
          <w:rFonts w:ascii="Arial" w:cs="Arial" w:eastAsia="Arial" w:hAnsi="Arial"/>
          <w:sz w:val="18"/>
          <w:szCs w:val="18"/>
          <w:color w:val="auto"/>
        </w:rPr>
        <w:t>The Convertible Senior Notes contained an interest make-whole payment provision pursuant to which holders who converted their notes prior to September 15, 2016, would receive, in addition to a number of shares of the Company’s common stock calculated at the applicable conversion rate for the principal amount of notes being converted, the cash proceeds from the sale by the escrow agent of the portion of the U.S. Treasury Strips in the escrow account that were remaining with respect to any of the first six interest payments that had not been made on the notes being converted. Under FASB ASC 815-10-15-74(a), the interest make-whole payment was considered an embedded derivative and was separated from the host contract, the Convertible Senior Notes, and carried at fair value. The interest make-whole payment provision</w:t>
      </w: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DEBT CAPITAL ACTIVITIES – (continued)</w:t>
      </w:r>
    </w:p>
    <w:p>
      <w:pPr>
        <w:spacing w:after="0" w:line="119" w:lineRule="exact"/>
        <w:rPr>
          <w:sz w:val="20"/>
          <w:szCs w:val="20"/>
          <w:color w:val="auto"/>
        </w:rPr>
      </w:pPr>
    </w:p>
    <w:p>
      <w:pPr>
        <w:ind w:left="40" w:right="640"/>
        <w:spacing w:after="0" w:line="272" w:lineRule="auto"/>
        <w:rPr>
          <w:sz w:val="20"/>
          <w:szCs w:val="20"/>
          <w:color w:val="auto"/>
        </w:rPr>
      </w:pPr>
      <w:r>
        <w:rPr>
          <w:rFonts w:ascii="Arial" w:cs="Arial" w:eastAsia="Arial" w:hAnsi="Arial"/>
          <w:sz w:val="18"/>
          <w:szCs w:val="18"/>
          <w:color w:val="auto"/>
        </w:rPr>
        <w:t>expired on September 15, 2016 rendering the embedded derivative with no value, however the original value of the embedded derivative of $700,000 continues to be amortized over the life of the Convertible Senior Notes.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Credit Facility</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Western Alliance Bank Credit Facility</w:t>
      </w:r>
    </w:p>
    <w:p>
      <w:pPr>
        <w:spacing w:after="0" w:line="115" w:lineRule="exact"/>
        <w:rPr>
          <w:sz w:val="20"/>
          <w:szCs w:val="20"/>
          <w:color w:val="auto"/>
        </w:rPr>
      </w:pPr>
    </w:p>
    <w:p>
      <w:pPr>
        <w:ind w:left="40" w:right="60" w:firstLine="268"/>
        <w:spacing w:after="0" w:line="256" w:lineRule="auto"/>
        <w:rPr>
          <w:sz w:val="20"/>
          <w:szCs w:val="20"/>
          <w:color w:val="auto"/>
        </w:rPr>
      </w:pPr>
      <w:r>
        <w:rPr>
          <w:rFonts w:ascii="Arial" w:cs="Arial" w:eastAsia="Arial" w:hAnsi="Arial"/>
          <w:sz w:val="18"/>
          <w:szCs w:val="18"/>
          <w:color w:val="auto"/>
        </w:rPr>
        <w:t>The Company entered into a Loan and Security Agreement, effective May 31, 2017 (the “Loan Agreement”), with Western Alliance Bank, pursuant to which Western Alliance Bank agreed to provide the Company with a $12.0 million senior secured revolving credit facility (the “Credit Facility”). The Credit Facility, among other things, matures on the later of (i) August 15, 2018 or (ii) thirty days prior to the due date of the Convertible Senior Notes, which mature on September 15, 2018.</w:t>
      </w:r>
    </w:p>
    <w:p>
      <w:pPr>
        <w:spacing w:after="0" w:line="83" w:lineRule="exact"/>
        <w:rPr>
          <w:sz w:val="20"/>
          <w:szCs w:val="20"/>
          <w:color w:val="auto"/>
        </w:rPr>
      </w:pPr>
    </w:p>
    <w:p>
      <w:pPr>
        <w:ind w:left="40" w:right="40" w:firstLine="268"/>
        <w:spacing w:after="0" w:line="260" w:lineRule="auto"/>
        <w:rPr>
          <w:sz w:val="20"/>
          <w:szCs w:val="20"/>
          <w:color w:val="auto"/>
        </w:rPr>
      </w:pPr>
      <w:r>
        <w:rPr>
          <w:rFonts w:ascii="Arial" w:cs="Arial" w:eastAsia="Arial" w:hAnsi="Arial"/>
          <w:sz w:val="18"/>
          <w:szCs w:val="18"/>
          <w:color w:val="auto"/>
        </w:rPr>
        <w:t>The Credit Facility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w:t>
      </w:r>
    </w:p>
    <w:p>
      <w:pPr>
        <w:spacing w:after="0" w:line="78" w:lineRule="exact"/>
        <w:rPr>
          <w:sz w:val="20"/>
          <w:szCs w:val="20"/>
          <w:color w:val="auto"/>
        </w:rPr>
      </w:pPr>
    </w:p>
    <w:p>
      <w:pPr>
        <w:ind w:left="40" w:right="40" w:firstLine="268"/>
        <w:spacing w:after="0" w:line="268" w:lineRule="auto"/>
        <w:rPr>
          <w:sz w:val="20"/>
          <w:szCs w:val="20"/>
          <w:color w:val="auto"/>
        </w:rPr>
      </w:pPr>
      <w:r>
        <w:rPr>
          <w:rFonts w:ascii="Arial" w:cs="Arial" w:eastAsia="Arial" w:hAnsi="Arial"/>
          <w:sz w:val="17"/>
          <w:szCs w:val="17"/>
          <w:color w:val="auto"/>
        </w:rPr>
        <w:t>Under the Loan Agreement, the Company has made certain customary representations and warranties and is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$70.0 million in the aggregate),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business development company status.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Advisory Agreement, and the occurrence of a material adverse effect. As of September 30, 2017 and December 31, 2016, the Company was in compliance with all covenants of the Credit Facility.</w:t>
      </w:r>
    </w:p>
    <w:p>
      <w:pPr>
        <w:spacing w:after="0" w:line="74"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The Credit Facility is secured by all of the Company’s property and assets, except for the Company’s assets pledged to secure certain obligations in connection with the Company’s issuance of the Convertible Senior Notes and as may be pledged in connection with any future issuance by the Company of Convertible Senior Notes on substantially similar terms. As of September 30, 2017, the Company had $8.0 million in borrowings outstanding under the Credit Facility.</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Silicon Valley Bank Credit Facility</w:t>
      </w:r>
    </w:p>
    <w:p>
      <w:pPr>
        <w:spacing w:after="0" w:line="115" w:lineRule="exact"/>
        <w:rPr>
          <w:sz w:val="20"/>
          <w:szCs w:val="20"/>
          <w:color w:val="auto"/>
        </w:rPr>
      </w:pPr>
    </w:p>
    <w:p>
      <w:pPr>
        <w:ind w:left="40" w:right="160" w:firstLine="268"/>
        <w:spacing w:after="0" w:line="256" w:lineRule="auto"/>
        <w:rPr>
          <w:sz w:val="20"/>
          <w:szCs w:val="20"/>
          <w:color w:val="auto"/>
        </w:rPr>
      </w:pPr>
      <w:r>
        <w:rPr>
          <w:rFonts w:ascii="Arial" w:cs="Arial" w:eastAsia="Arial" w:hAnsi="Arial"/>
          <w:sz w:val="18"/>
          <w:szCs w:val="18"/>
          <w:color w:val="auto"/>
        </w:rPr>
        <w:t>The Company entered into a Loan and Security Agreement, effective December 31, 2013 (the “SVB Loan Agreement”), with Silicon Valley Bank, pursuant to which Silicon Valley Bank agreed to provide the Company with an $18.0 million credit facility (the “SVB Credit Facility”). The SVB Credit Facility expired on December 31, 2016 in accordance with its terms. Under the SVB Credit Facility, the Company was permitted to borrow an amount equal to the lesser of $18.0 million or 20% of the Company’s then-current net asset value.</w:t>
      </w:r>
    </w:p>
    <w:p>
      <w:pPr>
        <w:spacing w:after="0" w:line="83" w:lineRule="exact"/>
        <w:rPr>
          <w:sz w:val="20"/>
          <w:szCs w:val="20"/>
          <w:color w:val="auto"/>
        </w:rPr>
      </w:pPr>
    </w:p>
    <w:p>
      <w:pPr>
        <w:ind w:left="40" w:right="40" w:firstLine="268"/>
        <w:spacing w:after="0" w:line="283" w:lineRule="auto"/>
        <w:rPr>
          <w:sz w:val="20"/>
          <w:szCs w:val="20"/>
          <w:color w:val="auto"/>
        </w:rPr>
      </w:pPr>
      <w:r>
        <w:rPr>
          <w:rFonts w:ascii="Arial" w:cs="Arial" w:eastAsia="Arial" w:hAnsi="Arial"/>
          <w:sz w:val="17"/>
          <w:szCs w:val="17"/>
          <w:color w:val="auto"/>
        </w:rPr>
        <w:t>The SVB Credit Facility bore interest at a per annum rate equal to the greater of (i) the prime rate plus 4.75% or (ii) 8.0% on amounts drawn under the SVB Credit Facility based on a 360-day year. In addition, a fee of $180,000 per annum (1.0% of the $18.0 million revolving line of credit) was charged under the SVB Loan Agreement. Under the terms of the SVB Credit Facility, the Company was required to repay all</w:t>
      </w:r>
    </w:p>
    <w:p>
      <w:pPr>
        <w:spacing w:after="0" w:line="200" w:lineRule="exact"/>
        <w:rPr>
          <w:sz w:val="20"/>
          <w:szCs w:val="20"/>
          <w:color w:val="auto"/>
        </w:rPr>
      </w:pP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1" w:name="page62"/>
    <w:bookmarkEnd w:id="6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DEBT CAPITAL ACTIVITIES – (continued)</w:t>
      </w:r>
    </w:p>
    <w:p>
      <w:pPr>
        <w:spacing w:after="0" w:line="119" w:lineRule="exact"/>
        <w:rPr>
          <w:sz w:val="20"/>
          <w:szCs w:val="20"/>
          <w:color w:val="auto"/>
        </w:rPr>
      </w:pPr>
    </w:p>
    <w:p>
      <w:pPr>
        <w:ind w:left="60" w:right="100"/>
        <w:spacing w:after="0" w:line="253" w:lineRule="auto"/>
        <w:rPr>
          <w:sz w:val="20"/>
          <w:szCs w:val="20"/>
          <w:color w:val="auto"/>
        </w:rPr>
      </w:pPr>
      <w:r>
        <w:rPr>
          <w:rFonts w:ascii="Arial" w:cs="Arial" w:eastAsia="Arial" w:hAnsi="Arial"/>
          <w:sz w:val="18"/>
          <w:szCs w:val="18"/>
          <w:color w:val="auto"/>
        </w:rPr>
        <w:t>outstanding borrowings on the SVB Credit Facility so that there is at least one 30-day period every 12 months during which the Company has no balance outstanding. The Company made certain customary representations and warranties under the SVB Loan Agreement and was required to comply with various covenants, reporting requirements, and other customary requirements for similar credit facilities. The SVB Loan Agreement included usual and customary events of default for credit facilities of a similar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6" w:lineRule="exact"/>
        <w:rPr>
          <w:sz w:val="20"/>
          <w:szCs w:val="20"/>
          <w:color w:val="auto"/>
        </w:rPr>
      </w:pPr>
    </w:p>
    <w:p>
      <w:pPr>
        <w:ind w:left="60" w:firstLine="268"/>
        <w:spacing w:after="0" w:line="256" w:lineRule="auto"/>
        <w:rPr>
          <w:sz w:val="20"/>
          <w:szCs w:val="20"/>
          <w:color w:val="auto"/>
        </w:rPr>
      </w:pPr>
      <w:r>
        <w:rPr>
          <w:rFonts w:ascii="Arial" w:cs="Arial" w:eastAsia="Arial" w:hAnsi="Arial"/>
          <w:sz w:val="18"/>
          <w:szCs w:val="18"/>
          <w:color w:val="auto"/>
        </w:rPr>
        <w:t>The SVB Credit Facility was secured by all of the Company’s property and assets, except for the Company’s assets pledged to secure certain obligations in connection with the Company’s issuance of the Convertible Senior Notes. Borrowing under the SVB Credit Facility was subject to the leverage restrictions contained in the 1940 Act. In addition, under the SVB Loan Agreement, the Company agreed not to incur certain additional permitted indebtedness in an aggregate amount exceeding 50% of the Company’s then-applicable net asset value.</w:t>
      </w:r>
    </w:p>
    <w:p>
      <w:pPr>
        <w:spacing w:after="0" w:line="83" w:lineRule="exact"/>
        <w:rPr>
          <w:sz w:val="20"/>
          <w:szCs w:val="20"/>
          <w:color w:val="auto"/>
        </w:rPr>
      </w:pPr>
    </w:p>
    <w:p>
      <w:pPr>
        <w:jc w:val="both"/>
        <w:ind w:left="60" w:right="260" w:firstLine="268"/>
        <w:spacing w:after="0" w:line="260" w:lineRule="auto"/>
        <w:rPr>
          <w:sz w:val="20"/>
          <w:szCs w:val="20"/>
          <w:color w:val="auto"/>
        </w:rPr>
      </w:pPr>
      <w:r>
        <w:rPr>
          <w:rFonts w:ascii="Arial" w:cs="Arial" w:eastAsia="Arial" w:hAnsi="Arial"/>
          <w:sz w:val="18"/>
          <w:szCs w:val="18"/>
          <w:color w:val="auto"/>
        </w:rPr>
        <w:t>For the three and nine months ended September 30, 2017, the Company had average borrowings outstanding under the Credit Facility of $782,609 and $351,648, respectively. For the three and nine months ended September 30, 2016, the Company had average borrowings outstanding under the SVB Credit Facility of $266,304 and $140,511 respectively.</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Portfolio Activity</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October 1, 2017 through November 9, 2017, the Company did not purchase any investments.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October 1, 2017 through November 9, 2017, the Company sold investments of $16,755,417, net of transaction costs, as shown in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68218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21805" cy="825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60" w:type="dxa"/>
            <w:vAlign w:val="bottom"/>
          </w:tcPr>
          <w:p>
            <w:pPr>
              <w:spacing w:after="0"/>
              <w:rPr>
                <w:sz w:val="15"/>
                <w:szCs w:val="15"/>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 Sold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Average Net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Proceeds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7"/>
              </w:rPr>
              <w:t>Realized Gain</w:t>
            </w:r>
          </w:p>
        </w:tc>
        <w:tc>
          <w:tcPr>
            <w:tcW w:w="0" w:type="dxa"/>
            <w:vAlign w:val="bottom"/>
          </w:tcPr>
          <w:p>
            <w:pPr>
              <w:spacing w:after="0"/>
              <w:rPr>
                <w:sz w:val="1"/>
                <w:szCs w:val="1"/>
                <w:color w:val="auto"/>
              </w:rPr>
            </w:pPr>
          </w:p>
        </w:tc>
      </w:tr>
      <w:tr>
        <w:trPr>
          <w:trHeight w:val="174"/>
        </w:trPr>
        <w:tc>
          <w:tcPr>
            <w:tcW w:w="410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140"/>
              <w:spacing w:after="0" w:line="174" w:lineRule="exact"/>
              <w:rPr>
                <w:sz w:val="20"/>
                <w:szCs w:val="20"/>
                <w:color w:val="auto"/>
              </w:rPr>
            </w:pPr>
            <w:r>
              <w:rPr>
                <w:rFonts w:ascii="Arial" w:cs="Arial" w:eastAsia="Arial" w:hAnsi="Arial"/>
                <w:sz w:val="13"/>
                <w:szCs w:val="13"/>
                <w:b w:val="1"/>
                <w:bCs w:val="1"/>
                <w:color w:val="auto"/>
                <w:w w:val="97"/>
              </w:rPr>
              <w:t>Share Price</w:t>
            </w:r>
            <w:r>
              <w:rPr>
                <w:rFonts w:ascii="Arial" w:cs="Arial" w:eastAsia="Arial" w:hAnsi="Arial"/>
                <w:sz w:val="20"/>
                <w:szCs w:val="20"/>
                <w:b w:val="1"/>
                <w:bCs w:val="1"/>
                <w:color w:val="auto"/>
                <w:w w:val="97"/>
                <w:vertAlign w:val="superscript"/>
              </w:rPr>
              <w:t>(1)</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Spotify Technology S. A</w:t>
            </w:r>
          </w:p>
        </w:tc>
        <w:tc>
          <w:tcPr>
            <w:tcW w:w="140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10/13/2017</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3,657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13,896,600</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8,683,977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Chegg, Inc.</w:t>
            </w:r>
          </w:p>
        </w:tc>
        <w:tc>
          <w:tcPr>
            <w:tcW w:w="1400" w:type="dxa"/>
            <w:vAlign w:val="bottom"/>
            <w:gridSpan w:val="2"/>
            <w:shd w:val="clear" w:color="auto" w:fill="CCEEFF"/>
          </w:tcPr>
          <w:p>
            <w:pPr>
              <w:jc w:val="center"/>
              <w:ind w:left="91"/>
              <w:spacing w:after="0"/>
              <w:rPr>
                <w:sz w:val="20"/>
                <w:szCs w:val="20"/>
                <w:color w:val="auto"/>
              </w:rPr>
            </w:pPr>
            <w:r>
              <w:rPr>
                <w:rFonts w:ascii="Arial" w:cs="Arial" w:eastAsia="Arial" w:hAnsi="Arial"/>
                <w:sz w:val="18"/>
                <w:szCs w:val="18"/>
                <w:color w:val="auto"/>
                <w:w w:val="90"/>
              </w:rPr>
              <w:t>10/19/2017</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383,098</w:t>
            </w:r>
          </w:p>
        </w:tc>
        <w:tc>
          <w:tcPr>
            <w:tcW w:w="0" w:type="dxa"/>
            <w:vAlign w:val="bottom"/>
          </w:tcPr>
          <w:p>
            <w:pPr>
              <w:spacing w:after="0"/>
              <w:rPr>
                <w:sz w:val="1"/>
                <w:szCs w:val="1"/>
                <w:color w:val="auto"/>
              </w:rPr>
            </w:pPr>
          </w:p>
        </w:tc>
      </w:tr>
      <w:tr>
        <w:trPr>
          <w:trHeight w:val="215"/>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Chegg, Inc.</w:t>
            </w:r>
          </w:p>
        </w:tc>
        <w:tc>
          <w:tcPr>
            <w:tcW w:w="1400" w:type="dxa"/>
            <w:vAlign w:val="bottom"/>
            <w:gridSpan w:val="2"/>
          </w:tcPr>
          <w:p>
            <w:pPr>
              <w:jc w:val="center"/>
              <w:ind w:left="91"/>
              <w:spacing w:after="0"/>
              <w:rPr>
                <w:sz w:val="20"/>
                <w:szCs w:val="20"/>
                <w:color w:val="auto"/>
              </w:rPr>
            </w:pPr>
            <w:r>
              <w:rPr>
                <w:rFonts w:ascii="Arial" w:cs="Arial" w:eastAsia="Arial" w:hAnsi="Arial"/>
                <w:sz w:val="18"/>
                <w:szCs w:val="18"/>
                <w:color w:val="auto"/>
                <w:w w:val="90"/>
              </w:rPr>
              <w:t>10/20/2017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1,289,814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315,700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2,858,817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698,798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16,755,417</w:t>
            </w:r>
          </w:p>
        </w:tc>
        <w:tc>
          <w:tcPr>
            <w:tcW w:w="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9,382,775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026275" cy="1790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average net share price is the net share price realized after deducting all commissions and fees on the sale(s), if applicable.</w:t>
      </w:r>
    </w:p>
    <w:p>
      <w:pPr>
        <w:spacing w:after="0" w:line="115" w:lineRule="exact"/>
        <w:rPr>
          <w:sz w:val="20"/>
          <w:szCs w:val="20"/>
          <w:color w:val="auto"/>
        </w:rPr>
      </w:pPr>
    </w:p>
    <w:p>
      <w:pPr>
        <w:ind w:left="60" w:right="140" w:firstLine="268"/>
        <w:spacing w:after="0" w:line="256" w:lineRule="auto"/>
        <w:rPr>
          <w:sz w:val="20"/>
          <w:szCs w:val="20"/>
          <w:color w:val="auto"/>
        </w:rPr>
      </w:pPr>
      <w:r>
        <w:rPr>
          <w:rFonts w:ascii="Arial" w:cs="Arial" w:eastAsia="Arial" w:hAnsi="Arial"/>
          <w:sz w:val="18"/>
          <w:szCs w:val="18"/>
          <w:color w:val="auto"/>
        </w:rPr>
        <w:t>As announced on October 11, 2017, Vista Equity Partners (“Vista”), a leading investment firm focused on software, data, and technology-enabled businesses, announced that it has entered into a definitive agreement to make a majority investment in JAMF Holdings, Inc., one of the Company’s portfolio companies and the leader in Apple device management. Financial terms of the deal were not disclosed. The transaction is expected to close in the fourth quarter of 2017.</w:t>
      </w:r>
    </w:p>
    <w:p>
      <w:pPr>
        <w:spacing w:after="0" w:line="83" w:lineRule="exact"/>
        <w:rPr>
          <w:sz w:val="20"/>
          <w:szCs w:val="20"/>
          <w:color w:val="auto"/>
        </w:rPr>
      </w:pPr>
    </w:p>
    <w:p>
      <w:pPr>
        <w:ind w:left="60" w:right="300" w:firstLine="268"/>
        <w:spacing w:after="0" w:line="308" w:lineRule="auto"/>
        <w:rPr>
          <w:sz w:val="20"/>
          <w:szCs w:val="20"/>
          <w:color w:val="auto"/>
        </w:rPr>
      </w:pPr>
      <w:r>
        <w:rPr>
          <w:rFonts w:ascii="Arial" w:cs="Arial" w:eastAsia="Arial" w:hAnsi="Arial"/>
          <w:sz w:val="16"/>
          <w:szCs w:val="16"/>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w:t>
      </w:r>
    </w:p>
    <w:p>
      <w:pPr>
        <w:spacing w:after="0" w:line="200" w:lineRule="exact"/>
        <w:rPr>
          <w:sz w:val="20"/>
          <w:szCs w:val="20"/>
          <w:color w:val="auto"/>
        </w:rPr>
      </w:pPr>
    </w:p>
    <w:p>
      <w:pPr>
        <w:spacing w:after="0" w:line="28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 SUBSEQUENT EVENTS – (continued)</w:t>
      </w:r>
    </w:p>
    <w:p>
      <w:pPr>
        <w:spacing w:after="0" w:line="119" w:lineRule="exact"/>
        <w:rPr>
          <w:sz w:val="20"/>
          <w:szCs w:val="20"/>
          <w:color w:val="auto"/>
        </w:rPr>
      </w:pPr>
    </w:p>
    <w:p>
      <w:pPr>
        <w:ind w:left="40" w:right="560"/>
        <w:spacing w:after="0" w:line="336" w:lineRule="auto"/>
        <w:rPr>
          <w:sz w:val="20"/>
          <w:szCs w:val="20"/>
          <w:color w:val="auto"/>
        </w:rPr>
      </w:pPr>
      <w:r>
        <w:rPr>
          <w:rFonts w:ascii="Arial" w:cs="Arial" w:eastAsia="Arial" w:hAnsi="Arial"/>
          <w:sz w:val="16"/>
          <w:szCs w:val="16"/>
          <w:color w:val="auto"/>
        </w:rPr>
        <w:t>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Share Repurchase Program</w:t>
      </w:r>
    </w:p>
    <w:p>
      <w:pPr>
        <w:spacing w:after="0" w:line="119" w:lineRule="exact"/>
        <w:rPr>
          <w:sz w:val="20"/>
          <w:szCs w:val="20"/>
          <w:color w:val="auto"/>
        </w:rPr>
      </w:pPr>
    </w:p>
    <w:p>
      <w:pPr>
        <w:ind w:left="40" w:right="440" w:firstLine="268"/>
        <w:spacing w:after="0" w:line="272" w:lineRule="auto"/>
        <w:rPr>
          <w:sz w:val="20"/>
          <w:szCs w:val="20"/>
          <w:color w:val="auto"/>
        </w:rPr>
      </w:pPr>
      <w:r>
        <w:rPr>
          <w:rFonts w:ascii="Arial" w:cs="Arial" w:eastAsia="Arial" w:hAnsi="Arial"/>
          <w:sz w:val="18"/>
          <w:szCs w:val="18"/>
          <w:color w:val="auto"/>
        </w:rPr>
        <w:t>From October 1, 2017 through November 9, 2017, the Company repurchased 285,012 shares of its common stock, pursuant to the Share Repurchase Program, at an average price of $5.73 per share.</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Management Transition</w:t>
      </w:r>
    </w:p>
    <w:p>
      <w:pPr>
        <w:spacing w:after="0" w:line="119" w:lineRule="exact"/>
        <w:rPr>
          <w:sz w:val="20"/>
          <w:szCs w:val="20"/>
          <w:color w:val="auto"/>
        </w:rPr>
      </w:pPr>
    </w:p>
    <w:p>
      <w:pPr>
        <w:ind w:left="40" w:right="140" w:firstLine="268"/>
        <w:spacing w:after="0" w:line="256" w:lineRule="auto"/>
        <w:rPr>
          <w:sz w:val="20"/>
          <w:szCs w:val="20"/>
          <w:color w:val="auto"/>
        </w:rPr>
      </w:pPr>
      <w:r>
        <w:rPr>
          <w:rFonts w:ascii="Arial" w:cs="Arial" w:eastAsia="Arial" w:hAnsi="Arial"/>
          <w:sz w:val="18"/>
          <w:szCs w:val="18"/>
          <w:color w:val="auto"/>
        </w:rPr>
        <w:t>On October 17, 2017, Mark Flynn resigned from his positions as President of the Company and as a member of the Company’s board of directors, effective October 17, 2017. In connection with Mr. Flynn’s resignation, the Company’s board of directors reduced the number of directors that constitute the full board to six (6) directors from seven (7) directors. Mr. Flynn will continue to provide services to GSV Asset Management pursuant to a consulting agreement with GSV Asset Management.</w:t>
      </w:r>
    </w:p>
    <w:p>
      <w:pPr>
        <w:spacing w:after="0" w:line="83" w:lineRule="exact"/>
        <w:rPr>
          <w:sz w:val="20"/>
          <w:szCs w:val="20"/>
          <w:color w:val="auto"/>
        </w:rPr>
      </w:pPr>
    </w:p>
    <w:p>
      <w:pPr>
        <w:ind w:left="40" w:right="20" w:firstLine="268"/>
        <w:spacing w:after="0" w:line="260" w:lineRule="auto"/>
        <w:rPr>
          <w:sz w:val="20"/>
          <w:szCs w:val="20"/>
          <w:color w:val="auto"/>
        </w:rPr>
      </w:pPr>
      <w:r>
        <w:rPr>
          <w:rFonts w:ascii="Arial" w:cs="Arial" w:eastAsia="Arial" w:hAnsi="Arial"/>
          <w:sz w:val="18"/>
          <w:szCs w:val="18"/>
          <w:color w:val="auto"/>
        </w:rPr>
        <w:t>In addition, on October 17, 2017, the Company’s board of directors appointed William Tanona to serve as President of the Company, effective October 17, 2017, in order to fill the vacancy created by Mr. Flynn’s resignation as President of the Company. Mr. Tanona previously served, and continues to serve, as Chief Financial Officer, Treasurer and Corporate Secretary of the Company.</w:t>
      </w:r>
    </w:p>
    <w:p>
      <w:pPr>
        <w:spacing w:after="0" w:line="78" w:lineRule="exact"/>
        <w:rPr>
          <w:sz w:val="20"/>
          <w:szCs w:val="20"/>
          <w:color w:val="auto"/>
        </w:rPr>
      </w:pPr>
    </w:p>
    <w:p>
      <w:pPr>
        <w:ind w:left="40" w:right="140" w:firstLine="268"/>
        <w:spacing w:after="0" w:line="254" w:lineRule="auto"/>
        <w:rPr>
          <w:sz w:val="20"/>
          <w:szCs w:val="20"/>
          <w:color w:val="auto"/>
        </w:rPr>
      </w:pPr>
      <w:r>
        <w:rPr>
          <w:rFonts w:ascii="Arial" w:cs="Arial" w:eastAsia="Arial" w:hAnsi="Arial"/>
          <w:sz w:val="18"/>
          <w:szCs w:val="18"/>
          <w:color w:val="auto"/>
        </w:rPr>
        <w:t>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Under the Share Repurchase Program, the Company may repurchase its outstanding common stock in the open market provided that the Company complies with the prohibitions under its insider trading policies and procedures and the applicable provisions of the 1940 Act and the Exchange Act.</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Management Fee Waiver</w:t>
      </w:r>
    </w:p>
    <w:p>
      <w:pPr>
        <w:spacing w:after="0" w:line="119" w:lineRule="exact"/>
        <w:rPr>
          <w:sz w:val="20"/>
          <w:szCs w:val="20"/>
          <w:color w:val="auto"/>
        </w:rPr>
      </w:pPr>
    </w:p>
    <w:p>
      <w:pPr>
        <w:jc w:val="both"/>
        <w:ind w:left="40" w:right="140" w:firstLine="268"/>
        <w:spacing w:after="0" w:line="276" w:lineRule="auto"/>
        <w:rPr>
          <w:sz w:val="20"/>
          <w:szCs w:val="20"/>
          <w:color w:val="auto"/>
        </w:rPr>
      </w:pPr>
      <w:r>
        <w:rPr>
          <w:rFonts w:ascii="Arial" w:cs="Arial" w:eastAsia="Arial" w:hAnsi="Arial"/>
          <w:sz w:val="17"/>
          <w:szCs w:val="17"/>
          <w:color w:val="auto"/>
        </w:rPr>
        <w:t>Subsequent to quarter-end, GSV Asset Management voluntarily agreed to extend its waiver of a portion of the advisory fees payable by the Company to GSV Asset Management under the Advisory Agreement. Under the extension of the waiver, through December 31, 2018, the Company will pay GSV Asset Management a base management fee of 1.75%, a 0.25% reduction from the 2.0% base management fee payable under the Advisory Agreement. This waiver of a portion of the base management fee is not subject to recourse against or reimbursement by the Company.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 SUPPLEMENTAL FINANCIAL DATA</w:t>
      </w:r>
    </w:p>
    <w:p>
      <w:pPr>
        <w:spacing w:after="0" w:line="119"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Under Rule 6-03 of Regulation S-X and in accordance with GAAP, as an investment company,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83" w:lineRule="exact"/>
        <w:rPr>
          <w:sz w:val="20"/>
          <w:szCs w:val="20"/>
          <w:color w:val="auto"/>
        </w:rPr>
      </w:pPr>
    </w:p>
    <w:p>
      <w:pPr>
        <w:ind w:left="40" w:right="40" w:firstLine="268"/>
        <w:spacing w:after="0" w:line="260" w:lineRule="auto"/>
        <w:rPr>
          <w:sz w:val="20"/>
          <w:szCs w:val="20"/>
          <w:color w:val="auto"/>
        </w:rPr>
      </w:pPr>
      <w:r>
        <w:rPr>
          <w:rFonts w:ascii="Arial" w:cs="Arial" w:eastAsia="Arial" w:hAnsi="Arial"/>
          <w:sz w:val="18"/>
          <w:szCs w:val="18"/>
          <w:color w:val="auto"/>
        </w:rPr>
        <w:t>During the three and nine months ended September 30, 2017 and 2016 the Company had at least one investment in a portfolio company that qualified as a “significant subsidiary” under the applicable rules of Regulation S-X. Accordingly, comparative financial information is presented below for our unconsolidated significant subsidiaries for the three and nine months ended September 30, 2017 and 2016:</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3" w:name="page64"/>
    <w:bookmarkEnd w:id="63"/>
    <w:p>
      <w:pPr>
        <w:ind w:left="14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GSV CAPITAL CORP. AND SUBSIDIARIES</w:t>
      </w:r>
    </w:p>
    <w:p>
      <w:pPr>
        <w:spacing w:after="0" w:line="222"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September 30, 2017</w:t>
      </w:r>
    </w:p>
    <w:p>
      <w:pPr>
        <w:spacing w:after="0" w:line="8"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11 — SUPPLEMENTAL FINANCIAL DATA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41910</wp:posOffset>
            </wp:positionV>
            <wp:extent cx="31769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176905" cy="8255"/>
                    </a:xfrm>
                    <a:prstGeom prst="rect">
                      <a:avLst/>
                    </a:prstGeom>
                    <a:noFill/>
                  </pic:spPr>
                </pic:pic>
              </a:graphicData>
            </a:graphic>
          </wp:anchor>
        </w:drawing>
        <w:drawing>
          <wp:anchor simplePos="0" relativeHeight="251657728" behindDoc="1" locked="0" layoutInCell="0" allowOverlap="1">
            <wp:simplePos x="0" y="0"/>
            <wp:positionH relativeFrom="column">
              <wp:posOffset>4978400</wp:posOffset>
            </wp:positionH>
            <wp:positionV relativeFrom="paragraph">
              <wp:posOffset>41910</wp:posOffset>
            </wp:positionV>
            <wp:extent cx="5962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265" cy="8255"/>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41910</wp:posOffset>
            </wp:positionV>
            <wp:extent cx="66421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7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Income Statement Data for the Three Months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September 30, 2016</w:t>
            </w:r>
          </w:p>
        </w:tc>
        <w:tc>
          <w:tcPr>
            <w:tcW w:w="240" w:type="dxa"/>
            <w:vAlign w:val="bottom"/>
          </w:tcPr>
          <w:p>
            <w:pPr>
              <w:spacing w:after="0"/>
              <w:rPr>
                <w:sz w:val="14"/>
                <w:szCs w:val="14"/>
                <w:color w:val="auto"/>
              </w:rPr>
            </w:pPr>
          </w:p>
        </w:tc>
      </w:tr>
      <w:tr>
        <w:trPr>
          <w:trHeight w:val="208"/>
        </w:trPr>
        <w:tc>
          <w:tcPr>
            <w:tcW w:w="120" w:type="dxa"/>
            <w:vAlign w:val="bottom"/>
          </w:tcPr>
          <w:p>
            <w:pPr>
              <w:spacing w:after="0"/>
              <w:rPr>
                <w:sz w:val="18"/>
                <w:szCs w:val="18"/>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5,745,750</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5,995,846</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5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4,623,687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4,717,151</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(729,028)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(1,679,034)</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net income including net income attributable to non-controlling interest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controlling interest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(729,028)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(1,679,034)</w:t>
            </w:r>
          </w:p>
        </w:tc>
        <w:tc>
          <w:tcPr>
            <w:tcW w:w="240" w:type="dxa"/>
            <w:vAlign w:val="bottom"/>
          </w:tcPr>
          <w:p>
            <w:pPr>
              <w:spacing w:after="0"/>
              <w:rPr>
                <w:sz w:val="18"/>
                <w:szCs w:val="18"/>
                <w:color w:val="auto"/>
              </w:rPr>
            </w:pPr>
          </w:p>
        </w:tc>
      </w:tr>
      <w:tr>
        <w:trPr>
          <w:trHeight w:val="362"/>
        </w:trPr>
        <w:tc>
          <w:tcPr>
            <w:tcW w:w="120" w:type="dxa"/>
            <w:vAlign w:val="bottom"/>
          </w:tcPr>
          <w:p>
            <w:pPr>
              <w:spacing w:after="0"/>
              <w:rPr>
                <w:sz w:val="24"/>
                <w:szCs w:val="24"/>
                <w:color w:val="auto"/>
              </w:rPr>
            </w:pPr>
          </w:p>
        </w:tc>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Data for the Nine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September 30, 2017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September 30, 2016</w:t>
            </w:r>
          </w:p>
        </w:tc>
        <w:tc>
          <w:tcPr>
            <w:tcW w:w="240" w:type="dxa"/>
            <w:vAlign w:val="bottom"/>
          </w:tcPr>
          <w:p>
            <w:pPr>
              <w:spacing w:after="0"/>
              <w:rPr>
                <w:sz w:val="24"/>
                <w:szCs w:val="24"/>
                <w:color w:val="auto"/>
              </w:rPr>
            </w:pPr>
          </w:p>
        </w:tc>
      </w:tr>
      <w:tr>
        <w:trPr>
          <w:trHeight w:val="208"/>
        </w:trPr>
        <w:tc>
          <w:tcPr>
            <w:tcW w:w="120" w:type="dxa"/>
            <w:vAlign w:val="bottom"/>
          </w:tcPr>
          <w:p>
            <w:pPr>
              <w:spacing w:after="0"/>
              <w:rPr>
                <w:sz w:val="18"/>
                <w:szCs w:val="18"/>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17,442,574</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16,599,214</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5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14,229,837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13,043,312</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(2,128,030)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(6,644,452)</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560" w:type="dxa"/>
            <w:vAlign w:val="bottom"/>
            <w:gridSpan w:val="2"/>
          </w:tcPr>
          <w:p>
            <w:pPr>
              <w:ind w:left="20"/>
              <w:spacing w:after="0"/>
              <w:rPr>
                <w:sz w:val="20"/>
                <w:szCs w:val="20"/>
                <w:color w:val="auto"/>
              </w:rPr>
            </w:pPr>
            <w:r>
              <w:rPr>
                <w:rFonts w:ascii="Arial" w:cs="Arial" w:eastAsia="Arial" w:hAnsi="Arial"/>
                <w:sz w:val="18"/>
                <w:szCs w:val="18"/>
                <w:color w:val="auto"/>
              </w:rPr>
              <w:t>Total net income including net income attributable to non-controlling interest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r>
      <w:tr>
        <w:trPr>
          <w:trHeight w:val="215"/>
        </w:trPr>
        <w:tc>
          <w:tcPr>
            <w:tcW w:w="120" w:type="dxa"/>
            <w:vAlign w:val="bottom"/>
          </w:tcPr>
          <w:p>
            <w:pPr>
              <w:spacing w:after="0"/>
              <w:rPr>
                <w:sz w:val="18"/>
                <w:szCs w:val="18"/>
                <w:color w:val="auto"/>
              </w:rPr>
            </w:pPr>
          </w:p>
        </w:tc>
        <w:tc>
          <w:tcPr>
            <w:tcW w:w="7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attributable to controlling interest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(2,128,030)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(6,644,452)</w:t>
            </w:r>
          </w:p>
        </w:tc>
        <w:tc>
          <w:tcPr>
            <w:tcW w:w="240" w:type="dxa"/>
            <w:vAlign w:val="bottom"/>
          </w:tcPr>
          <w:p>
            <w:pPr>
              <w:spacing w:after="0"/>
              <w:rPr>
                <w:sz w:val="18"/>
                <w:szCs w:val="18"/>
                <w:color w:val="auto"/>
              </w:rPr>
            </w:pPr>
          </w:p>
        </w:tc>
      </w:tr>
      <w:tr>
        <w:trPr>
          <w:trHeight w:val="776"/>
        </w:trPr>
        <w:tc>
          <w:tcPr>
            <w:tcW w:w="120" w:type="dxa"/>
            <w:vAlign w:val="bottom"/>
          </w:tcPr>
          <w:p>
            <w:pPr>
              <w:spacing w:after="0"/>
              <w:rPr>
                <w:sz w:val="24"/>
                <w:szCs w:val="24"/>
                <w:color w:val="auto"/>
              </w:rPr>
            </w:pPr>
          </w:p>
        </w:tc>
        <w:tc>
          <w:tcPr>
            <w:tcW w:w="7540" w:type="dxa"/>
            <w:vAlign w:val="bottom"/>
          </w:tcPr>
          <w:p>
            <w:pPr>
              <w:ind w:left="550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3"/>
        </w:trPr>
        <w:tc>
          <w:tcPr>
            <w:tcW w:w="120" w:type="dxa"/>
            <w:vAlign w:val="bottom"/>
            <w:tcBorders>
              <w:bottom w:val="single" w:sz="8" w:color="9A9A9A"/>
            </w:tcBorders>
          </w:tcPr>
          <w:p>
            <w:pPr>
              <w:spacing w:after="0"/>
              <w:rPr>
                <w:sz w:val="14"/>
                <w:szCs w:val="14"/>
                <w:color w:val="auto"/>
              </w:rPr>
            </w:pPr>
          </w:p>
        </w:tc>
        <w:tc>
          <w:tcPr>
            <w:tcW w:w="75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75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-1524000</wp:posOffset>
            </wp:positionV>
            <wp:extent cx="317690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176905"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-1524000</wp:posOffset>
            </wp:positionV>
            <wp:extent cx="5962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265"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-1524000</wp:posOffset>
            </wp:positionV>
            <wp:extent cx="66421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64210" cy="8255"/>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9" w:lineRule="exact"/>
        <w:rPr>
          <w:sz w:val="20"/>
          <w:szCs w:val="20"/>
          <w:color w:val="auto"/>
        </w:rPr>
      </w:pPr>
    </w:p>
    <w:p>
      <w:pPr>
        <w:ind w:left="40" w:right="3960"/>
        <w:spacing w:after="0" w:line="39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left="40" w:firstLine="268"/>
        <w:spacing w:after="0" w:line="254"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85" w:lineRule="exact"/>
        <w:rPr>
          <w:sz w:val="20"/>
          <w:szCs w:val="20"/>
          <w:color w:val="auto"/>
        </w:rPr>
      </w:pPr>
    </w:p>
    <w:p>
      <w:pPr>
        <w:ind w:left="40" w:right="100" w:firstLine="268"/>
        <w:spacing w:after="0" w:line="272"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67" w:lineRule="exact"/>
        <w:rPr>
          <w:sz w:val="20"/>
          <w:szCs w:val="20"/>
          <w:color w:val="auto"/>
        </w:rPr>
      </w:pPr>
    </w:p>
    <w:p>
      <w:pPr>
        <w:ind w:left="600" w:hanging="32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5" w:lineRule="exact"/>
        <w:rPr>
          <w:sz w:val="20"/>
          <w:szCs w:val="20"/>
          <w:color w:val="auto"/>
        </w:rPr>
      </w:pPr>
    </w:p>
    <w:p>
      <w:pPr>
        <w:ind w:left="40" w:right="100" w:firstLine="268"/>
        <w:spacing w:after="0" w:line="260"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8" w:lineRule="exact"/>
        <w:rPr>
          <w:sz w:val="20"/>
          <w:szCs w:val="20"/>
          <w:color w:val="auto"/>
        </w:rPr>
      </w:pPr>
    </w:p>
    <w:p>
      <w:pPr>
        <w:ind w:left="600" w:right="680" w:hanging="326"/>
        <w:spacing w:after="0" w:line="272"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67" w:lineRule="exact"/>
        <w:rPr>
          <w:rFonts w:ascii="Arial" w:cs="Arial" w:eastAsia="Arial" w:hAnsi="Arial"/>
          <w:sz w:val="18"/>
          <w:szCs w:val="18"/>
          <w:color w:val="auto"/>
        </w:rPr>
      </w:pPr>
    </w:p>
    <w:p>
      <w:pPr>
        <w:ind w:left="600" w:right="40" w:hanging="326"/>
        <w:spacing w:after="0" w:line="272"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7" w:lineRule="exact"/>
        <w:rPr>
          <w:rFonts w:ascii="Arial" w:cs="Arial" w:eastAsia="Arial" w:hAnsi="Arial"/>
          <w:sz w:val="18"/>
          <w:szCs w:val="18"/>
          <w:color w:val="auto"/>
        </w:rPr>
      </w:pPr>
    </w:p>
    <w:p>
      <w:pPr>
        <w:ind w:left="600" w:hanging="32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114" w:lineRule="exact"/>
        <w:rPr>
          <w:rFonts w:ascii="Arial" w:cs="Arial" w:eastAsia="Arial" w:hAnsi="Arial"/>
          <w:sz w:val="18"/>
          <w:szCs w:val="18"/>
          <w:color w:val="auto"/>
        </w:rPr>
      </w:pPr>
    </w:p>
    <w:p>
      <w:pPr>
        <w:ind w:left="600" w:hanging="326"/>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114" w:lineRule="exact"/>
        <w:rPr>
          <w:rFonts w:ascii="Arial" w:cs="Arial" w:eastAsia="Arial" w:hAnsi="Arial"/>
          <w:sz w:val="18"/>
          <w:szCs w:val="18"/>
          <w:color w:val="auto"/>
        </w:rPr>
      </w:pPr>
    </w:p>
    <w:p>
      <w:pPr>
        <w:ind w:left="600" w:right="80" w:hanging="326"/>
        <w:spacing w:after="0" w:line="272" w:lineRule="auto"/>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in this quarterly report on Form 10-Q and our annual report on Form 10-K, and in our filings with the SEC.</w:t>
      </w:r>
    </w:p>
    <w:p>
      <w:pPr>
        <w:spacing w:after="0" w:line="67" w:lineRule="exact"/>
        <w:rPr>
          <w:sz w:val="20"/>
          <w:szCs w:val="20"/>
          <w:color w:val="auto"/>
        </w:rPr>
      </w:pPr>
    </w:p>
    <w:p>
      <w:pPr>
        <w:ind w:left="40" w:firstLine="268"/>
        <w:spacing w:after="0" w:line="252"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this quarterly report on Form 10-Q and our annual report on Form 10-K, in the “Risk Factors” section.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3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ind w:left="40" w:right="540" w:firstLine="268"/>
        <w:spacing w:after="0" w:line="272"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We are an externally managed, non-diversified closed-end management investment company that has elected to be regulated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regards to the regulatory requirements for business development companies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73" w:lineRule="exact"/>
        <w:rPr>
          <w:sz w:val="20"/>
          <w:szCs w:val="20"/>
          <w:color w:val="auto"/>
        </w:rPr>
      </w:pPr>
    </w:p>
    <w:p>
      <w:pPr>
        <w:ind w:left="40" w:right="140" w:firstLine="268"/>
        <w:spacing w:after="0" w:line="260" w:lineRule="auto"/>
        <w:rPr>
          <w:sz w:val="20"/>
          <w:szCs w:val="20"/>
          <w:color w:val="auto"/>
        </w:rPr>
      </w:pPr>
      <w:r>
        <w:rPr>
          <w:rFonts w:ascii="Arial" w:cs="Arial" w:eastAsia="Arial" w:hAnsi="Arial"/>
          <w:sz w:val="18"/>
          <w:szCs w:val="18"/>
          <w:color w:val="auto"/>
        </w:rPr>
        <w:t>We acquire our investments in portfolio companies through offerings of the prospective portfolio companies, transactions on secondary marketplaces for private companies and negotiations with selling stockholders. Our investment activities are managed by GSV Asset Management. GSV Capital Service Company provides the administrative services necessary for us to operate.</w:t>
      </w:r>
    </w:p>
    <w:p>
      <w:pPr>
        <w:spacing w:after="0" w:line="78" w:lineRule="exact"/>
        <w:rPr>
          <w:sz w:val="20"/>
          <w:szCs w:val="20"/>
          <w:color w:val="auto"/>
        </w:rPr>
      </w:pPr>
    </w:p>
    <w:p>
      <w:pPr>
        <w:ind w:left="40" w:right="60" w:firstLine="268"/>
        <w:spacing w:after="0" w:line="253" w:lineRule="auto"/>
        <w:rPr>
          <w:sz w:val="20"/>
          <w:szCs w:val="20"/>
          <w:color w:val="auto"/>
        </w:rPr>
      </w:pPr>
      <w:r>
        <w:rPr>
          <w:rFonts w:ascii="Arial" w:cs="Arial" w:eastAsia="Arial" w:hAnsi="Arial"/>
          <w:sz w:val="18"/>
          <w:szCs w:val="18"/>
          <w:color w:val="auto"/>
        </w:rPr>
        <w:t>Our investment philosophy is premised on a disciplined approach of identifying high-growth emerging companies across several key industry themes that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86" w:lineRule="exact"/>
        <w:rPr>
          <w:sz w:val="20"/>
          <w:szCs w:val="20"/>
          <w:color w:val="auto"/>
        </w:rPr>
      </w:pPr>
    </w:p>
    <w:p>
      <w:pPr>
        <w:ind w:left="40" w:right="20" w:firstLine="268"/>
        <w:spacing w:after="0" w:line="273"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 (Portfolio Activity)</w:t>
      </w:r>
    </w:p>
    <w:p>
      <w:pPr>
        <w:spacing w:after="0" w:line="115" w:lineRule="exact"/>
        <w:rPr>
          <w:sz w:val="20"/>
          <w:szCs w:val="20"/>
          <w:color w:val="auto"/>
        </w:rPr>
      </w:pPr>
    </w:p>
    <w:p>
      <w:pPr>
        <w:ind w:left="40" w:right="460" w:firstLine="268"/>
        <w:spacing w:after="0" w:line="302" w:lineRule="auto"/>
        <w:rPr>
          <w:sz w:val="20"/>
          <w:szCs w:val="20"/>
          <w:color w:val="auto"/>
        </w:rPr>
      </w:pPr>
      <w:r>
        <w:rPr>
          <w:rFonts w:ascii="Arial" w:cs="Arial" w:eastAsia="Arial" w:hAnsi="Arial"/>
          <w:sz w:val="17"/>
          <w:szCs w:val="17"/>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w:t>
      </w:r>
    </w:p>
    <w:p>
      <w:pPr>
        <w:spacing w:after="0" w:line="45" w:lineRule="exact"/>
        <w:rPr>
          <w:sz w:val="20"/>
          <w:szCs w:val="20"/>
          <w:color w:val="auto"/>
        </w:rPr>
      </w:pPr>
    </w:p>
    <w:p>
      <w:pPr>
        <w:ind w:left="40" w:right="140" w:firstLine="268"/>
        <w:spacing w:after="0" w:line="260" w:lineRule="auto"/>
        <w:rPr>
          <w:sz w:val="20"/>
          <w:szCs w:val="20"/>
          <w:color w:val="auto"/>
        </w:rPr>
      </w:pPr>
      <w:r>
        <w:rPr>
          <w:rFonts w:ascii="Arial" w:cs="Arial" w:eastAsia="Arial" w:hAnsi="Arial"/>
          <w:sz w:val="18"/>
          <w:szCs w:val="18"/>
          <w:color w:val="auto"/>
        </w:rPr>
        <w:t>The fair value, as of September 30, 2017, of all of our portfolio investments, excluding U.S. Treasury Bills and Strips, was $289,776,082. Refer to “Note 1 — Nature of Operations and Significant Accounting Policies” to our condensed consolidated financial statements as of September 30, 2017 for further detail.</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nine months ended September 30, 2017 we did not fund any investments and we capitalized fees of $2,080.</w:t>
      </w: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66" w:name="page67"/>
    <w:bookmarkEnd w:id="6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portfolio investments we sold or wrote-off during the three and 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21545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4555" cy="8255"/>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46990</wp:posOffset>
            </wp:positionV>
            <wp:extent cx="348297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82975"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Nine Months Ended</w:t>
            </w: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0"/>
              </w:rPr>
              <w:t>September 30, 2017</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1"/>
              </w:rPr>
              <w:t>September 30, 2017</w:t>
            </w:r>
          </w:p>
        </w:tc>
      </w:tr>
      <w:tr>
        <w:trPr>
          <w:trHeight w:val="118"/>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8"/>
              </w:rPr>
              <w:t>Realized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gridSpan w:val="2"/>
          </w:tcPr>
          <w:p>
            <w:pPr>
              <w:jc w:val="center"/>
              <w:ind w:right="300"/>
              <w:spacing w:after="0" w:line="118" w:lineRule="exact"/>
              <w:rPr>
                <w:sz w:val="20"/>
                <w:szCs w:val="20"/>
                <w:color w:val="auto"/>
              </w:rPr>
            </w:pPr>
            <w:r>
              <w:rPr>
                <w:rFonts w:ascii="Arial" w:cs="Arial" w:eastAsia="Arial" w:hAnsi="Arial"/>
                <w:sz w:val="13"/>
                <w:szCs w:val="13"/>
                <w:b w:val="1"/>
                <w:bCs w:val="1"/>
                <w:color w:val="auto"/>
                <w:w w:val="98"/>
              </w:rPr>
              <w:t>Realized</w:t>
            </w:r>
          </w:p>
        </w:tc>
      </w:tr>
      <w:tr>
        <w:trPr>
          <w:trHeight w:val="15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3"/>
              </w:rPr>
              <w:t>Gains/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93"/>
              </w:rPr>
              <w:t>Gains/</w:t>
            </w:r>
          </w:p>
        </w:tc>
      </w:tr>
      <w:tr>
        <w:trPr>
          <w:trHeight w:val="199"/>
        </w:trPr>
        <w:tc>
          <w:tcPr>
            <w:tcW w:w="5100" w:type="dxa"/>
            <w:vAlign w:val="bottom"/>
            <w:gridSpan w:val="4"/>
          </w:tcPr>
          <w:p>
            <w:pPr>
              <w:ind w:left="20"/>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Proceeds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00"/>
              <w:spacing w:after="0" w:line="199" w:lineRule="exact"/>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23"/>
                <w:szCs w:val="23"/>
                <w:b w:val="1"/>
                <w:bCs w:val="1"/>
                <w:color w:val="auto"/>
                <w:w w:val="83"/>
                <w:vertAlign w:val="superscript"/>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Proceeds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280"/>
              <w:spacing w:after="0" w:line="199" w:lineRule="exact"/>
              <w:rPr>
                <w:sz w:val="20"/>
                <w:szCs w:val="20"/>
                <w:color w:val="auto"/>
              </w:rPr>
            </w:pPr>
            <w:r>
              <w:rPr>
                <w:rFonts w:ascii="Arial" w:cs="Arial" w:eastAsia="Arial" w:hAnsi="Arial"/>
                <w:sz w:val="14"/>
                <w:szCs w:val="14"/>
                <w:b w:val="1"/>
                <w:bCs w:val="1"/>
                <w:color w:val="auto"/>
                <w:w w:val="81"/>
              </w:rPr>
              <w:t>(Losses)</w:t>
            </w:r>
            <w:r>
              <w:rPr>
                <w:rFonts w:ascii="Arial" w:cs="Arial" w:eastAsia="Arial" w:hAnsi="Arial"/>
                <w:sz w:val="23"/>
                <w:szCs w:val="23"/>
                <w:b w:val="1"/>
                <w:bCs w:val="1"/>
                <w:color w:val="auto"/>
                <w:w w:val="81"/>
                <w:vertAlign w:val="superscript"/>
              </w:rPr>
              <w:t>(1)</w:t>
            </w:r>
          </w:p>
        </w:tc>
      </w:tr>
      <w:tr>
        <w:trPr>
          <w:trHeight w:val="208"/>
        </w:trPr>
        <w:tc>
          <w:tcPr>
            <w:tcW w:w="49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AliphCom, Inc. (d/b/a Jawbone)</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center"/>
              <w:ind w:right="11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(793,152)</w:t>
            </w:r>
          </w:p>
        </w:tc>
      </w:tr>
      <w:tr>
        <w:trPr>
          <w:trHeight w:val="215"/>
        </w:trPr>
        <w:tc>
          <w:tcPr>
            <w:tcW w:w="5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AlwaysOn, Inc.</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(1,903,414)</w:t>
            </w:r>
          </w:p>
        </w:tc>
      </w:tr>
      <w:tr>
        <w:trPr>
          <w:trHeight w:val="215"/>
        </w:trPr>
        <w:tc>
          <w:tcPr>
            <w:tcW w:w="5100" w:type="dxa"/>
            <w:vAlign w:val="bottom"/>
            <w:gridSpan w:val="4"/>
          </w:tcPr>
          <w:p>
            <w:pPr>
              <w:ind w:left="20"/>
              <w:spacing w:after="0"/>
              <w:rPr>
                <w:sz w:val="20"/>
                <w:szCs w:val="20"/>
                <w:color w:val="auto"/>
              </w:rPr>
            </w:pPr>
            <w:r>
              <w:rPr>
                <w:rFonts w:ascii="Arial" w:cs="Arial" w:eastAsia="Arial" w:hAnsi="Arial"/>
                <w:sz w:val="18"/>
                <w:szCs w:val="18"/>
                <w:color w:val="auto"/>
              </w:rPr>
              <w:t>Beamreach Solar, Inc. (f/k/a Solexel, Inc.)</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(14,272,840)</w:t>
            </w:r>
          </w:p>
        </w:tc>
      </w:tr>
      <w:tr>
        <w:trPr>
          <w:trHeight w:val="215"/>
        </w:trPr>
        <w:tc>
          <w:tcPr>
            <w:tcW w:w="5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Cricket Media (f/k/a ePals Corporation)</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(2,448,959)</w:t>
            </w:r>
          </w:p>
        </w:tc>
      </w:tr>
      <w:tr>
        <w:trPr>
          <w:trHeight w:val="215"/>
        </w:trPr>
        <w:tc>
          <w:tcPr>
            <w:tcW w:w="5100" w:type="dxa"/>
            <w:vAlign w:val="bottom"/>
            <w:gridSpan w:val="4"/>
          </w:tcPr>
          <w:p>
            <w:pPr>
              <w:ind w:left="20"/>
              <w:spacing w:after="0"/>
              <w:rPr>
                <w:sz w:val="20"/>
                <w:szCs w:val="20"/>
                <w:color w:val="auto"/>
              </w:rPr>
            </w:pPr>
            <w:r>
              <w:rPr>
                <w:rFonts w:ascii="Arial" w:cs="Arial" w:eastAsia="Arial" w:hAnsi="Arial"/>
                <w:sz w:val="18"/>
                <w:szCs w:val="18"/>
                <w:color w:val="auto"/>
              </w:rPr>
              <w:t>EarlyShares.com, Inc.</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(312,438)</w:t>
            </w:r>
          </w:p>
        </w:tc>
      </w:tr>
      <w:tr>
        <w:trPr>
          <w:trHeight w:val="215"/>
        </w:trPr>
        <w:tc>
          <w:tcPr>
            <w:tcW w:w="5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Orchestra One, Inc. (f/k/a Learnist, Inc.)</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(4,959,614)</w:t>
            </w:r>
          </w:p>
        </w:tc>
      </w:tr>
      <w:tr>
        <w:trPr>
          <w:trHeight w:val="215"/>
        </w:trPr>
        <w:tc>
          <w:tcPr>
            <w:tcW w:w="5100" w:type="dxa"/>
            <w:vAlign w:val="bottom"/>
            <w:gridSpan w:val="4"/>
          </w:tcPr>
          <w:p>
            <w:pPr>
              <w:ind w:left="20"/>
              <w:spacing w:after="0"/>
              <w:rPr>
                <w:sz w:val="20"/>
                <w:szCs w:val="20"/>
                <w:color w:val="auto"/>
              </w:rPr>
            </w:pPr>
            <w:r>
              <w:rPr>
                <w:rFonts w:ascii="Arial" w:cs="Arial" w:eastAsia="Arial" w:hAnsi="Arial"/>
                <w:sz w:val="18"/>
                <w:szCs w:val="18"/>
                <w:color w:val="auto"/>
              </w:rPr>
              <w:t>Global Education Learning (Holdings) Ltd.</w:t>
            </w: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(675,495)</w:t>
            </w:r>
          </w:p>
        </w:tc>
      </w:tr>
      <w:tr>
        <w:trPr>
          <w:trHeight w:val="215"/>
        </w:trPr>
        <w:tc>
          <w:tcPr>
            <w:tcW w:w="5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Chegg, Inc.</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5,739,897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990,489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5,739,897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990,489</w:t>
            </w:r>
          </w:p>
        </w:tc>
      </w:tr>
      <w:tr>
        <w:trPr>
          <w:trHeight w:val="215"/>
        </w:trPr>
        <w:tc>
          <w:tcPr>
            <w:tcW w:w="5100" w:type="dxa"/>
            <w:vAlign w:val="bottom"/>
            <w:gridSpan w:val="4"/>
          </w:tcPr>
          <w:p>
            <w:pPr>
              <w:ind w:left="20"/>
              <w:spacing w:after="0"/>
              <w:rPr>
                <w:sz w:val="20"/>
                <w:szCs w:val="20"/>
                <w:color w:val="auto"/>
              </w:rPr>
            </w:pPr>
            <w:r>
              <w:rPr>
                <w:rFonts w:ascii="Arial" w:cs="Arial" w:eastAsia="Arial" w:hAnsi="Arial"/>
                <w:sz w:val="18"/>
                <w:szCs w:val="18"/>
                <w:color w:val="auto"/>
              </w:rPr>
              <w:t>Snap, Inc.</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4,033,360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4,033,360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31,090</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48"/>
        </w:trPr>
        <w:tc>
          <w:tcPr>
            <w:tcW w:w="5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9,773,257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1,021,579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9,773,257</w:t>
            </w:r>
          </w:p>
        </w:tc>
        <w:tc>
          <w:tcPr>
            <w:tcW w:w="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(24,344,333)</w:t>
            </w:r>
          </w:p>
        </w:tc>
      </w:tr>
      <w:tr>
        <w:trPr>
          <w:trHeight w:val="262"/>
        </w:trPr>
        <w:tc>
          <w:tcPr>
            <w:tcW w:w="20" w:type="dxa"/>
            <w:vAlign w:val="bottom"/>
            <w:tcBorders>
              <w:top w:val="single" w:sz="8" w:color="CCEEFF"/>
            </w:tcBorders>
          </w:tcPr>
          <w:p>
            <w:pPr>
              <w:spacing w:after="0"/>
              <w:rPr>
                <w:sz w:val="22"/>
                <w:szCs w:val="22"/>
                <w:color w:val="auto"/>
              </w:rPr>
            </w:pPr>
          </w:p>
        </w:tc>
        <w:tc>
          <w:tcPr>
            <w:tcW w:w="960" w:type="dxa"/>
            <w:vAlign w:val="bottom"/>
            <w:tcBorders>
              <w:top w:val="single" w:sz="8" w:color="CCEEFF"/>
              <w:bottom w:val="single" w:sz="8" w:color="auto"/>
            </w:tcBorders>
          </w:tcPr>
          <w:p>
            <w:pPr>
              <w:spacing w:after="0"/>
              <w:rPr>
                <w:sz w:val="22"/>
                <w:szCs w:val="22"/>
                <w:color w:val="auto"/>
              </w:rPr>
            </w:pPr>
          </w:p>
        </w:tc>
        <w:tc>
          <w:tcPr>
            <w:tcW w:w="39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026275"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Realized gains/(losses) exclude any realized gains/(losses) incurred on the maturity of our treasury investments.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portfolio investments we sold or wrote-off during the three and nine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21545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455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46990</wp:posOffset>
            </wp:positionV>
            <wp:extent cx="350901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50901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 2016</w:t>
            </w:r>
          </w:p>
        </w:tc>
      </w:tr>
      <w:tr>
        <w:trPr>
          <w:trHeight w:val="118"/>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w w:val="98"/>
              </w:rPr>
              <w:t>Realized</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gridSpan w:val="2"/>
          </w:tcPr>
          <w:p>
            <w:pPr>
              <w:jc w:val="center"/>
              <w:ind w:right="300"/>
              <w:spacing w:after="0" w:line="118" w:lineRule="exact"/>
              <w:rPr>
                <w:sz w:val="20"/>
                <w:szCs w:val="20"/>
                <w:color w:val="auto"/>
              </w:rPr>
            </w:pPr>
            <w:r>
              <w:rPr>
                <w:rFonts w:ascii="Arial" w:cs="Arial" w:eastAsia="Arial" w:hAnsi="Arial"/>
                <w:sz w:val="13"/>
                <w:szCs w:val="13"/>
                <w:b w:val="1"/>
                <w:bCs w:val="1"/>
                <w:color w:val="auto"/>
                <w:w w:val="98"/>
              </w:rPr>
              <w:t>Realized</w:t>
            </w:r>
          </w:p>
        </w:tc>
      </w:tr>
      <w:tr>
        <w:trPr>
          <w:trHeight w:val="15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center"/>
              <w:ind w:right="200"/>
              <w:spacing w:after="0" w:line="159" w:lineRule="exact"/>
              <w:rPr>
                <w:sz w:val="20"/>
                <w:szCs w:val="20"/>
                <w:color w:val="auto"/>
              </w:rPr>
            </w:pPr>
            <w:r>
              <w:rPr>
                <w:rFonts w:ascii="Arial" w:cs="Arial" w:eastAsia="Arial" w:hAnsi="Arial"/>
                <w:sz w:val="14"/>
                <w:szCs w:val="14"/>
                <w:b w:val="1"/>
                <w:bCs w:val="1"/>
                <w:color w:val="auto"/>
                <w:w w:val="93"/>
              </w:rPr>
              <w:t>Gains/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93"/>
              </w:rPr>
              <w:t>Gains/</w:t>
            </w:r>
          </w:p>
        </w:tc>
      </w:tr>
      <w:tr>
        <w:trPr>
          <w:trHeight w:val="199"/>
        </w:trPr>
        <w:tc>
          <w:tcPr>
            <w:tcW w:w="5060" w:type="dxa"/>
            <w:vAlign w:val="bottom"/>
            <w:gridSpan w:val="4"/>
          </w:tcPr>
          <w:p>
            <w:pPr>
              <w:ind w:left="20"/>
              <w:spacing w:after="0"/>
              <w:rPr>
                <w:sz w:val="20"/>
                <w:szCs w:val="20"/>
                <w:color w:val="auto"/>
              </w:rPr>
            </w:pPr>
            <w:r>
              <w:rPr>
                <w:rFonts w:ascii="Arial" w:cs="Arial" w:eastAsia="Arial" w:hAnsi="Arial"/>
                <w:sz w:val="14"/>
                <w:szCs w:val="14"/>
                <w:b w:val="1"/>
                <w:bCs w:val="1"/>
                <w:color w:val="auto"/>
              </w:rPr>
              <w:t>Portfolio Company</w:t>
            </w:r>
          </w:p>
        </w:tc>
        <w:tc>
          <w:tcPr>
            <w:tcW w:w="180" w:type="dxa"/>
            <w:vAlign w:val="bottom"/>
          </w:tcPr>
          <w:p>
            <w:pPr>
              <w:spacing w:after="0"/>
              <w:rPr>
                <w:sz w:val="17"/>
                <w:szCs w:val="17"/>
                <w:color w:val="auto"/>
              </w:rPr>
            </w:pPr>
          </w:p>
        </w:tc>
        <w:tc>
          <w:tcPr>
            <w:tcW w:w="114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Net Proceeds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220"/>
              <w:spacing w:after="0" w:line="199" w:lineRule="exact"/>
              <w:rPr>
                <w:sz w:val="20"/>
                <w:szCs w:val="20"/>
                <w:color w:val="auto"/>
              </w:rPr>
            </w:pPr>
            <w:r>
              <w:rPr>
                <w:rFonts w:ascii="Arial" w:cs="Arial" w:eastAsia="Arial" w:hAnsi="Arial"/>
                <w:sz w:val="14"/>
                <w:szCs w:val="14"/>
                <w:b w:val="1"/>
                <w:bCs w:val="1"/>
                <w:color w:val="auto"/>
                <w:w w:val="81"/>
              </w:rPr>
              <w:t>(Losses)</w:t>
            </w:r>
            <w:r>
              <w:rPr>
                <w:rFonts w:ascii="Arial" w:cs="Arial" w:eastAsia="Arial" w:hAnsi="Arial"/>
                <w:sz w:val="23"/>
                <w:szCs w:val="23"/>
                <w:b w:val="1"/>
                <w:bCs w:val="1"/>
                <w:color w:val="auto"/>
                <w:w w:val="81"/>
                <w:vertAlign w:val="superscript"/>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Net Proceeds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280"/>
              <w:spacing w:after="0" w:line="199" w:lineRule="exact"/>
              <w:rPr>
                <w:sz w:val="20"/>
                <w:szCs w:val="20"/>
                <w:color w:val="auto"/>
              </w:rPr>
            </w:pPr>
            <w:r>
              <w:rPr>
                <w:rFonts w:ascii="Arial" w:cs="Arial" w:eastAsia="Arial" w:hAnsi="Arial"/>
                <w:sz w:val="14"/>
                <w:szCs w:val="14"/>
                <w:b w:val="1"/>
                <w:bCs w:val="1"/>
                <w:color w:val="auto"/>
                <w:w w:val="81"/>
              </w:rPr>
              <w:t>(Losses)</w:t>
            </w:r>
            <w:r>
              <w:rPr>
                <w:rFonts w:ascii="Arial" w:cs="Arial" w:eastAsia="Arial" w:hAnsi="Arial"/>
                <w:sz w:val="23"/>
                <w:szCs w:val="23"/>
                <w:b w:val="1"/>
                <w:bCs w:val="1"/>
                <w:color w:val="auto"/>
                <w:w w:val="81"/>
                <w:vertAlign w:val="superscript"/>
              </w:rPr>
              <w:t>(1)</w:t>
            </w:r>
          </w:p>
        </w:tc>
      </w:tr>
      <w:tr>
        <w:trPr>
          <w:trHeight w:val="208"/>
        </w:trPr>
        <w:tc>
          <w:tcPr>
            <w:tcW w:w="49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Bloom Energy Corporation</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2,973,438</w:t>
            </w:r>
          </w:p>
        </w:tc>
        <w:tc>
          <w:tcPr>
            <w:tcW w:w="180" w:type="dxa"/>
            <w:vAlign w:val="bottom"/>
          </w:tcPr>
          <w:p>
            <w:pPr>
              <w:spacing w:after="0"/>
              <w:rPr>
                <w:sz w:val="18"/>
                <w:szCs w:val="18"/>
                <w:color w:val="auto"/>
              </w:rPr>
            </w:pPr>
          </w:p>
        </w:tc>
        <w:tc>
          <w:tcPr>
            <w:tcW w:w="280" w:type="dxa"/>
            <w:vAlign w:val="bottom"/>
            <w:tcBorders>
              <w:top w:val="single" w:sz="8" w:color="auto"/>
            </w:tcBorders>
          </w:tcPr>
          <w:p>
            <w:pPr>
              <w:jc w:val="center"/>
              <w:ind w:right="111"/>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(882,162)</w:t>
            </w:r>
          </w:p>
        </w:tc>
      </w:tr>
      <w:tr>
        <w:trPr>
          <w:trHeight w:val="215"/>
        </w:trPr>
        <w:tc>
          <w:tcPr>
            <w:tcW w:w="5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Gilt Groupe Holdings, Inc.</w:t>
            </w: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427,270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(6,167,164)</w:t>
            </w:r>
          </w:p>
        </w:tc>
      </w:tr>
      <w:tr>
        <w:trPr>
          <w:trHeight w:val="215"/>
        </w:trPr>
        <w:tc>
          <w:tcPr>
            <w:tcW w:w="5060" w:type="dxa"/>
            <w:vAlign w:val="bottom"/>
            <w:gridSpan w:val="4"/>
          </w:tcPr>
          <w:p>
            <w:pPr>
              <w:ind w:left="20"/>
              <w:spacing w:after="0"/>
              <w:rPr>
                <w:sz w:val="20"/>
                <w:szCs w:val="20"/>
                <w:color w:val="auto"/>
              </w:rPr>
            </w:pPr>
            <w:r>
              <w:rPr>
                <w:rFonts w:ascii="Arial" w:cs="Arial" w:eastAsia="Arial" w:hAnsi="Arial"/>
                <w:sz w:val="18"/>
                <w:szCs w:val="18"/>
                <w:color w:val="auto"/>
              </w:rPr>
              <w:t>Lyft, Inc.</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4,080,000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2,351,752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7,651,890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4,430,220</w:t>
            </w:r>
          </w:p>
        </w:tc>
      </w:tr>
      <w:tr>
        <w:trPr>
          <w:trHeight w:val="215"/>
        </w:trPr>
        <w:tc>
          <w:tcPr>
            <w:tcW w:w="50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14,578,469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306,603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14,578,469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306,603</w:t>
            </w:r>
          </w:p>
        </w:tc>
      </w:tr>
      <w:tr>
        <w:trPr>
          <w:trHeight w:val="20"/>
        </w:trPr>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208"/>
        </w:trPr>
        <w:tc>
          <w:tcPr>
            <w:tcW w:w="5060" w:type="dxa"/>
            <w:vAlign w:val="bottom"/>
            <w:gridSpan w:val="4"/>
          </w:tcPr>
          <w:p>
            <w:pPr>
              <w:ind w:left="20"/>
              <w:spacing w:after="0"/>
              <w:rPr>
                <w:sz w:val="20"/>
                <w:szCs w:val="20"/>
                <w:color w:val="auto"/>
              </w:rPr>
            </w:pPr>
            <w:r>
              <w:rPr>
                <w:rFonts w:ascii="Arial" w:cs="Arial" w:eastAsia="Arial" w:hAnsi="Arial"/>
                <w:sz w:val="18"/>
                <w:szCs w:val="18"/>
                <w:color w:val="auto"/>
              </w:rPr>
              <w:t>Total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18,658,469</w:t>
            </w:r>
          </w:p>
        </w:tc>
        <w:tc>
          <w:tcPr>
            <w:tcW w:w="160" w:type="dxa"/>
            <w:vAlign w:val="bottom"/>
          </w:tcPr>
          <w:p>
            <w:pPr>
              <w:spacing w:after="0"/>
              <w:rPr>
                <w:sz w:val="18"/>
                <w:szCs w:val="18"/>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2,658,355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25,631,067</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(2,312,503)</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026275" cy="1790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234" w:lineRule="exact"/>
        <w:rPr>
          <w:sz w:val="20"/>
          <w:szCs w:val="20"/>
          <w:color w:val="auto"/>
        </w:rPr>
      </w:pPr>
    </w:p>
    <w:p>
      <w:pPr>
        <w:ind w:left="5500" w:right="2800" w:hanging="5474"/>
        <w:spacing w:after="0" w:line="925" w:lineRule="auto"/>
        <w:tabs>
          <w:tab w:leader="none" w:pos="2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Realized gains/(losses) exclude any realized gains/(losses) incurred on the maturity of our treasury investments.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-283845</wp:posOffset>
            </wp:positionV>
            <wp:extent cx="7289800" cy="596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080"/>
          </w:cols>
          <w:pgMar w:left="360" w:top="787" w:right="459" w:bottom="1440" w:gutter="0" w:footer="0" w:header="0"/>
        </w:sectPr>
      </w:pPr>
    </w:p>
    <w:bookmarkStart w:id="67" w:name="page68"/>
    <w:bookmarkEnd w:id="6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19" w:lineRule="exact"/>
        <w:rPr>
          <w:sz w:val="20"/>
          <w:szCs w:val="20"/>
          <w:color w:val="auto"/>
        </w:rPr>
      </w:pPr>
    </w:p>
    <w:p>
      <w:pPr>
        <w:jc w:val="center"/>
        <w:ind w:right="4080"/>
        <w:spacing w:after="0"/>
        <w:rPr>
          <w:sz w:val="20"/>
          <w:szCs w:val="20"/>
          <w:color w:val="auto"/>
        </w:rPr>
      </w:pPr>
      <w:r>
        <w:rPr>
          <w:rFonts w:ascii="Arial" w:cs="Arial" w:eastAsia="Arial" w:hAnsi="Arial"/>
          <w:sz w:val="16"/>
          <w:szCs w:val="16"/>
          <w:b w:val="1"/>
          <w:bCs w:val="1"/>
          <w:color w:val="auto"/>
        </w:rPr>
        <w:t xml:space="preserve">Results of Operations — </w:t>
      </w:r>
      <w:r>
        <w:rPr>
          <w:rFonts w:ascii="Arial" w:cs="Arial" w:eastAsia="Arial" w:hAnsi="Arial"/>
          <w:sz w:val="16"/>
          <w:szCs w:val="16"/>
          <w:b w:val="1"/>
          <w:bCs w:val="1"/>
          <w:i w:val="1"/>
          <w:iCs w:val="1"/>
          <w:color w:val="auto"/>
        </w:rPr>
        <w:t>For the Three and Nine Months Ended September 30, 2017 and 2016</w:t>
      </w:r>
    </w:p>
    <w:p>
      <w:pPr>
        <w:spacing w:after="0" w:line="142" w:lineRule="exact"/>
        <w:rPr>
          <w:sz w:val="20"/>
          <w:szCs w:val="20"/>
          <w:color w:val="auto"/>
        </w:rPr>
      </w:pPr>
    </w:p>
    <w:p>
      <w:pPr>
        <w:jc w:val="center"/>
        <w:ind w:right="4120"/>
        <w:spacing w:after="0"/>
        <w:rPr>
          <w:sz w:val="20"/>
          <w:szCs w:val="20"/>
          <w:color w:val="auto"/>
        </w:rPr>
      </w:pPr>
      <w:r>
        <w:rPr>
          <w:rFonts w:ascii="Arial" w:cs="Arial" w:eastAsia="Arial" w:hAnsi="Arial"/>
          <w:sz w:val="17"/>
          <w:szCs w:val="17"/>
          <w:color w:val="auto"/>
        </w:rPr>
        <w:t>Operating results for the three months ended September 30,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26403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46990</wp:posOffset>
            </wp:positionV>
            <wp:extent cx="29552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955290"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60"/>
              <w:spacing w:after="0" w:line="130" w:lineRule="exact"/>
              <w:rPr>
                <w:sz w:val="20"/>
                <w:szCs w:val="20"/>
                <w:color w:val="auto"/>
              </w:rPr>
            </w:pPr>
            <w:r>
              <w:rPr>
                <w:rFonts w:ascii="Arial" w:cs="Arial" w:eastAsia="Arial" w:hAnsi="Arial"/>
                <w:sz w:val="14"/>
                <w:szCs w:val="14"/>
                <w:b w:val="1"/>
                <w:bCs w:val="1"/>
                <w:color w:val="auto"/>
                <w:w w:val="90"/>
              </w:rPr>
              <w:t>Per Basic</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20"/>
              <w:spacing w:after="0" w:line="130" w:lineRule="exact"/>
              <w:rPr>
                <w:sz w:val="20"/>
                <w:szCs w:val="20"/>
                <w:color w:val="auto"/>
              </w:rPr>
            </w:pPr>
            <w:r>
              <w:rPr>
                <w:rFonts w:ascii="Arial" w:cs="Arial" w:eastAsia="Arial" w:hAnsi="Arial"/>
                <w:sz w:val="14"/>
                <w:szCs w:val="14"/>
                <w:b w:val="1"/>
                <w:bCs w:val="1"/>
                <w:color w:val="auto"/>
                <w:w w:val="93"/>
              </w:rPr>
              <w:t>Per Basic</w:t>
            </w:r>
          </w:p>
        </w:tc>
        <w:tc>
          <w:tcPr>
            <w:tcW w:w="0" w:type="dxa"/>
            <w:vAlign w:val="bottom"/>
          </w:tcPr>
          <w:p>
            <w:pPr>
              <w:spacing w:after="0"/>
              <w:rPr>
                <w:sz w:val="1"/>
                <w:szCs w:val="1"/>
                <w:color w:val="auto"/>
              </w:rPr>
            </w:pPr>
          </w:p>
        </w:tc>
      </w:tr>
      <w:tr>
        <w:trPr>
          <w:trHeight w:val="199"/>
        </w:trPr>
        <w:tc>
          <w:tcPr>
            <w:tcW w:w="62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00"/>
              <w:spacing w:after="0" w:line="199" w:lineRule="exact"/>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23"/>
                <w:szCs w:val="23"/>
                <w:b w:val="1"/>
                <w:bCs w:val="1"/>
                <w:color w:val="auto"/>
                <w:w w:val="93"/>
                <w:vertAlign w:val="superscript"/>
              </w:rPr>
              <w:t>(1)</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260"/>
              <w:spacing w:after="0" w:line="199" w:lineRule="exact"/>
              <w:rPr>
                <w:sz w:val="20"/>
                <w:szCs w:val="20"/>
                <w:color w:val="auto"/>
              </w:rPr>
            </w:pPr>
            <w:r>
              <w:rPr>
                <w:rFonts w:ascii="Arial" w:cs="Arial" w:eastAsia="Arial" w:hAnsi="Arial"/>
                <w:sz w:val="14"/>
                <w:szCs w:val="14"/>
                <w:b w:val="1"/>
                <w:bCs w:val="1"/>
                <w:color w:val="auto"/>
                <w:w w:val="97"/>
              </w:rPr>
              <w:t>Share</w:t>
            </w:r>
            <w:r>
              <w:rPr>
                <w:rFonts w:ascii="Arial" w:cs="Arial" w:eastAsia="Arial" w:hAnsi="Arial"/>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208"/>
        </w:trPr>
        <w:tc>
          <w:tcPr>
            <w:tcW w:w="6260" w:type="dxa"/>
            <w:vAlign w:val="bottom"/>
            <w:gridSpan w:val="3"/>
            <w:vMerge w:val="continue"/>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174,912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0.01</w:t>
            </w:r>
          </w:p>
        </w:tc>
        <w:tc>
          <w:tcPr>
            <w:tcW w:w="16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86,648</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income/(reversal of interest accrual)</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Dividend income</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Gross Operating Expenses</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6,975,539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4,308,303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fee waiver</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(174,666)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26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Operating Expenses</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6,800,873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4,308,303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0.19</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fees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1,397,332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1,625,963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2"/>
          </w:tcPr>
          <w:p>
            <w:pPr>
              <w:ind w:left="180"/>
              <w:spacing w:after="0"/>
              <w:rPr>
                <w:sz w:val="20"/>
                <w:szCs w:val="20"/>
                <w:color w:val="auto"/>
              </w:rPr>
            </w:pPr>
            <w:r>
              <w:rPr>
                <w:rFonts w:ascii="Arial" w:cs="Arial" w:eastAsia="Arial" w:hAnsi="Arial"/>
                <w:sz w:val="18"/>
                <w:szCs w:val="18"/>
                <w:color w:val="auto"/>
              </w:rPr>
              <w:t>Incentive fees</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3,334,052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220,719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 incurred under administration agreement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627,444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2"/>
          </w:tcPr>
          <w:p>
            <w:pPr>
              <w:ind w:left="180"/>
              <w:spacing w:after="0"/>
              <w:rPr>
                <w:sz w:val="20"/>
                <w:szCs w:val="20"/>
                <w:color w:val="auto"/>
              </w:rPr>
            </w:pPr>
            <w:r>
              <w:rPr>
                <w:rFonts w:ascii="Arial" w:cs="Arial" w:eastAsia="Arial" w:hAnsi="Arial"/>
                <w:sz w:val="18"/>
                <w:szCs w:val="18"/>
                <w:color w:val="auto"/>
              </w:rPr>
              <w:t>Directors’ fees</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86,250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353,933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416,353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1,207,548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1,189,736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40" w:type="dxa"/>
            <w:vAlign w:val="bottom"/>
            <w:gridSpan w:val="2"/>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119,122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141,838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5"/>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investment loss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(6,625,961)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(4,221,655)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5"/>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Net realized gain on investments</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1,033,577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2,658,715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5"/>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change in unrealized appreciation/(depreciation) of investments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15,636,683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(1,261,709)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5"/>
        </w:trPr>
        <w:tc>
          <w:tcPr>
            <w:tcW w:w="6260" w:type="dxa"/>
            <w:vAlign w:val="bottom"/>
            <w:gridSpan w:val="3"/>
          </w:tcPr>
          <w:p>
            <w:pPr>
              <w:ind w:left="20"/>
              <w:spacing w:after="0"/>
              <w:rPr>
                <w:sz w:val="20"/>
                <w:szCs w:val="20"/>
                <w:color w:val="auto"/>
              </w:rPr>
            </w:pPr>
            <w:r>
              <w:rPr>
                <w:rFonts w:ascii="Arial" w:cs="Arial" w:eastAsia="Arial" w:hAnsi="Arial"/>
                <w:sz w:val="18"/>
                <w:szCs w:val="18"/>
                <w:color w:val="auto"/>
              </w:rPr>
              <w:t>Benefit from taxes on unrealized depreciation</w:t>
            </w: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26,705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551,310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10,071,004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0.46</w:t>
            </w: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(2,273,339)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960" w:type="dxa"/>
            <w:vAlign w:val="bottom"/>
            <w:tcBorders>
              <w:top w:val="single" w:sz="8" w:color="CCEEFF"/>
              <w:bottom w:val="single" w:sz="8" w:color="auto"/>
            </w:tcBorders>
          </w:tcPr>
          <w:p>
            <w:pPr>
              <w:spacing w:after="0"/>
              <w:rPr>
                <w:sz w:val="23"/>
                <w:szCs w:val="23"/>
                <w:color w:val="auto"/>
              </w:rPr>
            </w:pPr>
          </w:p>
        </w:tc>
        <w:tc>
          <w:tcPr>
            <w:tcW w:w="528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026275"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34" w:lineRule="exact"/>
        <w:rPr>
          <w:sz w:val="20"/>
          <w:szCs w:val="20"/>
          <w:color w:val="auto"/>
        </w:rPr>
      </w:pPr>
    </w:p>
    <w:p>
      <w:pPr>
        <w:ind w:left="300" w:hanging="274"/>
        <w:spacing w:after="0" w:line="272" w:lineRule="auto"/>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22,000,571 and 22,181,003 basic common shares outstanding for the three months ended September 30, 2017 and 2016, respectively.</w:t>
      </w: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240"/>
          </w:cols>
          <w:pgMar w:left="360" w:top="787" w:right="299" w:bottom="1440" w:gutter="0" w:footer="0" w:header="0"/>
        </w:sectPr>
      </w:pPr>
    </w:p>
    <w:bookmarkStart w:id="68" w:name="page69"/>
    <w:bookmarkEnd w:id="6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nine months ended September 30,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67538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5386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 2017</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 2016</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5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Total Investment Income</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1220" w:type="dxa"/>
            <w:vAlign w:val="bottom"/>
            <w:tcBorders>
              <w:bottom w:val="single" w:sz="8" w:color="auto"/>
            </w:tcBorders>
            <w:gridSpan w:val="3"/>
          </w:tcPr>
          <w:p>
            <w:pPr>
              <w:jc w:val="right"/>
              <w:ind w:right="60"/>
              <w:spacing w:after="0" w:line="194" w:lineRule="exact"/>
              <w:rPr>
                <w:sz w:val="20"/>
                <w:szCs w:val="20"/>
                <w:color w:val="auto"/>
              </w:rPr>
            </w:pPr>
            <w:r>
              <w:rPr>
                <w:rFonts w:ascii="Arial" w:cs="Arial" w:eastAsia="Arial" w:hAnsi="Arial"/>
                <w:sz w:val="14"/>
                <w:szCs w:val="14"/>
                <w:b w:val="1"/>
                <w:bCs w:val="1"/>
                <w:color w:val="auto"/>
                <w:w w:val="91"/>
              </w:rPr>
              <w:t>Per Basic Share</w:t>
            </w:r>
            <w:r>
              <w:rPr>
                <w:rFonts w:ascii="Arial" w:cs="Arial" w:eastAsia="Arial" w:hAnsi="Arial"/>
                <w:sz w:val="22"/>
                <w:szCs w:val="22"/>
                <w:b w:val="1"/>
                <w:bCs w:val="1"/>
                <w:color w:val="auto"/>
                <w:w w:val="91"/>
                <w:vertAlign w:val="superscript"/>
              </w:rPr>
              <w:t>(1)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1260" w:type="dxa"/>
            <w:vAlign w:val="bottom"/>
            <w:tcBorders>
              <w:bottom w:val="single" w:sz="8" w:color="auto"/>
            </w:tcBorders>
            <w:gridSpan w:val="3"/>
          </w:tcPr>
          <w:p>
            <w:pPr>
              <w:jc w:val="right"/>
              <w:ind w:right="80"/>
              <w:spacing w:after="0" w:line="194" w:lineRule="exact"/>
              <w:rPr>
                <w:sz w:val="20"/>
                <w:szCs w:val="20"/>
                <w:color w:val="auto"/>
              </w:rPr>
            </w:pPr>
            <w:r>
              <w:rPr>
                <w:rFonts w:ascii="Arial" w:cs="Arial" w:eastAsia="Arial" w:hAnsi="Arial"/>
                <w:sz w:val="14"/>
                <w:szCs w:val="14"/>
                <w:b w:val="1"/>
                <w:bCs w:val="1"/>
                <w:color w:val="auto"/>
                <w:w w:val="93"/>
              </w:rPr>
              <w:t>Per Basic Share</w:t>
            </w:r>
            <w:r>
              <w:rPr>
                <w:rFonts w:ascii="Arial" w:cs="Arial" w:eastAsia="Arial" w:hAnsi="Arial"/>
                <w:sz w:val="22"/>
                <w:szCs w:val="22"/>
                <w:b w:val="1"/>
                <w:bCs w:val="1"/>
                <w:color w:val="auto"/>
                <w:w w:val="93"/>
                <w:vertAlign w:val="superscript"/>
              </w:rPr>
              <w:t>(1)</w:t>
            </w:r>
          </w:p>
        </w:tc>
        <w:tc>
          <w:tcPr>
            <w:tcW w:w="0" w:type="dxa"/>
            <w:vAlign w:val="bottom"/>
          </w:tcPr>
          <w:p>
            <w:pPr>
              <w:spacing w:after="0"/>
              <w:rPr>
                <w:sz w:val="1"/>
                <w:szCs w:val="1"/>
                <w:color w:val="auto"/>
              </w:rPr>
            </w:pPr>
          </w:p>
        </w:tc>
      </w:tr>
      <w:tr>
        <w:trPr>
          <w:trHeight w:val="208"/>
        </w:trPr>
        <w:tc>
          <w:tcPr>
            <w:tcW w:w="5540" w:type="dxa"/>
            <w:vAlign w:val="bottom"/>
            <w:gridSpan w:val="3"/>
            <w:vMerge w:val="continue"/>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883,964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57"/>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0.04</w:t>
            </w:r>
          </w:p>
        </w:tc>
        <w:tc>
          <w:tcPr>
            <w:tcW w:w="16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135,181</w:t>
            </w:r>
          </w:p>
        </w:tc>
        <w:tc>
          <w:tcPr>
            <w:tcW w:w="160" w:type="dxa"/>
            <w:vAlign w:val="bottom"/>
          </w:tcPr>
          <w:p>
            <w:pPr>
              <w:spacing w:after="0"/>
              <w:rPr>
                <w:sz w:val="18"/>
                <w:szCs w:val="18"/>
                <w:color w:val="auto"/>
              </w:rPr>
            </w:pPr>
          </w:p>
        </w:tc>
        <w:tc>
          <w:tcPr>
            <w:tcW w:w="560" w:type="dxa"/>
            <w:vAlign w:val="bottom"/>
          </w:tcPr>
          <w:p>
            <w:pPr>
              <w:jc w:val="right"/>
              <w:ind w:right="409"/>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135,181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Dividend income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Gross Operating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18,727,464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5,261,869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fee waiver</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(526,366)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54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Operating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18,201,098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5,261,869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Management fees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4,210,932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5,324,186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Incentive fees/(reversal of incentive fee accrual)</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7,482,185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(7,805,089)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(0.35)</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 incurred under administration agreement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1,926,085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Directors’ fees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242,230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258,750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1,441,856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3,489,381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3,557,225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expense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479,419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558,856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5"/>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investment loss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(17,317,134)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(5,126,688)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(0.23)</w:t>
            </w:r>
          </w:p>
        </w:tc>
        <w:tc>
          <w:tcPr>
            <w:tcW w:w="0" w:type="dxa"/>
            <w:vAlign w:val="bottom"/>
          </w:tcPr>
          <w:p>
            <w:pPr>
              <w:spacing w:after="0"/>
              <w:rPr>
                <w:sz w:val="1"/>
                <w:szCs w:val="1"/>
                <w:color w:val="auto"/>
              </w:rPr>
            </w:pPr>
          </w:p>
        </w:tc>
      </w:tr>
      <w:tr>
        <w:trPr>
          <w:trHeight w:val="215"/>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Net realized loss on investments</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(24,327,082)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(2,311,994)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(0.10)</w:t>
            </w:r>
          </w:p>
        </w:tc>
        <w:tc>
          <w:tcPr>
            <w:tcW w:w="0" w:type="dxa"/>
            <w:vAlign w:val="bottom"/>
          </w:tcPr>
          <w:p>
            <w:pPr>
              <w:spacing w:after="0"/>
              <w:rPr>
                <w:sz w:val="1"/>
                <w:szCs w:val="1"/>
                <w:color w:val="auto"/>
              </w:rPr>
            </w:pPr>
          </w:p>
        </w:tc>
      </w:tr>
      <w:tr>
        <w:trPr>
          <w:trHeight w:val="215"/>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change in unrealized appreciation/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(depreciation) of Investments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61,669,476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(36,616,596)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(1.65)</w:t>
            </w:r>
          </w:p>
        </w:tc>
        <w:tc>
          <w:tcPr>
            <w:tcW w:w="0" w:type="dxa"/>
            <w:vAlign w:val="bottom"/>
          </w:tcPr>
          <w:p>
            <w:pPr>
              <w:spacing w:after="0"/>
              <w:rPr>
                <w:sz w:val="1"/>
                <w:szCs w:val="1"/>
                <w:color w:val="auto"/>
              </w:rPr>
            </w:pPr>
          </w:p>
        </w:tc>
      </w:tr>
      <w:tr>
        <w:trPr>
          <w:trHeight w:val="215"/>
        </w:trPr>
        <w:tc>
          <w:tcPr>
            <w:tcW w:w="5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Benefit from taxes on unrealized depreciation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551,310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40" w:type="dxa"/>
            <w:vAlign w:val="bottom"/>
            <w:gridSpan w:val="3"/>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20,051,965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57"/>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0.91</w:t>
            </w:r>
          </w:p>
        </w:tc>
        <w:tc>
          <w:tcPr>
            <w:tcW w:w="3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(43,503,968)</w:t>
            </w:r>
          </w:p>
        </w:tc>
        <w:tc>
          <w:tcPr>
            <w:tcW w:w="720" w:type="dxa"/>
            <w:vAlign w:val="bottom"/>
            <w:gridSpan w:val="2"/>
          </w:tcPr>
          <w:p>
            <w:pPr>
              <w:jc w:val="right"/>
              <w:ind w:right="409"/>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026275" cy="1790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026275" cy="179070"/>
                    </a:xfrm>
                    <a:prstGeom prst="rect">
                      <a:avLst/>
                    </a:prstGeom>
                    <a:noFill/>
                  </pic:spPr>
                </pic:pic>
              </a:graphicData>
            </a:graphic>
          </wp:anchor>
        </w:drawing>
      </w:r>
    </w:p>
    <w:p>
      <w:pPr>
        <w:spacing w:after="0" w:line="234" w:lineRule="exact"/>
        <w:rPr>
          <w:sz w:val="20"/>
          <w:szCs w:val="20"/>
          <w:color w:val="auto"/>
        </w:rPr>
      </w:pPr>
    </w:p>
    <w:p>
      <w:pPr>
        <w:ind w:left="300" w:right="220" w:hanging="274"/>
        <w:spacing w:after="0" w:line="272"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per-share figures noted are based on a weighted average of 22,000,571 and 22,181,003 basic common shares outstanding for the nine months ended September 30, 2017 and 2016, respectively.</w:t>
      </w:r>
    </w:p>
    <w:p>
      <w:pPr>
        <w:spacing w:after="0" w:line="108" w:lineRule="exact"/>
        <w:rPr>
          <w:sz w:val="20"/>
          <w:szCs w:val="20"/>
          <w:color w:val="auto"/>
        </w:rPr>
      </w:pPr>
    </w:p>
    <w:p>
      <w:pPr>
        <w:ind w:left="60" w:right="5400"/>
        <w:spacing w:after="0" w:line="388" w:lineRule="auto"/>
        <w:rPr>
          <w:sz w:val="20"/>
          <w:szCs w:val="20"/>
          <w:color w:val="auto"/>
        </w:rPr>
      </w:pPr>
      <w:r>
        <w:rPr>
          <w:rFonts w:ascii="Arial" w:cs="Arial" w:eastAsia="Arial" w:hAnsi="Arial"/>
          <w:sz w:val="18"/>
          <w:szCs w:val="18"/>
          <w:b w:val="1"/>
          <w:bCs w:val="1"/>
          <w:i w:val="1"/>
          <w:iCs w:val="1"/>
          <w:color w:val="auto"/>
        </w:rPr>
        <w:t>Comparison of the Three and Nine Months Ended September 30, 2017 and 2016 Investment Income</w:t>
      </w:r>
    </w:p>
    <w:p>
      <w:pPr>
        <w:spacing w:after="0" w:line="1" w:lineRule="exact"/>
        <w:rPr>
          <w:sz w:val="20"/>
          <w:szCs w:val="20"/>
          <w:color w:val="auto"/>
        </w:rPr>
      </w:pPr>
    </w:p>
    <w:p>
      <w:pPr>
        <w:ind w:left="60" w:right="80" w:firstLine="268"/>
        <w:spacing w:after="0" w:line="283" w:lineRule="auto"/>
        <w:rPr>
          <w:sz w:val="20"/>
          <w:szCs w:val="20"/>
          <w:color w:val="auto"/>
        </w:rPr>
      </w:pPr>
      <w:r>
        <w:rPr>
          <w:rFonts w:ascii="Arial" w:cs="Arial" w:eastAsia="Arial" w:hAnsi="Arial"/>
          <w:sz w:val="17"/>
          <w:szCs w:val="17"/>
          <w:color w:val="auto"/>
        </w:rPr>
        <w:t>Investment income increased to $174,912 for the three months ended September 30, 2017, as compared to $86,648 for the three months ended September 30, 2016. The increase was due to increased dividend income which was partially offset by reversals of interest accruals. The increase in dividend income resulted from a $175,000 dividend received from our investment in SPBRX, INC. (f/k/a GSV Sustainability Partners, Inc.).</w:t>
      </w:r>
    </w:p>
    <w:p>
      <w:pPr>
        <w:spacing w:after="0" w:line="60" w:lineRule="exact"/>
        <w:rPr>
          <w:sz w:val="20"/>
          <w:szCs w:val="20"/>
          <w:color w:val="auto"/>
        </w:rPr>
      </w:pPr>
    </w:p>
    <w:p>
      <w:pPr>
        <w:ind w:left="60" w:right="60" w:firstLine="268"/>
        <w:spacing w:after="0" w:line="271" w:lineRule="auto"/>
        <w:rPr>
          <w:sz w:val="20"/>
          <w:szCs w:val="20"/>
          <w:color w:val="auto"/>
        </w:rPr>
      </w:pPr>
      <w:r>
        <w:rPr>
          <w:rFonts w:ascii="Arial" w:cs="Arial" w:eastAsia="Arial" w:hAnsi="Arial"/>
          <w:sz w:val="17"/>
          <w:szCs w:val="17"/>
          <w:color w:val="auto"/>
        </w:rPr>
        <w:t>Investment income also increased to $883,964 for the nine months ended September 30, 2017, as compared to $135,181 for the nine months ended September 30, 2016. The increase was primarily due to increased dividend and interest income and, to a lesser extent, other income. The increase in dividend income resulted from $475,000 in dividend payments received from our investment in SPBRX, INC. (f/k/a GSV Sustainability Partners, Inc.) during the nine months ended September 30, 2017. Interest income increased as a result of our debt investments in Ozy Media, Inc. and NestGSV, Inc. (d/b/a GSV Labs, Inc.). Additionally, we received $73,096 in proceeds from GILT Groupe Holdings, Inc., an investment we previously held that was sold to Hudson’s Bay Co., the parent company of Saks Fifth Avenue, in January 2016.</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operating expenses (net of the management fee waiver) increased to $6,800,873 for the three months ended September 30, 2017, as compared to</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$4,308,303 for the three months ended September 30, 2016, primarily due to increased incentive fees for the three months ended September 30, 2017 and, to a</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lesser extent, increased interest expense. We accrued incentive fees during the three months ended</w:t>
      </w:r>
    </w:p>
    <w:p>
      <w:pPr>
        <w:spacing w:after="0" w:line="200" w:lineRule="exact"/>
        <w:rPr>
          <w:sz w:val="20"/>
          <w:szCs w:val="20"/>
          <w:color w:val="auto"/>
        </w:rPr>
      </w:pPr>
    </w:p>
    <w:p>
      <w:pPr>
        <w:spacing w:after="0" w:line="34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ind w:left="40"/>
        <w:spacing w:after="0" w:line="294" w:lineRule="auto"/>
        <w:rPr>
          <w:sz w:val="20"/>
          <w:szCs w:val="20"/>
          <w:color w:val="auto"/>
        </w:rPr>
      </w:pPr>
      <w:r>
        <w:rPr>
          <w:rFonts w:ascii="Arial" w:cs="Arial" w:eastAsia="Arial" w:hAnsi="Arial"/>
          <w:sz w:val="16"/>
          <w:szCs w:val="16"/>
          <w:color w:val="auto"/>
        </w:rPr>
        <w:t>September 30, 2017 as a result of the unrealized appreciation of our portfolio investments in the aggregate during the period. The increase in operating expenses during the three months ended September 30, 2017, as compared to the three months ended September 30, 2016, was partially offset by lower management fees, due to lower average gross assets outstanding and GSV Asset Management’s voluntary 0.25% reduction to the base management fee payable under the Advisory Agreement, as well as a decrease in costs incurred under the Administration Agreement. The increase in operating expenses were also offset, to a lesser extent, by decreases in professional fees, which include legal, valuation, audit and consulting fees.</w:t>
      </w:r>
    </w:p>
    <w:p>
      <w:pPr>
        <w:spacing w:after="0" w:line="53" w:lineRule="exact"/>
        <w:rPr>
          <w:sz w:val="20"/>
          <w:szCs w:val="20"/>
          <w:color w:val="auto"/>
        </w:rPr>
      </w:pPr>
    </w:p>
    <w:p>
      <w:pPr>
        <w:ind w:left="40" w:right="140" w:firstLine="268"/>
        <w:spacing w:after="0" w:line="269" w:lineRule="auto"/>
        <w:rPr>
          <w:sz w:val="20"/>
          <w:szCs w:val="20"/>
          <w:color w:val="auto"/>
        </w:rPr>
      </w:pPr>
      <w:r>
        <w:rPr>
          <w:rFonts w:ascii="Arial" w:cs="Arial" w:eastAsia="Arial" w:hAnsi="Arial"/>
          <w:sz w:val="17"/>
          <w:szCs w:val="17"/>
          <w:color w:val="auto"/>
        </w:rPr>
        <w:t>Total operating expenses (net of the management fee waiver) increased to $18,201,098 for the nine months ended September 30, 2017, as compared to $5,261,869 for the nine months ended September 30, 2016, primarily due to a reversal of accrued incentive fees for the nine months ended September 30, 2016. We accrued incentive fees during the nine months ended September 30, 2017 as a result of the unrealized appreciation of our portfolio investments in the aggregate during the period. The increase in total operating expenses during the nine months ended September 30, 2017 was partially offset by lower management fees due to lower average gross assets outstanding, GSV Asset Management’s voluntary 0.25% reduction to the base management fee payable under the Advisory Agreement, a decrease in costs incurred under the Administration Agreement, and a decrease in professional fees, which include legal, valuation, audit and consulting fees.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115" w:lineRule="exact"/>
        <w:rPr>
          <w:sz w:val="20"/>
          <w:szCs w:val="20"/>
          <w:color w:val="auto"/>
        </w:rPr>
      </w:pPr>
    </w:p>
    <w:p>
      <w:pPr>
        <w:jc w:val="both"/>
        <w:ind w:left="40" w:right="20" w:firstLine="268"/>
        <w:spacing w:after="0" w:line="260" w:lineRule="auto"/>
        <w:rPr>
          <w:sz w:val="20"/>
          <w:szCs w:val="20"/>
          <w:color w:val="auto"/>
        </w:rPr>
      </w:pPr>
      <w:r>
        <w:rPr>
          <w:rFonts w:ascii="Arial" w:cs="Arial" w:eastAsia="Arial" w:hAnsi="Arial"/>
          <w:sz w:val="18"/>
          <w:szCs w:val="18"/>
          <w:color w:val="auto"/>
        </w:rPr>
        <w:t>For the three months ended September 30, 2017, we recognized a net investment loss of $6,625,961, compared to a net investment loss of $4,221,655 for the three months ended September 30, 2016. The increase in net investment loss resulted primarily from the accrual of incentive fees during the three months ended September 30, 2017, as discussed above, partially offset by an increase in investment income.</w:t>
      </w:r>
    </w:p>
    <w:p>
      <w:pPr>
        <w:spacing w:after="0" w:line="78" w:lineRule="exact"/>
        <w:rPr>
          <w:sz w:val="20"/>
          <w:szCs w:val="20"/>
          <w:color w:val="auto"/>
        </w:rPr>
      </w:pPr>
    </w:p>
    <w:p>
      <w:pPr>
        <w:ind w:left="40" w:firstLine="268"/>
        <w:spacing w:after="0" w:line="260" w:lineRule="auto"/>
        <w:rPr>
          <w:sz w:val="20"/>
          <w:szCs w:val="20"/>
          <w:color w:val="auto"/>
        </w:rPr>
      </w:pPr>
      <w:r>
        <w:rPr>
          <w:rFonts w:ascii="Arial" w:cs="Arial" w:eastAsia="Arial" w:hAnsi="Arial"/>
          <w:sz w:val="18"/>
          <w:szCs w:val="18"/>
          <w:color w:val="auto"/>
        </w:rPr>
        <w:t>For the nine months ended September 30, 2017, we recognized a net investment loss of $17,317,134, compared to a net investment loss of $5,126,688 for the nine months ended September 30, 2016. The increase in net investment loss resulted primarily from the accrual of incentive fees during the nine months ended September 30, 2017, as discussed above, partially offset by an increase in investment income.</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Realized Gain/Loss on Investments</w:t>
      </w:r>
    </w:p>
    <w:p>
      <w:pPr>
        <w:spacing w:after="0" w:line="115" w:lineRule="exact"/>
        <w:rPr>
          <w:sz w:val="20"/>
          <w:szCs w:val="20"/>
          <w:color w:val="auto"/>
        </w:rPr>
      </w:pPr>
    </w:p>
    <w:p>
      <w:pPr>
        <w:ind w:left="40" w:right="140" w:firstLine="268"/>
        <w:spacing w:after="0" w:line="260" w:lineRule="auto"/>
        <w:rPr>
          <w:sz w:val="20"/>
          <w:szCs w:val="20"/>
          <w:color w:val="auto"/>
        </w:rPr>
      </w:pPr>
      <w:r>
        <w:rPr>
          <w:rFonts w:ascii="Arial" w:cs="Arial" w:eastAsia="Arial" w:hAnsi="Arial"/>
          <w:sz w:val="18"/>
          <w:szCs w:val="18"/>
          <w:color w:val="auto"/>
        </w:rPr>
        <w:t>For the three months ended September 30, 2017, we recognized net realized gains of $1,033,577, compared to a net realized gains of $2,658,715 for the three months ended September 30, 2016. The components of our net realized gains/losses on portfolio investments, excluding treasury investments, are reflected above, under “— Overview — Investments — (Portfolio Activity).”</w:t>
      </w:r>
    </w:p>
    <w:p>
      <w:pPr>
        <w:spacing w:after="0" w:line="78" w:lineRule="exact"/>
        <w:rPr>
          <w:sz w:val="20"/>
          <w:szCs w:val="20"/>
          <w:color w:val="auto"/>
        </w:rPr>
      </w:pPr>
    </w:p>
    <w:p>
      <w:pPr>
        <w:ind w:left="40" w:right="20" w:firstLine="268"/>
        <w:spacing w:after="0" w:line="260" w:lineRule="auto"/>
        <w:rPr>
          <w:sz w:val="20"/>
          <w:szCs w:val="20"/>
          <w:color w:val="auto"/>
        </w:rPr>
      </w:pPr>
      <w:r>
        <w:rPr>
          <w:rFonts w:ascii="Arial" w:cs="Arial" w:eastAsia="Arial" w:hAnsi="Arial"/>
          <w:sz w:val="18"/>
          <w:szCs w:val="18"/>
          <w:color w:val="auto"/>
        </w:rPr>
        <w:t>For the nine months ended September 30, 2017, we recognized net realized losses of $24,327,082, compared to a net realized losses of $2,311,994 for the nine months ended September 30, 2016. The components of our net realized gains/losses on portfolio investments, excluding treasury investments, are reflected above, under “— Overview — Investments — (Portfolio Activity).”</w:t>
      </w:r>
    </w:p>
    <w:p>
      <w:pPr>
        <w:spacing w:after="0" w:line="200" w:lineRule="exact"/>
        <w:rPr>
          <w:sz w:val="20"/>
          <w:szCs w:val="20"/>
          <w:color w:val="auto"/>
        </w:rPr>
      </w:pPr>
    </w:p>
    <w:p>
      <w:pPr>
        <w:spacing w:after="0" w:line="32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20"/>
          </w:cols>
          <w:pgMar w:left="380" w:top="787" w:right="19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115" w:lineRule="exact"/>
        <w:rPr>
          <w:sz w:val="20"/>
          <w:szCs w:val="20"/>
          <w:color w:val="auto"/>
        </w:rPr>
      </w:pPr>
    </w:p>
    <w:p>
      <w:pPr>
        <w:ind w:left="40" w:firstLine="268"/>
        <w:spacing w:after="0" w:line="256" w:lineRule="auto"/>
        <w:rPr>
          <w:sz w:val="20"/>
          <w:szCs w:val="20"/>
          <w:color w:val="auto"/>
        </w:rPr>
      </w:pPr>
      <w:r>
        <w:rPr>
          <w:rFonts w:ascii="Arial" w:cs="Arial" w:eastAsia="Arial" w:hAnsi="Arial"/>
          <w:sz w:val="18"/>
          <w:szCs w:val="18"/>
          <w:color w:val="auto"/>
        </w:rPr>
        <w:t>For the three months ended September 30, 2017, we had a net change in unrealized appreciation of investments of $15,636,683. For the three months ended September 30, 2016, we had a net change in unrealized depreciation of investments of $1,261,709. The following tables summarize, by portfolio company, the significant changes in unrealized appreciation/(depreciation) of our investment portfolio for each of the three months ended September 30,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27305</wp:posOffset>
            </wp:positionV>
            <wp:extent cx="67367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36715" cy="825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Change in</w:t>
            </w:r>
          </w:p>
        </w:tc>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Appreciation/</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(Depreciation)</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for the</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Three Months</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100" w:type="dxa"/>
            <w:vAlign w:val="bottom"/>
            <w:vMerge w:val="restart"/>
          </w:tcPr>
          <w:p>
            <w:pPr>
              <w:spacing w:after="0"/>
              <w:rPr>
                <w:sz w:val="12"/>
                <w:szCs w:val="12"/>
                <w:color w:val="auto"/>
              </w:rPr>
            </w:pPr>
          </w:p>
        </w:tc>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September 30,</w:t>
            </w:r>
          </w:p>
        </w:tc>
        <w:tc>
          <w:tcPr>
            <w:tcW w:w="380" w:type="dxa"/>
            <w:vAlign w:val="bottom"/>
          </w:tcPr>
          <w:p>
            <w:pPr>
              <w:spacing w:after="0"/>
              <w:rPr>
                <w:sz w:val="12"/>
                <w:szCs w:val="12"/>
                <w:color w:val="auto"/>
              </w:rPr>
            </w:pPr>
          </w:p>
        </w:tc>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0"/>
        </w:trPr>
        <w:tc>
          <w:tcPr>
            <w:tcW w:w="100" w:type="dxa"/>
            <w:vAlign w:val="bottom"/>
            <w:vMerge w:val="continue"/>
          </w:tcPr>
          <w:p>
            <w:pPr>
              <w:spacing w:after="0"/>
              <w:rPr>
                <w:sz w:val="14"/>
                <w:szCs w:val="14"/>
                <w:color w:val="auto"/>
              </w:rPr>
            </w:pPr>
          </w:p>
        </w:tc>
        <w:tc>
          <w:tcPr>
            <w:tcW w:w="35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5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JAMF Holdings, Inc.</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14,601,826</w:t>
            </w:r>
          </w:p>
        </w:tc>
        <w:tc>
          <w:tcPr>
            <w:tcW w:w="1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3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(2,206,354)</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Spotify Technology S.A.</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5,250,385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Lyft, Inc.</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(1,478,090)</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StormWind, LLC</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4,743,771</w:t>
            </w:r>
          </w:p>
        </w:tc>
        <w:tc>
          <w:tcPr>
            <w:tcW w:w="18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Chegg, Inc.</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2,472,035</w:t>
            </w: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3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Chegg, Inc.</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1,820,621</w:t>
            </w:r>
          </w:p>
        </w:tc>
        <w:tc>
          <w:tcPr>
            <w:tcW w:w="180" w:type="dxa"/>
            <w:vAlign w:val="bottom"/>
            <w:tcBorders>
              <w:bottom w:val="single" w:sz="8" w:color="CCEEFF"/>
            </w:tcBorders>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tcPr>
          <w:p>
            <w:pPr>
              <w:ind w:left="20"/>
              <w:spacing w:after="0" w:line="214" w:lineRule="exact"/>
              <w:rPr>
                <w:sz w:val="20"/>
                <w:szCs w:val="20"/>
                <w:color w:val="auto"/>
              </w:rPr>
            </w:pPr>
            <w:r>
              <w:rPr>
                <w:rFonts w:ascii="Arial" w:cs="Arial" w:eastAsia="Arial" w:hAnsi="Arial"/>
                <w:sz w:val="15"/>
                <w:szCs w:val="15"/>
                <w:color w:val="auto"/>
              </w:rPr>
              <w:t>Other</w:t>
            </w:r>
            <w:r>
              <w:rPr>
                <w:rFonts w:ascii="Arial" w:cs="Arial" w:eastAsia="Arial" w:hAnsi="Arial"/>
                <w:sz w:val="24"/>
                <w:szCs w:val="24"/>
                <w:color w:val="auto"/>
                <w:vertAlign w:val="superscript"/>
              </w:rPr>
              <w:t>(1)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(49,300)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580" w:type="dxa"/>
            <w:vAlign w:val="bottom"/>
            <w:gridSpan w:val="2"/>
            <w:vMerge w:val="restart"/>
            <w:shd w:val="clear" w:color="auto" w:fill="CCEEFF"/>
          </w:tcPr>
          <w:p>
            <w:pPr>
              <w:spacing w:after="0" w:line="154" w:lineRule="exact"/>
              <w:rPr>
                <w:sz w:val="20"/>
                <w:szCs w:val="20"/>
                <w:color w:val="auto"/>
              </w:rPr>
            </w:pPr>
            <w:r>
              <w:rPr>
                <w:rFonts w:ascii="Arial" w:cs="Arial" w:eastAsia="Arial" w:hAnsi="Arial"/>
                <w:sz w:val="17"/>
                <w:szCs w:val="17"/>
                <w:color w:val="auto"/>
              </w:rPr>
              <w:t>Dropbox, Inc.</w:t>
            </w: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vMerge w:val="restart"/>
            <w:shd w:val="clear" w:color="auto" w:fill="CCEEFF"/>
          </w:tcPr>
          <w:p>
            <w:pPr>
              <w:jc w:val="right"/>
              <w:spacing w:after="0" w:line="154" w:lineRule="exact"/>
              <w:rPr>
                <w:sz w:val="20"/>
                <w:szCs w:val="20"/>
                <w:color w:val="auto"/>
              </w:rPr>
            </w:pPr>
            <w:r>
              <w:rPr>
                <w:rFonts w:ascii="Arial" w:cs="Arial" w:eastAsia="Arial" w:hAnsi="Arial"/>
                <w:sz w:val="17"/>
                <w:szCs w:val="17"/>
                <w:color w:val="auto"/>
              </w:rPr>
              <w:t>1,584,490</w:t>
            </w:r>
          </w:p>
        </w:tc>
        <w:tc>
          <w:tcPr>
            <w:tcW w:w="180" w:type="dxa"/>
            <w:vAlign w:val="bottom"/>
            <w:shd w:val="clear" w:color="auto" w:fill="CCEE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00" w:type="dxa"/>
            <w:vAlign w:val="bottom"/>
          </w:tcPr>
          <w:p>
            <w:pPr>
              <w:spacing w:after="0"/>
              <w:rPr>
                <w:sz w:val="21"/>
                <w:szCs w:val="21"/>
                <w:color w:val="auto"/>
              </w:rPr>
            </w:pPr>
          </w:p>
        </w:tc>
        <w:tc>
          <w:tcPr>
            <w:tcW w:w="35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6"/>
                <w:szCs w:val="16"/>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42"/>
              <w:spacing w:after="0" w:line="141"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120"/>
              <w:spacing w:after="0" w:line="141" w:lineRule="exact"/>
              <w:rPr>
                <w:sz w:val="20"/>
                <w:szCs w:val="20"/>
                <w:color w:val="auto"/>
              </w:rPr>
            </w:pPr>
            <w:r>
              <w:rPr>
                <w:rFonts w:ascii="Arial" w:cs="Arial" w:eastAsia="Arial" w:hAnsi="Arial"/>
                <w:sz w:val="16"/>
                <w:szCs w:val="16"/>
                <w:color w:val="auto"/>
              </w:rPr>
              <w:t>(1,261,709)</w:t>
            </w:r>
          </w:p>
        </w:tc>
        <w:tc>
          <w:tcPr>
            <w:tcW w:w="0" w:type="dxa"/>
            <w:vAlign w:val="bottom"/>
          </w:tcPr>
          <w:p>
            <w:pPr>
              <w:spacing w:after="0"/>
              <w:rPr>
                <w:sz w:val="1"/>
                <w:szCs w:val="1"/>
                <w:color w:val="auto"/>
              </w:rPr>
            </w:pPr>
          </w:p>
        </w:tc>
      </w:tr>
      <w:tr>
        <w:trPr>
          <w:trHeight w:val="101"/>
        </w:trPr>
        <w:tc>
          <w:tcPr>
            <w:tcW w:w="3680" w:type="dxa"/>
            <w:vAlign w:val="bottom"/>
            <w:gridSpan w:val="3"/>
          </w:tcPr>
          <w:p>
            <w:pPr>
              <w:ind w:left="100"/>
              <w:spacing w:after="0" w:line="101" w:lineRule="exact"/>
              <w:rPr>
                <w:sz w:val="20"/>
                <w:szCs w:val="20"/>
                <w:color w:val="auto"/>
              </w:rPr>
            </w:pPr>
            <w:r>
              <w:rPr>
                <w:rFonts w:ascii="Arial" w:cs="Arial" w:eastAsia="Arial" w:hAnsi="Arial"/>
                <w:sz w:val="11"/>
                <w:szCs w:val="11"/>
                <w:color w:val="auto"/>
              </w:rPr>
              <w:t>Ozy Media, Inc.</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2"/>
          </w:tcPr>
          <w:p>
            <w:pPr>
              <w:jc w:val="right"/>
              <w:ind w:right="140"/>
              <w:spacing w:after="0" w:line="101" w:lineRule="exact"/>
              <w:rPr>
                <w:sz w:val="20"/>
                <w:szCs w:val="20"/>
                <w:color w:val="auto"/>
              </w:rPr>
            </w:pPr>
            <w:r>
              <w:rPr>
                <w:rFonts w:ascii="Arial" w:cs="Arial" w:eastAsia="Arial" w:hAnsi="Arial"/>
                <w:sz w:val="11"/>
                <w:szCs w:val="11"/>
                <w:color w:val="auto"/>
              </w:rPr>
              <w:t>(1,036,364)</w:t>
            </w:r>
          </w:p>
        </w:tc>
        <w:tc>
          <w:tcPr>
            <w:tcW w:w="380" w:type="dxa"/>
            <w:vAlign w:val="bottom"/>
          </w:tcPr>
          <w:p>
            <w:pPr>
              <w:spacing w:after="0"/>
              <w:rPr>
                <w:sz w:val="8"/>
                <w:szCs w:val="8"/>
                <w:color w:val="auto"/>
              </w:rPr>
            </w:pPr>
          </w:p>
        </w:tc>
        <w:tc>
          <w:tcPr>
            <w:tcW w:w="3580" w:type="dxa"/>
            <w:vAlign w:val="bottom"/>
            <w:tcBorders>
              <w:top w:val="single" w:sz="8" w:color="CCEEFF"/>
            </w:tcBorders>
          </w:tcPr>
          <w:p>
            <w:pPr>
              <w:spacing w:after="0"/>
              <w:rPr>
                <w:sz w:val="8"/>
                <w:szCs w:val="8"/>
                <w:color w:val="auto"/>
              </w:rPr>
            </w:pPr>
          </w:p>
        </w:tc>
        <w:tc>
          <w:tcPr>
            <w:tcW w:w="160" w:type="dxa"/>
            <w:vAlign w:val="bottom"/>
            <w:tcBorders>
              <w:top w:val="single" w:sz="8" w:color="CCEEFF"/>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Assembly Space, Inc.</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(1,077,414)</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Avenues Global Holdings, LLC</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(1,358,960)</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Maven Research, Inc.</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(1,600,515)</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Curious.com, Inc.</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(2,973,142)</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Declara, Inc.</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(4,216,360)</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3580" w:type="dxa"/>
            <w:vAlign w:val="bottom"/>
            <w:gridSpan w:val="2"/>
          </w:tcPr>
          <w:p>
            <w:pPr>
              <w:spacing w:after="0" w:line="25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(101,655)</w:t>
            </w:r>
          </w:p>
        </w:tc>
        <w:tc>
          <w:tcPr>
            <w:tcW w:w="3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0" w:type="dxa"/>
            <w:vAlign w:val="bottom"/>
            <w:vMerge w:val="continue"/>
          </w:tcPr>
          <w:p>
            <w:pPr>
              <w:spacing w:after="0"/>
              <w:rPr>
                <w:sz w:val="21"/>
                <w:szCs w:val="21"/>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15,636,683</w:t>
            </w:r>
          </w:p>
        </w:tc>
        <w:tc>
          <w:tcPr>
            <w:tcW w:w="180" w:type="dxa"/>
            <w:vAlign w:val="bottom"/>
            <w:shd w:val="clear" w:color="auto" w:fill="CCEEFF"/>
          </w:tcPr>
          <w:p>
            <w:pPr>
              <w:spacing w:after="0"/>
              <w:rPr>
                <w:sz w:val="21"/>
                <w:szCs w:val="21"/>
                <w:color w:val="auto"/>
              </w:rPr>
            </w:pPr>
          </w:p>
        </w:tc>
        <w:tc>
          <w:tcPr>
            <w:tcW w:w="38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0" w:type="dxa"/>
            <w:vAlign w:val="bottom"/>
            <w:tcBorders>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27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-229235</wp:posOffset>
            </wp:positionV>
            <wp:extent cx="23672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3672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-203835</wp:posOffset>
            </wp:positionV>
            <wp:extent cx="23672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3672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-229235</wp:posOffset>
            </wp:positionV>
            <wp:extent cx="1193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-203835</wp:posOffset>
            </wp:positionV>
            <wp:extent cx="1193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-1319530</wp:posOffset>
            </wp:positionV>
            <wp:extent cx="23672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367280" cy="8255"/>
                    </a:xfrm>
                    <a:prstGeom prst="rect">
                      <a:avLst/>
                    </a:prstGeom>
                    <a:noFill/>
                  </pic:spPr>
                </pic:pic>
              </a:graphicData>
            </a:graphic>
          </wp:anchor>
        </w:drawing>
        <w:drawing>
          <wp:anchor simplePos="0" relativeHeight="251657728" behindDoc="1" locked="0" layoutInCell="0" allowOverlap="1">
            <wp:simplePos x="0" y="0"/>
            <wp:positionH relativeFrom="column">
              <wp:posOffset>3688715</wp:posOffset>
            </wp:positionH>
            <wp:positionV relativeFrom="paragraph">
              <wp:posOffset>-1294130</wp:posOffset>
            </wp:positionV>
            <wp:extent cx="23672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367280" cy="8255"/>
                    </a:xfrm>
                    <a:prstGeom prst="rect">
                      <a:avLst/>
                    </a:prstGeom>
                    <a:noFill/>
                  </pic:spPr>
                </pic:pic>
              </a:graphicData>
            </a:graphic>
          </wp:anchor>
        </w:drawing>
        <w:drawing>
          <wp:anchor simplePos="0" relativeHeight="251657728" behindDoc="1" locked="0" layoutInCell="0" allowOverlap="1">
            <wp:simplePos x="0" y="0"/>
            <wp:positionH relativeFrom="column">
              <wp:posOffset>6941820</wp:posOffset>
            </wp:positionH>
            <wp:positionV relativeFrom="paragraph">
              <wp:posOffset>-1319530</wp:posOffset>
            </wp:positionV>
            <wp:extent cx="1193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9380" cy="8255"/>
                    </a:xfrm>
                    <a:prstGeom prst="rect">
                      <a:avLst/>
                    </a:prstGeom>
                    <a:noFill/>
                  </pic:spPr>
                </pic:pic>
              </a:graphicData>
            </a:graphic>
          </wp:anchor>
        </w:drawing>
        <w:drawing>
          <wp:anchor simplePos="0" relativeHeight="251657728" behindDoc="1" locked="0" layoutInCell="0" allowOverlap="1">
            <wp:simplePos x="0" y="0"/>
            <wp:positionH relativeFrom="column">
              <wp:posOffset>6941820</wp:posOffset>
            </wp:positionH>
            <wp:positionV relativeFrom="paragraph">
              <wp:posOffset>-1294130</wp:posOffset>
            </wp:positionV>
            <wp:extent cx="1193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9380" cy="8255"/>
                    </a:xfrm>
                    <a:prstGeom prst="rect">
                      <a:avLst/>
                    </a:prstGeom>
                    <a:noFill/>
                  </pic:spPr>
                </pic:pic>
              </a:graphicData>
            </a:graphic>
          </wp:anchor>
        </w:drawing>
      </w:r>
    </w:p>
    <w:p>
      <w:pPr>
        <w:spacing w:after="0" w:line="234" w:lineRule="exact"/>
        <w:rPr>
          <w:sz w:val="20"/>
          <w:szCs w:val="20"/>
          <w:color w:val="auto"/>
        </w:rPr>
      </w:pPr>
    </w:p>
    <w:p>
      <w:pPr>
        <w:ind w:left="280" w:right="1920" w:hanging="274"/>
        <w:spacing w:after="0" w:line="336" w:lineRule="auto"/>
        <w:tabs>
          <w:tab w:leader="none" w:pos="2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and U.S. Treasury Strips) for which individual change in unrealized appreciation/(depreciation) was less than $1,000,000 for the three months ended September 30, 2017 and 2016.</w:t>
      </w:r>
    </w:p>
    <w:p>
      <w:pPr>
        <w:spacing w:after="0" w:line="200" w:lineRule="exact"/>
        <w:rPr>
          <w:sz w:val="20"/>
          <w:szCs w:val="20"/>
          <w:color w:val="auto"/>
        </w:rPr>
      </w:pPr>
    </w:p>
    <w:p>
      <w:pPr>
        <w:spacing w:after="0" w:line="26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ind w:left="40" w:firstLine="268"/>
        <w:spacing w:after="0" w:line="308" w:lineRule="auto"/>
        <w:rPr>
          <w:sz w:val="20"/>
          <w:szCs w:val="20"/>
          <w:color w:val="auto"/>
        </w:rPr>
      </w:pPr>
      <w:r>
        <w:rPr>
          <w:rFonts w:ascii="Arial" w:cs="Arial" w:eastAsia="Arial" w:hAnsi="Arial"/>
          <w:sz w:val="16"/>
          <w:szCs w:val="16"/>
          <w:color w:val="auto"/>
        </w:rPr>
        <w:t>For the nine months ended September 30, 2017, we had a net change in unrealized appreciation of investments of $61,669,476. For the nine months ended September 30, 2016, we had a net change in unrealized depreciation of $36,616,596. The following tables summarize, by portfolio company, the significant changes in unrealized appreciation/(depreciation) of our investment portfolio for each of the nine months ended September 30,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1905</wp:posOffset>
            </wp:positionV>
            <wp:extent cx="16351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635125" cy="8255"/>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1905</wp:posOffset>
            </wp:positionV>
            <wp:extent cx="43605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60545" cy="8255"/>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100" w:type="dxa"/>
            <w:vAlign w:val="bottom"/>
            <w:vMerge w:val="restart"/>
          </w:tcPr>
          <w:p>
            <w:pPr>
              <w:spacing w:after="0"/>
              <w:rPr>
                <w:sz w:val="12"/>
                <w:szCs w:val="12"/>
                <w:color w:val="auto"/>
              </w:rPr>
            </w:pPr>
          </w:p>
        </w:tc>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0"/>
        </w:trPr>
        <w:tc>
          <w:tcPr>
            <w:tcW w:w="100" w:type="dxa"/>
            <w:vAlign w:val="bottom"/>
            <w:vMerge w:val="continue"/>
          </w:tcPr>
          <w:p>
            <w:pPr>
              <w:spacing w:after="0"/>
              <w:rPr>
                <w:sz w:val="14"/>
                <w:szCs w:val="14"/>
                <w:color w:val="auto"/>
              </w:rPr>
            </w:pPr>
          </w:p>
        </w:tc>
        <w:tc>
          <w:tcPr>
            <w:tcW w:w="39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JAMF Holdings, Inc.</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21,321,024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3980" w:type="dxa"/>
            <w:vAlign w:val="bottom"/>
            <w:gridSpan w:val="2"/>
          </w:tcPr>
          <w:p>
            <w:pPr>
              <w:spacing w:after="0" w:line="255" w:lineRule="exact"/>
              <w:rPr>
                <w:sz w:val="20"/>
                <w:szCs w:val="20"/>
                <w:color w:val="auto"/>
              </w:rPr>
            </w:pPr>
            <w:r>
              <w:rPr>
                <w:rFonts w:ascii="Arial" w:cs="Arial" w:eastAsia="Arial" w:hAnsi="Arial"/>
                <w:sz w:val="18"/>
                <w:szCs w:val="18"/>
                <w:color w:val="auto"/>
              </w:rPr>
              <w:t>Beamreach Solar, Inc. (f/k/a Solexel, Inc.)</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14,272,843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Spotify Technology S.A.</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13,351,893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Chegg,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7,628,129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398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Orchestra One, Inc. (f/k/a Learnist, Inc.)</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4,959,614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StormWind, LLC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4,743,772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NestGSV, Inc. (d/b/a GSV Labs, Inc.)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4,019,767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Coursera,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3,854,113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Dropbox, Inc.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3,331,446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3980" w:type="dxa"/>
            <w:vAlign w:val="bottom"/>
            <w:gridSpan w:val="2"/>
          </w:tcPr>
          <w:p>
            <w:pPr>
              <w:spacing w:after="0" w:line="255" w:lineRule="exact"/>
              <w:rPr>
                <w:sz w:val="20"/>
                <w:szCs w:val="20"/>
                <w:color w:val="auto"/>
              </w:rPr>
            </w:pPr>
            <w:r>
              <w:rPr>
                <w:rFonts w:ascii="Arial" w:cs="Arial" w:eastAsia="Arial" w:hAnsi="Arial"/>
                <w:sz w:val="18"/>
                <w:szCs w:val="18"/>
                <w:color w:val="auto"/>
              </w:rPr>
              <w:t>Cricket Media (f/k/a ePals Inc.)</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2,448,959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398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AlwaysOn, Inc.</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1,903,414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Aspiration Partners,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1,451,623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Lyft, Inc.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1,343,714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Ozy Media,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(1,146,364)</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Avenues Global Holdings, LLC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(1,614,324)</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Maven Research,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(1,673,885)</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Assembly Space, Inc.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(1,861,905)</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w w:val="93"/>
              </w:rPr>
              <w:t>SPBRX, INC. (f/k/a GSV Sustainability Partners,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(2,942,585)</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Curious.com, Inc.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(4,024,767)</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Declara, Inc.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(4,609,294)</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Palantir Technologies, Inc.</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(5,008,564)</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3980" w:type="dxa"/>
            <w:vAlign w:val="bottom"/>
            <w:gridSpan w:val="2"/>
          </w:tcPr>
          <w:p>
            <w:pPr>
              <w:spacing w:after="0" w:line="25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(79,147)</w:t>
            </w: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0" w:type="dxa"/>
            <w:vAlign w:val="bottom"/>
            <w:vMerge w:val="continue"/>
          </w:tcPr>
          <w:p>
            <w:pPr>
              <w:spacing w:after="0"/>
              <w:rPr>
                <w:sz w:val="21"/>
                <w:szCs w:val="21"/>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61,669,476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00" w:type="dxa"/>
            <w:vAlign w:val="bottom"/>
            <w:tcBorders>
              <w:bottom w:val="single" w:sz="8" w:color="auto"/>
            </w:tcBorders>
          </w:tcPr>
          <w:p>
            <w:pPr>
              <w:spacing w:after="0"/>
              <w:rPr>
                <w:sz w:val="23"/>
                <w:szCs w:val="23"/>
                <w:color w:val="auto"/>
              </w:rPr>
            </w:pPr>
          </w:p>
        </w:tc>
        <w:tc>
          <w:tcPr>
            <w:tcW w:w="860" w:type="dxa"/>
            <w:vAlign w:val="bottom"/>
            <w:tcBorders>
              <w:top w:val="single" w:sz="8" w:color="CCEEFF"/>
              <w:bottom w:val="single" w:sz="8" w:color="auto"/>
            </w:tcBorders>
          </w:tcPr>
          <w:p>
            <w:pPr>
              <w:spacing w:after="0"/>
              <w:rPr>
                <w:sz w:val="23"/>
                <w:szCs w:val="23"/>
                <w:color w:val="auto"/>
              </w:rPr>
            </w:pPr>
          </w:p>
        </w:tc>
        <w:tc>
          <w:tcPr>
            <w:tcW w:w="3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-220980</wp:posOffset>
            </wp:positionV>
            <wp:extent cx="3372485" cy="342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7248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0"/>
        </w:trPr>
        <w:tc>
          <w:tcPr>
            <w:tcW w:w="39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Palantir Technologies, Inc.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(13,338,122)</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8"/>
                <w:szCs w:val="18"/>
                <w:color w:val="auto"/>
              </w:rPr>
              <w:t>Fullbridge, Inc.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(5,488,622)</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Dataminr, Inc.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(5,102,507)</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(4,254,018)</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Dropbox, Inc.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(5,139,483)</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8"/>
                <w:szCs w:val="18"/>
                <w:color w:val="auto"/>
              </w:rPr>
              <w:t>Solexel, Inc.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(5,157,254)</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JAMF Holdings, Inc.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1,707,179</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8"/>
                <w:szCs w:val="18"/>
                <w:color w:val="auto"/>
              </w:rPr>
              <w:t>Lyft, Inc.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(3,253,734)</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SPBRX, INC. (f/k/a GSV Sustainability Partners, Inc.)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(1,799,396)</w:t>
            </w:r>
          </w:p>
        </w:tc>
        <w:tc>
          <w:tcPr>
            <w:tcW w:w="0" w:type="dxa"/>
            <w:vAlign w:val="bottom"/>
          </w:tcPr>
          <w:p>
            <w:pPr>
              <w:spacing w:after="0"/>
              <w:rPr>
                <w:sz w:val="1"/>
                <w:szCs w:val="1"/>
                <w:color w:val="auto"/>
              </w:rPr>
            </w:pPr>
          </w:p>
        </w:tc>
      </w:tr>
      <w:tr>
        <w:trPr>
          <w:trHeight w:val="215"/>
        </w:trPr>
        <w:tc>
          <w:tcPr>
            <w:tcW w:w="3960" w:type="dxa"/>
            <w:vAlign w:val="bottom"/>
          </w:tcPr>
          <w:p>
            <w:pPr>
              <w:ind w:left="20"/>
              <w:spacing w:after="0"/>
              <w:rPr>
                <w:sz w:val="20"/>
                <w:szCs w:val="20"/>
                <w:color w:val="auto"/>
              </w:rPr>
            </w:pPr>
            <w:r>
              <w:rPr>
                <w:rFonts w:ascii="Arial" w:cs="Arial" w:eastAsia="Arial" w:hAnsi="Arial"/>
                <w:sz w:val="18"/>
                <w:szCs w:val="18"/>
                <w:color w:val="auto"/>
              </w:rPr>
              <w:t>SugarCRM, Inc.</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(1,401,493)</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Gilt Groupe Holdings, Inc.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6,055,046</w:t>
            </w:r>
          </w:p>
        </w:tc>
        <w:tc>
          <w:tcPr>
            <w:tcW w:w="0" w:type="dxa"/>
            <w:vAlign w:val="bottom"/>
          </w:tcPr>
          <w:p>
            <w:pPr>
              <w:spacing w:after="0"/>
              <w:rPr>
                <w:sz w:val="1"/>
                <w:szCs w:val="1"/>
                <w:color w:val="auto"/>
              </w:rPr>
            </w:pPr>
          </w:p>
        </w:tc>
      </w:tr>
      <w:tr>
        <w:trPr>
          <w:trHeight w:val="255"/>
        </w:trPr>
        <w:tc>
          <w:tcPr>
            <w:tcW w:w="3960" w:type="dxa"/>
            <w:vAlign w:val="bottom"/>
          </w:tcPr>
          <w:p>
            <w:pPr>
              <w:ind w:left="20"/>
              <w:spacing w:after="0" w:line="255" w:lineRule="exact"/>
              <w:rPr>
                <w:sz w:val="20"/>
                <w:szCs w:val="20"/>
                <w:color w:val="auto"/>
              </w:rPr>
            </w:pPr>
            <w:r>
              <w:rPr>
                <w:rFonts w:ascii="Arial" w:cs="Arial" w:eastAsia="Arial" w:hAnsi="Arial"/>
                <w:sz w:val="18"/>
                <w:szCs w:val="18"/>
                <w:color w:val="auto"/>
              </w:rPr>
              <w:t>Other</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555,808</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(36,616,596)</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wp:posOffset>
            </wp:positionV>
            <wp:extent cx="3372485"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72485" cy="34290"/>
                    </a:xfrm>
                    <a:prstGeom prst="rect">
                      <a:avLst/>
                    </a:prstGeom>
                    <a:noFill/>
                  </pic:spPr>
                </pic:pic>
              </a:graphicData>
            </a:graphic>
          </wp:anchor>
        </w:drawing>
      </w:r>
    </w:p>
    <w:p>
      <w:pPr>
        <w:spacing w:after="0" w:line="2801" w:lineRule="exact"/>
        <w:rPr>
          <w:sz w:val="20"/>
          <w:szCs w:val="20"/>
          <w:color w:val="auto"/>
        </w:rPr>
      </w:pPr>
    </w:p>
    <w:p>
      <w:pPr>
        <w:sectPr>
          <w:pgSz w:w="11900" w:h="16838" w:orient="portrait"/>
          <w:cols w:equalWidth="0" w:num="2">
            <w:col w:w="5420" w:space="380"/>
            <w:col w:w="5560"/>
          </w:cols>
          <w:pgMar w:left="380" w:top="787" w:right="159" w:bottom="1440" w:gutter="0" w:footer="0" w:header="0"/>
          <w:type w:val="continuous"/>
        </w:sectPr>
      </w:pPr>
    </w:p>
    <w:p>
      <w:pPr>
        <w:spacing w:after="0" w:line="54" w:lineRule="exact"/>
        <w:rPr>
          <w:sz w:val="20"/>
          <w:szCs w:val="20"/>
          <w:color w:val="auto"/>
        </w:rPr>
      </w:pPr>
    </w:p>
    <w:p>
      <w:pPr>
        <w:ind w:left="280" w:right="220" w:hanging="274"/>
        <w:spacing w:after="0" w:line="272" w:lineRule="auto"/>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change in unrealized appreciation for this investment resulted from writing off an investment that was previously reduced in value to zero in a prior quarter.</w:t>
      </w:r>
    </w:p>
    <w:p>
      <w:pPr>
        <w:spacing w:after="0" w:line="67" w:lineRule="exact"/>
        <w:rPr>
          <w:rFonts w:ascii="Arial" w:cs="Arial" w:eastAsia="Arial" w:hAnsi="Arial"/>
          <w:sz w:val="18"/>
          <w:szCs w:val="18"/>
          <w:color w:val="auto"/>
        </w:rPr>
      </w:pPr>
    </w:p>
    <w:p>
      <w:pPr>
        <w:ind w:left="280" w:right="1920" w:hanging="274"/>
        <w:spacing w:after="0" w:line="336" w:lineRule="auto"/>
        <w:tabs>
          <w:tab w:leader="none" w:pos="2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and U.S. Treasury Strips) for which individual change in unrealized appreciation/(depreciation) was less than $1,000,000 for the nine months ended September 30, 2017 and 2016.</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Increase/Decrease in Net Assets Resulting from Operations</w:t>
      </w:r>
    </w:p>
    <w:p>
      <w:pPr>
        <w:spacing w:after="0" w:line="115" w:lineRule="exact"/>
        <w:rPr>
          <w:sz w:val="20"/>
          <w:szCs w:val="20"/>
          <w:color w:val="auto"/>
        </w:rPr>
      </w:pPr>
    </w:p>
    <w:p>
      <w:pPr>
        <w:ind w:left="40" w:right="580" w:firstLine="268"/>
        <w:spacing w:after="0" w:line="272" w:lineRule="auto"/>
        <w:rPr>
          <w:sz w:val="20"/>
          <w:szCs w:val="20"/>
          <w:color w:val="auto"/>
        </w:rPr>
      </w:pPr>
      <w:r>
        <w:rPr>
          <w:rFonts w:ascii="Arial" w:cs="Arial" w:eastAsia="Arial" w:hAnsi="Arial"/>
          <w:sz w:val="18"/>
          <w:szCs w:val="18"/>
          <w:color w:val="auto"/>
        </w:rPr>
        <w:t>For the three months ended September 30, 2017 and 2016, our net increase/(decrease) in net assets resulting from operations was $10,071,004 and $(2,273,339), respectively.</w:t>
      </w:r>
    </w:p>
    <w:p>
      <w:pPr>
        <w:spacing w:after="0" w:line="200" w:lineRule="exact"/>
        <w:rPr>
          <w:sz w:val="20"/>
          <w:szCs w:val="20"/>
          <w:color w:val="auto"/>
        </w:rPr>
      </w:pPr>
    </w:p>
    <w:p>
      <w:pPr>
        <w:spacing w:after="0" w:line="31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80" w:top="787" w:right="159" w:bottom="1440" w:gutter="0" w:footer="0" w:header="0"/>
          <w:type w:val="continuous"/>
        </w:sectPr>
      </w:pPr>
    </w:p>
    <w:bookmarkStart w:id="72" w:name="page73"/>
    <w:bookmarkEnd w:id="7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ind w:left="60" w:right="640" w:firstLine="268"/>
        <w:spacing w:after="0" w:line="272" w:lineRule="auto"/>
        <w:rPr>
          <w:sz w:val="20"/>
          <w:szCs w:val="20"/>
          <w:color w:val="auto"/>
        </w:rPr>
      </w:pPr>
      <w:r>
        <w:rPr>
          <w:rFonts w:ascii="Arial" w:cs="Arial" w:eastAsia="Arial" w:hAnsi="Arial"/>
          <w:sz w:val="18"/>
          <w:szCs w:val="18"/>
          <w:color w:val="auto"/>
        </w:rPr>
        <w:t>For the nine months ended September 30, 2017 and 2016, our net increase/(decrease) in net assets resulting from operations was $20,051,965 and $(43,503,968), respectively.</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left="60" w:right="120" w:firstLine="268"/>
        <w:spacing w:after="0" w:line="271" w:lineRule="auto"/>
        <w:rPr>
          <w:sz w:val="20"/>
          <w:szCs w:val="20"/>
          <w:color w:val="auto"/>
        </w:rPr>
      </w:pPr>
      <w:r>
        <w:rPr>
          <w:rFonts w:ascii="Arial" w:cs="Arial" w:eastAsia="Arial" w:hAnsi="Arial"/>
          <w:sz w:val="17"/>
          <w:szCs w:val="17"/>
          <w:color w:val="auto"/>
        </w:rPr>
        <w:t>Our liquidity and capital resources are generated primarily from the sales of our investments and advances from any credit facility from which we may borrow. For example, prior to its expiration in accordance with its terms on December 31, 2016, we also generated liquidity and capital resources from advances from the SVB Credit Facility and have entered into the Credit Facility, which matures on the later of (i) August 15, 2018 or (ii) 30 days prior to the due date of the Convertible Senior Notes, which mature on September 15, 2018. In management’s view, we have sufficient liquidity and capital resources to pay our operating expenses and conduct investment activities. With regard to the Convertible Senior Notes, which mature on September 15, 2018, we are actively managing our liquidity in anticipation of meeting our obligations thereunder.</w:t>
      </w:r>
    </w:p>
    <w:p>
      <w:pPr>
        <w:spacing w:after="0" w:line="70" w:lineRule="exact"/>
        <w:rPr>
          <w:sz w:val="20"/>
          <w:szCs w:val="20"/>
          <w:color w:val="auto"/>
        </w:rPr>
      </w:pPr>
    </w:p>
    <w:p>
      <w:pPr>
        <w:ind w:left="60" w:right="360" w:firstLine="268"/>
        <w:spacing w:after="0" w:line="272" w:lineRule="auto"/>
        <w:rPr>
          <w:sz w:val="20"/>
          <w:szCs w:val="20"/>
          <w:color w:val="auto"/>
        </w:rPr>
      </w:pPr>
      <w:r>
        <w:rPr>
          <w:rFonts w:ascii="Arial" w:cs="Arial" w:eastAsia="Arial" w:hAnsi="Arial"/>
          <w:sz w:val="18"/>
          <w:szCs w:val="18"/>
          <w:color w:val="auto"/>
        </w:rPr>
        <w:t>Our primary uses of cash are to make investments, pay our operating expenses and make distributions to our stockholders. For the nine months ended September 30, 2017 and 2016, our net operating expenses were $18,201,098 and $5,261,869,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36277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627755" cy="82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9525</wp:posOffset>
            </wp:positionV>
            <wp:extent cx="1584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80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5,154,436</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8,332,634</w:t>
            </w:r>
          </w:p>
        </w:tc>
        <w:tc>
          <w:tcPr>
            <w:tcW w:w="0" w:type="dxa"/>
            <w:vAlign w:val="bottom"/>
          </w:tcPr>
          <w:p>
            <w:pPr>
              <w:spacing w:after="0"/>
              <w:rPr>
                <w:sz w:val="1"/>
                <w:szCs w:val="1"/>
                <w:color w:val="auto"/>
              </w:rPr>
            </w:pPr>
          </w:p>
        </w:tc>
      </w:tr>
      <w:tr>
        <w:trPr>
          <w:trHeight w:val="255"/>
        </w:trPr>
        <w:tc>
          <w:tcPr>
            <w:tcW w:w="8020" w:type="dxa"/>
            <w:vAlign w:val="bottom"/>
            <w:gridSpan w:val="3"/>
          </w:tcPr>
          <w:p>
            <w:pPr>
              <w:ind w:left="20"/>
              <w:spacing w:after="0" w:line="255" w:lineRule="exact"/>
              <w:rPr>
                <w:sz w:val="20"/>
                <w:szCs w:val="20"/>
                <w:color w:val="auto"/>
              </w:rPr>
            </w:pPr>
            <w:r>
              <w:rPr>
                <w:rFonts w:ascii="Arial" w:cs="Arial" w:eastAsia="Arial" w:hAnsi="Arial"/>
                <w:sz w:val="18"/>
                <w:szCs w:val="18"/>
                <w:color w:val="auto"/>
              </w:rPr>
              <w:t>Amounts available for borrowing under the Credit Facility</w:t>
            </w:r>
            <w:r>
              <w:rPr>
                <w:rFonts w:ascii="Arial" w:cs="Arial" w:eastAsia="Arial" w:hAnsi="Arial"/>
                <w:sz w:val="29"/>
                <w:szCs w:val="29"/>
                <w:color w:val="auto"/>
                <w:vertAlign w:val="superscript"/>
              </w:rPr>
              <w:t>(1)(2)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 of publicly traded portfolio companies: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00" w:type="dxa"/>
            <w:vAlign w:val="bottom"/>
            <w:gridSpan w:val="2"/>
          </w:tcPr>
          <w:p>
            <w:pPr>
              <w:ind w:left="360"/>
              <w:spacing w:after="0" w:line="255"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(3)</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11,607,729</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8,729,005</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Subject to other sales restrictions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7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000" w:type="dxa"/>
            <w:vAlign w:val="bottom"/>
            <w:gridSpan w:val="2"/>
          </w:tcPr>
          <w:p>
            <w:pPr>
              <w:ind w:left="180"/>
              <w:spacing w:after="0"/>
              <w:rPr>
                <w:sz w:val="20"/>
                <w:szCs w:val="20"/>
                <w:color w:val="auto"/>
              </w:rPr>
            </w:pPr>
            <w:r>
              <w:rPr>
                <w:rFonts w:ascii="Arial" w:cs="Arial" w:eastAsia="Arial" w:hAnsi="Arial"/>
                <w:sz w:val="18"/>
                <w:szCs w:val="18"/>
                <w:color w:val="auto"/>
              </w:rPr>
              <w:t>Total securities of publicly traded portfolio companies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11,607,729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8,729,005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Reserves and Liquid Securities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20,762,165</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17,061,639</w:t>
            </w: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960" w:type="dxa"/>
            <w:vAlign w:val="bottom"/>
            <w:tcBorders>
              <w:top w:val="single" w:sz="8" w:color="CCEEFF"/>
              <w:bottom w:val="single" w:sz="8" w:color="auto"/>
            </w:tcBorders>
          </w:tcPr>
          <w:p>
            <w:pPr>
              <w:spacing w:after="0"/>
              <w:rPr>
                <w:sz w:val="23"/>
                <w:szCs w:val="23"/>
                <w:color w:val="auto"/>
              </w:rPr>
            </w:pPr>
          </w:p>
        </w:tc>
        <w:tc>
          <w:tcPr>
            <w:tcW w:w="70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026275" cy="153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26275" cy="153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026275"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34" w:lineRule="exact"/>
        <w:rPr>
          <w:sz w:val="20"/>
          <w:szCs w:val="20"/>
          <w:color w:val="auto"/>
        </w:rPr>
      </w:pPr>
    </w:p>
    <w:p>
      <w:pPr>
        <w:ind w:left="300" w:right="180" w:hanging="274"/>
        <w:spacing w:after="0" w:line="272"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leverage and borrowing base restrictions under the Credit Facility. Refer to “Note 9 — Debt Capital Activities” to our condensed consolidated financial statements as of September 30, 2017 for details regarding the Credit Facility.</w:t>
      </w:r>
    </w:p>
    <w:p>
      <w:pPr>
        <w:spacing w:after="0" w:line="67" w:lineRule="exact"/>
        <w:rPr>
          <w:rFonts w:ascii="Arial" w:cs="Arial" w:eastAsia="Arial" w:hAnsi="Arial"/>
          <w:sz w:val="18"/>
          <w:szCs w:val="18"/>
          <w:color w:val="auto"/>
        </w:rPr>
      </w:pPr>
    </w:p>
    <w:p>
      <w:pPr>
        <w:ind w:left="300" w:right="160" w:hanging="274"/>
        <w:spacing w:after="0" w:line="272"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October 10, 2017, we repaid the $8.0 million due under the Credit Facility. As of November 9, 2017, there is no balance outstanding under the Credit Facility.</w:t>
      </w:r>
    </w:p>
    <w:p>
      <w:pPr>
        <w:spacing w:after="0" w:line="67" w:lineRule="exact"/>
        <w:rPr>
          <w:rFonts w:ascii="Arial" w:cs="Arial" w:eastAsia="Arial" w:hAnsi="Arial"/>
          <w:sz w:val="18"/>
          <w:szCs w:val="18"/>
          <w:color w:val="auto"/>
        </w:rPr>
      </w:pPr>
    </w:p>
    <w:p>
      <w:pPr>
        <w:ind w:left="300" w:right="60" w:hanging="274"/>
        <w:spacing w:after="0" w:line="272"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“Unrestricted securities” represents common stock of our publicly traded companies that are not subject to any restrictions upon sale. We may incur losses if we liquidate these positions to pay operating expenses or fund new investments.</w:t>
      </w:r>
    </w:p>
    <w:p>
      <w:pPr>
        <w:spacing w:after="0" w:line="67" w:lineRule="exact"/>
        <w:rPr>
          <w:sz w:val="20"/>
          <w:szCs w:val="20"/>
          <w:color w:val="auto"/>
        </w:rPr>
      </w:pPr>
    </w:p>
    <w:p>
      <w:pPr>
        <w:ind w:left="60" w:firstLine="268"/>
        <w:spacing w:after="0" w:line="253" w:lineRule="auto"/>
        <w:rPr>
          <w:sz w:val="20"/>
          <w:szCs w:val="20"/>
          <w:color w:val="auto"/>
        </w:rPr>
      </w:pPr>
      <w:r>
        <w:rPr>
          <w:rFonts w:ascii="Arial" w:cs="Arial" w:eastAsia="Arial" w:hAnsi="Arial"/>
          <w:sz w:val="18"/>
          <w:szCs w:val="18"/>
          <w:color w:val="auto"/>
        </w:rPr>
        <w:t>During the nine months ended September 30, 2017, cash decreased to $5,154,436 from $8,332,634 at the beginning of the period. The decrease was primarily due to an additional $7.5 million margin deposit posted for the purchase of a U.S. Treasury Bill, $3.6 million in interest payments on the Convertible Senior Notes, $4.2 million in management fees paid under the Advisory Agreement, $2.6 million of share repurchases under the Share Repurchase Program, $1.0 million in allocation of overhead expenses paid to GSV Capital Service Company and $1.4 million of audit and legal fees. During the nine months ended September 30, 2017, we sold portfolio investments for net proceeds of $9.8 million and borrowed a net of $8.0 million under the Credit Facility, which partially offset the decrease in cash.</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sales of our equity or debt securities during the nine months ended September 30, 2017 or the year ended December 31, 2016.</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5" w:lineRule="exact"/>
        <w:rPr>
          <w:sz w:val="20"/>
          <w:szCs w:val="20"/>
          <w:color w:val="auto"/>
        </w:rPr>
      </w:pPr>
    </w:p>
    <w:p>
      <w:pPr>
        <w:ind w:left="60" w:right="80" w:firstLine="268"/>
        <w:spacing w:after="0" w:line="260" w:lineRule="auto"/>
        <w:rPr>
          <w:sz w:val="20"/>
          <w:szCs w:val="20"/>
          <w:color w:val="auto"/>
        </w:rPr>
      </w:pPr>
      <w:r>
        <w:rPr>
          <w:rFonts w:ascii="Arial" w:cs="Arial" w:eastAsia="Arial" w:hAnsi="Arial"/>
          <w:sz w:val="18"/>
          <w:szCs w:val="18"/>
          <w:color w:val="auto"/>
        </w:rPr>
        <w:t>On August 7, 2017, our board of directors authorized the $5.0 million discretionary open-market Share Repurchase Program under which we may repurchase shares of our common stock in the open market until the earlier of (i) August 6, 2018 or (ii) the repurchase of $5.0 million in aggregate amount of our common</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73" w:name="page74"/>
    <w:bookmarkEnd w:id="7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jc w:val="both"/>
        <w:ind w:left="60" w:right="340"/>
        <w:spacing w:after="0" w:line="260" w:lineRule="auto"/>
        <w:rPr>
          <w:sz w:val="20"/>
          <w:szCs w:val="20"/>
          <w:color w:val="auto"/>
        </w:rPr>
      </w:pPr>
      <w:r>
        <w:rPr>
          <w:rFonts w:ascii="Arial" w:cs="Arial" w:eastAsia="Arial" w:hAnsi="Arial"/>
          <w:sz w:val="18"/>
          <w:szCs w:val="18"/>
          <w:color w:val="auto"/>
        </w:rPr>
        <w:t>stock. During each of the three and nine months ended September 30, 2017, we repurchased 574,109 shares of our common stock for approximately $2.8 million under the Share Repurchase Program. For more information on the Share Repurchase Program, see “Part II. Item 2. Unregistered Sales of Equity Securities and Use of Proceeds.”</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1545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4555" cy="8255"/>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39370</wp:posOffset>
            </wp:positionV>
            <wp:extent cx="338074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9"/>
          </w:tcPr>
          <w:p>
            <w:pPr>
              <w:jc w:val="center"/>
              <w:ind w:left="599"/>
              <w:spacing w:after="0"/>
              <w:rPr>
                <w:sz w:val="20"/>
                <w:szCs w:val="20"/>
                <w:color w:val="auto"/>
              </w:rPr>
            </w:pPr>
            <w:r>
              <w:rPr>
                <w:rFonts w:ascii="Arial" w:cs="Arial" w:eastAsia="Arial" w:hAnsi="Arial"/>
                <w:sz w:val="14"/>
                <w:szCs w:val="14"/>
                <w:b w:val="1"/>
                <w:bCs w:val="1"/>
                <w:color w:val="auto"/>
                <w:w w:val="91"/>
              </w:rPr>
              <w:t>Payments Due By Period</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(dollars in millions)</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140"/>
              <w:spacing w:after="0" w:line="118"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 3 years</w:t>
            </w:r>
          </w:p>
        </w:tc>
        <w:tc>
          <w:tcPr>
            <w:tcW w:w="1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0"/>
        </w:trPr>
        <w:tc>
          <w:tcPr>
            <w:tcW w:w="550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29"/>
                <w:szCs w:val="29"/>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48"/>
        </w:trPr>
        <w:tc>
          <w:tcPr>
            <w:tcW w:w="5500" w:type="dxa"/>
            <w:vAlign w:val="bottom"/>
            <w:gridSpan w:val="3"/>
            <w:vMerge w:val="continue"/>
          </w:tcPr>
          <w:p>
            <w:pPr>
              <w:spacing w:after="0"/>
              <w:rPr>
                <w:sz w:val="21"/>
                <w:szCs w:val="21"/>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89.6</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89.6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500" w:type="dxa"/>
            <w:vAlign w:val="bottom"/>
            <w:gridSpan w:val="3"/>
            <w:shd w:val="clear" w:color="auto" w:fill="CCEEFF"/>
          </w:tcPr>
          <w:p>
            <w:pPr>
              <w:ind w:left="20"/>
              <w:spacing w:after="0" w:line="255" w:lineRule="exact"/>
              <w:rPr>
                <w:sz w:val="20"/>
                <w:szCs w:val="20"/>
                <w:color w:val="auto"/>
              </w:rPr>
            </w:pPr>
            <w:r>
              <w:rPr>
                <w:rFonts w:ascii="Arial" w:cs="Arial" w:eastAsia="Arial" w:hAnsi="Arial"/>
                <w:sz w:val="18"/>
                <w:szCs w:val="18"/>
                <w:color w:val="auto"/>
              </w:rPr>
              <w:t>Credit facility payable</w:t>
            </w:r>
            <w:r>
              <w:rPr>
                <w:rFonts w:ascii="Arial" w:cs="Arial" w:eastAsia="Arial" w:hAnsi="Arial"/>
                <w:sz w:val="29"/>
                <w:szCs w:val="29"/>
                <w:color w:val="auto"/>
                <w:vertAlign w:val="superscript"/>
              </w:rPr>
              <w:t>(2)(3)(4)</w:t>
            </w: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500" w:type="dxa"/>
            <w:vAlign w:val="bottom"/>
            <w:gridSpan w:val="3"/>
          </w:tcPr>
          <w:p>
            <w:pPr>
              <w:ind w:left="20"/>
              <w:spacing w:after="0" w:line="255"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9"/>
                <w:szCs w:val="29"/>
                <w:color w:val="auto"/>
                <w:vertAlign w:val="superscript"/>
              </w:rPr>
              <w:t>(5)</w:t>
            </w: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166.6</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8"/>
        </w:trPr>
        <w:tc>
          <w:tcPr>
            <w:tcW w:w="20" w:type="dxa"/>
            <w:vAlign w:val="bottom"/>
            <w:tcBorders>
              <w:top w:val="single" w:sz="8" w:color="CCEEFF"/>
            </w:tcBorders>
          </w:tcPr>
          <w:p>
            <w:pPr>
              <w:spacing w:after="0"/>
              <w:rPr>
                <w:sz w:val="23"/>
                <w:szCs w:val="23"/>
                <w:color w:val="auto"/>
              </w:rPr>
            </w:pPr>
          </w:p>
        </w:tc>
        <w:tc>
          <w:tcPr>
            <w:tcW w:w="960" w:type="dxa"/>
            <w:vAlign w:val="bottom"/>
            <w:tcBorders>
              <w:top w:val="single" w:sz="8" w:color="CCEEFF"/>
              <w:bottom w:val="single" w:sz="8" w:color="auto"/>
            </w:tcBorders>
          </w:tcPr>
          <w:p>
            <w:pPr>
              <w:spacing w:after="0"/>
              <w:rPr>
                <w:sz w:val="23"/>
                <w:szCs w:val="23"/>
                <w:color w:val="auto"/>
              </w:rPr>
            </w:pPr>
          </w:p>
        </w:tc>
        <w:tc>
          <w:tcPr>
            <w:tcW w:w="452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026275"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34" w:lineRule="exact"/>
        <w:rPr>
          <w:sz w:val="20"/>
          <w:szCs w:val="20"/>
          <w:color w:val="auto"/>
        </w:rPr>
      </w:pPr>
    </w:p>
    <w:p>
      <w:pPr>
        <w:jc w:val="both"/>
        <w:ind w:left="300" w:right="380" w:hanging="274"/>
        <w:spacing w:after="0" w:line="260"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“Payable for securities purchased” relates to the purchase of the U.S. Treasury Bill on margin and repurchases of our common stock. The payable for securities purchased was subsequently repaid on October 5, 2017, when the $100.0 million United States Treasury Bill matured and the $10.5 million margin deposit that we posted as collateral was returned.</w:t>
      </w:r>
    </w:p>
    <w:p>
      <w:pPr>
        <w:spacing w:after="0" w:line="78" w:lineRule="exact"/>
        <w:rPr>
          <w:rFonts w:ascii="Arial" w:cs="Arial" w:eastAsia="Arial" w:hAnsi="Arial"/>
          <w:sz w:val="18"/>
          <w:szCs w:val="18"/>
          <w:color w:val="auto"/>
        </w:rPr>
      </w:pPr>
    </w:p>
    <w:p>
      <w:pPr>
        <w:ind w:left="300" w:right="120" w:hanging="274"/>
        <w:spacing w:after="0" w:line="272"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October 10, 2017, we repaid the $8.0 million due under the Credit Facility. As of November 9, 2017, there is no balance outstanding under the Credit Facility.</w:t>
      </w:r>
    </w:p>
    <w:p>
      <w:pPr>
        <w:spacing w:after="0" w:line="67" w:lineRule="exact"/>
        <w:rPr>
          <w:rFonts w:ascii="Arial" w:cs="Arial" w:eastAsia="Arial" w:hAnsi="Arial"/>
          <w:sz w:val="18"/>
          <w:szCs w:val="18"/>
          <w:color w:val="auto"/>
        </w:rPr>
      </w:pPr>
    </w:p>
    <w:p>
      <w:pPr>
        <w:ind w:left="300" w:hanging="274"/>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total unused amount available under the Credit Facility as of September 30, 2017 was $4.0 million.</w:t>
      </w:r>
    </w:p>
    <w:p>
      <w:pPr>
        <w:spacing w:after="0" w:line="114" w:lineRule="exact"/>
        <w:rPr>
          <w:rFonts w:ascii="Arial" w:cs="Arial" w:eastAsia="Arial" w:hAnsi="Arial"/>
          <w:sz w:val="18"/>
          <w:szCs w:val="18"/>
          <w:color w:val="auto"/>
        </w:rPr>
      </w:pPr>
    </w:p>
    <w:p>
      <w:pPr>
        <w:ind w:left="300" w:hanging="274"/>
        <w:spacing w:after="0"/>
        <w:tabs>
          <w:tab w:leader="none" w:pos="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weighted-average interest rate incurred under the Credit Facility was 0.02% for each of the three and nine months ended September 30, 2017.</w:t>
      </w:r>
    </w:p>
    <w:p>
      <w:pPr>
        <w:spacing w:after="0" w:line="126" w:lineRule="exact"/>
        <w:rPr>
          <w:rFonts w:ascii="Arial" w:cs="Arial" w:eastAsia="Arial" w:hAnsi="Arial"/>
          <w:sz w:val="17"/>
          <w:szCs w:val="17"/>
          <w:color w:val="auto"/>
        </w:rPr>
      </w:pPr>
    </w:p>
    <w:p>
      <w:pPr>
        <w:ind w:left="300" w:hanging="274"/>
        <w:spacing w:after="0" w:line="272"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balance shown for the Convertible Senior Notes reflects the principal balance payable to investors. Refer to “Note 9 — Debt Capital Activities” to our condensed consolidated financial statements as of September 30, 2017 for more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September 30, 2017, we had no off-balance sheet arrangements, including any risk management of commodity pricing or other hedging practices.</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w:t>
      </w:r>
    </w:p>
    <w:p>
      <w:pPr>
        <w:spacing w:after="0" w:line="115" w:lineRule="exact"/>
        <w:rPr>
          <w:sz w:val="20"/>
          <w:szCs w:val="20"/>
          <w:color w:val="auto"/>
        </w:rPr>
      </w:pPr>
    </w:p>
    <w:p>
      <w:pPr>
        <w:ind w:left="60" w:right="100" w:firstLine="268"/>
        <w:spacing w:after="0" w:line="260"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September 30, 2017. The table is divided by fiscal year according to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17456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745615" cy="8255"/>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16510</wp:posOffset>
            </wp:positionV>
            <wp:extent cx="39173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2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80" w:type="dxa"/>
            <w:vAlign w:val="bottom"/>
          </w:tcPr>
          <w:p>
            <w:pPr>
              <w:spacing w:after="0"/>
              <w:rPr>
                <w:sz w:val="14"/>
                <w:szCs w:val="14"/>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 Per</w:t>
            </w:r>
          </w:p>
        </w:tc>
        <w:tc>
          <w:tcPr>
            <w:tcW w:w="0" w:type="dxa"/>
            <w:vAlign w:val="bottom"/>
          </w:tcPr>
          <w:p>
            <w:pPr>
              <w:spacing w:after="0"/>
              <w:rPr>
                <w:sz w:val="1"/>
                <w:szCs w:val="1"/>
                <w:color w:val="auto"/>
              </w:rPr>
            </w:pPr>
          </w:p>
        </w:tc>
      </w:tr>
      <w:tr>
        <w:trPr>
          <w:trHeight w:val="170"/>
        </w:trPr>
        <w:tc>
          <w:tcPr>
            <w:tcW w:w="43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8"/>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360" w:type="dxa"/>
            <w:vAlign w:val="bottom"/>
            <w:gridSpan w:val="2"/>
          </w:tcPr>
          <w:p>
            <w:pPr>
              <w:ind w:left="360"/>
              <w:spacing w:after="0" w:line="255"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November 16, 2015</w:t>
            </w:r>
          </w:p>
        </w:tc>
        <w:tc>
          <w:tcPr>
            <w:tcW w:w="180" w:type="dxa"/>
            <w:vAlign w:val="bottom"/>
          </w:tcPr>
          <w:p>
            <w:pPr>
              <w:spacing w:after="0"/>
              <w:rPr>
                <w:sz w:val="22"/>
                <w:szCs w:val="22"/>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8"/>
              </w:rPr>
              <w:t>December 31, 2015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5"/>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2016:</w:t>
            </w:r>
          </w:p>
        </w:tc>
        <w:tc>
          <w:tcPr>
            <w:tcW w:w="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360" w:type="dxa"/>
            <w:vAlign w:val="bottom"/>
            <w:gridSpan w:val="2"/>
          </w:tcPr>
          <w:p>
            <w:pPr>
              <w:ind w:left="360"/>
              <w:spacing w:after="0" w:line="255" w:lineRule="exact"/>
              <w:rPr>
                <w:sz w:val="20"/>
                <w:szCs w:val="20"/>
                <w:color w:val="auto"/>
              </w:rPr>
            </w:pPr>
            <w:r>
              <w:rPr>
                <w:rFonts w:ascii="Arial" w:cs="Arial" w:eastAsia="Arial" w:hAnsi="Arial"/>
                <w:sz w:val="18"/>
                <w:szCs w:val="18"/>
                <w:color w:val="auto"/>
              </w:rPr>
              <w:t>August 3, 2016</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August 16, 2016</w:t>
            </w:r>
          </w:p>
        </w:tc>
        <w:tc>
          <w:tcPr>
            <w:tcW w:w="180" w:type="dxa"/>
            <w:vAlign w:val="bottom"/>
          </w:tcPr>
          <w:p>
            <w:pPr>
              <w:spacing w:after="0"/>
              <w:rPr>
                <w:sz w:val="22"/>
                <w:szCs w:val="22"/>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91"/>
              </w:rPr>
              <w:t>August 24, 2016</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shd w:val="clear" w:color="auto" w:fill="CCEEFF"/>
          </w:tcPr>
          <w:p>
            <w:pPr>
              <w:spacing w:after="0"/>
              <w:rPr>
                <w:sz w:val="21"/>
                <w:szCs w:val="21"/>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62"/>
        </w:trPr>
        <w:tc>
          <w:tcPr>
            <w:tcW w:w="20" w:type="dxa"/>
            <w:vAlign w:val="bottom"/>
            <w:tcBorders>
              <w:top w:val="single" w:sz="8" w:color="CCEEFF"/>
            </w:tcBorders>
          </w:tcPr>
          <w:p>
            <w:pPr>
              <w:spacing w:after="0"/>
              <w:rPr>
                <w:sz w:val="22"/>
                <w:szCs w:val="22"/>
                <w:color w:val="auto"/>
              </w:rPr>
            </w:pPr>
          </w:p>
        </w:tc>
        <w:tc>
          <w:tcPr>
            <w:tcW w:w="960" w:type="dxa"/>
            <w:vAlign w:val="bottom"/>
            <w:tcBorders>
              <w:top w:val="single" w:sz="8" w:color="CCEEFF"/>
              <w:bottom w:val="single" w:sz="8" w:color="auto"/>
            </w:tcBorders>
          </w:tcPr>
          <w:p>
            <w:pPr>
              <w:spacing w:after="0"/>
              <w:rPr>
                <w:sz w:val="22"/>
                <w:szCs w:val="22"/>
                <w:color w:val="auto"/>
              </w:rPr>
            </w:pPr>
          </w:p>
        </w:tc>
        <w:tc>
          <w:tcPr>
            <w:tcW w:w="34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5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5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026275"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026275" cy="34290"/>
                    </a:xfrm>
                    <a:prstGeom prst="rect">
                      <a:avLst/>
                    </a:prstGeom>
                    <a:noFill/>
                  </pic:spPr>
                </pic:pic>
              </a:graphicData>
            </a:graphic>
          </wp:anchor>
        </w:drawing>
      </w:r>
    </w:p>
    <w:p>
      <w:pPr>
        <w:spacing w:after="0" w:line="234" w:lineRule="exact"/>
        <w:rPr>
          <w:sz w:val="20"/>
          <w:szCs w:val="20"/>
          <w:color w:val="auto"/>
        </w:rPr>
      </w:pPr>
    </w:p>
    <w:p>
      <w:pPr>
        <w:ind w:left="300" w:right="80" w:hanging="274"/>
        <w:spacing w:after="0" w:line="271" w:lineRule="auto"/>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70" w:lineRule="exact"/>
        <w:rPr>
          <w:rFonts w:ascii="Arial" w:cs="Arial" w:eastAsia="Arial" w:hAnsi="Arial"/>
          <w:sz w:val="17"/>
          <w:szCs w:val="17"/>
          <w:color w:val="auto"/>
        </w:rPr>
      </w:pPr>
    </w:p>
    <w:p>
      <w:pPr>
        <w:ind w:left="300" w:right="380" w:hanging="274"/>
        <w:spacing w:after="0" w:line="272"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 the total distribution of $887,240 on August 24, 2016, $820,753 represented a distribution from realized gains and $66,487 represented a return of capital.</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60"/>
          </w:cols>
          <w:pgMar w:left="360" w:top="787" w:right="17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ind w:left="40" w:right="120" w:firstLine="268"/>
        <w:spacing w:after="0" w:line="254"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business development companies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85" w:lineRule="exact"/>
        <w:rPr>
          <w:sz w:val="20"/>
          <w:szCs w:val="20"/>
          <w:color w:val="auto"/>
        </w:rPr>
      </w:pPr>
    </w:p>
    <w:p>
      <w:pPr>
        <w:ind w:left="40" w:right="60" w:firstLine="268"/>
        <w:spacing w:after="0" w:line="286" w:lineRule="auto"/>
        <w:rPr>
          <w:sz w:val="20"/>
          <w:szCs w:val="20"/>
          <w:color w:val="auto"/>
        </w:rPr>
      </w:pPr>
      <w:r>
        <w:rPr>
          <w:rFonts w:ascii="Arial" w:cs="Arial" w:eastAsia="Arial" w:hAnsi="Arial"/>
          <w:sz w:val="16"/>
          <w:szCs w:val="16"/>
          <w:color w:val="auto"/>
        </w:rPr>
        <w:t>Our current intention is to make any future distributions out of assets legally available in the form of additional shares of our common stock under our dividend reinvestment plan, unless a stockholder elects to 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61" w:lineRule="exact"/>
        <w:rPr>
          <w:sz w:val="20"/>
          <w:szCs w:val="20"/>
          <w:color w:val="auto"/>
        </w:rPr>
      </w:pPr>
    </w:p>
    <w:p>
      <w:pPr>
        <w:ind w:left="40" w:firstLine="268"/>
        <w:spacing w:after="0" w:line="267" w:lineRule="auto"/>
        <w:rPr>
          <w:sz w:val="20"/>
          <w:szCs w:val="20"/>
          <w:color w:val="auto"/>
        </w:rPr>
      </w:pPr>
      <w:r>
        <w:rPr>
          <w:rFonts w:ascii="Arial" w:cs="Arial" w:eastAsia="Arial" w:hAnsi="Arial"/>
          <w:sz w:val="17"/>
          <w:szCs w:val="17"/>
          <w:color w:val="auto"/>
        </w:rPr>
        <w:t>We elected to be treated as a RIC under Subchapter M of the Code beginning with our taxable year ended December 31, 2014 and continue to qualify to be treated as a RIC. 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 order to qualify as a RIC and to avoid corporate-level tax on the income we distribute to our stockholders, we are required, under Subchapter M of the Code, to distribute at least 90% of our ordinary income and short-term capital gains to our stockholders on an annual basis. See “Note 1 — Nature of Operations and Significant Accounting Policies — Summary of Significant Accounting Policies — U.S. Federal and State Income Taxes” and “Note 8 — Income Taxes” to our condensed consolidated financial statements as of September 30, 2017 for more information. The GSVC Holdings included in our condensed consolidated financial statements are taxable subsidiaries, regardless of whether we are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Borrowings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5" w:lineRule="exact"/>
        <w:rPr>
          <w:sz w:val="20"/>
          <w:szCs w:val="20"/>
          <w:color w:val="auto"/>
        </w:rPr>
      </w:pPr>
    </w:p>
    <w:p>
      <w:pPr>
        <w:ind w:left="40" w:right="20" w:firstLine="268"/>
        <w:spacing w:after="0" w:line="289" w:lineRule="auto"/>
        <w:rPr>
          <w:sz w:val="20"/>
          <w:szCs w:val="20"/>
          <w:color w:val="auto"/>
        </w:rPr>
      </w:pPr>
      <w:r>
        <w:rPr>
          <w:rFonts w:ascii="Arial" w:cs="Arial" w:eastAsia="Arial" w:hAnsi="Arial"/>
          <w:sz w:val="16"/>
          <w:szCs w:val="16"/>
          <w:color w:val="auto"/>
        </w:rPr>
        <w:t>On September 17, 2013, we issued $69.0 million aggregate principal amount of Convertible Senior Notes (including $9.0 million aggregate principal amount issued pursuant to the exercise of the initial purchasers’ option to purchase additional Convertible Senior Notes), which bear interest at a fixed rate of 5.25% per year, are payable semi-annually and mature on September 15, 2018, unless previously repurchased or converted in accordance with their terms. We do not have the right to redeem the Convertible Senior Notes prior to maturity. As of September 30, 2017, the Convertible Senior Notes were convertible into shares of our common stock based on a conversion rate of 83.3596 shares of our common stock per $1,000 principal amount of the Convertible Senior Notes, which is equivalent to a conversion price of approximately $12.00 per share of common stock. Refer to “Note 9 — Debt Capital Activities” to our condensed consolidated financial statements as of September 30, 2017 for more information regarding the Convertible Senior Notes.</w:t>
      </w:r>
    </w:p>
    <w:p>
      <w:pPr>
        <w:spacing w:after="0" w:line="200" w:lineRule="exact"/>
        <w:rPr>
          <w:sz w:val="20"/>
          <w:szCs w:val="20"/>
          <w:color w:val="auto"/>
        </w:rPr>
      </w:pP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5" w:lineRule="exact"/>
        <w:rPr>
          <w:sz w:val="20"/>
          <w:szCs w:val="20"/>
          <w:color w:val="auto"/>
        </w:rPr>
      </w:pPr>
    </w:p>
    <w:p>
      <w:pPr>
        <w:ind w:left="40" w:right="40" w:firstLine="268"/>
        <w:spacing w:after="0" w:line="252" w:lineRule="auto"/>
        <w:rPr>
          <w:sz w:val="20"/>
          <w:szCs w:val="20"/>
          <w:color w:val="auto"/>
        </w:rPr>
      </w:pPr>
      <w:r>
        <w:rPr>
          <w:rFonts w:ascii="Arial" w:cs="Arial" w:eastAsia="Arial" w:hAnsi="Arial"/>
          <w:sz w:val="18"/>
          <w:szCs w:val="18"/>
          <w:color w:val="auto"/>
        </w:rPr>
        <w:t>On May 31, 2017, we entered into the Loan Agreement with Western Alliance Bank, pursuant to which Western Alliance Bank agreed to provide us with the $12.0 million Credit Facility. The Credit Facility, among other things, matures on the later of (i) August 15, 2018 or (ii) thirty days prior to the due date of the Convertible Senior Notes, which mature on September 15, 2018. The Credit Facility bears interest at a per annum rate equal to the prime rate plus 3.50%. In addition, a facility fee of $60,000 was charged upon closing of the Credit Facility, and the Loan Agreement requires payment of a fee for unused amounts during the revolving period in an amount equal to 0.50% per annum of the average unused portion of the Credit Facility payable quarterly in arrears. Refer to “Note 9 — Debt Capital Activities” to our condensed consolidated financial statements as of September 30, 2017 for more information regarding the Credit Facility.</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19" w:lineRule="exact"/>
        <w:rPr>
          <w:sz w:val="20"/>
          <w:szCs w:val="20"/>
          <w:color w:val="auto"/>
        </w:rPr>
      </w:pPr>
    </w:p>
    <w:p>
      <w:pPr>
        <w:ind w:left="40" w:right="80" w:firstLine="268"/>
        <w:spacing w:after="0" w:line="269"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1 — Nature of Operations and Significant Accounting Policies — Summary of Significant Accounting Policies” to our condensed consolidated financial statements as of September 30, 2017 for further detail regarding our critical accounting policies and recently issued accounting pronouncements.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115" w:lineRule="exact"/>
        <w:rPr>
          <w:sz w:val="20"/>
          <w:szCs w:val="20"/>
          <w:color w:val="auto"/>
        </w:rPr>
      </w:pPr>
    </w:p>
    <w:p>
      <w:pPr>
        <w:ind w:left="40" w:right="320" w:firstLine="268"/>
        <w:spacing w:after="0" w:line="272" w:lineRule="auto"/>
        <w:rPr>
          <w:sz w:val="20"/>
          <w:szCs w:val="20"/>
          <w:color w:val="auto"/>
        </w:rPr>
      </w:pPr>
      <w:r>
        <w:rPr>
          <w:rFonts w:ascii="Arial" w:cs="Arial" w:eastAsia="Arial" w:hAnsi="Arial"/>
          <w:sz w:val="18"/>
          <w:szCs w:val="18"/>
          <w:color w:val="auto"/>
        </w:rPr>
        <w:t>Please refer to “Note 10 — Subsequent Events” to our condensed consolidated financial statements as of September 30, 2017 for details regarding our portfolio activity from October 1, 2017 through November 9, 2017.</w:t>
      </w:r>
    </w:p>
    <w:p>
      <w:pPr>
        <w:spacing w:after="0" w:line="67" w:lineRule="exact"/>
        <w:rPr>
          <w:sz w:val="20"/>
          <w:szCs w:val="20"/>
          <w:color w:val="auto"/>
        </w:rPr>
      </w:pPr>
    </w:p>
    <w:p>
      <w:pPr>
        <w:ind w:left="40" w:right="140" w:firstLine="268"/>
        <w:spacing w:after="0" w:line="273"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5" w:lineRule="exact"/>
        <w:rPr>
          <w:sz w:val="20"/>
          <w:szCs w:val="20"/>
          <w:color w:val="auto"/>
        </w:rPr>
      </w:pPr>
    </w:p>
    <w:p>
      <w:pPr>
        <w:ind w:left="40" w:right="120" w:firstLine="268"/>
        <w:spacing w:after="0" w:line="272" w:lineRule="auto"/>
        <w:rPr>
          <w:sz w:val="20"/>
          <w:szCs w:val="20"/>
          <w:color w:val="auto"/>
        </w:rPr>
      </w:pPr>
      <w:r>
        <w:rPr>
          <w:rFonts w:ascii="Arial" w:cs="Arial" w:eastAsia="Arial" w:hAnsi="Arial"/>
          <w:sz w:val="18"/>
          <w:szCs w:val="18"/>
          <w:color w:val="auto"/>
        </w:rPr>
        <w:t>From October 1, 2017 through November 9, 2017, we repurchased 285,012 shares of our common stock pursuant to the Share Repurchase Program at an average price of $5.73 per share.</w:t>
      </w:r>
    </w:p>
    <w:p>
      <w:pPr>
        <w:spacing w:after="0" w:line="67" w:lineRule="exact"/>
        <w:rPr>
          <w:sz w:val="20"/>
          <w:szCs w:val="20"/>
          <w:color w:val="auto"/>
        </w:rPr>
      </w:pPr>
    </w:p>
    <w:p>
      <w:pPr>
        <w:ind w:left="40" w:right="100" w:firstLine="268"/>
        <w:spacing w:after="0" w:line="298" w:lineRule="auto"/>
        <w:rPr>
          <w:sz w:val="20"/>
          <w:szCs w:val="20"/>
          <w:color w:val="auto"/>
        </w:rPr>
      </w:pPr>
      <w:r>
        <w:rPr>
          <w:rFonts w:ascii="Arial" w:cs="Arial" w:eastAsia="Arial" w:hAnsi="Arial"/>
          <w:sz w:val="16"/>
          <w:szCs w:val="16"/>
          <w:color w:val="auto"/>
        </w:rPr>
        <w:t>On November 7, 2017, our board of directors authorized an extension of, and an increase in the amount of shares of our common stock that may be purchased under, the discretionary Share Repurchase Program until the earlier of (i) November 6, 2018 or (ii) the repurchase of $10.0 million in aggregate amount of our common stock. Under the Share Repurchase Program, we may repurchase our outstanding common stock in the open market provided that we comply with the prohibitions under our insider trading policies and procedures and the applicable provisions of the 1940 Act and the Exchange Act.</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 Transition</w:t>
      </w:r>
    </w:p>
    <w:p>
      <w:pPr>
        <w:spacing w:after="0" w:line="115" w:lineRule="exact"/>
        <w:rPr>
          <w:sz w:val="20"/>
          <w:szCs w:val="20"/>
          <w:color w:val="auto"/>
        </w:rPr>
      </w:pPr>
    </w:p>
    <w:p>
      <w:pPr>
        <w:ind w:left="40" w:firstLine="268"/>
        <w:spacing w:after="0" w:line="308" w:lineRule="auto"/>
        <w:rPr>
          <w:sz w:val="20"/>
          <w:szCs w:val="20"/>
          <w:color w:val="auto"/>
        </w:rPr>
      </w:pPr>
      <w:r>
        <w:rPr>
          <w:rFonts w:ascii="Arial" w:cs="Arial" w:eastAsia="Arial" w:hAnsi="Arial"/>
          <w:sz w:val="16"/>
          <w:szCs w:val="16"/>
          <w:color w:val="auto"/>
        </w:rPr>
        <w:t>On October 17, 2017, Mark Flynn resigned from his positions as our President and as a member of our board of directors, effective October 17, 2017. In connection with Mr. Flynn’s resignation, our board of directors reduced the number of directors that constitute the full board to six (6) directors from seven (7) directors. Mr. Flynn will continue to provide services to GSV Asset Management pursuant to a consulting agreement with GSV Asset Management.</w:t>
      </w:r>
    </w:p>
    <w:p>
      <w:pPr>
        <w:spacing w:after="0" w:line="200" w:lineRule="exact"/>
        <w:rPr>
          <w:sz w:val="20"/>
          <w:szCs w:val="20"/>
          <w:color w:val="auto"/>
        </w:rPr>
      </w:pPr>
    </w:p>
    <w:p>
      <w:pPr>
        <w:spacing w:after="0" w:line="28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6" w:name="page77"/>
    <w:bookmarkEnd w:id="7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ind w:left="60" w:firstLine="268"/>
        <w:spacing w:after="0" w:line="260" w:lineRule="auto"/>
        <w:rPr>
          <w:sz w:val="20"/>
          <w:szCs w:val="20"/>
          <w:color w:val="auto"/>
        </w:rPr>
      </w:pPr>
      <w:r>
        <w:rPr>
          <w:rFonts w:ascii="Arial" w:cs="Arial" w:eastAsia="Arial" w:hAnsi="Arial"/>
          <w:sz w:val="18"/>
          <w:szCs w:val="18"/>
          <w:color w:val="auto"/>
        </w:rPr>
        <w:t>In addition, on October 17, 2017, our board of directors appointed William Tanona to serve as our President, effective October 17, 2017, in order to fill the vacancy created by Mr. Flynn’s resignation as President. Mr. Tanona previously served, and continues to serve, as our Chief Financial Officer, Treasurer and Corporate Secretary.</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Management Fee Waiver</w:t>
      </w:r>
    </w:p>
    <w:p>
      <w:pPr>
        <w:spacing w:after="0" w:line="115" w:lineRule="exact"/>
        <w:rPr>
          <w:sz w:val="20"/>
          <w:szCs w:val="20"/>
          <w:color w:val="auto"/>
        </w:rPr>
      </w:pPr>
    </w:p>
    <w:p>
      <w:pPr>
        <w:ind w:left="60" w:right="140" w:firstLine="268"/>
        <w:spacing w:after="0" w:line="256" w:lineRule="auto"/>
        <w:rPr>
          <w:sz w:val="20"/>
          <w:szCs w:val="20"/>
          <w:color w:val="auto"/>
        </w:rPr>
      </w:pPr>
      <w:r>
        <w:rPr>
          <w:rFonts w:ascii="Arial" w:cs="Arial" w:eastAsia="Arial" w:hAnsi="Arial"/>
          <w:sz w:val="18"/>
          <w:szCs w:val="18"/>
          <w:color w:val="auto"/>
        </w:rPr>
        <w:t>Subsequent to quarter-end, GSV Asset Management voluntarily agreed to extend its waiver of a portion of the advisory fees payable by us to GSV Asset Management under the Advisory Agreement. Under the extension of the waiver, through December 31, 2018, we will pay GSV Asset Management a base management fee of 1.75%, a 0.25% reduction from the 2.0% base management fee payable under the Advisory Agreement. This waiver of a portion of the base management fee is not subject to recourse against or reimbursement by us.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115" w:lineRule="exact"/>
        <w:rPr>
          <w:sz w:val="20"/>
          <w:szCs w:val="20"/>
          <w:color w:val="auto"/>
        </w:rPr>
      </w:pPr>
    </w:p>
    <w:p>
      <w:pPr>
        <w:ind w:left="60" w:right="140" w:firstLine="268"/>
        <w:spacing w:after="0" w:line="273"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5" w:lineRule="exact"/>
        <w:rPr>
          <w:sz w:val="20"/>
          <w:szCs w:val="20"/>
          <w:color w:val="auto"/>
        </w:rPr>
      </w:pPr>
    </w:p>
    <w:p>
      <w:pPr>
        <w:ind w:left="60" w:right="160" w:firstLine="268"/>
        <w:spacing w:after="0" w:line="256"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83" w:lineRule="exact"/>
        <w:rPr>
          <w:sz w:val="20"/>
          <w:szCs w:val="20"/>
          <w:color w:val="auto"/>
        </w:rPr>
      </w:pPr>
    </w:p>
    <w:p>
      <w:pPr>
        <w:jc w:val="both"/>
        <w:ind w:left="60" w:right="140" w:firstLine="268"/>
        <w:spacing w:after="0" w:line="256" w:lineRule="auto"/>
        <w:rPr>
          <w:sz w:val="20"/>
          <w:szCs w:val="20"/>
          <w:color w:val="auto"/>
        </w:rPr>
      </w:pPr>
      <w:r>
        <w:rPr>
          <w:rFonts w:ascii="Arial" w:cs="Arial" w:eastAsia="Arial" w:hAnsi="Arial"/>
          <w:sz w:val="18"/>
          <w:szCs w:val="18"/>
          <w:color w:val="auto"/>
        </w:rPr>
        <w:t>As of September 30, 2017, all of our debt investments bore a fixed rate of interest. As of September 30, 2017, all of our borrowings bore a fixed rate of interest with the exception of the Credit Facility, which is indexed to the prime rate. We do not expect a significant impact on net investment income or loss due to changes in the prime rate, based on its historical stability. The table below, however, indicates the impact on our net investment income or loss should the prime rate change.</w:t>
      </w:r>
    </w:p>
    <w:p>
      <w:pPr>
        <w:spacing w:after="0" w:line="83" w:lineRule="exact"/>
        <w:rPr>
          <w:sz w:val="20"/>
          <w:szCs w:val="20"/>
          <w:color w:val="auto"/>
        </w:rPr>
      </w:pPr>
    </w:p>
    <w:p>
      <w:pPr>
        <w:jc w:val="both"/>
        <w:ind w:left="60" w:right="40" w:firstLine="268"/>
        <w:spacing w:after="0" w:line="260" w:lineRule="auto"/>
        <w:rPr>
          <w:sz w:val="20"/>
          <w:szCs w:val="20"/>
          <w:color w:val="auto"/>
        </w:rPr>
      </w:pPr>
      <w:r>
        <w:rPr>
          <w:rFonts w:ascii="Arial" w:cs="Arial" w:eastAsia="Arial" w:hAnsi="Arial"/>
          <w:sz w:val="18"/>
          <w:szCs w:val="18"/>
          <w:color w:val="auto"/>
        </w:rPr>
        <w:t>Based on our September 30, 2017 Condensed Consolidated Statement of Assets and Liabilities, the following table shows the various, incremental impact of changes in interest rates on our net income or loss related to the Credit Facility for the nine months ended September 30, 2017, assuming no changes in our investment income and borrowing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6060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16510</wp:posOffset>
            </wp:positionV>
            <wp:extent cx="23590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59025"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r>
              <w:rPr>
                <w:rFonts w:ascii="Arial" w:cs="Arial" w:eastAsia="Arial" w:hAnsi="Arial"/>
                <w:sz w:val="23"/>
                <w:szCs w:val="23"/>
                <w:b w:val="1"/>
                <w:bCs w:val="1"/>
                <w:color w:val="auto"/>
                <w:vertAlign w:val="superscript"/>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57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0"/>
        </w:trPr>
        <w:tc>
          <w:tcPr>
            <w:tcW w:w="6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Expense</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Income/(Loss)</w:t>
            </w:r>
          </w:p>
        </w:tc>
        <w:tc>
          <w:tcPr>
            <w:tcW w:w="0" w:type="dxa"/>
            <w:vAlign w:val="bottom"/>
          </w:tcPr>
          <w:p>
            <w:pPr>
              <w:spacing w:after="0"/>
              <w:rPr>
                <w:sz w:val="1"/>
                <w:szCs w:val="1"/>
                <w:color w:val="auto"/>
              </w:rPr>
            </w:pPr>
          </w:p>
        </w:tc>
      </w:tr>
      <w:tr>
        <w:trPr>
          <w:trHeight w:val="208"/>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270,000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15"/>
        </w:trPr>
        <w:tc>
          <w:tcPr>
            <w:tcW w:w="664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180,000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5"/>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90,000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5"/>
        </w:trPr>
        <w:tc>
          <w:tcPr>
            <w:tcW w:w="664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(90,000)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5"/>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 200 Basis points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(180,000)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27"/>
        </w:trPr>
        <w:tc>
          <w:tcPr>
            <w:tcW w:w="664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ind w:left="5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(270,000)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5"/>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161925</wp:posOffset>
            </wp:positionV>
            <wp:extent cx="61341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13410" cy="1714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00" w:hanging="274"/>
        <w:spacing w:after="0" w:line="260" w:lineRule="auto"/>
        <w:tabs>
          <w:tab w:leader="none" w:pos="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Assumes we have borrowed $12.0 million under the Credit Facility for the nine months ended September 30, 2017. Our actual borrowings under the Credit Facility will vary based on our needs throughout the year. For the nine months ended September 30, 2017, our actual average borrowings under the Credit Facility were $351,648.</w:t>
      </w: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400"/>
          </w:cols>
          <w:pgMar w:left="360" w:top="787" w:right="1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ind w:left="40" w:right="100" w:firstLine="268"/>
        <w:spacing w:after="0" w:line="260" w:lineRule="auto"/>
        <w:rPr>
          <w:sz w:val="20"/>
          <w:szCs w:val="20"/>
          <w:color w:val="auto"/>
        </w:rPr>
      </w:pPr>
      <w:r>
        <w:rPr>
          <w:rFonts w:ascii="Arial" w:cs="Arial" w:eastAsia="Arial" w:hAnsi="Arial"/>
          <w:sz w:val="18"/>
          <w:szCs w:val="18"/>
          <w:color w:val="auto"/>
        </w:rPr>
        <w:t>Although we believe that this measure is indicative of our sensitivity to the above-referenced interest rate changes, it does not reflect potential changes in credit quality, size and composition of the assets on our statement of assets and liabilities and other business developments that could affect net increase or decrease in net assets resulting from operations, or net income or loss.</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ind w:left="40" w:firstLine="268"/>
        <w:spacing w:after="0" w:line="287" w:lineRule="auto"/>
        <w:rPr>
          <w:sz w:val="20"/>
          <w:szCs w:val="20"/>
          <w:color w:val="auto"/>
        </w:rPr>
      </w:pPr>
      <w:r>
        <w:rPr>
          <w:rFonts w:ascii="Arial" w:cs="Arial" w:eastAsia="Arial" w:hAnsi="Arial"/>
          <w:sz w:val="16"/>
          <w:szCs w:val="16"/>
          <w:color w:val="auto"/>
        </w:rPr>
        <w:t>As of September 30, 2017, we,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64" w:lineRule="exact"/>
        <w:rPr>
          <w:sz w:val="20"/>
          <w:szCs w:val="20"/>
          <w:color w:val="auto"/>
        </w:rPr>
      </w:pPr>
    </w:p>
    <w:p>
      <w:pPr>
        <w:jc w:val="both"/>
        <w:ind w:left="40" w:right="300" w:firstLine="268"/>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quarter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33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bookmarkStart w:id="78" w:name="page79"/>
    <w:bookmarkEnd w:id="7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ind w:left="60" w:firstLine="268"/>
        <w:spacing w:after="0" w:line="272" w:lineRule="auto"/>
        <w:rPr>
          <w:sz w:val="20"/>
          <w:szCs w:val="20"/>
          <w:color w:val="auto"/>
        </w:rPr>
      </w:pPr>
      <w:r>
        <w:rPr>
          <w:rFonts w:ascii="Arial" w:cs="Arial" w:eastAsia="Arial" w:hAnsi="Arial"/>
          <w:sz w:val="18"/>
          <w:szCs w:val="18"/>
          <w:color w:val="auto"/>
        </w:rPr>
        <w:t>Although we and our subsidiaries may, from time to time, be involved in litigation arising out of our and our subsidiaries’ operations in the normal course of business or otherwise, neither we nor any of our subsidiaries are currently party to any pending material legal proceedings.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left="60" w:firstLine="268"/>
        <w:spacing w:after="0" w:line="251"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December 31, 2016, filed with the SEC on March 16, 2017, and in “Part II. Item 1A. Risk Factors” in our quarterly report on Form 10-Q for the period ended June 30, 2017, filed with the SEC on August 9, 2017, which could materially affect our business, financial condition and/or operating results. The risks described in our annual report on Form 10-K for the fiscal year ended December 31, 2016 and in our quarterly report on Form 10-Q for the period ended June 30, 2017 are not the only risks we face. Additional risks and uncertainties not currently known to us, or that we currently deem to be immaterial, also may materially and adversely affect our business, financial condition and/or operating results. During the three months ended September 30, 2017, there have been no material changes to the risk factors discussed in “Part I. Item 1A. Risk Factors” in our annual report on Form 10-K for the fiscal year ended December 31, 2016, and in “Part II. Item 1A. Risk Factors” in our quarterly report on Form 10-Q for the period ended June 30, 2017.</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9"/>
          <w:szCs w:val="29"/>
          <w:b w:val="1"/>
          <w:bCs w:val="1"/>
          <w:color w:val="auto"/>
          <w:vertAlign w:val="superscript"/>
        </w:rPr>
        <w:t>(1)</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relating to the Company’s purchases of its common stock during the three months ended September 30,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1291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2915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29210</wp:posOffset>
            </wp:positionV>
            <wp:extent cx="34747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7472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ind w:right="144"/>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44"/>
              <w:spacing w:after="0" w:line="147"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center"/>
              <w:ind w:right="144"/>
              <w:spacing w:after="0"/>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6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Number of</w:t>
            </w: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2"/>
              </w:rPr>
              <w:t>as Part of Publicly</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44"/>
              <w:spacing w:after="0" w:line="147" w:lineRule="exact"/>
              <w:rPr>
                <w:sz w:val="20"/>
                <w:szCs w:val="20"/>
                <w:color w:val="auto"/>
              </w:rPr>
            </w:pPr>
            <w:r>
              <w:rPr>
                <w:rFonts w:ascii="Arial" w:cs="Arial" w:eastAsia="Arial" w:hAnsi="Arial"/>
                <w:sz w:val="14"/>
                <w:szCs w:val="14"/>
                <w:b w:val="1"/>
                <w:bCs w:val="1"/>
                <w:color w:val="auto"/>
                <w:w w:val="92"/>
              </w:rPr>
              <w:t>Under the Share</w:t>
            </w:r>
          </w:p>
        </w:tc>
        <w:tc>
          <w:tcPr>
            <w:tcW w:w="0" w:type="dxa"/>
            <w:vAlign w:val="bottom"/>
          </w:tcPr>
          <w:p>
            <w:pPr>
              <w:spacing w:after="0"/>
              <w:rPr>
                <w:sz w:val="1"/>
                <w:szCs w:val="1"/>
                <w:color w:val="auto"/>
              </w:rPr>
            </w:pPr>
          </w:p>
        </w:tc>
      </w:tr>
      <w:tr>
        <w:trPr>
          <w:trHeight w:val="148"/>
        </w:trPr>
        <w:tc>
          <w:tcPr>
            <w:tcW w:w="4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2"/>
                <w:szCs w:val="12"/>
                <w:color w:val="auto"/>
              </w:rPr>
            </w:pPr>
          </w:p>
        </w:tc>
        <w:tc>
          <w:tcPr>
            <w:tcW w:w="14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Price Paid</w:t>
            </w:r>
          </w:p>
        </w:tc>
        <w:tc>
          <w:tcPr>
            <w:tcW w:w="160" w:type="dxa"/>
            <w:vAlign w:val="bottom"/>
          </w:tcPr>
          <w:p>
            <w:pPr>
              <w:spacing w:after="0"/>
              <w:rPr>
                <w:sz w:val="12"/>
                <w:szCs w:val="12"/>
                <w:color w:val="auto"/>
              </w:rPr>
            </w:pPr>
          </w:p>
        </w:tc>
        <w:tc>
          <w:tcPr>
            <w:tcW w:w="16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Announced Plans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jc w:val="center"/>
              <w:ind w:right="144"/>
              <w:spacing w:after="0" w:line="147"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74"/>
        </w:trPr>
        <w:tc>
          <w:tcPr>
            <w:tcW w:w="492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gridSpan w:val="2"/>
          </w:tcPr>
          <w:p>
            <w:pPr>
              <w:jc w:val="center"/>
              <w:ind w:right="20"/>
              <w:spacing w:after="0" w:line="174" w:lineRule="exact"/>
              <w:rPr>
                <w:sz w:val="20"/>
                <w:szCs w:val="20"/>
                <w:color w:val="auto"/>
              </w:rPr>
            </w:pPr>
            <w:r>
              <w:rPr>
                <w:rFonts w:ascii="Arial" w:cs="Arial" w:eastAsia="Arial" w:hAnsi="Arial"/>
                <w:sz w:val="13"/>
                <w:szCs w:val="13"/>
                <w:b w:val="1"/>
                <w:bCs w:val="1"/>
                <w:color w:val="auto"/>
                <w:w w:val="94"/>
              </w:rPr>
              <w:t>Purchased</w:t>
            </w:r>
            <w:r>
              <w:rPr>
                <w:rFonts w:ascii="Arial" w:cs="Arial" w:eastAsia="Arial" w:hAnsi="Arial"/>
                <w:sz w:val="20"/>
                <w:szCs w:val="20"/>
                <w:b w:val="1"/>
                <w:bCs w:val="1"/>
                <w:color w:val="auto"/>
                <w:w w:val="94"/>
                <w:vertAlign w:val="superscript"/>
              </w:rPr>
              <w:t>(2)</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5"/>
                <w:szCs w:val="15"/>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44"/>
              <w:spacing w:after="0" w:line="174" w:lineRule="exact"/>
              <w:rPr>
                <w:sz w:val="20"/>
                <w:szCs w:val="20"/>
                <w:color w:val="auto"/>
              </w:rPr>
            </w:pPr>
            <w:r>
              <w:rPr>
                <w:rFonts w:ascii="Arial" w:cs="Arial" w:eastAsia="Arial" w:hAnsi="Arial"/>
                <w:sz w:val="13"/>
                <w:szCs w:val="13"/>
                <w:b w:val="1"/>
                <w:bCs w:val="1"/>
                <w:color w:val="auto"/>
                <w:w w:val="97"/>
              </w:rPr>
              <w:t>Program</w:t>
            </w:r>
            <w:r>
              <w:rPr>
                <w:rFonts w:ascii="Arial" w:cs="Arial" w:eastAsia="Arial" w:hAnsi="Arial"/>
                <w:sz w:val="20"/>
                <w:szCs w:val="20"/>
                <w:b w:val="1"/>
                <w:bCs w:val="1"/>
                <w:color w:val="auto"/>
                <w:w w:val="97"/>
                <w:vertAlign w:val="superscript"/>
              </w:rPr>
              <w:t>(4)</w:t>
            </w:r>
          </w:p>
        </w:tc>
        <w:tc>
          <w:tcPr>
            <w:tcW w:w="0" w:type="dxa"/>
            <w:vAlign w:val="bottom"/>
          </w:tcPr>
          <w:p>
            <w:pPr>
              <w:spacing w:after="0"/>
              <w:rPr>
                <w:sz w:val="1"/>
                <w:szCs w:val="1"/>
                <w:color w:val="auto"/>
              </w:rPr>
            </w:pPr>
          </w:p>
        </w:tc>
      </w:tr>
      <w:tr>
        <w:trPr>
          <w:trHeight w:val="208"/>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July 1 through July 31, 2017</w:t>
            </w:r>
          </w:p>
        </w:tc>
        <w:tc>
          <w:tcPr>
            <w:tcW w:w="1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August 1 through August 31, 2017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301,712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80"/>
              <w:spacing w:after="0"/>
              <w:rPr>
                <w:sz w:val="20"/>
                <w:szCs w:val="20"/>
                <w:color w:val="auto"/>
              </w:rPr>
            </w:pPr>
            <w:r>
              <w:rPr>
                <w:rFonts w:ascii="Arial" w:cs="Arial" w:eastAsia="Arial" w:hAnsi="Arial"/>
                <w:sz w:val="18"/>
                <w:szCs w:val="18"/>
                <w:color w:val="auto"/>
              </w:rPr>
              <w:t>4.60</w:t>
            </w:r>
          </w:p>
        </w:tc>
        <w:tc>
          <w:tcPr>
            <w:tcW w:w="1820" w:type="dxa"/>
            <w:vAlign w:val="bottom"/>
            <w:gridSpan w:val="3"/>
          </w:tcPr>
          <w:p>
            <w:pPr>
              <w:jc w:val="right"/>
              <w:ind w:right="460"/>
              <w:spacing w:after="0"/>
              <w:rPr>
                <w:sz w:val="20"/>
                <w:szCs w:val="20"/>
                <w:color w:val="auto"/>
              </w:rPr>
            </w:pPr>
            <w:r>
              <w:rPr>
                <w:rFonts w:ascii="Arial" w:cs="Arial" w:eastAsia="Arial" w:hAnsi="Arial"/>
                <w:sz w:val="18"/>
                <w:szCs w:val="18"/>
                <w:color w:val="auto"/>
              </w:rPr>
              <w:t>291,712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3,658,307</w:t>
            </w:r>
          </w:p>
        </w:tc>
        <w:tc>
          <w:tcPr>
            <w:tcW w:w="0" w:type="dxa"/>
            <w:vAlign w:val="bottom"/>
          </w:tcPr>
          <w:p>
            <w:pPr>
              <w:spacing w:after="0"/>
              <w:rPr>
                <w:sz w:val="1"/>
                <w:szCs w:val="1"/>
                <w:color w:val="auto"/>
              </w:rPr>
            </w:pPr>
          </w:p>
        </w:tc>
      </w:tr>
      <w:tr>
        <w:trPr>
          <w:trHeight w:val="215"/>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September 1 through September 30, 2017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282,397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2,199,190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625,034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80"/>
              <w:spacing w:after="0" w:line="249" w:lineRule="exact"/>
              <w:rPr>
                <w:sz w:val="20"/>
                <w:szCs w:val="20"/>
                <w:color w:val="auto"/>
              </w:rPr>
            </w:pPr>
            <w:r>
              <w:rPr>
                <w:rFonts w:ascii="Arial" w:cs="Arial" w:eastAsia="Arial" w:hAnsi="Arial"/>
                <w:sz w:val="17"/>
                <w:szCs w:val="17"/>
                <w:color w:val="auto"/>
              </w:rPr>
              <w:t>574,109</w:t>
            </w:r>
            <w:r>
              <w:rPr>
                <w:rFonts w:ascii="Arial" w:cs="Arial" w:eastAsia="Arial" w:hAnsi="Arial"/>
                <w:sz w:val="28"/>
                <w:szCs w:val="28"/>
                <w:color w:val="auto"/>
                <w:vertAlign w:val="superscript"/>
              </w:rPr>
              <w:t>(3)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026275" cy="2044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026275" cy="204470"/>
                    </a:xfrm>
                    <a:prstGeom prst="rect">
                      <a:avLst/>
                    </a:prstGeom>
                    <a:noFill/>
                  </pic:spPr>
                </pic:pic>
              </a:graphicData>
            </a:graphic>
          </wp:anchor>
        </w:drawing>
      </w:r>
    </w:p>
    <w:p>
      <w:pPr>
        <w:spacing w:after="0" w:line="234" w:lineRule="exact"/>
        <w:rPr>
          <w:sz w:val="20"/>
          <w:szCs w:val="20"/>
          <w:color w:val="auto"/>
        </w:rPr>
      </w:pPr>
    </w:p>
    <w:p>
      <w:pPr>
        <w:ind w:left="300" w:right="20" w:hanging="274"/>
        <w:spacing w:after="0" w:line="287" w:lineRule="auto"/>
        <w:tabs>
          <w:tab w:leader="none" w:pos="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August 8, 2017, we announced the $5.0 million discretionary open-market Share Repurchase Program under which we may repurchase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September 30, 2017, we repurchased 574,109 shares of our common stock for approximately $2.8 million under the Share Repurchase Program.</w:t>
      </w:r>
    </w:p>
    <w:p>
      <w:pPr>
        <w:spacing w:after="0" w:line="63" w:lineRule="exact"/>
        <w:rPr>
          <w:rFonts w:ascii="Arial" w:cs="Arial" w:eastAsia="Arial" w:hAnsi="Arial"/>
          <w:sz w:val="16"/>
          <w:szCs w:val="16"/>
          <w:color w:val="auto"/>
        </w:rPr>
      </w:pPr>
    </w:p>
    <w:p>
      <w:pPr>
        <w:ind w:left="300" w:right="260" w:hanging="274"/>
        <w:spacing w:after="0" w:line="272"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purchases of our common stock made on the open market by or on behalf of any “affiliated purchaser,” as defined in Exchange Act Rule 10b-18(a)(3), of the Company.</w:t>
      </w:r>
    </w:p>
    <w:p>
      <w:pPr>
        <w:spacing w:after="0" w:line="67" w:lineRule="exact"/>
        <w:rPr>
          <w:rFonts w:ascii="Arial" w:cs="Arial" w:eastAsia="Arial" w:hAnsi="Arial"/>
          <w:sz w:val="18"/>
          <w:szCs w:val="18"/>
          <w:color w:val="auto"/>
        </w:rPr>
      </w:pPr>
    </w:p>
    <w:p>
      <w:pPr>
        <w:ind w:left="300" w:right="760" w:hanging="274"/>
        <w:spacing w:after="0" w:line="272" w:lineRule="auto"/>
        <w:tabs>
          <w:tab w:leader="none" w:pos="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Subsequent to period-end, through November 9, 2017, we repurchased an additional 285,012 shares of our common stock pursuant to the Share Repurchase Program at an average price of $5.73 per share.</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103505</wp:posOffset>
            </wp:positionV>
            <wp:extent cx="7289800" cy="596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360" w:top="787" w:right="19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6" w:lineRule="exact"/>
        <w:rPr>
          <w:sz w:val="20"/>
          <w:szCs w:val="20"/>
          <w:color w:val="auto"/>
        </w:rPr>
      </w:pPr>
    </w:p>
    <w:p>
      <w:pPr>
        <w:jc w:val="both"/>
        <w:ind w:left="280" w:right="20" w:hanging="274"/>
        <w:spacing w:after="0" w:line="283" w:lineRule="auto"/>
        <w:tabs>
          <w:tab w:leader="none" w:pos="2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As of November 9, 2017, due to our board of directors’ authorization of an extension of, and an increase in the amount of shares of our common stock that may be repurchased under, the Share Repurchase Program, and considering repurchases of our common stock subsequent to period-end, the dollar value of shares that may yet be purchased by us under the Share Repurchase Program is approximately $5.6 million.</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46837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683760" cy="8255"/>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sectPr>
      </w:pPr>
    </w:p>
    <w:p>
      <w:pPr>
        <w:spacing w:after="0" w:line="169" w:lineRule="exact"/>
        <w:rPr>
          <w:sz w:val="20"/>
          <w:szCs w:val="20"/>
          <w:color w:val="auto"/>
        </w:rPr>
      </w:pPr>
    </w:p>
    <w:p>
      <w:pPr>
        <w:ind w:left="180"/>
        <w:spacing w:after="0"/>
        <w:rPr>
          <w:rFonts w:ascii="Arial" w:cs="Arial" w:eastAsia="Arial" w:hAnsi="Arial"/>
          <w:sz w:val="15"/>
          <w:szCs w:val="15"/>
          <w:color w:val="0000EE"/>
        </w:rPr>
      </w:pPr>
      <w:hyperlink r:id="rId346">
        <w:r>
          <w:rPr>
            <w:rFonts w:ascii="Arial" w:cs="Arial" w:eastAsia="Arial" w:hAnsi="Arial"/>
            <w:sz w:val="15"/>
            <w:szCs w:val="15"/>
            <w:color w:val="0000EE"/>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10160</wp:posOffset>
            </wp:positionV>
            <wp:extent cx="170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62" w:lineRule="exact"/>
        <w:rPr>
          <w:sz w:val="20"/>
          <w:szCs w:val="20"/>
          <w:color w:val="auto"/>
        </w:rPr>
      </w:pPr>
    </w:p>
    <w:p>
      <w:pPr>
        <w:ind w:left="180"/>
        <w:spacing w:after="0"/>
        <w:rPr>
          <w:rFonts w:ascii="Arial" w:cs="Arial" w:eastAsia="Arial" w:hAnsi="Arial"/>
          <w:sz w:val="15"/>
          <w:szCs w:val="15"/>
          <w:color w:val="0000EE"/>
        </w:rPr>
      </w:pPr>
      <w:hyperlink r:id="rId348">
        <w:r>
          <w:rPr>
            <w:rFonts w:ascii="Arial" w:cs="Arial" w:eastAsia="Arial" w:hAnsi="Arial"/>
            <w:sz w:val="15"/>
            <w:szCs w:val="15"/>
            <w:color w:val="0000EE"/>
          </w:rPr>
          <w:t>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10160</wp:posOffset>
            </wp:positionV>
            <wp:extent cx="170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62" w:lineRule="exact"/>
        <w:rPr>
          <w:sz w:val="20"/>
          <w:szCs w:val="20"/>
          <w:color w:val="auto"/>
        </w:rPr>
      </w:pPr>
    </w:p>
    <w:p>
      <w:pPr>
        <w:ind w:left="180"/>
        <w:spacing w:after="0"/>
        <w:rPr>
          <w:rFonts w:ascii="Arial" w:cs="Arial" w:eastAsia="Arial" w:hAnsi="Arial"/>
          <w:sz w:val="15"/>
          <w:szCs w:val="15"/>
          <w:color w:val="0000EE"/>
        </w:rPr>
      </w:pPr>
      <w:hyperlink r:id="rId350">
        <w:r>
          <w:rPr>
            <w:rFonts w:ascii="Arial" w:cs="Arial" w:eastAsia="Arial" w:hAnsi="Arial"/>
            <w:sz w:val="15"/>
            <w:szCs w:val="15"/>
            <w:color w:val="0000EE"/>
          </w:rPr>
          <w:t>3.3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10160</wp:posOffset>
            </wp:positionV>
            <wp:extent cx="170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170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rFonts w:ascii="Arial" w:cs="Arial" w:eastAsia="Arial" w:hAnsi="Arial"/>
          <w:sz w:val="16"/>
          <w:szCs w:val="16"/>
          <w:u w:val="single" w:color="auto"/>
          <w:color w:val="0000EE"/>
        </w:rPr>
      </w:pPr>
      <w:hyperlink r:id="rId346">
        <w:r>
          <w:rPr>
            <w:rFonts w:ascii="Arial" w:cs="Arial" w:eastAsia="Arial" w:hAnsi="Arial"/>
            <w:sz w:val="16"/>
            <w:szCs w:val="16"/>
            <w:u w:val="single" w:color="auto"/>
            <w:color w:val="0000EE"/>
          </w:rPr>
          <w:t>Articles of Amendment and Restatement</w:t>
        </w:r>
        <w:r>
          <w:rPr>
            <w:rFonts w:ascii="Arial" w:cs="Arial" w:eastAsia="Arial" w:hAnsi="Arial"/>
            <w:sz w:val="26"/>
            <w:szCs w:val="26"/>
            <w:u w:val="single" w:color="auto"/>
            <w:color w:val="0000EE"/>
            <w:vertAlign w:val="superscript"/>
          </w:rPr>
          <w:t>(1)</w:t>
        </w:r>
      </w:hyperlink>
    </w:p>
    <w:p>
      <w:pPr>
        <w:spacing w:after="0" w:line="183" w:lineRule="auto"/>
        <w:rPr>
          <w:rFonts w:ascii="Arial" w:cs="Arial" w:eastAsia="Arial" w:hAnsi="Arial"/>
          <w:sz w:val="18"/>
          <w:szCs w:val="18"/>
          <w:u w:val="single" w:color="auto"/>
          <w:color w:val="0000EE"/>
        </w:rPr>
      </w:pPr>
      <w:hyperlink r:id="rId348">
        <w:r>
          <w:rPr>
            <w:rFonts w:ascii="Arial" w:cs="Arial" w:eastAsia="Arial" w:hAnsi="Arial"/>
            <w:sz w:val="18"/>
            <w:szCs w:val="18"/>
            <w:u w:val="single" w:color="auto"/>
            <w:color w:val="0000EE"/>
          </w:rPr>
          <w:t>Articles of Amendment</w:t>
        </w:r>
        <w:r>
          <w:rPr>
            <w:rFonts w:ascii="Arial" w:cs="Arial" w:eastAsia="Arial" w:hAnsi="Arial"/>
            <w:sz w:val="29"/>
            <w:szCs w:val="29"/>
            <w:u w:val="single" w:color="auto"/>
            <w:color w:val="0000EE"/>
            <w:vertAlign w:val="superscript"/>
          </w:rPr>
          <w:t>(2)</w:t>
        </w:r>
      </w:hyperlink>
    </w:p>
    <w:p>
      <w:pPr>
        <w:spacing w:after="0" w:line="183" w:lineRule="auto"/>
        <w:rPr>
          <w:rFonts w:ascii="Arial" w:cs="Arial" w:eastAsia="Arial" w:hAnsi="Arial"/>
          <w:sz w:val="18"/>
          <w:szCs w:val="18"/>
          <w:u w:val="single" w:color="auto"/>
          <w:color w:val="0000EE"/>
        </w:rPr>
      </w:pPr>
      <w:hyperlink r:id="rId350">
        <w:r>
          <w:rPr>
            <w:rFonts w:ascii="Arial" w:cs="Arial" w:eastAsia="Arial" w:hAnsi="Arial"/>
            <w:sz w:val="18"/>
            <w:szCs w:val="18"/>
            <w:u w:val="single" w:color="auto"/>
            <w:color w:val="0000EE"/>
          </w:rPr>
          <w:t>Bylaws</w:t>
        </w:r>
        <w:r>
          <w:rPr>
            <w:rFonts w:ascii="Arial" w:cs="Arial" w:eastAsia="Arial" w:hAnsi="Arial"/>
            <w:sz w:val="29"/>
            <w:szCs w:val="29"/>
            <w:u w:val="single" w:color="auto"/>
            <w:color w:val="0000EE"/>
            <w:vertAlign w:val="superscript"/>
          </w:rPr>
          <w:t>(1)</w:t>
        </w:r>
      </w:hyperlink>
    </w:p>
    <w:p>
      <w:pPr>
        <w:spacing w:after="0" w:line="1" w:lineRule="exact"/>
        <w:rPr>
          <w:sz w:val="20"/>
          <w:szCs w:val="20"/>
          <w:color w:val="auto"/>
        </w:rPr>
      </w:pPr>
    </w:p>
    <w:p>
      <w:pPr>
        <w:sectPr>
          <w:pgSz w:w="11900" w:h="16838" w:orient="portrait"/>
          <w:cols w:equalWidth="0" w:num="2">
            <w:col w:w="400" w:space="280"/>
            <w:col w:w="10700"/>
          </w:cols>
          <w:pgMar w:left="380" w:top="787" w:right="139" w:bottom="1440" w:gutter="0" w:footer="0" w:header="0"/>
          <w:type w:val="continuous"/>
        </w:sectPr>
      </w:pPr>
    </w:p>
    <w:p>
      <w:pPr>
        <w:ind w:left="680" w:right="480" w:hanging="581"/>
        <w:spacing w:after="0" w:line="261" w:lineRule="auto"/>
        <w:tabs>
          <w:tab w:leader="none" w:pos="660" w:val="left"/>
        </w:tabs>
        <w:rPr>
          <w:rFonts w:ascii="Arial" w:cs="Arial" w:eastAsia="Arial" w:hAnsi="Arial"/>
          <w:sz w:val="17"/>
          <w:szCs w:val="17"/>
          <w:u w:val="single" w:color="auto"/>
          <w:color w:val="0000EE"/>
        </w:rPr>
      </w:pPr>
      <w:hyperlink w:anchor="page56">
        <w:r>
          <w:rPr>
            <w:rFonts w:ascii="Arial" w:cs="Arial" w:eastAsia="Arial" w:hAnsi="Arial"/>
            <w:sz w:val="18"/>
            <w:szCs w:val="18"/>
            <w:u w:val="single" w:color="auto"/>
            <w:color w:val="0000EE"/>
          </w:rPr>
          <w:t>11.1</w:t>
        </w:r>
      </w:hyperlink>
      <w:r>
        <w:rPr>
          <w:rFonts w:ascii="Arial" w:cs="Arial" w:eastAsia="Arial" w:hAnsi="Arial"/>
          <w:sz w:val="18"/>
          <w:szCs w:val="18"/>
          <w:u w:val="single" w:color="auto"/>
          <w:color w:val="0000EE"/>
        </w:rPr>
        <w:tab/>
      </w:r>
      <w:hyperlink w:anchor="page56">
        <w:r>
          <w:rPr>
            <w:rFonts w:ascii="Arial" w:cs="Arial" w:eastAsia="Arial" w:hAnsi="Arial"/>
            <w:sz w:val="17"/>
            <w:szCs w:val="17"/>
            <w:u w:val="single" w:color="auto"/>
            <w:color w:val="0000EE"/>
          </w:rPr>
          <w:t>Statement re Computation of per Share Earnings (Included in “Note 5 — Net Increase/(Decrease) in Net Assets Resulting from Operations per</w:t>
        </w:r>
      </w:hyperlink>
      <w:r>
        <w:rPr>
          <w:rFonts w:ascii="Arial" w:cs="Arial" w:eastAsia="Arial" w:hAnsi="Arial"/>
          <w:sz w:val="17"/>
          <w:szCs w:val="17"/>
          <w:u w:val="single" w:color="auto"/>
          <w:color w:val="0000EE"/>
        </w:rPr>
        <w:t xml:space="preserve"> </w:t>
      </w:r>
      <w:hyperlink w:anchor="page56">
        <w:r>
          <w:rPr>
            <w:rFonts w:ascii="Arial" w:cs="Arial" w:eastAsia="Arial" w:hAnsi="Arial"/>
            <w:sz w:val="17"/>
            <w:szCs w:val="17"/>
            <w:u w:val="single" w:color="auto"/>
            <w:color w:val="0000EE"/>
          </w:rPr>
          <w:t>Common Share — Basic and Diluted” to our Condensed Consolidated Financial Statements contained in this report)*</w:t>
        </w:r>
      </w:hyperlink>
    </w:p>
    <w:p>
      <w:pPr>
        <w:spacing w:after="0" w:line="1" w:lineRule="exact"/>
        <w:rPr>
          <w:rFonts w:ascii="Arial" w:cs="Arial" w:eastAsia="Arial" w:hAnsi="Arial"/>
          <w:sz w:val="18"/>
          <w:szCs w:val="18"/>
          <w:u w:val="single" w:color="auto"/>
          <w:color w:val="0000EE"/>
        </w:rPr>
      </w:pPr>
    </w:p>
    <w:p>
      <w:pPr>
        <w:ind w:left="100"/>
        <w:spacing w:after="0"/>
        <w:tabs>
          <w:tab w:leader="none" w:pos="660" w:val="left"/>
        </w:tabs>
        <w:rPr>
          <w:rFonts w:ascii="Arial" w:cs="Arial" w:eastAsia="Arial" w:hAnsi="Arial"/>
          <w:sz w:val="16"/>
          <w:szCs w:val="16"/>
          <w:u w:val="single" w:color="auto"/>
          <w:color w:val="0000EE"/>
        </w:rPr>
      </w:pPr>
      <w:hyperlink w:anchor="page82">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82">
        <w:r>
          <w:rPr>
            <w:rFonts w:ascii="Arial" w:cs="Arial" w:eastAsia="Arial" w:hAnsi="Arial"/>
            <w:sz w:val="16"/>
            <w:szCs w:val="16"/>
            <w:u w:val="single" w:color="auto"/>
            <w:color w:val="0000EE"/>
          </w:rPr>
          <w:t>Certification of Chief Executive Officer pursuant to Rule 13a-14 of the Securities Exchange Act of 1934, as amended*</w:t>
        </w:r>
      </w:hyperlink>
    </w:p>
    <w:p>
      <w:pPr>
        <w:spacing w:after="0" w:line="8" w:lineRule="exact"/>
        <w:rPr>
          <w:sz w:val="20"/>
          <w:szCs w:val="20"/>
          <w:color w:val="auto"/>
        </w:rPr>
      </w:pPr>
    </w:p>
    <w:p>
      <w:pPr>
        <w:ind w:left="100"/>
        <w:spacing w:after="0"/>
        <w:tabs>
          <w:tab w:leader="none" w:pos="660" w:val="left"/>
        </w:tabs>
        <w:rPr>
          <w:rFonts w:ascii="Arial" w:cs="Arial" w:eastAsia="Arial" w:hAnsi="Arial"/>
          <w:sz w:val="16"/>
          <w:szCs w:val="16"/>
          <w:u w:val="single" w:color="auto"/>
          <w:color w:val="0000EE"/>
        </w:rPr>
      </w:pPr>
      <w:hyperlink w:anchor="page83">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83">
        <w:r>
          <w:rPr>
            <w:rFonts w:ascii="Arial" w:cs="Arial" w:eastAsia="Arial" w:hAnsi="Arial"/>
            <w:sz w:val="16"/>
            <w:szCs w:val="16"/>
            <w:u w:val="single" w:color="auto"/>
            <w:color w:val="0000EE"/>
          </w:rPr>
          <w:t>Certification of Chief Financial Officer pursuant to Rule 13a-14 of the Securities Exchange Act of 1934, as amended*</w:t>
        </w:r>
      </w:hyperlink>
    </w:p>
    <w:p>
      <w:pPr>
        <w:spacing w:after="0" w:line="8" w:lineRule="exact"/>
        <w:rPr>
          <w:sz w:val="20"/>
          <w:szCs w:val="20"/>
          <w:color w:val="auto"/>
        </w:rPr>
      </w:pPr>
    </w:p>
    <w:p>
      <w:pPr>
        <w:ind w:left="100"/>
        <w:spacing w:after="0"/>
        <w:tabs>
          <w:tab w:leader="none" w:pos="660" w:val="left"/>
        </w:tabs>
        <w:rPr>
          <w:rFonts w:ascii="Arial" w:cs="Arial" w:eastAsia="Arial" w:hAnsi="Arial"/>
          <w:sz w:val="16"/>
          <w:szCs w:val="16"/>
          <w:u w:val="single" w:color="auto"/>
          <w:color w:val="0000EE"/>
        </w:rPr>
      </w:pPr>
      <w:hyperlink w:anchor="page84">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84">
        <w:r>
          <w:rPr>
            <w:rFonts w:ascii="Arial" w:cs="Arial" w:eastAsia="Arial" w:hAnsi="Arial"/>
            <w:sz w:val="16"/>
            <w:szCs w:val="16"/>
            <w:u w:val="single" w:color="auto"/>
            <w:color w:val="0000EE"/>
          </w:rPr>
          <w:t>Certification of Chief Executive Officer pursuant to Section 906 of the Sarbanes-Oxley Act of 2002*</w:t>
        </w:r>
      </w:hyperlink>
    </w:p>
    <w:p>
      <w:pPr>
        <w:spacing w:after="0" w:line="8" w:lineRule="exact"/>
        <w:rPr>
          <w:sz w:val="20"/>
          <w:szCs w:val="20"/>
          <w:color w:val="auto"/>
        </w:rPr>
      </w:pPr>
    </w:p>
    <w:p>
      <w:pPr>
        <w:ind w:left="100"/>
        <w:spacing w:after="0"/>
        <w:tabs>
          <w:tab w:leader="none" w:pos="660" w:val="left"/>
        </w:tabs>
        <w:rPr>
          <w:rFonts w:ascii="Arial" w:cs="Arial" w:eastAsia="Arial" w:hAnsi="Arial"/>
          <w:sz w:val="16"/>
          <w:szCs w:val="16"/>
          <w:u w:val="single" w:color="auto"/>
          <w:color w:val="0000EE"/>
        </w:rPr>
      </w:pPr>
      <w:hyperlink w:anchor="page85">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85">
        <w:r>
          <w:rPr>
            <w:rFonts w:ascii="Arial" w:cs="Arial" w:eastAsia="Arial" w:hAnsi="Arial"/>
            <w:sz w:val="16"/>
            <w:szCs w:val="16"/>
            <w:u w:val="single" w:color="auto"/>
            <w:color w:val="0000EE"/>
          </w:rPr>
          <w:t>Certification of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175895</wp:posOffset>
            </wp:positionV>
            <wp:extent cx="61341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613410" cy="171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80" w:hanging="274"/>
        <w:spacing w:after="0"/>
        <w:tabs>
          <w:tab w:leader="none" w:pos="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5" w:lineRule="exact"/>
        <w:rPr>
          <w:sz w:val="20"/>
          <w:szCs w:val="20"/>
          <w:color w:val="auto"/>
        </w:rPr>
      </w:pPr>
    </w:p>
    <w:p>
      <w:pPr>
        <w:ind w:left="280" w:hanging="274"/>
        <w:spacing w:after="0" w:line="272" w:lineRule="auto"/>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67" w:lineRule="exact"/>
        <w:rPr>
          <w:rFonts w:ascii="Arial" w:cs="Arial" w:eastAsia="Arial" w:hAnsi="Arial"/>
          <w:sz w:val="18"/>
          <w:szCs w:val="18"/>
          <w:color w:val="auto"/>
        </w:rPr>
      </w:pPr>
    </w:p>
    <w:p>
      <w:pPr>
        <w:ind w:left="280" w:hanging="274"/>
        <w:spacing w:after="0"/>
        <w:tabs>
          <w:tab w:leader="none" w:pos="2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Previously filed in connection with Current Report on Form 8-K (File No. 814-00852) filed on June 1, 2011, and incorporated by reference herein.</w:t>
      </w:r>
    </w:p>
    <w:p>
      <w:pPr>
        <w:spacing w:after="0" w:line="200" w:lineRule="exact"/>
        <w:rPr>
          <w:sz w:val="20"/>
          <w:szCs w:val="20"/>
          <w:color w:val="auto"/>
        </w:rPr>
      </w:pPr>
    </w:p>
    <w:p>
      <w:pPr>
        <w:spacing w:after="0" w:line="36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103505</wp:posOffset>
            </wp:positionV>
            <wp:extent cx="7289800" cy="596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787" w:right="139" w:bottom="1440" w:gutter="0" w:footer="0" w:header="0"/>
          <w:type w:val="continuous"/>
        </w:sectPr>
      </w:pPr>
    </w:p>
    <w:bookmarkStart w:id="80" w:name="page81"/>
    <w:bookmarkEnd w:id="80"/>
    <w:p>
      <w:pPr>
        <w:ind w:left="14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9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SIGNATURES</w:t>
      </w:r>
    </w:p>
    <w:p>
      <w:pPr>
        <w:spacing w:after="0" w:line="119" w:lineRule="exact"/>
        <w:rPr>
          <w:sz w:val="20"/>
          <w:szCs w:val="20"/>
          <w:color w:val="auto"/>
        </w:rPr>
      </w:pPr>
    </w:p>
    <w:p>
      <w:pPr>
        <w:ind w:left="180" w:right="780" w:firstLine="268"/>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9525</wp:posOffset>
            </wp:positionV>
            <wp:extent cx="60210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6021070"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7780" w:type="dxa"/>
            <w:vAlign w:val="bottom"/>
            <w:gridSpan w:val="3"/>
          </w:tcPr>
          <w:p>
            <w:pPr>
              <w:ind w:left="1740"/>
              <w:spacing w:after="0"/>
              <w:rPr>
                <w:sz w:val="20"/>
                <w:szCs w:val="20"/>
                <w:color w:val="auto"/>
              </w:rPr>
            </w:pPr>
            <w:r>
              <w:rPr>
                <w:rFonts w:ascii="Arial" w:cs="Arial" w:eastAsia="Arial" w:hAnsi="Arial"/>
                <w:sz w:val="18"/>
                <w:szCs w:val="18"/>
                <w:b w:val="1"/>
                <w:bCs w:val="1"/>
                <w:color w:val="auto"/>
              </w:rPr>
              <w:t>GSV CAPITAL CORP.</w:t>
            </w:r>
          </w:p>
        </w:tc>
      </w:tr>
      <w:tr>
        <w:trPr>
          <w:trHeight w:val="231"/>
        </w:trPr>
        <w:tc>
          <w:tcPr>
            <w:tcW w:w="3660" w:type="dxa"/>
            <w:vAlign w:val="bottom"/>
          </w:tcPr>
          <w:p>
            <w:pPr>
              <w:ind w:left="140"/>
              <w:spacing w:after="0"/>
              <w:rPr>
                <w:sz w:val="20"/>
                <w:szCs w:val="20"/>
                <w:color w:val="auto"/>
              </w:rPr>
            </w:pPr>
            <w:r>
              <w:rPr>
                <w:rFonts w:ascii="Arial" w:cs="Arial" w:eastAsia="Arial" w:hAnsi="Arial"/>
                <w:sz w:val="18"/>
                <w:szCs w:val="18"/>
                <w:color w:val="auto"/>
              </w:rPr>
              <w:t>Date: November 9, 2017</w:t>
            </w:r>
          </w:p>
        </w:tc>
        <w:tc>
          <w:tcPr>
            <w:tcW w:w="7780" w:type="dxa"/>
            <w:vAlign w:val="bottom"/>
            <w:gridSpan w:val="3"/>
          </w:tcPr>
          <w:p>
            <w:pPr>
              <w:ind w:left="17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Mark Klein</w:t>
            </w:r>
          </w:p>
        </w:tc>
      </w:tr>
      <w:tr>
        <w:trPr>
          <w:trHeight w:val="195"/>
        </w:trPr>
        <w:tc>
          <w:tcPr>
            <w:tcW w:w="3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Klein</w:t>
            </w:r>
          </w:p>
        </w:tc>
        <w:tc>
          <w:tcPr>
            <w:tcW w:w="240" w:type="dxa"/>
            <w:vAlign w:val="bottom"/>
          </w:tcPr>
          <w:p>
            <w:pPr>
              <w:spacing w:after="0"/>
              <w:rPr>
                <w:sz w:val="16"/>
                <w:szCs w:val="16"/>
                <w:color w:val="auto"/>
              </w:rPr>
            </w:pPr>
          </w:p>
        </w:tc>
      </w:tr>
      <w:tr>
        <w:trPr>
          <w:trHeight w:val="215"/>
        </w:trPr>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11"/>
        </w:trPr>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231"/>
        </w:trPr>
        <w:tc>
          <w:tcPr>
            <w:tcW w:w="3660" w:type="dxa"/>
            <w:vAlign w:val="bottom"/>
          </w:tcPr>
          <w:p>
            <w:pPr>
              <w:ind w:left="140"/>
              <w:spacing w:after="0"/>
              <w:rPr>
                <w:sz w:val="20"/>
                <w:szCs w:val="20"/>
                <w:color w:val="auto"/>
              </w:rPr>
            </w:pPr>
            <w:r>
              <w:rPr>
                <w:rFonts w:ascii="Arial" w:cs="Arial" w:eastAsia="Arial" w:hAnsi="Arial"/>
                <w:sz w:val="18"/>
                <w:szCs w:val="18"/>
                <w:color w:val="auto"/>
              </w:rPr>
              <w:t>Date: November 9, 2017</w:t>
            </w:r>
          </w:p>
        </w:tc>
        <w:tc>
          <w:tcPr>
            <w:tcW w:w="7780" w:type="dxa"/>
            <w:vAlign w:val="bottom"/>
            <w:gridSpan w:val="3"/>
          </w:tcPr>
          <w:p>
            <w:pPr>
              <w:ind w:left="174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William Tanona</w:t>
            </w:r>
          </w:p>
        </w:tc>
      </w:tr>
      <w:tr>
        <w:trPr>
          <w:trHeight w:val="195"/>
        </w:trPr>
        <w:tc>
          <w:tcPr>
            <w:tcW w:w="36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Tanona</w:t>
            </w:r>
          </w:p>
        </w:tc>
        <w:tc>
          <w:tcPr>
            <w:tcW w:w="240" w:type="dxa"/>
            <w:vAlign w:val="bottom"/>
          </w:tcPr>
          <w:p>
            <w:pPr>
              <w:spacing w:after="0"/>
              <w:rPr>
                <w:sz w:val="16"/>
                <w:szCs w:val="16"/>
                <w:color w:val="auto"/>
              </w:rPr>
            </w:pPr>
          </w:p>
        </w:tc>
      </w:tr>
      <w:tr>
        <w:trPr>
          <w:trHeight w:val="215"/>
        </w:trPr>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President, Chief Financial Officer,</w:t>
            </w:r>
          </w:p>
        </w:tc>
      </w:tr>
      <w:tr>
        <w:trPr>
          <w:trHeight w:val="215"/>
        </w:trPr>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Treasurer and Secretary</w:t>
            </w:r>
          </w:p>
        </w:tc>
      </w:tr>
      <w:tr>
        <w:trPr>
          <w:trHeight w:val="227"/>
        </w:trPr>
        <w:tc>
          <w:tcPr>
            <w:tcW w:w="3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64"/>
        </w:trPr>
        <w:tc>
          <w:tcPr>
            <w:tcW w:w="3660" w:type="dxa"/>
            <w:vAlign w:val="bottom"/>
          </w:tcPr>
          <w:p>
            <w:pPr>
              <w:spacing w:after="0"/>
              <w:rPr>
                <w:sz w:val="24"/>
                <w:szCs w:val="24"/>
                <w:color w:val="auto"/>
              </w:rPr>
            </w:pPr>
          </w:p>
        </w:tc>
        <w:tc>
          <w:tcPr>
            <w:tcW w:w="7540" w:type="dxa"/>
            <w:vAlign w:val="bottom"/>
            <w:gridSpan w:val="2"/>
          </w:tcPr>
          <w:p>
            <w:pPr>
              <w:jc w:val="right"/>
              <w:ind w:right="5311"/>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24"/>
                <w:szCs w:val="24"/>
                <w:color w:val="auto"/>
              </w:rPr>
            </w:pPr>
          </w:p>
        </w:tc>
      </w:tr>
      <w:tr>
        <w:trPr>
          <w:trHeight w:val="163"/>
        </w:trPr>
        <w:tc>
          <w:tcPr>
            <w:tcW w:w="3660" w:type="dxa"/>
            <w:vAlign w:val="bottom"/>
            <w:tcBorders>
              <w:bottom w:val="single" w:sz="8" w:color="9A9A9A"/>
            </w:tcBorders>
          </w:tcPr>
          <w:p>
            <w:pPr>
              <w:spacing w:after="0"/>
              <w:rPr>
                <w:sz w:val="14"/>
                <w:szCs w:val="14"/>
                <w:color w:val="auto"/>
              </w:rPr>
            </w:pPr>
          </w:p>
        </w:tc>
        <w:tc>
          <w:tcPr>
            <w:tcW w:w="2100" w:type="dxa"/>
            <w:vAlign w:val="bottom"/>
            <w:tcBorders>
              <w:bottom w:val="single" w:sz="8" w:color="9A9A9A"/>
            </w:tcBorders>
          </w:tcPr>
          <w:p>
            <w:pPr>
              <w:spacing w:after="0"/>
              <w:rPr>
                <w:sz w:val="14"/>
                <w:szCs w:val="14"/>
                <w:color w:val="auto"/>
              </w:rPr>
            </w:pPr>
          </w:p>
        </w:tc>
        <w:tc>
          <w:tcPr>
            <w:tcW w:w="54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r>
      <w:tr>
        <w:trPr>
          <w:trHeight w:val="20"/>
        </w:trPr>
        <w:tc>
          <w:tcPr>
            <w:tcW w:w="3660" w:type="dxa"/>
            <w:vAlign w:val="bottom"/>
            <w:tcBorders>
              <w:bottom w:val="single" w:sz="8" w:color="EEEEEE"/>
            </w:tcBorders>
          </w:tcPr>
          <w:p>
            <w:pPr>
              <w:spacing w:after="0" w:line="20" w:lineRule="exact"/>
              <w:rPr>
                <w:sz w:val="1"/>
                <w:szCs w:val="1"/>
                <w:color w:val="auto"/>
              </w:rPr>
            </w:pPr>
          </w:p>
        </w:tc>
        <w:tc>
          <w:tcPr>
            <w:tcW w:w="2100" w:type="dxa"/>
            <w:vAlign w:val="bottom"/>
            <w:tcBorders>
              <w:bottom w:val="single" w:sz="8" w:color="EEEEEE"/>
            </w:tcBorders>
          </w:tcPr>
          <w:p>
            <w:pPr>
              <w:spacing w:after="0" w:line="20" w:lineRule="exact"/>
              <w:rPr>
                <w:sz w:val="1"/>
                <w:szCs w:val="1"/>
                <w:color w:val="auto"/>
              </w:rPr>
            </w:pPr>
          </w:p>
        </w:tc>
        <w:tc>
          <w:tcPr>
            <w:tcW w:w="54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-46355</wp:posOffset>
            </wp:positionV>
            <wp:extent cx="33655" cy="596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33655" cy="596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33655" cy="59690"/>
                    </a:xfrm>
                    <a:prstGeom prst="rect">
                      <a:avLst/>
                    </a:prstGeom>
                    <a:noFill/>
                  </pic:spPr>
                </pic:pic>
              </a:graphicData>
            </a:graphic>
          </wp:anchor>
        </w:drawing>
      </w:r>
    </w:p>
    <w:p>
      <w:pPr>
        <w:sectPr>
          <w:pgSz w:w="11900" w:h="16838" w:orient="portrait"/>
          <w:cols w:equalWidth="0" w:num="1">
            <w:col w:w="11440"/>
          </w:cols>
          <w:pgMar w:left="240" w:top="787" w:right="21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of GSV Capital Corp.</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Mark Klein, certify that:</w:t>
      </w:r>
    </w:p>
    <w:p>
      <w:pPr>
        <w:spacing w:after="0" w:line="115" w:lineRule="exact"/>
        <w:rPr>
          <w:sz w:val="20"/>
          <w:szCs w:val="20"/>
          <w:color w:val="auto"/>
        </w:rPr>
      </w:pPr>
    </w:p>
    <w:p>
      <w:pPr>
        <w:ind w:left="540" w:hanging="266"/>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4" w:lineRule="exact"/>
        <w:rPr>
          <w:rFonts w:ascii="Arial" w:cs="Arial" w:eastAsia="Arial" w:hAnsi="Arial"/>
          <w:sz w:val="18"/>
          <w:szCs w:val="18"/>
          <w:color w:val="auto"/>
        </w:rPr>
      </w:pPr>
    </w:p>
    <w:p>
      <w:pPr>
        <w:jc w:val="both"/>
        <w:ind w:left="540" w:right="440" w:hanging="266"/>
        <w:spacing w:after="0" w:line="26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40" w:right="400" w:hanging="266"/>
        <w:spacing w:after="0" w:line="302" w:lineRule="auto"/>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ind w:left="540" w:right="20" w:hanging="266"/>
        <w:spacing w:after="0" w:line="26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8"/>
          <w:szCs w:val="18"/>
          <w:color w:val="auto"/>
        </w:rPr>
      </w:pPr>
    </w:p>
    <w:p>
      <w:pPr>
        <w:jc w:val="both"/>
        <w:ind w:left="820" w:right="460" w:hanging="278"/>
        <w:spacing w:after="0" w:line="260"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120" w:hanging="278"/>
        <w:spacing w:after="0" w:line="260"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820" w:hanging="278"/>
        <w:spacing w:after="0" w:line="302" w:lineRule="auto"/>
        <w:tabs>
          <w:tab w:leader="none" w:pos="8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7"/>
          <w:szCs w:val="17"/>
          <w:color w:val="auto"/>
        </w:rPr>
      </w:pPr>
    </w:p>
    <w:p>
      <w:pPr>
        <w:jc w:val="both"/>
        <w:ind w:left="820" w:right="40" w:hanging="278"/>
        <w:spacing w:after="0" w:line="260"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320" w:hanging="266"/>
        <w:spacing w:after="0" w:line="302" w:lineRule="auto"/>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820" w:right="380" w:hanging="278"/>
        <w:spacing w:after="0" w:line="302" w:lineRule="auto"/>
        <w:tabs>
          <w:tab w:leader="none" w:pos="8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820" w:hanging="278"/>
        <w:spacing w:after="0" w:line="272" w:lineRule="auto"/>
        <w:tabs>
          <w:tab w:leader="none" w:pos="8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2017.</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By:/s/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3810</wp:posOffset>
            </wp:positionV>
            <wp:extent cx="13284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1328420"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Mark Klein</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444500</wp:posOffset>
            </wp:positionV>
            <wp:extent cx="7289800" cy="596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349" w:right="1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of GSV Capital Corp.</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Tanona, certify that:</w:t>
      </w:r>
    </w:p>
    <w:p>
      <w:pPr>
        <w:spacing w:after="0" w:line="115" w:lineRule="exact"/>
        <w:rPr>
          <w:sz w:val="20"/>
          <w:szCs w:val="20"/>
          <w:color w:val="auto"/>
        </w:rPr>
      </w:pPr>
    </w:p>
    <w:p>
      <w:pPr>
        <w:ind w:left="540" w:hanging="266"/>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4" w:lineRule="exact"/>
        <w:rPr>
          <w:rFonts w:ascii="Arial" w:cs="Arial" w:eastAsia="Arial" w:hAnsi="Arial"/>
          <w:sz w:val="18"/>
          <w:szCs w:val="18"/>
          <w:color w:val="auto"/>
        </w:rPr>
      </w:pPr>
    </w:p>
    <w:p>
      <w:pPr>
        <w:jc w:val="both"/>
        <w:ind w:left="540" w:right="440" w:hanging="266"/>
        <w:spacing w:after="0" w:line="260"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8"/>
          <w:szCs w:val="18"/>
          <w:color w:val="auto"/>
        </w:rPr>
      </w:pPr>
    </w:p>
    <w:p>
      <w:pPr>
        <w:ind w:left="540" w:right="400" w:hanging="266"/>
        <w:spacing w:after="0" w:line="302"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7"/>
          <w:szCs w:val="17"/>
          <w:color w:val="auto"/>
        </w:rPr>
      </w:pPr>
    </w:p>
    <w:p>
      <w:pPr>
        <w:ind w:left="540" w:right="20" w:hanging="266"/>
        <w:spacing w:after="0" w:line="260"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8"/>
          <w:szCs w:val="18"/>
          <w:color w:val="auto"/>
        </w:rPr>
      </w:pPr>
    </w:p>
    <w:p>
      <w:pPr>
        <w:jc w:val="both"/>
        <w:ind w:left="820" w:right="460" w:hanging="278"/>
        <w:spacing w:after="0" w:line="260" w:lineRule="auto"/>
        <w:tabs>
          <w:tab w:leader="none" w:pos="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120" w:hanging="278"/>
        <w:spacing w:after="0" w:line="260" w:lineRule="auto"/>
        <w:tabs>
          <w:tab w:leader="none" w:pos="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820" w:hanging="278"/>
        <w:spacing w:after="0" w:line="302" w:lineRule="auto"/>
        <w:tabs>
          <w:tab w:leader="none" w:pos="8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Arial" w:cs="Arial" w:eastAsia="Arial" w:hAnsi="Arial"/>
          <w:sz w:val="17"/>
          <w:szCs w:val="17"/>
          <w:color w:val="auto"/>
        </w:rPr>
      </w:pPr>
    </w:p>
    <w:p>
      <w:pPr>
        <w:jc w:val="both"/>
        <w:ind w:left="820" w:right="40" w:hanging="278"/>
        <w:spacing w:after="0" w:line="260" w:lineRule="auto"/>
        <w:tabs>
          <w:tab w:leader="none" w:pos="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320" w:hanging="266"/>
        <w:spacing w:after="0" w:line="302"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820" w:right="380" w:hanging="278"/>
        <w:spacing w:after="0" w:line="302" w:lineRule="auto"/>
        <w:tabs>
          <w:tab w:leader="none" w:pos="8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7"/>
          <w:szCs w:val="17"/>
          <w:color w:val="auto"/>
        </w:rPr>
      </w:pPr>
    </w:p>
    <w:p>
      <w:pPr>
        <w:ind w:left="820" w:hanging="278"/>
        <w:spacing w:after="0" w:line="272" w:lineRule="auto"/>
        <w:tabs>
          <w:tab w:leader="none" w:pos="8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2017.</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By:/s/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3810</wp:posOffset>
            </wp:positionV>
            <wp:extent cx="13284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1328420"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William Tanona</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444500</wp:posOffset>
            </wp:positionV>
            <wp:extent cx="7289800" cy="596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80"/>
          </w:cols>
          <w:pgMar w:left="380" w:top="349" w:right="1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2" w:lineRule="exact"/>
        <w:rPr>
          <w:sz w:val="20"/>
          <w:szCs w:val="20"/>
          <w:color w:val="auto"/>
        </w:rPr>
      </w:pPr>
    </w:p>
    <w:p>
      <w:pPr>
        <w:jc w:val="both"/>
        <w:ind w:firstLine="268"/>
        <w:spacing w:after="0" w:line="260" w:lineRule="auto"/>
        <w:rPr>
          <w:sz w:val="20"/>
          <w:szCs w:val="20"/>
          <w:color w:val="auto"/>
        </w:rPr>
      </w:pPr>
      <w:r>
        <w:rPr>
          <w:rFonts w:ascii="Arial" w:cs="Arial" w:eastAsia="Arial" w:hAnsi="Arial"/>
          <w:sz w:val="18"/>
          <w:szCs w:val="18"/>
          <w:color w:val="auto"/>
        </w:rPr>
        <w:t>In connection with the quarterly report on Form 10-Q for the quarter ended September 30, 2017 (the “Report”) of GSV Capital Corp. (the “Registrant”), as filed with the Securities and Exchange Commission on the date hereof, I, Mark Klein, the Chief Executive Officer of the Registrant, hereby certify, to the best of my knowledge, that:</w:t>
      </w:r>
    </w:p>
    <w:p>
      <w:pPr>
        <w:spacing w:after="0" w:line="78" w:lineRule="exact"/>
        <w:rPr>
          <w:sz w:val="20"/>
          <w:szCs w:val="20"/>
          <w:color w:val="auto"/>
        </w:rPr>
      </w:pPr>
    </w:p>
    <w:p>
      <w:pPr>
        <w:ind w:left="500" w:hanging="266"/>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4" w:lineRule="exact"/>
        <w:rPr>
          <w:rFonts w:ascii="Arial" w:cs="Arial" w:eastAsia="Arial" w:hAnsi="Arial"/>
          <w:sz w:val="18"/>
          <w:szCs w:val="18"/>
          <w:color w:val="auto"/>
        </w:rPr>
      </w:pPr>
    </w:p>
    <w:p>
      <w:pPr>
        <w:ind w:left="500" w:hanging="266"/>
        <w:spacing w:after="0"/>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3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13970</wp:posOffset>
            </wp:positionV>
            <wp:extent cx="515620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5156200" cy="17145"/>
                    </a:xfrm>
                    <a:prstGeom prst="rect">
                      <a:avLst/>
                    </a:prstGeom>
                    <a:noFill/>
                  </pic:spPr>
                </pic:pic>
              </a:graphicData>
            </a:graphic>
          </wp:anchor>
        </w:drawing>
      </w:r>
    </w:p>
    <w:p>
      <w:pPr>
        <w:spacing w:after="0" w:line="1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Mark Klein</w:t>
      </w:r>
    </w:p>
    <w:p>
      <w:pPr>
        <w:spacing w:after="0" w:line="2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444500</wp:posOffset>
            </wp:positionV>
            <wp:extent cx="7289800" cy="596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p>
      <w:pPr>
        <w:sectPr>
          <w:pgSz w:w="11900" w:h="16838" w:orient="portrait"/>
          <w:cols w:equalWidth="0" w:num="1">
            <w:col w:w="11340"/>
          </w:cols>
          <w:pgMar w:left="420" w:top="349" w:right="1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2" w:lineRule="exact"/>
        <w:rPr>
          <w:sz w:val="20"/>
          <w:szCs w:val="20"/>
          <w:color w:val="auto"/>
        </w:rPr>
      </w:pPr>
    </w:p>
    <w:p>
      <w:pPr>
        <w:ind w:firstLine="268"/>
        <w:spacing w:after="0" w:line="260" w:lineRule="auto"/>
        <w:rPr>
          <w:sz w:val="20"/>
          <w:szCs w:val="20"/>
          <w:color w:val="auto"/>
        </w:rPr>
      </w:pPr>
      <w:r>
        <w:rPr>
          <w:rFonts w:ascii="Arial" w:cs="Arial" w:eastAsia="Arial" w:hAnsi="Arial"/>
          <w:sz w:val="18"/>
          <w:szCs w:val="18"/>
          <w:color w:val="auto"/>
        </w:rPr>
        <w:t>In connection with the quarterly report on Form 10-Q for the quarter ended September 30, 2017 (the “Report”) of GSV Capital Corp. (the “Registrant”), as filed with the Securities and Exchange Commission on the date hereof, I, William Tanona, the Chief Financial Officer of the Registrant, hereby certify, to the best of my knowledge, that:</w:t>
      </w:r>
    </w:p>
    <w:p>
      <w:pPr>
        <w:spacing w:after="0" w:line="78" w:lineRule="exact"/>
        <w:rPr>
          <w:sz w:val="20"/>
          <w:szCs w:val="20"/>
          <w:color w:val="auto"/>
        </w:rPr>
      </w:pPr>
    </w:p>
    <w:p>
      <w:pPr>
        <w:ind w:left="500" w:hanging="266"/>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4" w:lineRule="exact"/>
        <w:rPr>
          <w:rFonts w:ascii="Arial" w:cs="Arial" w:eastAsia="Arial" w:hAnsi="Arial"/>
          <w:sz w:val="18"/>
          <w:szCs w:val="18"/>
          <w:color w:val="auto"/>
        </w:rPr>
      </w:pPr>
    </w:p>
    <w:p>
      <w:pPr>
        <w:ind w:left="500" w:hanging="266"/>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3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2044700</wp:posOffset>
            </wp:positionH>
            <wp:positionV relativeFrom="paragraph">
              <wp:posOffset>13970</wp:posOffset>
            </wp:positionV>
            <wp:extent cx="515620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5156200" cy="17145"/>
                    </a:xfrm>
                    <a:prstGeom prst="rect">
                      <a:avLst/>
                    </a:prstGeom>
                    <a:noFill/>
                  </pic:spPr>
                </pic:pic>
              </a:graphicData>
            </a:graphic>
          </wp:anchor>
        </w:drawing>
      </w:r>
    </w:p>
    <w:p>
      <w:pPr>
        <w:spacing w:after="0" w:line="1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William Tanona</w:t>
      </w:r>
    </w:p>
    <w:p>
      <w:pPr>
        <w:spacing w:after="0" w:line="2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November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444500</wp:posOffset>
            </wp:positionV>
            <wp:extent cx="7289800" cy="596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289800" cy="59690"/>
                    </a:xfrm>
                    <a:prstGeom prst="rect">
                      <a:avLst/>
                    </a:prstGeom>
                    <a:noFill/>
                  </pic:spPr>
                </pic:pic>
              </a:graphicData>
            </a:graphic>
          </wp:anchor>
        </w:drawing>
      </w:r>
    </w:p>
    <w:sectPr>
      <w:pgSz w:w="11900" w:h="16838" w:orient="portrait"/>
      <w:cols w:equalWidth="0" w:num="1">
        <w:col w:w="11340"/>
      </w:cols>
      <w:pgMar w:left="420" w:top="34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5"/>
    </w:lvl>
  </w:abstractNum>
  <w:abstractNum w:abstractNumId="12">
    <w:nsid w:val="3A95F874"/>
    <w:multiLevelType w:val="hybridMultilevel"/>
    <w:lvl w:ilvl="0">
      <w:lvlJc w:val="left"/>
      <w:lvlText w:val="(%1)"/>
      <w:numFmt w:val="decimal"/>
      <w:start w:val="16"/>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4"/>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2"/>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8"/>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decimal"/>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4"/>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7" Type="http://schemas.openxmlformats.org/officeDocument/2006/relationships/image" Target="media/image339.png"/><Relationship Id="rId349"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46" Type="http://schemas.openxmlformats.org/officeDocument/2006/relationships/hyperlink" Target="http://www.sec.gov/Archives/edgar/data/1509470/000113379611000069/k216228_ex99-2a.htm" TargetMode="External"/><Relationship Id="rId348" Type="http://schemas.openxmlformats.org/officeDocument/2006/relationships/hyperlink" Target="http://www.sec.gov/Archives/edgar/data/1509470/000114420411033389/v224342_ex3-1.htm" TargetMode="External"/><Relationship Id="rId350" Type="http://schemas.openxmlformats.org/officeDocument/2006/relationships/hyperlink" Target="http://www.sec.gov/Archives/edgar/data/1509470/000113379611000069/k216228_ex99-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2019-12-29T03:47:06Z</dcterms:created>
  <dcterms:modified xsi:type="dcterms:W3CDTF">2019-12-29T03:47:06Z</dcterms:modified>
</cp:coreProperties>
</file>