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240" w:right="1620" w:hanging="3232"/>
        <w:spacing w:after="0" w:line="407" w:lineRule="auto"/>
        <w:tabs>
          <w:tab w:leader="none" w:pos="65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2012</w:t>
      </w:r>
    </w:p>
    <w:p>
      <w:pPr>
        <w:spacing w:after="0" w:line="5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814-00852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GSV Capital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440" w:type="dxa"/>
        <w:tblCellMar>
          <w:top w:w="0" w:type="dxa"/>
          <w:left w:w="0" w:type="dxa"/>
          <w:bottom w:w="0" w:type="dxa"/>
          <w:right w:w="0" w:type="dxa"/>
        </w:tblCellMar>
      </w:tblPr>
      <w:tr>
        <w:trPr>
          <w:trHeight w:val="216"/>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6"/>
              </w:rPr>
              <w:t>Maryland</w:t>
            </w:r>
          </w:p>
        </w:tc>
        <w:tc>
          <w:tcPr>
            <w:tcW w:w="5220" w:type="dxa"/>
            <w:vAlign w:val="bottom"/>
          </w:tcPr>
          <w:p>
            <w:pPr>
              <w:jc w:val="right"/>
              <w:ind w:right="850"/>
              <w:spacing w:after="0"/>
              <w:rPr>
                <w:sz w:val="20"/>
                <w:szCs w:val="20"/>
                <w:color w:val="auto"/>
              </w:rPr>
            </w:pPr>
            <w:r>
              <w:rPr>
                <w:rFonts w:ascii="Arial" w:cs="Arial" w:eastAsia="Arial" w:hAnsi="Arial"/>
                <w:sz w:val="18"/>
                <w:szCs w:val="18"/>
                <w:b w:val="1"/>
                <w:bCs w:val="1"/>
                <w:color w:val="auto"/>
              </w:rPr>
              <w:t>27-4443543</w:t>
            </w:r>
          </w:p>
        </w:tc>
      </w:tr>
      <w:tr>
        <w:trPr>
          <w:trHeight w:val="234"/>
        </w:trPr>
        <w:tc>
          <w:tcPr>
            <w:tcW w:w="3280" w:type="dxa"/>
            <w:vAlign w:val="bottom"/>
          </w:tcPr>
          <w:p>
            <w:pPr>
              <w:jc w:val="center"/>
              <w:ind w:right="350"/>
              <w:spacing w:after="0"/>
              <w:rPr>
                <w:sz w:val="20"/>
                <w:szCs w:val="20"/>
                <w:color w:val="auto"/>
              </w:rPr>
            </w:pPr>
            <w:r>
              <w:rPr>
                <w:rFonts w:ascii="Arial" w:cs="Arial" w:eastAsia="Arial" w:hAnsi="Arial"/>
                <w:sz w:val="18"/>
                <w:szCs w:val="18"/>
                <w:color w:val="auto"/>
                <w:w w:val="91"/>
              </w:rPr>
              <w:t>(State of incorporation)</w:t>
            </w:r>
          </w:p>
        </w:tc>
        <w:tc>
          <w:tcPr>
            <w:tcW w:w="5220" w:type="dxa"/>
            <w:vAlign w:val="bottom"/>
          </w:tcPr>
          <w:p>
            <w:pPr>
              <w:jc w:val="center"/>
              <w:ind w:left="23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88"/>
              </w:rPr>
              <w:t>2965 Woodside Road</w:t>
            </w:r>
          </w:p>
        </w:tc>
        <w:tc>
          <w:tcPr>
            <w:tcW w:w="5220" w:type="dxa"/>
            <w:vAlign w:val="bottom"/>
          </w:tcPr>
          <w:p>
            <w:pPr>
              <w:spacing w:after="0"/>
              <w:rPr>
                <w:sz w:val="24"/>
                <w:szCs w:val="24"/>
                <w:color w:val="auto"/>
              </w:rPr>
            </w:pPr>
          </w:p>
        </w:tc>
      </w:tr>
      <w:tr>
        <w:trPr>
          <w:trHeight w:val="220"/>
        </w:trPr>
        <w:tc>
          <w:tcPr>
            <w:tcW w:w="32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Woodside, CA</w:t>
            </w:r>
          </w:p>
        </w:tc>
        <w:tc>
          <w:tcPr>
            <w:tcW w:w="5220" w:type="dxa"/>
            <w:vAlign w:val="bottom"/>
          </w:tcPr>
          <w:p>
            <w:pPr>
              <w:jc w:val="right"/>
              <w:ind w:right="1050"/>
              <w:spacing w:after="0"/>
              <w:rPr>
                <w:sz w:val="20"/>
                <w:szCs w:val="20"/>
                <w:color w:val="auto"/>
              </w:rPr>
            </w:pPr>
            <w:r>
              <w:rPr>
                <w:rFonts w:ascii="Arial" w:cs="Arial" w:eastAsia="Arial" w:hAnsi="Arial"/>
                <w:sz w:val="18"/>
                <w:szCs w:val="18"/>
                <w:b w:val="1"/>
                <w:bCs w:val="1"/>
                <w:color w:val="auto"/>
              </w:rPr>
              <w:t>94062</w:t>
            </w:r>
          </w:p>
        </w:tc>
      </w:tr>
      <w:tr>
        <w:trPr>
          <w:trHeight w:val="230"/>
        </w:trPr>
        <w:tc>
          <w:tcPr>
            <w:tcW w:w="328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5220" w:type="dxa"/>
            <w:vAlign w:val="bottom"/>
          </w:tcPr>
          <w:p>
            <w:pPr>
              <w:jc w:val="center"/>
              <w:ind w:left="2390"/>
              <w:spacing w:after="0"/>
              <w:rPr>
                <w:sz w:val="20"/>
                <w:szCs w:val="20"/>
                <w:color w:val="auto"/>
              </w:rPr>
            </w:pPr>
            <w:r>
              <w:rPr>
                <w:rFonts w:ascii="Arial" w:cs="Arial" w:eastAsia="Arial" w:hAnsi="Arial"/>
                <w:sz w:val="18"/>
                <w:szCs w:val="18"/>
                <w:color w:val="auto"/>
                <w:w w:val="91"/>
              </w:rPr>
              <w:t>(Zip Code)</w:t>
            </w:r>
          </w:p>
        </w:tc>
      </w:tr>
      <w:tr>
        <w:trPr>
          <w:trHeight w:val="432"/>
        </w:trPr>
        <w:tc>
          <w:tcPr>
            <w:tcW w:w="3280" w:type="dxa"/>
            <w:vAlign w:val="bottom"/>
          </w:tcPr>
          <w:p>
            <w:pPr>
              <w:spacing w:after="0"/>
              <w:rPr>
                <w:sz w:val="24"/>
                <w:szCs w:val="24"/>
                <w:color w:val="auto"/>
              </w:rPr>
            </w:pPr>
          </w:p>
        </w:tc>
        <w:tc>
          <w:tcPr>
            <w:tcW w:w="5220" w:type="dxa"/>
            <w:vAlign w:val="bottom"/>
          </w:tcPr>
          <w:p>
            <w:pPr>
              <w:jc w:val="right"/>
              <w:ind w:right="3570"/>
              <w:spacing w:after="0"/>
              <w:rPr>
                <w:sz w:val="20"/>
                <w:szCs w:val="20"/>
                <w:color w:val="auto"/>
              </w:rPr>
            </w:pPr>
            <w:r>
              <w:rPr>
                <w:rFonts w:ascii="Arial" w:cs="Arial" w:eastAsia="Arial" w:hAnsi="Arial"/>
                <w:sz w:val="18"/>
                <w:szCs w:val="18"/>
                <w:b w:val="1"/>
                <w:bCs w:val="1"/>
                <w:color w:val="auto"/>
              </w:rPr>
              <w:t>(650) 206-2965</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firstLine="54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422"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860"/>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460"/>
            <w:col w:w="5540" w:space="720"/>
            <w:col w:w="1340" w:space="720"/>
            <w:col w:w="1020"/>
          </w:cols>
          <w:pgMar w:left="240" w:top="42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540"/>
            <w:col w:w="160" w:space="80"/>
            <w:col w:w="5300" w:space="720"/>
            <w:col w:w="1980" w:space="80"/>
            <w:col w:w="1020"/>
          </w:cols>
          <w:pgMar w:left="240" w:top="422" w:right="239" w:bottom="1440" w:gutter="0" w:footer="0" w:header="0"/>
          <w:type w:val="continuous"/>
        </w:sectPr>
      </w:pPr>
    </w:p>
    <w:p>
      <w:pPr>
        <w:spacing w:after="0" w:line="16" w:lineRule="exact"/>
        <w:rPr>
          <w:sz w:val="24"/>
          <w:szCs w:val="24"/>
          <w:color w:val="auto"/>
        </w:rPr>
      </w:pPr>
    </w:p>
    <w:p>
      <w:pPr>
        <w:ind w:left="50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9400" w:space="220"/>
            <w:col w:w="220" w:space="140"/>
            <w:col w:w="1440"/>
          </w:cols>
          <w:pgMar w:left="240" w:top="422"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$0.01 par value, outstanding as of November 7, 2012 was 19,320,100.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PAGE</w:t>
            </w:r>
          </w:p>
        </w:tc>
      </w:tr>
      <w:tr>
        <w:trPr>
          <w:trHeight w:val="411"/>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600" w:type="dxa"/>
            <w:vAlign w:val="bottom"/>
          </w:tcPr>
          <w:p>
            <w:pPr>
              <w:ind w:left="280"/>
              <w:spacing w:after="0"/>
              <w:rPr>
                <w:sz w:val="20"/>
                <w:szCs w:val="20"/>
                <w:color w:val="auto"/>
              </w:rPr>
            </w:pPr>
            <w:r>
              <w:rPr>
                <w:rFonts w:ascii="Arial" w:cs="Arial" w:eastAsia="Arial" w:hAnsi="Arial"/>
                <w:sz w:val="18"/>
                <w:szCs w:val="18"/>
                <w:b w:val="1"/>
                <w:bCs w:val="1"/>
                <w:color w:val="auto"/>
              </w:rPr>
              <w:t>FINANCIAL INFORMATION</w:t>
            </w:r>
          </w:p>
        </w:tc>
        <w:tc>
          <w:tcPr>
            <w:tcW w:w="182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60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2"/>
              </w:rPr>
              <w:t>Consolidated Statements of Assets and Liabilities as of September 30, 2012 (unaudited) and December 31,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1"/>
              </w:rPr>
              <w:t>Consolidated Statements of Operations (unaudited) for the three and nine months ended September 30, 2012, for</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w w:val="95"/>
              </w:rPr>
              <w:t>the three months ended September 30, 2011 and for the period from January 6, 2011 (date of inception) to</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September 30,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3"/>
              </w:rPr>
              <w:t>Consolidated Statements of Changes in Net Assets (unaudited) for the nine months ended September 30, 2012</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and for the period from January 6, 2011 (date of inception) to September 30,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w w:val="93"/>
              </w:rPr>
              <w:t>Consolidated Statements of Cash Flows (unaudited) for the nine months ended September 30, 2012 and for the</w:t>
            </w:r>
          </w:p>
        </w:tc>
        <w:tc>
          <w:tcPr>
            <w:tcW w:w="18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600" w:type="dxa"/>
            <w:vAlign w:val="bottom"/>
          </w:tcPr>
          <w:p>
            <w:pPr>
              <w:ind w:left="500"/>
              <w:spacing w:after="0"/>
              <w:rPr>
                <w:sz w:val="20"/>
                <w:szCs w:val="20"/>
                <w:color w:val="auto"/>
              </w:rPr>
            </w:pPr>
            <w:r>
              <w:rPr>
                <w:rFonts w:ascii="Arial" w:cs="Arial" w:eastAsia="Arial" w:hAnsi="Arial"/>
                <w:sz w:val="18"/>
                <w:szCs w:val="18"/>
                <w:color w:val="auto"/>
              </w:rPr>
              <w:t>period from January 6, 2011 (date of inception) to September 30,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Consolidated Schedule of Investments as of September 30, 2012 (unaudited)</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Schedule of Investments as of December 31, 2011</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00" w:type="dxa"/>
            <w:vAlign w:val="bottom"/>
          </w:tcPr>
          <w:p>
            <w:pPr>
              <w:spacing w:after="0"/>
              <w:rPr>
                <w:sz w:val="18"/>
                <w:szCs w:val="18"/>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Notes to the Consolidated Financial Statements as of September 30, 2012 (unaudited)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60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600" w:type="dxa"/>
            <w:vAlign w:val="bottom"/>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60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41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600" w:type="dxa"/>
            <w:vAlign w:val="bottom"/>
          </w:tcPr>
          <w:p>
            <w:pPr>
              <w:ind w:left="280"/>
              <w:spacing w:after="0"/>
              <w:rPr>
                <w:sz w:val="20"/>
                <w:szCs w:val="20"/>
                <w:color w:val="auto"/>
              </w:rPr>
            </w:pPr>
            <w:r>
              <w:rPr>
                <w:rFonts w:ascii="Arial" w:cs="Arial" w:eastAsia="Arial" w:hAnsi="Arial"/>
                <w:sz w:val="18"/>
                <w:szCs w:val="18"/>
                <w:b w:val="1"/>
                <w:bCs w:val="1"/>
                <w:color w:val="auto"/>
              </w:rPr>
              <w:t>OTHER INFORMATION</w:t>
            </w:r>
          </w:p>
        </w:tc>
        <w:tc>
          <w:tcPr>
            <w:tcW w:w="1820" w:type="dxa"/>
            <w:vAlign w:val="bottom"/>
          </w:tcPr>
          <w:p>
            <w:pPr>
              <w:spacing w:after="0"/>
              <w:rPr>
                <w:sz w:val="24"/>
                <w:szCs w:val="24"/>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600" w:type="dxa"/>
            <w:vAlign w:val="bottom"/>
          </w:tcPr>
          <w:p>
            <w:pPr>
              <w:ind w:left="280"/>
              <w:spacing w:after="0"/>
              <w:rPr>
                <w:sz w:val="20"/>
                <w:szCs w:val="20"/>
                <w:color w:val="auto"/>
              </w:rPr>
            </w:pPr>
            <w:r>
              <w:rPr>
                <w:rFonts w:ascii="Arial" w:cs="Arial" w:eastAsia="Arial" w:hAnsi="Arial"/>
                <w:sz w:val="18"/>
                <w:szCs w:val="18"/>
                <w:color w:val="auto"/>
              </w:rPr>
              <w:t>Legal Proceedings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8600" w:type="dxa"/>
            <w:vAlign w:val="bottom"/>
          </w:tcPr>
          <w:p>
            <w:pPr>
              <w:ind w:left="280"/>
              <w:spacing w:after="0"/>
              <w:rPr>
                <w:sz w:val="20"/>
                <w:szCs w:val="20"/>
                <w:color w:val="auto"/>
              </w:rPr>
            </w:pPr>
            <w:r>
              <w:rPr>
                <w:rFonts w:ascii="Arial" w:cs="Arial" w:eastAsia="Arial" w:hAnsi="Arial"/>
                <w:sz w:val="18"/>
                <w:szCs w:val="18"/>
                <w:color w:val="auto"/>
              </w:rPr>
              <w:t>Risk Factors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600" w:type="dxa"/>
            <w:vAlign w:val="bottom"/>
          </w:tcPr>
          <w:p>
            <w:pPr>
              <w:ind w:left="280"/>
              <w:spacing w:after="0"/>
              <w:rPr>
                <w:sz w:val="20"/>
                <w:szCs w:val="20"/>
                <w:color w:val="auto"/>
              </w:rPr>
            </w:pPr>
            <w:r>
              <w:rPr>
                <w:rFonts w:ascii="Arial" w:cs="Arial" w:eastAsia="Arial" w:hAnsi="Arial"/>
                <w:sz w:val="18"/>
                <w:szCs w:val="18"/>
                <w:color w:val="auto"/>
              </w:rPr>
              <w:t>Unregistered Sales of Equity Securities and Use of Proceeds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600" w:type="dxa"/>
            <w:vAlign w:val="bottom"/>
          </w:tcPr>
          <w:p>
            <w:pPr>
              <w:ind w:left="280"/>
              <w:spacing w:after="0"/>
              <w:rPr>
                <w:sz w:val="20"/>
                <w:szCs w:val="20"/>
                <w:color w:val="auto"/>
              </w:rPr>
            </w:pPr>
            <w:r>
              <w:rPr>
                <w:rFonts w:ascii="Arial" w:cs="Arial" w:eastAsia="Arial" w:hAnsi="Arial"/>
                <w:sz w:val="18"/>
                <w:szCs w:val="18"/>
                <w:color w:val="auto"/>
              </w:rPr>
              <w:t>Defaults Upon Senior Securities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8600" w:type="dxa"/>
            <w:vAlign w:val="bottom"/>
          </w:tcPr>
          <w:p>
            <w:pPr>
              <w:ind w:left="280"/>
              <w:spacing w:after="0"/>
              <w:rPr>
                <w:sz w:val="20"/>
                <w:szCs w:val="20"/>
                <w:color w:val="auto"/>
              </w:rPr>
            </w:pPr>
            <w:r>
              <w:rPr>
                <w:rFonts w:ascii="Arial" w:cs="Arial" w:eastAsia="Arial" w:hAnsi="Arial"/>
                <w:sz w:val="18"/>
                <w:szCs w:val="18"/>
                <w:color w:val="auto"/>
              </w:rPr>
              <w:t>Mine Safety Disclosure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8600" w:type="dxa"/>
            <w:vAlign w:val="bottom"/>
          </w:tcPr>
          <w:p>
            <w:pPr>
              <w:ind w:left="280"/>
              <w:spacing w:after="0"/>
              <w:rPr>
                <w:sz w:val="20"/>
                <w:szCs w:val="20"/>
                <w:color w:val="auto"/>
              </w:rPr>
            </w:pPr>
            <w:r>
              <w:rPr>
                <w:rFonts w:ascii="Arial" w:cs="Arial" w:eastAsia="Arial" w:hAnsi="Arial"/>
                <w:sz w:val="18"/>
                <w:szCs w:val="18"/>
                <w:color w:val="auto"/>
              </w:rPr>
              <w:t>Other Information</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8600" w:type="dxa"/>
            <w:vAlign w:val="bottom"/>
          </w:tcPr>
          <w:p>
            <w:pPr>
              <w:ind w:left="280"/>
              <w:spacing w:after="0"/>
              <w:rPr>
                <w:sz w:val="20"/>
                <w:szCs w:val="20"/>
                <w:color w:val="auto"/>
              </w:rPr>
            </w:pPr>
            <w:r>
              <w:rPr>
                <w:rFonts w:ascii="Arial" w:cs="Arial" w:eastAsia="Arial" w:hAnsi="Arial"/>
                <w:sz w:val="18"/>
                <w:szCs w:val="18"/>
                <w:color w:val="auto"/>
              </w:rPr>
              <w:t>Exhibits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30"/>
        </w:trPr>
        <w:tc>
          <w:tcPr>
            <w:tcW w:w="1000" w:type="dxa"/>
            <w:vAlign w:val="bottom"/>
          </w:tcPr>
          <w:p>
            <w:pPr>
              <w:spacing w:after="0"/>
              <w:rPr>
                <w:sz w:val="20"/>
                <w:szCs w:val="20"/>
                <w:color w:val="auto"/>
              </w:rPr>
            </w:pPr>
          </w:p>
        </w:tc>
        <w:tc>
          <w:tcPr>
            <w:tcW w:w="8600" w:type="dxa"/>
            <w:vAlign w:val="bottom"/>
          </w:tcPr>
          <w:p>
            <w:pPr>
              <w:ind w:left="280"/>
              <w:spacing w:after="0"/>
              <w:rPr>
                <w:sz w:val="20"/>
                <w:szCs w:val="20"/>
                <w:color w:val="auto"/>
              </w:rPr>
            </w:pPr>
            <w:r>
              <w:rPr>
                <w:rFonts w:ascii="Arial" w:cs="Arial" w:eastAsia="Arial" w:hAnsi="Arial"/>
                <w:sz w:val="18"/>
                <w:szCs w:val="18"/>
                <w:color w:val="auto"/>
              </w:rPr>
              <w:t>Signatures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648"/>
        </w:trPr>
        <w:tc>
          <w:tcPr>
            <w:tcW w:w="100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ind w:left="4660"/>
              <w:spacing w:after="0"/>
              <w:rPr>
                <w:sz w:val="20"/>
                <w:szCs w:val="20"/>
                <w:color w:val="auto"/>
              </w:rPr>
            </w:pPr>
            <w:r>
              <w:rPr>
                <w:rFonts w:ascii="Arial" w:cs="Arial" w:eastAsia="Arial" w:hAnsi="Arial"/>
                <w:sz w:val="18"/>
                <w:szCs w:val="18"/>
                <w:color w:val="auto"/>
              </w:rPr>
              <w:t>2</w:t>
            </w: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Investments in affiliated securities (cost of $31,130,920 and $0, 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31,247,914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80"/>
              <w:spacing w:after="0"/>
              <w:rPr>
                <w:sz w:val="20"/>
                <w:szCs w:val="20"/>
                <w:color w:val="auto"/>
              </w:rPr>
            </w:pPr>
            <w:r>
              <w:rPr>
                <w:rFonts w:ascii="Arial" w:cs="Arial" w:eastAsia="Arial" w:hAnsi="Arial"/>
                <w:sz w:val="18"/>
                <w:szCs w:val="18"/>
                <w:color w:val="auto"/>
              </w:rPr>
              <w:t>Investments in non-control/non-affiliated securities (cost of $193,559,007 and $65,658,866, respectively)</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186,193,624</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64,078,150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Investment in United States treasury bill (cost of $0 and $19,999,128, respectively)</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20,000,044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80"/>
              <w:spacing w:after="0"/>
              <w:rPr>
                <w:sz w:val="20"/>
                <w:szCs w:val="20"/>
                <w:color w:val="auto"/>
              </w:rPr>
            </w:pPr>
            <w:r>
              <w:rPr>
                <w:rFonts w:ascii="Arial" w:cs="Arial" w:eastAsia="Arial" w:hAnsi="Arial"/>
                <w:sz w:val="18"/>
                <w:szCs w:val="18"/>
                <w:color w:val="auto"/>
              </w:rPr>
              <w:t>Investments in money market funds (cost of $16,000,000 and $7,000,000, respectively)</w:t>
            </w:r>
          </w:p>
        </w:tc>
        <w:tc>
          <w:tcPr>
            <w:tcW w:w="14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16,000,000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200"/>
              <w:spacing w:after="0"/>
              <w:rPr>
                <w:sz w:val="20"/>
                <w:szCs w:val="20"/>
                <w:color w:val="auto"/>
              </w:rPr>
            </w:pPr>
            <w:r>
              <w:rPr>
                <w:rFonts w:ascii="Arial" w:cs="Arial" w:eastAsia="Arial" w:hAnsi="Arial"/>
                <w:sz w:val="18"/>
                <w:szCs w:val="18"/>
                <w:color w:val="auto"/>
              </w:rPr>
              <w:t>Total Investments (cost of $240,689,927 and $92,657,994, respectively)</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233,441,538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26,331,482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Due from:</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GSV Asset Management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80"/>
              <w:spacing w:after="0"/>
              <w:rPr>
                <w:sz w:val="20"/>
                <w:szCs w:val="20"/>
                <w:color w:val="auto"/>
              </w:rPr>
            </w:pPr>
            <w:r>
              <w:rPr>
                <w:rFonts w:ascii="Arial" w:cs="Arial" w:eastAsia="Arial" w:hAnsi="Arial"/>
                <w:sz w:val="18"/>
                <w:szCs w:val="18"/>
                <w:color w:val="auto"/>
              </w:rPr>
              <w:t>Portfolio companies</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291,554</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136,096</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Dividend receivable</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2,190</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ind w:left="3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260,309,025</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91,798,242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Due to:</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80"/>
              <w:spacing w:after="0"/>
              <w:rPr>
                <w:sz w:val="20"/>
                <w:szCs w:val="20"/>
                <w:color w:val="auto"/>
              </w:rPr>
            </w:pPr>
            <w:r>
              <w:rPr>
                <w:rFonts w:ascii="Arial" w:cs="Arial" w:eastAsia="Arial" w:hAnsi="Arial"/>
                <w:sz w:val="18"/>
                <w:szCs w:val="18"/>
                <w:color w:val="auto"/>
              </w:rPr>
              <w:t>GSV Asset Management</w:t>
            </w:r>
          </w:p>
        </w:tc>
        <w:tc>
          <w:tcPr>
            <w:tcW w:w="1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41,197</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rPr>
              <w:t>Other affiliates</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Payable for unsettled securities transaction</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19,999,128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292,925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206,357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114,732</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tcPr>
          <w:p>
            <w:pPr>
              <w:ind w:left="3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449,771</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20,294,994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259,859,254</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71,503,248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11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Common stock, par value $0.01 per share</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(100,000,000 authorized; 19,320,100 and 5,520,100 issued and outstanding, 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193,201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Paid-in capital in excess of par</w:t>
            </w: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275,837,514</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73,027,847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Accumulated net investment loss</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(7,542,553)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Accumulated net realized loss on investments</w:t>
            </w:r>
          </w:p>
        </w:tc>
        <w:tc>
          <w:tcPr>
            <w:tcW w:w="1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(1,380,519)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Accumulated net unrealized depreciation on investments</w:t>
            </w: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(7,248,389)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(1,579,800)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FFCC"/>
              <w:bottom w:val="single" w:sz="8" w:color="CCFFCC"/>
            </w:tcBorders>
            <w:shd w:val="clear" w:color="auto" w:fill="CCFFCC"/>
          </w:tcPr>
          <w:p>
            <w:pPr>
              <w:ind w:left="300"/>
              <w:spacing w:after="0"/>
              <w:rPr>
                <w:sz w:val="20"/>
                <w:szCs w:val="20"/>
                <w:color w:val="auto"/>
              </w:rPr>
            </w:pPr>
            <w:r>
              <w:rPr>
                <w:rFonts w:ascii="Arial" w:cs="Arial" w:eastAsia="Arial" w:hAnsi="Arial"/>
                <w:sz w:val="18"/>
                <w:szCs w:val="18"/>
                <w:b w:val="1"/>
                <w:bCs w:val="1"/>
                <w:color w:val="auto"/>
              </w:rPr>
              <w:t>Net Assets</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259,859,254</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71,503,248</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4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Asset Value Per Share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13.45</w:t>
            </w:r>
          </w:p>
        </w:tc>
        <w:tc>
          <w:tcPr>
            <w:tcW w:w="200" w:type="dxa"/>
            <w:vAlign w:val="bottom"/>
            <w:shd w:val="clear" w:color="auto" w:fill="CCFFCC"/>
          </w:tcPr>
          <w:p>
            <w:pPr>
              <w:spacing w:after="0"/>
              <w:rPr>
                <w:sz w:val="21"/>
                <w:szCs w:val="21"/>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7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 INCOME</w:t>
            </w: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3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70"/>
              <w:spacing w:after="0" w:line="251"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9"/>
                <w:szCs w:val="29"/>
                <w:b w:val="1"/>
                <w:bCs w:val="1"/>
                <w:color w:val="auto"/>
                <w:vertAlign w:val="superscript"/>
              </w:rPr>
              <w:t>(1)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from affiliated securities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2,418</w:t>
            </w:r>
          </w:p>
        </w:tc>
        <w:tc>
          <w:tcPr>
            <w:tcW w:w="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200,195</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4,645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52,222</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21,852</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52,222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Dividend income</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6,865</w:t>
            </w:r>
          </w:p>
        </w:tc>
        <w:tc>
          <w:tcPr>
            <w:tcW w:w="1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20,040</w:t>
            </w: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Total Investment Income</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13,928</w:t>
            </w:r>
          </w:p>
        </w:tc>
        <w:tc>
          <w:tcPr>
            <w:tcW w:w="1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53,408</w:t>
            </w:r>
          </w:p>
        </w:tc>
        <w:tc>
          <w:tcPr>
            <w:tcW w:w="2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242,087</w:t>
            </w: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53,408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Investment management fees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1,351,169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233,961</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3,099,186</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384,904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Costs incurred under administration agreement</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543,171</w:t>
            </w: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192,031</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1,490,966</w:t>
            </w: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Directors’ fees</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65,000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42,500</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172,500</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242,683</w:t>
            </w: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152,916</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597,089</w:t>
            </w: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Insurance expense</w:t>
            </w: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56,133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47,192</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158,287</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Investor relations expense</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34,698</w:t>
            </w: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52,250</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143,986</w:t>
            </w: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Organization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6,336</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198,831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55,642</w:t>
            </w:r>
          </w:p>
        </w:tc>
        <w:tc>
          <w:tcPr>
            <w:tcW w:w="1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6,310</w:t>
            </w:r>
          </w:p>
        </w:tc>
        <w:tc>
          <w:tcPr>
            <w:tcW w:w="2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88,762</w:t>
            </w: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2,348,496</w:t>
            </w:r>
          </w:p>
        </w:tc>
        <w:tc>
          <w:tcPr>
            <w:tcW w:w="1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733,496</w:t>
            </w:r>
          </w:p>
        </w:tc>
        <w:tc>
          <w:tcPr>
            <w:tcW w:w="2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5,750,776</w:t>
            </w: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1,409,609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Investment Loss</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(2,334,568)</w:t>
            </w: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(680,088)</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(5,508,689)</w:t>
            </w: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Realized Loss on Investments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(1,380,519)</w:t>
            </w: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Change in Unrealized Depreciation on Investments</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(4,665,272)</w:t>
            </w:r>
          </w:p>
        </w:tc>
        <w:tc>
          <w:tcPr>
            <w:tcW w:w="1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(494,170)</w:t>
            </w:r>
          </w:p>
        </w:tc>
        <w:tc>
          <w:tcPr>
            <w:tcW w:w="2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(5,668,589)</w:t>
            </w:r>
          </w:p>
        </w:tc>
        <w:tc>
          <w:tcPr>
            <w:tcW w:w="2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(553,804)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(6,999,840)</w:t>
            </w:r>
          </w:p>
        </w:tc>
        <w:tc>
          <w:tcPr>
            <w:tcW w:w="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5"/>
              </w:rPr>
              <w:t>(1,174,258)</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(12,557,797)</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(1,910,005)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shd w:val="clear" w:color="auto" w:fill="CCFFCC"/>
          </w:tcPr>
          <w:p>
            <w:pPr>
              <w:ind w:left="300"/>
              <w:spacing w:after="0" w:line="198" w:lineRule="exact"/>
              <w:rPr>
                <w:sz w:val="20"/>
                <w:szCs w:val="20"/>
                <w:color w:val="auto"/>
              </w:rPr>
            </w:pPr>
            <w:r>
              <w:rPr>
                <w:rFonts w:ascii="Arial" w:cs="Arial" w:eastAsia="Arial" w:hAnsi="Arial"/>
                <w:sz w:val="18"/>
                <w:szCs w:val="18"/>
                <w:b w:val="1"/>
                <w:bCs w:val="1"/>
                <w:color w:val="auto"/>
                <w:w w:val="98"/>
              </w:rPr>
              <w:t>Net Decrease in Net Assets Resulting from Operations per</w:t>
            </w: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240" w:type="dxa"/>
            <w:vAlign w:val="bottom"/>
            <w:shd w:val="clear" w:color="auto" w:fill="CCFFCC"/>
          </w:tcPr>
          <w:p>
            <w:pPr>
              <w:ind w:left="460"/>
              <w:spacing w:after="0"/>
              <w:rPr>
                <w:sz w:val="20"/>
                <w:szCs w:val="20"/>
                <w:color w:val="auto"/>
              </w:rPr>
            </w:pPr>
            <w:r>
              <w:rPr>
                <w:rFonts w:ascii="Arial" w:cs="Arial" w:eastAsia="Arial" w:hAnsi="Arial"/>
                <w:sz w:val="18"/>
                <w:szCs w:val="18"/>
                <w:b w:val="1"/>
                <w:bCs w:val="1"/>
                <w:color w:val="auto"/>
              </w:rPr>
              <w:t>Common Share</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(0.36)</w:t>
            </w:r>
          </w:p>
        </w:tc>
        <w:tc>
          <w:tcPr>
            <w:tcW w:w="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(0.84)</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shd w:val="clear" w:color="auto" w:fill="CCFFCC"/>
          </w:tcPr>
          <w:p>
            <w:pPr>
              <w:ind w:left="300"/>
              <w:spacing w:after="0"/>
              <w:rPr>
                <w:sz w:val="20"/>
                <w:szCs w:val="20"/>
                <w:color w:val="auto"/>
              </w:rPr>
            </w:pPr>
            <w:r>
              <w:rPr>
                <w:rFonts w:ascii="Arial" w:cs="Arial" w:eastAsia="Arial" w:hAnsi="Arial"/>
                <w:sz w:val="18"/>
                <w:szCs w:val="18"/>
                <w:b w:val="1"/>
                <w:bCs w:val="1"/>
                <w:color w:val="auto"/>
              </w:rPr>
              <w:t>Weighted Average Common Shares Outstanding</w:t>
            </w:r>
          </w:p>
        </w:tc>
        <w:tc>
          <w:tcPr>
            <w:tcW w:w="2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19,320,100</w:t>
            </w:r>
          </w:p>
        </w:tc>
        <w:tc>
          <w:tcPr>
            <w:tcW w:w="1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3,430,100</w:t>
            </w:r>
          </w:p>
        </w:tc>
        <w:tc>
          <w:tcPr>
            <w:tcW w:w="22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15,013,896</w:t>
            </w:r>
          </w:p>
        </w:tc>
        <w:tc>
          <w:tcPr>
            <w:tcW w:w="22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spacing w:after="0" w:line="243" w:lineRule="exact"/>
              <w:rPr>
                <w:sz w:val="20"/>
                <w:szCs w:val="20"/>
                <w:color w:val="auto"/>
              </w:rPr>
            </w:pPr>
            <w:r>
              <w:rPr>
                <w:rFonts w:ascii="Arial" w:cs="Arial" w:eastAsia="Arial" w:hAnsi="Arial"/>
                <w:sz w:val="17"/>
                <w:szCs w:val="17"/>
                <w:color w:val="auto"/>
              </w:rPr>
              <w:t>2,460,565</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6"/>
          <w:szCs w:val="26"/>
          <w:b w:val="1"/>
          <w:bCs w:val="1"/>
          <w:color w:val="auto"/>
          <w:vertAlign w:val="superscript"/>
        </w:rPr>
      </w:pPr>
      <w:r>
        <w:rPr>
          <w:rFonts w:ascii="Arial" w:cs="Arial" w:eastAsia="Arial" w:hAnsi="Arial"/>
          <w:sz w:val="16"/>
          <w:szCs w:val="16"/>
          <w:color w:val="auto"/>
        </w:rPr>
        <w:t>For the period from January 6, 2011 (date of inception) to September 30, 2011.</w:t>
      </w:r>
    </w:p>
    <w:p>
      <w:pPr>
        <w:spacing w:after="0" w:line="242" w:lineRule="exact"/>
        <w:rPr>
          <w:rFonts w:ascii="Arial" w:cs="Arial" w:eastAsia="Arial" w:hAnsi="Arial"/>
          <w:sz w:val="26"/>
          <w:szCs w:val="26"/>
          <w:b w:val="1"/>
          <w:bCs w:val="1"/>
          <w:color w:val="auto"/>
          <w:vertAlign w:val="superscript"/>
        </w:rPr>
      </w:pPr>
    </w:p>
    <w:p>
      <w:pPr>
        <w:ind w:right="180" w:firstLine="8"/>
        <w:spacing w:after="0" w:line="227" w:lineRule="auto"/>
        <w:tabs>
          <w:tab w:leader="none" w:pos="212" w:val="left"/>
        </w:tabs>
        <w:numPr>
          <w:ilvl w:val="0"/>
          <w:numId w:val="3"/>
        </w:numPr>
        <w:rPr>
          <w:rFonts w:ascii="Arial" w:cs="Arial" w:eastAsia="Arial" w:hAnsi="Arial"/>
          <w:sz w:val="25"/>
          <w:szCs w:val="25"/>
          <w:b w:val="1"/>
          <w:bCs w:val="1"/>
          <w:color w:val="auto"/>
          <w:vertAlign w:val="superscript"/>
        </w:rPr>
      </w:pPr>
      <w:r>
        <w:rPr>
          <w:rFonts w:ascii="Arial" w:cs="Arial" w:eastAsia="Arial" w:hAnsi="Arial"/>
          <w:sz w:val="16"/>
          <w:szCs w:val="16"/>
          <w:color w:val="auto"/>
        </w:rPr>
        <w:t>Weighted average common shares for the period from January 6, 2011 (date of inception) to September 30, 2011 was calculated from the issuance of 100 shares on February 28,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For the period from January</w:t>
            </w:r>
          </w:p>
        </w:tc>
      </w:tr>
      <w:tr>
        <w:trPr>
          <w:trHeight w:val="216"/>
        </w:trPr>
        <w:tc>
          <w:tcPr>
            <w:tcW w:w="5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Nine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6, 2011 (date of inception) to</w:t>
            </w:r>
          </w:p>
        </w:tc>
      </w:tr>
      <w:tr>
        <w:trPr>
          <w:trHeight w:val="234"/>
        </w:trPr>
        <w:tc>
          <w:tcPr>
            <w:tcW w:w="5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September 30, 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September 30, 2011</w:t>
            </w:r>
          </w:p>
        </w:tc>
      </w:tr>
      <w:tr>
        <w:trPr>
          <w:trHeight w:val="210"/>
        </w:trPr>
        <w:tc>
          <w:tcPr>
            <w:tcW w:w="5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Decrease in Net Assets Resultqing From Operations</w:t>
            </w:r>
          </w:p>
        </w:tc>
        <w:tc>
          <w:tcPr>
            <w:tcW w:w="10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21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23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Loss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(5,508,689)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(1,356,201)</w:t>
            </w:r>
          </w:p>
        </w:tc>
      </w:tr>
      <w:tr>
        <w:trPr>
          <w:trHeight w:val="216"/>
        </w:trPr>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Net Realized Loss on Investments</w:t>
            </w:r>
          </w:p>
        </w:tc>
        <w:tc>
          <w:tcPr>
            <w:tcW w:w="10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(1,380,519)</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(5,668,589)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(553,804)</w:t>
            </w:r>
          </w:p>
        </w:tc>
      </w:tr>
      <w:tr>
        <w:trPr>
          <w:trHeight w:val="210"/>
        </w:trPr>
        <w:tc>
          <w:tcPr>
            <w:tcW w:w="5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0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2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(12,557,797</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2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(1,910,005</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Capital Share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Net Proceeds from Common Shares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Capital Share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jc w:val="right"/>
              <w:spacing w:after="0"/>
              <w:rPr>
                <w:sz w:val="20"/>
                <w:szCs w:val="20"/>
                <w:color w:val="auto"/>
              </w:rPr>
            </w:pPr>
            <w:r>
              <w:rPr>
                <w:rFonts w:ascii="Arial" w:cs="Arial" w:eastAsia="Arial" w:hAnsi="Arial"/>
                <w:sz w:val="18"/>
                <w:szCs w:val="18"/>
                <w:color w:val="auto"/>
              </w:rPr>
              <w:t>201,652,500</w:t>
            </w:r>
          </w:p>
        </w:tc>
        <w:tc>
          <w:tcPr>
            <w:tcW w:w="2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76,175,200</w:t>
            </w:r>
          </w:p>
        </w:tc>
        <w:tc>
          <w:tcPr>
            <w:tcW w:w="60" w:type="dxa"/>
            <w:vAlign w:val="bottom"/>
          </w:tcPr>
          <w:p>
            <w:pPr>
              <w:spacing w:after="0"/>
              <w:rPr>
                <w:sz w:val="18"/>
                <w:szCs w:val="18"/>
                <w:color w:val="auto"/>
              </w:rPr>
            </w:pPr>
          </w:p>
        </w:tc>
      </w:tr>
      <w:tr>
        <w:trPr>
          <w:trHeight w:val="244"/>
        </w:trPr>
        <w:tc>
          <w:tcPr>
            <w:tcW w:w="2620" w:type="dxa"/>
            <w:vAlign w:val="bottom"/>
            <w:gridSpan w:val="2"/>
          </w:tcPr>
          <w:p>
            <w:pPr>
              <w:jc w:val="right"/>
              <w:ind w:right="160"/>
              <w:spacing w:after="0"/>
              <w:rPr>
                <w:sz w:val="20"/>
                <w:szCs w:val="20"/>
                <w:color w:val="auto"/>
              </w:rPr>
            </w:pPr>
            <w:r>
              <w:rPr>
                <w:rFonts w:ascii="Arial" w:cs="Arial" w:eastAsia="Arial" w:hAnsi="Arial"/>
                <w:sz w:val="18"/>
                <w:szCs w:val="18"/>
                <w:color w:val="auto"/>
              </w:rPr>
              <w:t>(738,697)</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(1,077,166)</w:t>
            </w:r>
          </w:p>
        </w:tc>
      </w:tr>
      <w:tr>
        <w:trPr>
          <w:trHeight w:val="210"/>
        </w:trPr>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200,913,803</w:t>
            </w:r>
          </w:p>
        </w:tc>
        <w:tc>
          <w:tcPr>
            <w:tcW w:w="220" w:type="dxa"/>
            <w:vAlign w:val="bottom"/>
          </w:tcPr>
          <w:p>
            <w:pPr>
              <w:spacing w:after="0"/>
              <w:rPr>
                <w:sz w:val="18"/>
                <w:szCs w:val="18"/>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75,098,034</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-574040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-299720</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580" w:space="720"/>
            <w:col w:w="512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68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5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Net Assets</w:t>
            </w: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188,356,006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73,188,029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Net Assets at Beginning of Period</w:t>
            </w:r>
          </w:p>
        </w:tc>
        <w:tc>
          <w:tcPr>
            <w:tcW w:w="160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71,503,248</w:t>
            </w:r>
          </w:p>
        </w:tc>
        <w:tc>
          <w:tcPr>
            <w:tcW w:w="10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Assets at End of Period</w:t>
            </w:r>
          </w:p>
        </w:tc>
        <w:tc>
          <w:tcPr>
            <w:tcW w:w="1600" w:type="dxa"/>
            <w:vAlign w:val="bottom"/>
            <w:tcBorders>
              <w:bottom w:val="single" w:sz="8" w:color="CCFFC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259,859,254</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73,188,029</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6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5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Shares Issued</w:t>
            </w:r>
          </w:p>
        </w:tc>
        <w:tc>
          <w:tcPr>
            <w:tcW w:w="16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13,800,000</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5,520,100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Shares Outstanding at Beginning of Period</w:t>
            </w:r>
          </w:p>
        </w:tc>
        <w:tc>
          <w:tcPr>
            <w:tcW w:w="1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5,520,100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1600" w:type="dxa"/>
            <w:vAlign w:val="bottom"/>
            <w:tcBorders>
              <w:top w:val="single" w:sz="8" w:color="CCFFCC"/>
              <w:bottom w:val="single" w:sz="8" w:color="CCFFCC"/>
            </w:tcBorders>
            <w:shd w:val="clear" w:color="auto" w:fill="CCFFCC"/>
          </w:tcPr>
          <w:p>
            <w:pPr>
              <w:spacing w:after="0"/>
              <w:rPr>
                <w:sz w:val="19"/>
                <w:szCs w:val="19"/>
                <w:color w:val="auto"/>
              </w:rPr>
            </w:pPr>
          </w:p>
        </w:tc>
        <w:tc>
          <w:tcPr>
            <w:tcW w:w="800" w:type="dxa"/>
            <w:vAlign w:val="bottom"/>
            <w:tcBorders>
              <w:top w:val="single" w:sz="8" w:color="auto"/>
              <w:bottom w:val="single" w:sz="8" w:color="auto"/>
            </w:tcBorders>
            <w:shd w:val="clear" w:color="auto" w:fill="CCFFCC"/>
          </w:tcPr>
          <w:p>
            <w:pPr>
              <w:spacing w:after="0"/>
              <w:rPr>
                <w:sz w:val="19"/>
                <w:szCs w:val="19"/>
                <w:color w:val="auto"/>
              </w:rPr>
            </w:pPr>
          </w:p>
        </w:tc>
        <w:tc>
          <w:tcPr>
            <w:tcW w:w="1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19,320,100</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840" w:type="dxa"/>
            <w:vAlign w:val="bottom"/>
            <w:tcBorders>
              <w:top w:val="single" w:sz="8" w:color="auto"/>
              <w:bottom w:val="single" w:sz="8" w:color="auto"/>
            </w:tcBorders>
            <w:shd w:val="clear" w:color="auto" w:fill="CCFFCC"/>
          </w:tcPr>
          <w:p>
            <w:pPr>
              <w:spacing w:after="0"/>
              <w:rPr>
                <w:sz w:val="19"/>
                <w:szCs w:val="19"/>
                <w:color w:val="auto"/>
              </w:rPr>
            </w:pPr>
          </w:p>
        </w:tc>
        <w:tc>
          <w:tcPr>
            <w:tcW w:w="15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5,520,100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For the period from</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6, 2011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Nine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(date of inception) to</w:t>
            </w:r>
          </w:p>
        </w:tc>
        <w:tc>
          <w:tcPr>
            <w:tcW w:w="0" w:type="dxa"/>
            <w:vAlign w:val="bottom"/>
          </w:tcPr>
          <w:p>
            <w:pPr>
              <w:spacing w:after="0"/>
              <w:rPr>
                <w:sz w:val="1"/>
                <w:szCs w:val="1"/>
                <w:color w:val="auto"/>
              </w:rPr>
            </w:pPr>
          </w:p>
        </w:tc>
      </w:tr>
      <w:tr>
        <w:trPr>
          <w:trHeight w:val="234"/>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 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 2011</w:t>
            </w:r>
          </w:p>
        </w:tc>
        <w:tc>
          <w:tcPr>
            <w:tcW w:w="0" w:type="dxa"/>
            <w:vAlign w:val="bottom"/>
          </w:tcPr>
          <w:p>
            <w:pPr>
              <w:spacing w:after="0"/>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(12,557,797)</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(1,910,005)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Adjustments to reconcile net decrease in net assets resulting from</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100"/>
              <w:spacing w:after="0"/>
              <w:rPr>
                <w:sz w:val="20"/>
                <w:szCs w:val="20"/>
                <w:color w:val="auto"/>
              </w:rPr>
            </w:pPr>
            <w:r>
              <w:rPr>
                <w:rFonts w:ascii="Arial" w:cs="Arial" w:eastAsia="Arial" w:hAnsi="Arial"/>
                <w:sz w:val="18"/>
                <w:szCs w:val="18"/>
                <w:color w:val="auto"/>
              </w:rPr>
              <w:t>operations to net cash used in operating activities:</w:t>
            </w:r>
          </w:p>
        </w:tc>
        <w:tc>
          <w:tcPr>
            <w:tcW w:w="12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realized loss on investments</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1,380,519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change in unrealized depreciation on investments</w:t>
            </w:r>
          </w:p>
        </w:tc>
        <w:tc>
          <w:tcPr>
            <w:tcW w:w="120" w:type="dxa"/>
            <w:vAlign w:val="bottom"/>
            <w:shd w:val="clear" w:color="auto" w:fill="CCFFCC"/>
          </w:tcPr>
          <w:p>
            <w:pPr>
              <w:spacing w:after="0"/>
              <w:rPr>
                <w:sz w:val="18"/>
                <w:szCs w:val="18"/>
                <w:color w:val="auto"/>
              </w:rPr>
            </w:pPr>
          </w:p>
        </w:tc>
        <w:tc>
          <w:tcPr>
            <w:tcW w:w="1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5,668,589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553,804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investments in:</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Portfolio investments</w:t>
            </w:r>
          </w:p>
        </w:tc>
        <w:tc>
          <w:tcPr>
            <w:tcW w:w="120" w:type="dxa"/>
            <w:vAlign w:val="bottom"/>
            <w:shd w:val="clear" w:color="auto" w:fill="CCFFCC"/>
          </w:tcPr>
          <w:p>
            <w:pPr>
              <w:spacing w:after="0"/>
              <w:rPr>
                <w:sz w:val="18"/>
                <w:szCs w:val="18"/>
                <w:color w:val="auto"/>
              </w:rPr>
            </w:pPr>
          </w:p>
        </w:tc>
        <w:tc>
          <w:tcPr>
            <w:tcW w:w="1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(160,411,324)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(41,943,388)</w:t>
            </w: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United States treasury bill</w:t>
            </w:r>
          </w:p>
        </w:tc>
        <w:tc>
          <w:tcPr>
            <w:tcW w:w="12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(19,999,128)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50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FFCC"/>
          </w:tcPr>
          <w:p>
            <w:pPr>
              <w:spacing w:after="0"/>
              <w:rPr>
                <w:sz w:val="18"/>
                <w:szCs w:val="18"/>
                <w:color w:val="auto"/>
              </w:rPr>
            </w:pPr>
          </w:p>
        </w:tc>
        <w:tc>
          <w:tcPr>
            <w:tcW w:w="1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sales of investments in:</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500"/>
              <w:spacing w:after="0"/>
              <w:rPr>
                <w:sz w:val="20"/>
                <w:szCs w:val="20"/>
                <w:color w:val="auto"/>
              </w:rPr>
            </w:pPr>
            <w:r>
              <w:rPr>
                <w:rFonts w:ascii="Arial" w:cs="Arial" w:eastAsia="Arial" w:hAnsi="Arial"/>
                <w:sz w:val="18"/>
                <w:szCs w:val="18"/>
                <w:color w:val="auto"/>
              </w:rPr>
              <w:t>United States treasury bill</w:t>
            </w:r>
          </w:p>
        </w:tc>
        <w:tc>
          <w:tcPr>
            <w:tcW w:w="120" w:type="dxa"/>
            <w:vAlign w:val="bottom"/>
            <w:shd w:val="clear" w:color="auto" w:fill="CCFFCC"/>
          </w:tcPr>
          <w:p>
            <w:pPr>
              <w:spacing w:after="0"/>
              <w:rPr>
                <w:sz w:val="18"/>
                <w:szCs w:val="18"/>
                <w:color w:val="auto"/>
              </w:rPr>
            </w:pPr>
          </w:p>
        </w:tc>
        <w:tc>
          <w:tcPr>
            <w:tcW w:w="1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19,998,872</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Due from GSV Asset Management</w:t>
            </w:r>
          </w:p>
        </w:tc>
        <w:tc>
          <w:tcPr>
            <w:tcW w:w="120" w:type="dxa"/>
            <w:vAlign w:val="bottom"/>
          </w:tcPr>
          <w:p>
            <w:pPr>
              <w:spacing w:after="0"/>
              <w:rPr>
                <w:sz w:val="18"/>
                <w:szCs w:val="18"/>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10,155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Due from portfolio companies</w:t>
            </w:r>
          </w:p>
        </w:tc>
        <w:tc>
          <w:tcPr>
            <w:tcW w:w="120" w:type="dxa"/>
            <w:vAlign w:val="bottom"/>
            <w:shd w:val="clear" w:color="auto" w:fill="CCFFCC"/>
          </w:tcPr>
          <w:p>
            <w:pPr>
              <w:spacing w:after="0"/>
              <w:rPr>
                <w:sz w:val="18"/>
                <w:szCs w:val="18"/>
                <w:color w:val="auto"/>
              </w:rPr>
            </w:pPr>
          </w:p>
        </w:tc>
        <w:tc>
          <w:tcPr>
            <w:tcW w:w="1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(282,305)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158,389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(52,222)</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FFCC"/>
          </w:tcPr>
          <w:p>
            <w:pPr>
              <w:spacing w:after="0"/>
              <w:rPr>
                <w:sz w:val="18"/>
                <w:szCs w:val="18"/>
                <w:color w:val="auto"/>
              </w:rPr>
            </w:pPr>
          </w:p>
        </w:tc>
        <w:tc>
          <w:tcPr>
            <w:tcW w:w="1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(43,346)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(138,692)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Dividend receivable</w:t>
            </w:r>
          </w:p>
        </w:tc>
        <w:tc>
          <w:tcPr>
            <w:tcW w:w="12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18"/>
                <w:szCs w:val="18"/>
                <w:color w:val="auto"/>
              </w:rPr>
            </w:pPr>
          </w:p>
        </w:tc>
        <w:tc>
          <w:tcPr>
            <w:tcW w:w="1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(100,154)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Due to GSV Asset Management</w:t>
            </w:r>
          </w:p>
        </w:tc>
        <w:tc>
          <w:tcPr>
            <w:tcW w:w="12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(37,230)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Due to other affiliates</w:t>
            </w:r>
          </w:p>
        </w:tc>
        <w:tc>
          <w:tcPr>
            <w:tcW w:w="120" w:type="dxa"/>
            <w:vAlign w:val="bottom"/>
            <w:shd w:val="clear" w:color="auto" w:fill="CCFFCC"/>
          </w:tcPr>
          <w:p>
            <w:pPr>
              <w:spacing w:after="0"/>
              <w:rPr>
                <w:sz w:val="18"/>
                <w:szCs w:val="18"/>
                <w:color w:val="auto"/>
              </w:rPr>
            </w:pPr>
          </w:p>
        </w:tc>
        <w:tc>
          <w:tcPr>
            <w:tcW w:w="1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(9,865)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34,635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388,812</w:t>
            </w:r>
          </w:p>
        </w:tc>
        <w:tc>
          <w:tcPr>
            <w:tcW w:w="0" w:type="dxa"/>
            <w:vAlign w:val="bottom"/>
          </w:tcPr>
          <w:p>
            <w:pPr>
              <w:spacing w:after="0"/>
              <w:rPr>
                <w:sz w:val="1"/>
                <w:szCs w:val="1"/>
                <w:color w:val="auto"/>
              </w:rPr>
            </w:pPr>
          </w:p>
        </w:tc>
      </w:tr>
      <w:tr>
        <w:trPr>
          <w:trHeight w:val="216"/>
        </w:trPr>
        <w:tc>
          <w:tcPr>
            <w:tcW w:w="7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Accrued offering expenses</w:t>
            </w:r>
          </w:p>
        </w:tc>
        <w:tc>
          <w:tcPr>
            <w:tcW w:w="120" w:type="dxa"/>
            <w:vAlign w:val="bottom"/>
            <w:shd w:val="clear" w:color="auto" w:fill="CCFFCC"/>
          </w:tcPr>
          <w:p>
            <w:pPr>
              <w:spacing w:after="0"/>
              <w:rPr>
                <w:sz w:val="18"/>
                <w:szCs w:val="18"/>
                <w:color w:val="auto"/>
              </w:rPr>
            </w:pPr>
          </w:p>
        </w:tc>
        <w:tc>
          <w:tcPr>
            <w:tcW w:w="1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98,627</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114,432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23"/>
        </w:trPr>
        <w:tc>
          <w:tcPr>
            <w:tcW w:w="744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auto"/>
            </w:tcBorders>
            <w:shd w:val="clear" w:color="auto" w:fill="CCFFCC"/>
          </w:tcPr>
          <w:p>
            <w:pPr>
              <w:spacing w:after="0"/>
              <w:rPr>
                <w:sz w:val="19"/>
                <w:szCs w:val="19"/>
                <w:color w:val="auto"/>
              </w:rPr>
            </w:pPr>
          </w:p>
        </w:tc>
        <w:tc>
          <w:tcPr>
            <w:tcW w:w="1720" w:type="dxa"/>
            <w:vAlign w:val="bottom"/>
            <w:tcBorders>
              <w:top w:val="single" w:sz="8" w:color="auto"/>
            </w:tcBorders>
            <w:shd w:val="clear" w:color="auto" w:fill="CCFFCC"/>
          </w:tcPr>
          <w:p>
            <w:pPr>
              <w:spacing w:after="0"/>
              <w:rPr>
                <w:sz w:val="19"/>
                <w:szCs w:val="19"/>
                <w:color w:val="auto"/>
              </w:rPr>
            </w:pPr>
          </w:p>
        </w:tc>
        <w:tc>
          <w:tcPr>
            <w:tcW w:w="14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auto"/>
            </w:tcBorders>
            <w:shd w:val="clear" w:color="auto" w:fill="CCFFCC"/>
          </w:tcPr>
          <w:p>
            <w:pPr>
              <w:spacing w:after="0"/>
              <w:rPr>
                <w:sz w:val="19"/>
                <w:szCs w:val="19"/>
                <w:color w:val="auto"/>
              </w:rPr>
            </w:pPr>
          </w:p>
        </w:tc>
        <w:tc>
          <w:tcPr>
            <w:tcW w:w="1720" w:type="dxa"/>
            <w:vAlign w:val="bottom"/>
            <w:tcBorders>
              <w:top w:val="single" w:sz="8" w:color="auto"/>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32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common shares issued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costs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Net Cash Provided by Financing Activities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Increase in Cash Balance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Balance at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(174,968,316)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(42,999,827)</w:t>
            </w:r>
          </w:p>
        </w:tc>
      </w:tr>
      <w:tr>
        <w:trPr>
          <w:trHeight w:val="627"/>
        </w:trPr>
        <w:tc>
          <w:tcPr>
            <w:tcW w:w="4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201,652,500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76,175,200</w:t>
            </w:r>
          </w:p>
        </w:tc>
        <w:tc>
          <w:tcPr>
            <w:tcW w:w="60" w:type="dxa"/>
            <w:vAlign w:val="bottom"/>
          </w:tcPr>
          <w:p>
            <w:pPr>
              <w:spacing w:after="0"/>
              <w:rPr>
                <w:sz w:val="24"/>
                <w:szCs w:val="24"/>
                <w:color w:val="auto"/>
              </w:rPr>
            </w:pPr>
          </w:p>
        </w:tc>
      </w:tr>
      <w:tr>
        <w:trPr>
          <w:trHeight w:val="244"/>
        </w:trPr>
        <w:tc>
          <w:tcPr>
            <w:tcW w:w="48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(738,697)</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(1,077,166)</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200,913,803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75,098,034</w:t>
            </w:r>
          </w:p>
        </w:tc>
        <w:tc>
          <w:tcPr>
            <w:tcW w:w="60" w:type="dxa"/>
            <w:vAlign w:val="bottom"/>
          </w:tcPr>
          <w:p>
            <w:pPr>
              <w:spacing w:after="0"/>
              <w:rPr>
                <w:sz w:val="18"/>
                <w:szCs w:val="18"/>
                <w:color w:val="auto"/>
              </w:rPr>
            </w:pPr>
          </w:p>
        </w:tc>
      </w:tr>
      <w:tr>
        <w:trPr>
          <w:trHeight w:val="425"/>
        </w:trPr>
        <w:tc>
          <w:tcPr>
            <w:tcW w:w="48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25,945,487</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32,098,207</w:t>
            </w:r>
          </w:p>
        </w:tc>
        <w:tc>
          <w:tcPr>
            <w:tcW w:w="60" w:type="dxa"/>
            <w:vAlign w:val="bottom"/>
          </w:tcPr>
          <w:p>
            <w:pPr>
              <w:spacing w:after="0"/>
              <w:rPr>
                <w:sz w:val="24"/>
                <w:szCs w:val="24"/>
                <w:color w:val="auto"/>
              </w:rPr>
            </w:pPr>
          </w:p>
        </w:tc>
      </w:tr>
      <w:tr>
        <w:trPr>
          <w:trHeight w:val="230"/>
        </w:trPr>
        <w:tc>
          <w:tcPr>
            <w:tcW w:w="4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385,995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23"/>
        </w:trPr>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26,331,482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32,098,207</w:t>
            </w:r>
          </w:p>
        </w:tc>
        <w:tc>
          <w:tcPr>
            <w:tcW w:w="60" w:type="dxa"/>
            <w:vAlign w:val="bottom"/>
          </w:tcPr>
          <w:p>
            <w:pPr>
              <w:spacing w:after="0"/>
              <w:rPr>
                <w:sz w:val="19"/>
                <w:szCs w:val="19"/>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-1320165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-1036955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-753745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-462280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-179705</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98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Non-Cash Operating Items</w:t>
            </w:r>
          </w:p>
        </w:tc>
        <w:tc>
          <w:tcPr>
            <w:tcW w:w="26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Structured note exchanged for common shares</w:t>
            </w:r>
          </w:p>
        </w:tc>
        <w:tc>
          <w:tcPr>
            <w:tcW w:w="26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3,002,665</w:t>
            </w:r>
          </w:p>
        </w:tc>
        <w:tc>
          <w:tcPr>
            <w:tcW w:w="8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Structured notes converted to preferred shares</w:t>
            </w:r>
          </w:p>
        </w:tc>
        <w:tc>
          <w:tcPr>
            <w:tcW w:w="26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924,651</w:t>
            </w:r>
          </w:p>
        </w:tc>
        <w:tc>
          <w:tcPr>
            <w:tcW w:w="80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Warrants exercised for preferred shares</w:t>
            </w:r>
          </w:p>
        </w:tc>
        <w:tc>
          <w:tcPr>
            <w:tcW w:w="26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53,665</w:t>
            </w:r>
          </w:p>
        </w:tc>
        <w:tc>
          <w:tcPr>
            <w:tcW w:w="8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CCFFCC"/>
          </w:tcPr>
          <w:p>
            <w:pPr>
              <w:spacing w:after="0"/>
              <w:rPr>
                <w:sz w:val="18"/>
                <w:szCs w:val="18"/>
                <w:color w:val="auto"/>
              </w:rPr>
            </w:pPr>
          </w:p>
        </w:tc>
        <w:tc>
          <w:tcPr>
            <w:tcW w:w="26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Non-Cash Financing Items</w:t>
            </w:r>
          </w:p>
        </w:tc>
        <w:tc>
          <w:tcPr>
            <w:tcW w:w="2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8"/>
                <w:szCs w:val="18"/>
                <w:color w:val="auto"/>
              </w:rPr>
              <w:t>Decrease in deferred offering costs</w:t>
            </w:r>
          </w:p>
        </w:tc>
        <w:tc>
          <w:tcPr>
            <w:tcW w:w="26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57,176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Increase in offering costs</w:t>
            </w:r>
          </w:p>
        </w:tc>
        <w:tc>
          <w:tcPr>
            <w:tcW w:w="26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18"/>
                <w:szCs w:val="18"/>
                <w:color w:val="auto"/>
              </w:rPr>
            </w:pPr>
          </w:p>
        </w:tc>
        <w:tc>
          <w:tcPr>
            <w:tcW w:w="26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FFCC"/>
          </w:tcPr>
          <w:p>
            <w:pPr>
              <w:spacing w:after="0"/>
              <w:rPr>
                <w:sz w:val="18"/>
                <w:szCs w:val="18"/>
                <w:color w:val="auto"/>
              </w:rPr>
            </w:pPr>
          </w:p>
        </w:tc>
        <w:tc>
          <w:tcPr>
            <w:tcW w:w="26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gridSpan w:val="14"/>
          </w:tcPr>
          <w:p>
            <w:pPr>
              <w:ind w:left="380"/>
              <w:spacing w:after="0"/>
              <w:rPr>
                <w:sz w:val="20"/>
                <w:szCs w:val="20"/>
                <w:color w:val="auto"/>
              </w:rPr>
            </w:pPr>
            <w:r>
              <w:rPr>
                <w:rFonts w:ascii="Arial" w:cs="Arial" w:eastAsia="Arial" w:hAnsi="Arial"/>
                <w:sz w:val="18"/>
                <w:szCs w:val="18"/>
                <w:b w:val="1"/>
                <w:bCs w:val="1"/>
                <w:color w:val="auto"/>
              </w:rPr>
              <w:t>Portfolio Investments*</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Headquarters / Industry</w:t>
            </w: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7"/>
              </w:rPr>
              <w:t>2tor, Inc.</w:t>
            </w:r>
          </w:p>
        </w:tc>
        <w:tc>
          <w:tcPr>
            <w:tcW w:w="1940" w:type="dxa"/>
            <w:vAlign w:val="bottom"/>
            <w:tcBorders>
              <w:bottom w:val="single" w:sz="8" w:color="CCFFCC"/>
            </w:tcBorders>
            <w:gridSpan w:val="13"/>
            <w:shd w:val="clear" w:color="auto" w:fill="CCFFCC"/>
          </w:tcPr>
          <w:p>
            <w:pPr>
              <w:spacing w:after="0"/>
              <w:rPr>
                <w:sz w:val="17"/>
                <w:szCs w:val="17"/>
                <w:color w:val="auto"/>
              </w:rPr>
            </w:pPr>
          </w:p>
        </w:tc>
        <w:tc>
          <w:tcPr>
            <w:tcW w:w="2520" w:type="dxa"/>
            <w:vAlign w:val="bottom"/>
            <w:tcBorders>
              <w:bottom w:val="single" w:sz="8" w:color="CCFFCC"/>
            </w:tcBorders>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3"/>
              </w:rPr>
              <w:t>Landover, MD</w:t>
            </w:r>
          </w:p>
        </w:tc>
        <w:tc>
          <w:tcPr>
            <w:tcW w:w="138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3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Online Education</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1,151,802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8,757,599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8,730,846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167,431</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1,273,125</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1,269,154</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gridSpan w:val="14"/>
            <w:vMerge w:val="restart"/>
          </w:tcPr>
          <w:p>
            <w:pPr>
              <w:ind w:left="14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14"/>
            <w:vMerge w:val="continue"/>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10,030,724</w:t>
            </w:r>
          </w:p>
        </w:tc>
        <w:tc>
          <w:tcPr>
            <w:tcW w:w="2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10,000,000</w:t>
            </w:r>
          </w:p>
        </w:tc>
        <w:tc>
          <w:tcPr>
            <w:tcW w:w="200" w:type="dxa"/>
            <w:vAlign w:val="bottom"/>
            <w:vMerge w:val="continue"/>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4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AltEgo, LLC</w:t>
            </w:r>
          </w:p>
        </w:tc>
        <w:tc>
          <w:tcPr>
            <w:tcW w:w="25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Santa Monica, CA</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520" w:type="dxa"/>
            <w:vAlign w:val="bottom"/>
            <w:gridSpan w:val="2"/>
            <w:shd w:val="clear" w:color="auto" w:fill="CCFFCC"/>
          </w:tcPr>
          <w:p>
            <w:pPr>
              <w:jc w:val="center"/>
              <w:ind w:right="100"/>
              <w:spacing w:after="0" w:line="201" w:lineRule="exact"/>
              <w:rPr>
                <w:sz w:val="20"/>
                <w:szCs w:val="20"/>
                <w:color w:val="auto"/>
              </w:rPr>
            </w:pPr>
            <w:r>
              <w:rPr>
                <w:rFonts w:ascii="Arial" w:cs="Arial" w:eastAsia="Arial" w:hAnsi="Arial"/>
                <w:sz w:val="18"/>
                <w:szCs w:val="18"/>
                <w:color w:val="auto"/>
                <w:w w:val="91"/>
              </w:rPr>
              <w:t>Social Media Customer</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B-2</w:t>
            </w:r>
          </w:p>
        </w:tc>
        <w:tc>
          <w:tcPr>
            <w:tcW w:w="25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5"/>
              </w:rPr>
              <w:t>Acquisition Platform</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1,400,000</w:t>
            </w:r>
          </w:p>
        </w:tc>
        <w:tc>
          <w:tcPr>
            <w:tcW w:w="28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1,420,406</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1,400,000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AlwaysOn, Inc. </w:t>
            </w:r>
            <w:r>
              <w:rPr>
                <w:rFonts w:ascii="Arial" w:cs="Arial" w:eastAsia="Arial" w:hAnsi="Arial"/>
                <w:sz w:val="25"/>
                <w:szCs w:val="25"/>
                <w:b w:val="1"/>
                <w:bCs w:val="1"/>
                <w:color w:val="auto"/>
                <w:vertAlign w:val="superscript"/>
              </w:rPr>
              <w:t>(1) (2)</w:t>
            </w:r>
          </w:p>
        </w:tc>
        <w:tc>
          <w:tcPr>
            <w:tcW w:w="25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2"/>
              </w:rPr>
              <w:t>Woodside, CA</w:t>
            </w: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auto"/>
              </w:rPr>
              <w:t>Preferred shares, Series A</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Social Media</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1,066,626</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1,027,391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1,087,955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Avenues World Holdings LLC</w:t>
            </w:r>
          </w:p>
        </w:tc>
        <w:tc>
          <w:tcPr>
            <w:tcW w:w="25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New York, NY</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Class A-1</w:t>
            </w:r>
          </w:p>
        </w:tc>
        <w:tc>
          <w:tcPr>
            <w:tcW w:w="25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2"/>
              </w:rPr>
              <w:t>Globally-focused Private School</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5,000,000</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10,026,573</w:t>
            </w: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10,000,000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tcBorders>
              <w:bottom w:val="single" w:sz="8" w:color="auto"/>
            </w:tcBorders>
            <w:gridSpan w:val="11"/>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Bloom Energy Corporation</w:t>
            </w:r>
          </w:p>
        </w:tc>
        <w:tc>
          <w:tcPr>
            <w:tcW w:w="520" w:type="dxa"/>
            <w:vAlign w:val="bottom"/>
            <w:tcBorders>
              <w:bottom w:val="single" w:sz="8" w:color="CCFFCC"/>
            </w:tcBorders>
            <w:gridSpan w:val="3"/>
            <w:shd w:val="clear" w:color="auto" w:fill="CCFFCC"/>
          </w:tcPr>
          <w:p>
            <w:pPr>
              <w:spacing w:after="0"/>
              <w:rPr>
                <w:sz w:val="17"/>
                <w:szCs w:val="17"/>
                <w:color w:val="auto"/>
              </w:rPr>
            </w:pPr>
          </w:p>
        </w:tc>
        <w:tc>
          <w:tcPr>
            <w:tcW w:w="2520" w:type="dxa"/>
            <w:vAlign w:val="bottom"/>
            <w:tcBorders>
              <w:bottom w:val="single" w:sz="8" w:color="CCFFCC"/>
            </w:tcBorders>
            <w:gridSpan w:val="2"/>
            <w:shd w:val="clear" w:color="auto" w:fill="CCFFCC"/>
          </w:tcPr>
          <w:p>
            <w:pPr>
              <w:jc w:val="center"/>
              <w:ind w:right="100"/>
              <w:spacing w:after="0" w:line="176" w:lineRule="exact"/>
              <w:rPr>
                <w:sz w:val="20"/>
                <w:szCs w:val="20"/>
                <w:color w:val="auto"/>
              </w:rPr>
            </w:pPr>
            <w:r>
              <w:rPr>
                <w:rFonts w:ascii="Arial" w:cs="Arial" w:eastAsia="Arial" w:hAnsi="Arial"/>
                <w:sz w:val="18"/>
                <w:szCs w:val="18"/>
                <w:color w:val="auto"/>
                <w:w w:val="92"/>
              </w:rPr>
              <w:t>Sunnyvale, CA</w:t>
            </w:r>
          </w:p>
        </w:tc>
        <w:tc>
          <w:tcPr>
            <w:tcW w:w="138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3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Fuel Cell Energy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201,589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3,855,601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3,678,999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Chegg, Inc.</w:t>
            </w:r>
          </w:p>
        </w:tc>
        <w:tc>
          <w:tcPr>
            <w:tcW w:w="25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Santa Clara, CA</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5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1"/>
              </w:rPr>
              <w:t>Textbook Rental</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1,274,193</w:t>
            </w:r>
          </w:p>
        </w:tc>
        <w:tc>
          <w:tcPr>
            <w:tcW w:w="2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10,012,543</w:t>
            </w: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10,193,544</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auto"/>
              </w:rPr>
              <w:t>Preferred shares, Series F</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4,008,654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gridSpan w:val="14"/>
            <w:vMerge w:val="restart"/>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24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14"/>
            <w:vMerge w:val="continue"/>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14,021,197</w:t>
            </w:r>
          </w:p>
        </w:tc>
        <w:tc>
          <w:tcPr>
            <w:tcW w:w="220" w:type="dxa"/>
            <w:vAlign w:val="bottom"/>
            <w:vMerge w:val="continue"/>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14,193,544</w:t>
            </w:r>
          </w:p>
        </w:tc>
        <w:tc>
          <w:tcPr>
            <w:tcW w:w="200" w:type="dxa"/>
            <w:vAlign w:val="bottom"/>
            <w:vMerge w:val="continue"/>
            <w:shd w:val="clear" w:color="auto" w:fill="CCFFCC"/>
          </w:tcPr>
          <w:p>
            <w:pPr>
              <w:spacing w:after="0"/>
              <w:rPr>
                <w:sz w:val="18"/>
                <w:szCs w:val="18"/>
                <w:color w:val="auto"/>
              </w:rPr>
            </w:pP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auto"/>
            </w:tcBorders>
            <w:gridSpan w:val="9"/>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1"/>
              </w:rPr>
              <w:t>Control4 Corporation</w:t>
            </w:r>
          </w:p>
        </w:tc>
        <w:tc>
          <w:tcPr>
            <w:tcW w:w="940" w:type="dxa"/>
            <w:vAlign w:val="bottom"/>
            <w:tcBorders>
              <w:bottom w:val="single" w:sz="8" w:color="CCFFCC"/>
            </w:tcBorders>
            <w:gridSpan w:val="5"/>
            <w:shd w:val="clear" w:color="auto" w:fill="CCFFCC"/>
          </w:tcPr>
          <w:p>
            <w:pPr>
              <w:spacing w:after="0"/>
              <w:rPr>
                <w:sz w:val="17"/>
                <w:szCs w:val="17"/>
                <w:color w:val="auto"/>
              </w:rPr>
            </w:pPr>
          </w:p>
        </w:tc>
        <w:tc>
          <w:tcPr>
            <w:tcW w:w="2520" w:type="dxa"/>
            <w:vAlign w:val="bottom"/>
            <w:tcBorders>
              <w:bottom w:val="single" w:sz="8" w:color="CCFFCC"/>
            </w:tcBorders>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3"/>
              </w:rPr>
              <w:t>Salt Lake City, UT</w:t>
            </w:r>
          </w:p>
        </w:tc>
        <w:tc>
          <w:tcPr>
            <w:tcW w:w="138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3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Home Automation</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3,650,667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6,274,551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5,950,587</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tcPr>
          <w:p>
            <w:pPr>
              <w:spacing w:after="0" w:line="216" w:lineRule="exact"/>
              <w:rPr>
                <w:sz w:val="20"/>
                <w:szCs w:val="20"/>
                <w:color w:val="auto"/>
              </w:rPr>
            </w:pPr>
            <w:r>
              <w:rPr>
                <w:rFonts w:ascii="Arial" w:cs="Arial" w:eastAsia="Arial" w:hAnsi="Arial"/>
                <w:sz w:val="16"/>
                <w:szCs w:val="16"/>
                <w:b w:val="1"/>
                <w:bCs w:val="1"/>
                <w:color w:val="auto"/>
              </w:rPr>
              <w:t xml:space="preserve">CUX, Inc. </w:t>
            </w:r>
            <w:r>
              <w:rPr>
                <w:rFonts w:ascii="Arial" w:cs="Arial" w:eastAsia="Arial" w:hAnsi="Arial"/>
                <w:sz w:val="25"/>
                <w:szCs w:val="25"/>
                <w:b w:val="1"/>
                <w:bCs w:val="1"/>
                <w:color w:val="auto"/>
                <w:vertAlign w:val="superscript"/>
              </w:rPr>
              <w:t>(2)</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San Francisco, CA</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C</w:t>
            </w:r>
          </w:p>
        </w:tc>
        <w:tc>
          <w:tcPr>
            <w:tcW w:w="252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Corporate Education</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246,305</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2,006,077</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2,000,000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Dailybreak, Inc. </w:t>
            </w:r>
            <w:r>
              <w:rPr>
                <w:rFonts w:ascii="Arial" w:cs="Arial" w:eastAsia="Arial" w:hAnsi="Arial"/>
                <w:sz w:val="25"/>
                <w:szCs w:val="25"/>
                <w:b w:val="1"/>
                <w:bCs w:val="1"/>
                <w:color w:val="auto"/>
                <w:vertAlign w:val="superscript"/>
              </w:rPr>
              <w:t>(2)</w:t>
            </w:r>
          </w:p>
        </w:tc>
        <w:tc>
          <w:tcPr>
            <w:tcW w:w="25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4"/>
              </w:rPr>
              <w:t>Boston, MA</w:t>
            </w: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auto"/>
              </w:rPr>
              <w:t>Preferred shares, Series A-1</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Social Advertising</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1,545,181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2,000,000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Dataminr, Inc.</w:t>
            </w:r>
          </w:p>
        </w:tc>
        <w:tc>
          <w:tcPr>
            <w:tcW w:w="25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New York, NY</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5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3"/>
              </w:rPr>
              <w:t>Social Media Analytics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904,977</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2,060,602</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1,999,999</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60" w:type="dxa"/>
            <w:vAlign w:val="bottom"/>
            <w:tcBorders>
              <w:bottom w:val="single" w:sz="8" w:color="auto"/>
            </w:tcBorders>
            <w:gridSpan w:val="10"/>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1"/>
              </w:rPr>
              <w:t>DreamBox Learning, Inc.</w:t>
            </w:r>
          </w:p>
        </w:tc>
        <w:tc>
          <w:tcPr>
            <w:tcW w:w="660" w:type="dxa"/>
            <w:vAlign w:val="bottom"/>
            <w:tcBorders>
              <w:bottom w:val="single" w:sz="8" w:color="CCFFCC"/>
            </w:tcBorders>
            <w:gridSpan w:val="4"/>
            <w:shd w:val="clear" w:color="auto" w:fill="CCFFCC"/>
          </w:tcPr>
          <w:p>
            <w:pPr>
              <w:spacing w:after="0"/>
              <w:rPr>
                <w:sz w:val="17"/>
                <w:szCs w:val="17"/>
                <w:color w:val="auto"/>
              </w:rPr>
            </w:pPr>
          </w:p>
        </w:tc>
        <w:tc>
          <w:tcPr>
            <w:tcW w:w="2520" w:type="dxa"/>
            <w:vAlign w:val="bottom"/>
            <w:tcBorders>
              <w:bottom w:val="single" w:sz="8" w:color="CCFFCC"/>
            </w:tcBorders>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92"/>
              </w:rPr>
              <w:t>Bellevue, WA</w:t>
            </w:r>
          </w:p>
        </w:tc>
        <w:tc>
          <w:tcPr>
            <w:tcW w:w="138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3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auto"/>
              </w:rPr>
              <w:t>Preferred shares, Series A</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Education Technology</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3,579,610</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758,017</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Dropbox, Inc.</w:t>
            </w:r>
          </w:p>
        </w:tc>
        <w:tc>
          <w:tcPr>
            <w:tcW w:w="25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San Francisco, CA</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w:t>
            </w:r>
          </w:p>
        </w:tc>
        <w:tc>
          <w:tcPr>
            <w:tcW w:w="252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2"/>
              </w:rPr>
              <w:t>Online</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760,000</w:t>
            </w: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8,640,940</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8,360,000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gridSpan w:val="14"/>
          </w:tcPr>
          <w:p>
            <w:pPr>
              <w:spacing w:after="0"/>
              <w:rPr>
                <w:sz w:val="20"/>
                <w:szCs w:val="20"/>
                <w:color w:val="auto"/>
              </w:rPr>
            </w:pPr>
            <w:r>
              <w:rPr>
                <w:rFonts w:ascii="Arial" w:cs="Arial" w:eastAsia="Arial" w:hAnsi="Arial"/>
                <w:sz w:val="18"/>
                <w:szCs w:val="18"/>
                <w:color w:val="auto"/>
              </w:rPr>
              <w:t>Preferred shares, Series A-1</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Storage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552,486</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5,015,333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6,077,346</w:t>
            </w:r>
          </w:p>
        </w:tc>
        <w:tc>
          <w:tcPr>
            <w:tcW w:w="20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gridSpan w:val="14"/>
            <w:vMerge w:val="restart"/>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24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14"/>
            <w:vMerge w:val="continue"/>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13,656,273</w:t>
            </w:r>
          </w:p>
        </w:tc>
        <w:tc>
          <w:tcPr>
            <w:tcW w:w="220" w:type="dxa"/>
            <w:vAlign w:val="bottom"/>
            <w:vMerge w:val="continue"/>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14,437,346</w:t>
            </w:r>
          </w:p>
        </w:tc>
        <w:tc>
          <w:tcPr>
            <w:tcW w:w="200" w:type="dxa"/>
            <w:vAlign w:val="bottom"/>
            <w:vMerge w:val="continue"/>
            <w:shd w:val="clear" w:color="auto" w:fill="CCFFCC"/>
          </w:tcPr>
          <w:p>
            <w:pPr>
              <w:spacing w:after="0"/>
              <w:rPr>
                <w:sz w:val="18"/>
                <w:szCs w:val="18"/>
                <w:color w:val="auto"/>
              </w:rPr>
            </w:pP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 Capital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14"/>
          </w:tcPr>
          <w:p>
            <w:pPr>
              <w:ind w:left="540"/>
              <w:spacing w:after="0"/>
              <w:rPr>
                <w:sz w:val="20"/>
                <w:szCs w:val="20"/>
                <w:color w:val="auto"/>
              </w:rPr>
            </w:pPr>
            <w:r>
              <w:rPr>
                <w:rFonts w:ascii="Arial" w:cs="Arial" w:eastAsia="Arial" w:hAnsi="Arial"/>
                <w:sz w:val="18"/>
                <w:szCs w:val="18"/>
                <w:b w:val="1"/>
                <w:bCs w:val="1"/>
                <w:color w:val="auto"/>
              </w:rPr>
              <w:t>Portfolio Investments*</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3"/>
              </w:rPr>
              <w:t>Headquarters / Industry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Contribution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Facebook, Inc. </w:t>
            </w:r>
            <w:r>
              <w:rPr>
                <w:rFonts w:ascii="Arial" w:cs="Arial" w:eastAsia="Arial" w:hAnsi="Arial"/>
                <w:sz w:val="25"/>
                <w:szCs w:val="25"/>
                <w:b w:val="1"/>
                <w:bCs w:val="1"/>
                <w:color w:val="auto"/>
                <w:vertAlign w:val="superscript"/>
              </w:rPr>
              <w:t>(3)</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Menlo Park, CA</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5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tcPr>
          <w:p>
            <w:pPr>
              <w:spacing w:after="0"/>
              <w:rPr>
                <w:sz w:val="20"/>
                <w:szCs w:val="20"/>
                <w:color w:val="auto"/>
              </w:rPr>
            </w:pPr>
            <w:r>
              <w:rPr>
                <w:rFonts w:ascii="Arial" w:cs="Arial" w:eastAsia="Arial" w:hAnsi="Arial"/>
                <w:sz w:val="18"/>
                <w:szCs w:val="18"/>
                <w:color w:val="auto"/>
              </w:rPr>
              <w:t>Common shares, Class B</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Social Networking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10,472,294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6,898,710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5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tcPr>
          <w:p>
            <w:pPr>
              <w:spacing w:after="0" w:line="216" w:lineRule="exact"/>
              <w:rPr>
                <w:sz w:val="20"/>
                <w:szCs w:val="20"/>
                <w:color w:val="auto"/>
              </w:rPr>
            </w:pPr>
            <w:r>
              <w:rPr>
                <w:rFonts w:ascii="Arial" w:cs="Arial" w:eastAsia="Arial" w:hAnsi="Arial"/>
                <w:sz w:val="16"/>
                <w:szCs w:val="16"/>
                <w:b w:val="1"/>
                <w:bCs w:val="1"/>
                <w:color w:val="auto"/>
              </w:rPr>
              <w:t xml:space="preserve">Fullbridge, Inc. </w:t>
            </w:r>
            <w:r>
              <w:rPr>
                <w:rFonts w:ascii="Arial" w:cs="Arial" w:eastAsia="Arial" w:hAnsi="Arial"/>
                <w:sz w:val="25"/>
                <w:szCs w:val="25"/>
                <w:b w:val="1"/>
                <w:bCs w:val="1"/>
                <w:color w:val="auto"/>
                <w:vertAlign w:val="superscript"/>
              </w:rPr>
              <w:t>(2)</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Cambridge, MA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C</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Business Education</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1,196,809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2,250,001</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2,250,000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Gilt Groupe, Inc.</w:t>
            </w:r>
          </w:p>
        </w:tc>
        <w:tc>
          <w:tcPr>
            <w:tcW w:w="250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7"/>
              </w:rPr>
              <w:t>New York, NY</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320" w:type="dxa"/>
            <w:vAlign w:val="bottom"/>
            <w:tcBorders>
              <w:top w:val="single" w:sz="8" w:color="CCFFCC"/>
            </w:tcBorders>
          </w:tcPr>
          <w:p>
            <w:pPr>
              <w:spacing w:after="0"/>
              <w:rPr>
                <w:sz w:val="17"/>
                <w:szCs w:val="17"/>
                <w:color w:val="auto"/>
              </w:rPr>
            </w:pPr>
          </w:p>
        </w:tc>
        <w:tc>
          <w:tcPr>
            <w:tcW w:w="44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600" w:type="dxa"/>
            <w:vAlign w:val="bottom"/>
            <w:tcBorders>
              <w:top w:val="single" w:sz="8" w:color="CCFFCC"/>
            </w:tcBorders>
          </w:tcPr>
          <w:p>
            <w:pPr>
              <w:spacing w:after="0"/>
              <w:rPr>
                <w:sz w:val="17"/>
                <w:szCs w:val="17"/>
                <w:color w:val="auto"/>
              </w:rPr>
            </w:pPr>
          </w:p>
        </w:tc>
        <w:tc>
          <w:tcPr>
            <w:tcW w:w="2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500" w:type="dxa"/>
            <w:vAlign w:val="bottom"/>
            <w:tcBorders>
              <w:top w:val="single" w:sz="8" w:color="CCFFCC"/>
            </w:tcBorders>
          </w:tcPr>
          <w:p>
            <w:pPr>
              <w:jc w:val="center"/>
              <w:spacing w:after="0" w:line="201" w:lineRule="exact"/>
              <w:rPr>
                <w:sz w:val="20"/>
                <w:szCs w:val="20"/>
                <w:color w:val="auto"/>
              </w:rPr>
            </w:pPr>
            <w:r>
              <w:rPr>
                <w:rFonts w:ascii="Arial" w:cs="Arial" w:eastAsia="Arial" w:hAnsi="Arial"/>
                <w:sz w:val="18"/>
                <w:szCs w:val="18"/>
                <w:color w:val="auto"/>
                <w:w w:val="90"/>
              </w:rPr>
              <w:t>e-Commerce</w:t>
            </w:r>
          </w:p>
        </w:tc>
        <w:tc>
          <w:tcPr>
            <w:tcW w:w="12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14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260" w:type="dxa"/>
            <w:vAlign w:val="bottom"/>
            <w:tcBorders>
              <w:top w:val="single" w:sz="8" w:color="CCFFCC"/>
            </w:tcBorders>
          </w:tcPr>
          <w:p>
            <w:pPr>
              <w:spacing w:after="0"/>
              <w:rPr>
                <w:sz w:val="17"/>
                <w:szCs w:val="17"/>
                <w:color w:val="auto"/>
              </w:rPr>
            </w:pPr>
          </w:p>
        </w:tc>
        <w:tc>
          <w:tcPr>
            <w:tcW w:w="98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10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4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15"/>
          </w:tcPr>
          <w:p>
            <w:pPr>
              <w:spacing w:after="0"/>
              <w:rPr>
                <w:sz w:val="20"/>
                <w:szCs w:val="20"/>
                <w:color w:val="auto"/>
              </w:rPr>
            </w:pPr>
            <w:r>
              <w:rPr>
                <w:rFonts w:ascii="Arial" w:cs="Arial" w:eastAsia="Arial" w:hAnsi="Arial"/>
                <w:sz w:val="18"/>
                <w:szCs w:val="18"/>
                <w:color w:val="auto"/>
              </w:rPr>
              <w:t>Common shares</w:t>
            </w:r>
          </w:p>
        </w:tc>
        <w:tc>
          <w:tcPr>
            <w:tcW w:w="2500" w:type="dxa"/>
            <w:vAlign w:val="bottom"/>
          </w:tcPr>
          <w:p>
            <w:pPr>
              <w:jc w:val="center"/>
              <w:spacing w:after="0"/>
              <w:rPr>
                <w:sz w:val="20"/>
                <w:szCs w:val="20"/>
                <w:color w:val="auto"/>
              </w:rPr>
            </w:pPr>
            <w:r>
              <w:rPr>
                <w:rFonts w:ascii="Arial" w:cs="Arial" w:eastAsia="Arial" w:hAnsi="Arial"/>
                <w:sz w:val="18"/>
                <w:szCs w:val="18"/>
                <w:color w:val="auto"/>
                <w:w w:val="87"/>
              </w:rPr>
              <w:t>Flash Sales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248,600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6,594,346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5,469,200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5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2100" w:type="dxa"/>
            <w:vAlign w:val="bottom"/>
            <w:tcBorders>
              <w:bottom w:val="single" w:sz="8" w:color="auto"/>
            </w:tcBorders>
            <w:gridSpan w:val="10"/>
          </w:tcPr>
          <w:p>
            <w:pPr>
              <w:spacing w:after="0" w:line="176" w:lineRule="exact"/>
              <w:rPr>
                <w:sz w:val="20"/>
                <w:szCs w:val="20"/>
                <w:color w:val="auto"/>
              </w:rPr>
            </w:pPr>
            <w:r>
              <w:rPr>
                <w:rFonts w:ascii="Arial" w:cs="Arial" w:eastAsia="Arial" w:hAnsi="Arial"/>
                <w:sz w:val="18"/>
                <w:szCs w:val="18"/>
                <w:b w:val="1"/>
                <w:bCs w:val="1"/>
                <w:color w:val="auto"/>
                <w:w w:val="90"/>
              </w:rPr>
              <w:t>Global Education Learning</w:t>
            </w:r>
          </w:p>
        </w:tc>
        <w:tc>
          <w:tcPr>
            <w:tcW w:w="880" w:type="dxa"/>
            <w:vAlign w:val="bottom"/>
            <w:gridSpan w:val="4"/>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000" w:type="dxa"/>
            <w:vAlign w:val="bottom"/>
            <w:gridSpan w:val="15"/>
          </w:tcPr>
          <w:p>
            <w:pPr>
              <w:spacing w:after="0" w:line="236" w:lineRule="exact"/>
              <w:rPr>
                <w:sz w:val="20"/>
                <w:szCs w:val="20"/>
                <w:color w:val="auto"/>
              </w:rPr>
            </w:pPr>
            <w:r>
              <w:rPr>
                <w:rFonts w:ascii="Arial" w:cs="Arial" w:eastAsia="Arial" w:hAnsi="Arial"/>
                <w:sz w:val="17"/>
                <w:szCs w:val="17"/>
                <w:b w:val="1"/>
                <w:bCs w:val="1"/>
                <w:color w:val="auto"/>
              </w:rPr>
              <w:t xml:space="preserve">(Holdings) Ltd. </w:t>
            </w:r>
            <w:r>
              <w:rPr>
                <w:rFonts w:ascii="Arial" w:cs="Arial" w:eastAsia="Arial" w:hAnsi="Arial"/>
                <w:sz w:val="27"/>
                <w:szCs w:val="27"/>
                <w:b w:val="1"/>
                <w:bCs w:val="1"/>
                <w:color w:val="auto"/>
                <w:vertAlign w:val="superscript"/>
              </w:rPr>
              <w:t>(2)</w:t>
            </w: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Hong Kong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Education Technology</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1,472,175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2,999,998</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2,999,998</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8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Grockit, Inc. </w:t>
            </w:r>
            <w:r>
              <w:rPr>
                <w:rFonts w:ascii="Arial" w:cs="Arial" w:eastAsia="Arial" w:hAnsi="Arial"/>
                <w:sz w:val="25"/>
                <w:szCs w:val="25"/>
                <w:b w:val="1"/>
                <w:bCs w:val="1"/>
                <w:color w:val="auto"/>
                <w:vertAlign w:val="superscript"/>
              </w:rPr>
              <w:t>(2)</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San Francisco, CA</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60" w:type="dxa"/>
            <w:vAlign w:val="bottom"/>
            <w:tcBorders>
              <w:top w:val="single" w:sz="8" w:color="CCFFCC"/>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2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320" w:type="dxa"/>
            <w:vAlign w:val="bottom"/>
            <w:tcBorders>
              <w:top w:val="single" w:sz="8" w:color="CCFFCC"/>
            </w:tcBorders>
          </w:tcPr>
          <w:p>
            <w:pPr>
              <w:spacing w:after="0"/>
              <w:rPr>
                <w:sz w:val="17"/>
                <w:szCs w:val="17"/>
                <w:color w:val="auto"/>
              </w:rPr>
            </w:pPr>
          </w:p>
        </w:tc>
        <w:tc>
          <w:tcPr>
            <w:tcW w:w="44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600" w:type="dxa"/>
            <w:vAlign w:val="bottom"/>
            <w:tcBorders>
              <w:top w:val="single" w:sz="8" w:color="CCFFCC"/>
            </w:tcBorders>
          </w:tcPr>
          <w:p>
            <w:pPr>
              <w:spacing w:after="0"/>
              <w:rPr>
                <w:sz w:val="17"/>
                <w:szCs w:val="17"/>
                <w:color w:val="auto"/>
              </w:rPr>
            </w:pPr>
          </w:p>
        </w:tc>
        <w:tc>
          <w:tcPr>
            <w:tcW w:w="2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500" w:type="dxa"/>
            <w:vAlign w:val="bottom"/>
            <w:tcBorders>
              <w:top w:val="single" w:sz="8" w:color="CCFFCC"/>
            </w:tcBorders>
          </w:tcPr>
          <w:p>
            <w:pPr>
              <w:jc w:val="center"/>
              <w:spacing w:after="0" w:line="201" w:lineRule="exact"/>
              <w:rPr>
                <w:sz w:val="20"/>
                <w:szCs w:val="20"/>
                <w:color w:val="auto"/>
              </w:rPr>
            </w:pPr>
            <w:r>
              <w:rPr>
                <w:rFonts w:ascii="Arial" w:cs="Arial" w:eastAsia="Arial" w:hAnsi="Arial"/>
                <w:sz w:val="18"/>
                <w:szCs w:val="18"/>
                <w:color w:val="auto"/>
                <w:w w:val="89"/>
              </w:rPr>
              <w:t>Online Test</w:t>
            </w:r>
          </w:p>
        </w:tc>
        <w:tc>
          <w:tcPr>
            <w:tcW w:w="12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14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260" w:type="dxa"/>
            <w:vAlign w:val="bottom"/>
            <w:tcBorders>
              <w:top w:val="single" w:sz="8" w:color="CCFFCC"/>
            </w:tcBorders>
          </w:tcPr>
          <w:p>
            <w:pPr>
              <w:spacing w:after="0"/>
              <w:rPr>
                <w:sz w:val="17"/>
                <w:szCs w:val="17"/>
                <w:color w:val="auto"/>
              </w:rPr>
            </w:pPr>
          </w:p>
        </w:tc>
        <w:tc>
          <w:tcPr>
            <w:tcW w:w="98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10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4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15"/>
          </w:tcPr>
          <w:p>
            <w:pPr>
              <w:spacing w:after="0"/>
              <w:rPr>
                <w:sz w:val="20"/>
                <w:szCs w:val="20"/>
                <w:color w:val="auto"/>
              </w:rPr>
            </w:pPr>
            <w:r>
              <w:rPr>
                <w:rFonts w:ascii="Arial" w:cs="Arial" w:eastAsia="Arial" w:hAnsi="Arial"/>
                <w:sz w:val="18"/>
                <w:szCs w:val="18"/>
                <w:color w:val="auto"/>
              </w:rPr>
              <w:t>Preferred shares, Series D</w:t>
            </w:r>
          </w:p>
        </w:tc>
        <w:tc>
          <w:tcPr>
            <w:tcW w:w="2500" w:type="dxa"/>
            <w:vAlign w:val="bottom"/>
          </w:tcPr>
          <w:p>
            <w:pPr>
              <w:jc w:val="center"/>
              <w:spacing w:after="0"/>
              <w:rPr>
                <w:sz w:val="20"/>
                <w:szCs w:val="20"/>
                <w:color w:val="auto"/>
              </w:rPr>
            </w:pPr>
            <w:r>
              <w:rPr>
                <w:rFonts w:ascii="Arial" w:cs="Arial" w:eastAsia="Arial" w:hAnsi="Arial"/>
                <w:sz w:val="18"/>
                <w:szCs w:val="18"/>
                <w:color w:val="auto"/>
                <w:w w:val="88"/>
              </w:rPr>
              <w:t>Preparation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2,728,252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2,005,945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5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tcPr>
          <w:p>
            <w:pPr>
              <w:spacing w:after="0" w:line="216" w:lineRule="exact"/>
              <w:rPr>
                <w:sz w:val="20"/>
                <w:szCs w:val="20"/>
                <w:color w:val="auto"/>
              </w:rPr>
            </w:pPr>
            <w:r>
              <w:rPr>
                <w:rFonts w:ascii="Arial" w:cs="Arial" w:eastAsia="Arial" w:hAnsi="Arial"/>
                <w:sz w:val="16"/>
                <w:szCs w:val="16"/>
                <w:b w:val="1"/>
                <w:bCs w:val="1"/>
                <w:color w:val="auto"/>
              </w:rPr>
              <w:t xml:space="preserve">Groupon, Inc. </w:t>
            </w:r>
            <w:r>
              <w:rPr>
                <w:rFonts w:ascii="Arial" w:cs="Arial" w:eastAsia="Arial" w:hAnsi="Arial"/>
                <w:sz w:val="25"/>
                <w:szCs w:val="25"/>
                <w:b w:val="1"/>
                <w:bCs w:val="1"/>
                <w:color w:val="auto"/>
                <w:vertAlign w:val="superscript"/>
              </w:rPr>
              <w:t>(4)</w:t>
            </w: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Chicago, IL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Online Deals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2,128,774</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381,600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8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Kno, Inc.</w:t>
            </w:r>
          </w:p>
        </w:tc>
        <w:tc>
          <w:tcPr>
            <w:tcW w:w="250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0"/>
              </w:rPr>
              <w:t>Santa Clara, CA</w:t>
            </w: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5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tcPr>
          <w:p>
            <w:pPr>
              <w:spacing w:after="0"/>
              <w:rPr>
                <w:sz w:val="20"/>
                <w:szCs w:val="20"/>
                <w:color w:val="auto"/>
              </w:rPr>
            </w:pPr>
            <w:r>
              <w:rPr>
                <w:rFonts w:ascii="Arial" w:cs="Arial" w:eastAsia="Arial" w:hAnsi="Arial"/>
                <w:sz w:val="18"/>
                <w:szCs w:val="18"/>
                <w:color w:val="auto"/>
              </w:rPr>
              <w:t>Preferred shares, Series C</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Digital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440,313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2,262,006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2,250,000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C-1</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Textbooks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7,510,334</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7,500,000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214,681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205,000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14"/>
            <w:vMerge w:val="restart"/>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14"/>
            <w:vMerge w:val="continue"/>
            <w:shd w:val="clear" w:color="auto" w:fill="CCFFCC"/>
          </w:tcPr>
          <w:p>
            <w:pPr>
              <w:spacing w:after="0"/>
              <w:rPr>
                <w:sz w:val="18"/>
                <w:szCs w:val="18"/>
                <w:color w:val="auto"/>
              </w:rPr>
            </w:pPr>
          </w:p>
        </w:tc>
        <w:tc>
          <w:tcPr>
            <w:tcW w:w="25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9,987,021</w:t>
            </w:r>
          </w:p>
        </w:tc>
        <w:tc>
          <w:tcPr>
            <w:tcW w:w="10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9,955,000</w:t>
            </w:r>
          </w:p>
        </w:tc>
        <w:tc>
          <w:tcPr>
            <w:tcW w:w="220" w:type="dxa"/>
            <w:vAlign w:val="bottom"/>
            <w:vMerge w:val="continue"/>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Maven Research, Inc. </w:t>
            </w:r>
            <w:r>
              <w:rPr>
                <w:rFonts w:ascii="Arial" w:cs="Arial" w:eastAsia="Arial" w:hAnsi="Arial"/>
                <w:sz w:val="25"/>
                <w:szCs w:val="25"/>
                <w:b w:val="1"/>
                <w:bCs w:val="1"/>
                <w:color w:val="auto"/>
                <w:vertAlign w:val="superscript"/>
              </w:rPr>
              <w:t>(2)</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San Francisco, CA</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5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tcPr>
          <w:p>
            <w:pPr>
              <w:spacing w:after="0"/>
              <w:rPr>
                <w:sz w:val="20"/>
                <w:szCs w:val="20"/>
                <w:color w:val="auto"/>
              </w:rPr>
            </w:pPr>
            <w:r>
              <w:rPr>
                <w:rFonts w:ascii="Arial" w:cs="Arial" w:eastAsia="Arial" w:hAnsi="Arial"/>
                <w:sz w:val="18"/>
                <w:szCs w:val="18"/>
                <w:color w:val="auto"/>
              </w:rPr>
              <w:t>Preferred shares, Series B</w:t>
            </w: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Knowledge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49,505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C</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Networks</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318,979</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1,999,998</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1,999,998</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14"/>
            <w:vMerge w:val="restart"/>
          </w:tcPr>
          <w:p>
            <w:pPr>
              <w:ind w:left="30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14"/>
            <w:vMerge w:val="continue"/>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2,217,204</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2,199,998</w:t>
            </w:r>
          </w:p>
        </w:tc>
        <w:tc>
          <w:tcPr>
            <w:tcW w:w="22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5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tcPr>
          <w:p>
            <w:pPr>
              <w:spacing w:after="0" w:line="216" w:lineRule="exact"/>
              <w:rPr>
                <w:sz w:val="20"/>
                <w:szCs w:val="20"/>
                <w:color w:val="auto"/>
              </w:rPr>
            </w:pPr>
            <w:r>
              <w:rPr>
                <w:rFonts w:ascii="Arial" w:cs="Arial" w:eastAsia="Arial" w:hAnsi="Arial"/>
                <w:sz w:val="16"/>
                <w:szCs w:val="16"/>
                <w:b w:val="1"/>
                <w:bCs w:val="1"/>
                <w:color w:val="auto"/>
              </w:rPr>
              <w:t xml:space="preserve">NestGSV, Inc. </w:t>
            </w:r>
            <w:r>
              <w:rPr>
                <w:rFonts w:ascii="Arial" w:cs="Arial" w:eastAsia="Arial" w:hAnsi="Arial"/>
                <w:sz w:val="25"/>
                <w:szCs w:val="25"/>
                <w:b w:val="1"/>
                <w:bCs w:val="1"/>
                <w:color w:val="auto"/>
                <w:vertAlign w:val="superscript"/>
              </w:rPr>
              <w:t>(2)</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Redwood City, CA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Incubator</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1,021,778</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8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NestGSV Silicon Valley, LLC </w:t>
            </w:r>
            <w:r>
              <w:rPr>
                <w:rFonts w:ascii="Arial" w:cs="Arial" w:eastAsia="Arial" w:hAnsi="Arial"/>
                <w:sz w:val="25"/>
                <w:szCs w:val="25"/>
                <w:b w:val="1"/>
                <w:bCs w:val="1"/>
                <w:color w:val="auto"/>
                <w:vertAlign w:val="superscript"/>
              </w:rPr>
              <w:t>(2)</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Redwood City, CA</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w w:val="92"/>
              </w:rPr>
              <w:t>Common membership interest</w:t>
            </w:r>
          </w:p>
        </w:tc>
        <w:tc>
          <w:tcPr>
            <w:tcW w:w="740" w:type="dxa"/>
            <w:vAlign w:val="bottom"/>
            <w:tcBorders>
              <w:top w:val="single" w:sz="8" w:color="CCFFCC"/>
            </w:tcBorders>
            <w:gridSpan w:val="3"/>
          </w:tcPr>
          <w:p>
            <w:pPr>
              <w:spacing w:after="0"/>
              <w:rPr>
                <w:sz w:val="18"/>
                <w:szCs w:val="18"/>
                <w:color w:val="auto"/>
              </w:rPr>
            </w:pPr>
          </w:p>
        </w:tc>
        <w:tc>
          <w:tcPr>
            <w:tcW w:w="2500" w:type="dxa"/>
            <w:vAlign w:val="bottom"/>
            <w:tcBorders>
              <w:top w:val="single" w:sz="8" w:color="CCFFCC"/>
            </w:tcBorders>
          </w:tcPr>
          <w:p>
            <w:pPr>
              <w:jc w:val="center"/>
              <w:spacing w:after="0"/>
              <w:rPr>
                <w:sz w:val="20"/>
                <w:szCs w:val="20"/>
                <w:color w:val="auto"/>
              </w:rPr>
            </w:pPr>
            <w:r>
              <w:rPr>
                <w:rFonts w:ascii="Arial" w:cs="Arial" w:eastAsia="Arial" w:hAnsi="Arial"/>
                <w:sz w:val="18"/>
                <w:szCs w:val="18"/>
                <w:color w:val="auto"/>
                <w:w w:val="93"/>
              </w:rPr>
              <w:t>Incubator</w:t>
            </w:r>
          </w:p>
        </w:tc>
        <w:tc>
          <w:tcPr>
            <w:tcW w:w="240" w:type="dxa"/>
            <w:vAlign w:val="bottom"/>
            <w:tcBorders>
              <w:top w:val="single" w:sz="8" w:color="CCFFCC"/>
            </w:tcBorders>
            <w:gridSpan w:val="2"/>
          </w:tcPr>
          <w:p>
            <w:pPr>
              <w:ind w:left="1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8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400" w:type="dxa"/>
            <w:vAlign w:val="bottom"/>
            <w:tcBorders>
              <w:top w:val="single" w:sz="8" w:color="CCFFCC"/>
            </w:tcBorders>
            <w:gridSpan w:val="2"/>
          </w:tcPr>
          <w:p>
            <w:pPr>
              <w:jc w:val="right"/>
              <w:ind w:right="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5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8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Neuron Fuel, Inc.</w:t>
            </w:r>
          </w:p>
        </w:tc>
        <w:tc>
          <w:tcPr>
            <w:tcW w:w="2500" w:type="dxa"/>
            <w:vAlign w:val="bottom"/>
          </w:tcPr>
          <w:p>
            <w:pPr>
              <w:jc w:val="center"/>
              <w:spacing w:after="0" w:line="176" w:lineRule="exact"/>
              <w:rPr>
                <w:sz w:val="20"/>
                <w:szCs w:val="20"/>
                <w:color w:val="auto"/>
              </w:rPr>
            </w:pPr>
            <w:r>
              <w:rPr>
                <w:rFonts w:ascii="Arial" w:cs="Arial" w:eastAsia="Arial" w:hAnsi="Arial"/>
                <w:sz w:val="18"/>
                <w:szCs w:val="18"/>
                <w:color w:val="auto"/>
                <w:w w:val="89"/>
              </w:rPr>
              <w:t>San Jose, CA</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AAI</w:t>
            </w:r>
          </w:p>
        </w:tc>
        <w:tc>
          <w:tcPr>
            <w:tcW w:w="2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Computer Software</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262,530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4"/>
              </w:rPr>
              <w:t>NewZoom, Inc. (d/b/a ZoomSystems)</w:t>
            </w:r>
          </w:p>
        </w:tc>
        <w:tc>
          <w:tcPr>
            <w:tcW w:w="250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San Francisco, CA</w:t>
            </w: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500" w:type="dxa"/>
            <w:vAlign w:val="bottom"/>
            <w:tcBorders>
              <w:top w:val="single" w:sz="8" w:color="CCFFCC"/>
            </w:tcBorders>
          </w:tcPr>
          <w:p>
            <w:pPr>
              <w:jc w:val="center"/>
              <w:spacing w:after="0" w:line="201" w:lineRule="exact"/>
              <w:rPr>
                <w:sz w:val="20"/>
                <w:szCs w:val="20"/>
                <w:color w:val="auto"/>
              </w:rPr>
            </w:pPr>
            <w:r>
              <w:rPr>
                <w:rFonts w:ascii="Arial" w:cs="Arial" w:eastAsia="Arial" w:hAnsi="Arial"/>
                <w:sz w:val="18"/>
                <w:szCs w:val="18"/>
                <w:color w:val="auto"/>
                <w:w w:val="91"/>
              </w:rPr>
              <w:t>Smart e-tail</w:t>
            </w:r>
          </w:p>
        </w:tc>
        <w:tc>
          <w:tcPr>
            <w:tcW w:w="12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14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260" w:type="dxa"/>
            <w:vAlign w:val="bottom"/>
            <w:tcBorders>
              <w:top w:val="single" w:sz="8" w:color="CCFFCC"/>
            </w:tcBorders>
          </w:tcPr>
          <w:p>
            <w:pPr>
              <w:spacing w:after="0"/>
              <w:rPr>
                <w:sz w:val="17"/>
                <w:szCs w:val="17"/>
                <w:color w:val="auto"/>
              </w:rPr>
            </w:pPr>
          </w:p>
        </w:tc>
        <w:tc>
          <w:tcPr>
            <w:tcW w:w="98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10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4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gridSpan w:val="15"/>
          </w:tcPr>
          <w:p>
            <w:pPr>
              <w:spacing w:after="0"/>
              <w:rPr>
                <w:sz w:val="20"/>
                <w:szCs w:val="20"/>
                <w:color w:val="auto"/>
              </w:rPr>
            </w:pPr>
            <w:r>
              <w:rPr>
                <w:rFonts w:ascii="Arial" w:cs="Arial" w:eastAsia="Arial" w:hAnsi="Arial"/>
                <w:sz w:val="18"/>
                <w:szCs w:val="18"/>
                <w:color w:val="auto"/>
              </w:rPr>
              <w:t>Preferred shares, Series A</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(Retail)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260,476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780" w:type="dxa"/>
            <w:vAlign w:val="bottom"/>
            <w:gridSpan w:val="10"/>
          </w:tcPr>
          <w:p>
            <w:pPr>
              <w:ind w:left="400"/>
              <w:spacing w:after="0"/>
              <w:rPr>
                <w:sz w:val="20"/>
                <w:szCs w:val="20"/>
                <w:color w:val="auto"/>
              </w:rPr>
            </w:pPr>
            <w:r>
              <w:rPr>
                <w:rFonts w:ascii="Arial" w:cs="Arial" w:eastAsia="Arial" w:hAnsi="Arial"/>
                <w:sz w:val="18"/>
                <w:szCs w:val="18"/>
                <w:b w:val="1"/>
                <w:bCs w:val="1"/>
                <w:color w:val="auto"/>
              </w:rPr>
              <w:t>Portfolio Investments*</w:t>
            </w:r>
          </w:p>
        </w:tc>
        <w:tc>
          <w:tcPr>
            <w:tcW w:w="2740" w:type="dxa"/>
            <w:vAlign w:val="bottom"/>
            <w:gridSpan w:val="2"/>
          </w:tcPr>
          <w:p>
            <w:pPr>
              <w:ind w:left="360"/>
              <w:spacing w:after="0"/>
              <w:rPr>
                <w:sz w:val="20"/>
                <w:szCs w:val="20"/>
                <w:color w:val="auto"/>
              </w:rPr>
            </w:pPr>
            <w:r>
              <w:rPr>
                <w:rFonts w:ascii="Arial" w:cs="Arial" w:eastAsia="Arial" w:hAnsi="Arial"/>
                <w:sz w:val="18"/>
                <w:szCs w:val="18"/>
                <w:b w:val="1"/>
                <w:bCs w:val="1"/>
                <w:color w:val="auto"/>
              </w:rPr>
              <w:t>Headquarters / Industry</w:t>
            </w: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190"/>
        </w:trPr>
        <w:tc>
          <w:tcPr>
            <w:tcW w:w="100" w:type="dxa"/>
            <w:vAlign w:val="bottom"/>
            <w:tcBorders>
              <w:top w:val="single" w:sz="8" w:color="auto"/>
            </w:tcBorders>
            <w:shd w:val="clear" w:color="auto" w:fill="CCFFCC"/>
          </w:tcPr>
          <w:p>
            <w:pPr>
              <w:spacing w:after="0"/>
              <w:rPr>
                <w:sz w:val="16"/>
                <w:szCs w:val="16"/>
                <w:color w:val="auto"/>
              </w:rPr>
            </w:pPr>
          </w:p>
        </w:tc>
        <w:tc>
          <w:tcPr>
            <w:tcW w:w="2640" w:type="dxa"/>
            <w:vAlign w:val="bottom"/>
            <w:tcBorders>
              <w:top w:val="single" w:sz="8" w:color="auto"/>
            </w:tcBorders>
            <w:gridSpan w:val="9"/>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Palantir Technologies, Inc.</w:t>
            </w:r>
          </w:p>
        </w:tc>
        <w:tc>
          <w:tcPr>
            <w:tcW w:w="140" w:type="dxa"/>
            <w:vAlign w:val="bottom"/>
            <w:tcBorders>
              <w:top w:val="single" w:sz="8" w:color="CCFFCC"/>
            </w:tcBorders>
            <w:shd w:val="clear" w:color="auto" w:fill="CCFFCC"/>
          </w:tcPr>
          <w:p>
            <w:pPr>
              <w:spacing w:after="0"/>
              <w:rPr>
                <w:sz w:val="16"/>
                <w:szCs w:val="16"/>
                <w:color w:val="auto"/>
              </w:rPr>
            </w:pPr>
          </w:p>
        </w:tc>
        <w:tc>
          <w:tcPr>
            <w:tcW w:w="2620" w:type="dxa"/>
            <w:vAlign w:val="bottom"/>
            <w:tcBorders>
              <w:top w:val="single" w:sz="8" w:color="auto"/>
            </w:tcBorders>
            <w:shd w:val="clear" w:color="auto" w:fill="CCFFCC"/>
          </w:tcPr>
          <w:p>
            <w:pPr>
              <w:jc w:val="center"/>
              <w:spacing w:after="0" w:line="170" w:lineRule="exact"/>
              <w:rPr>
                <w:sz w:val="20"/>
                <w:szCs w:val="20"/>
                <w:color w:val="auto"/>
              </w:rPr>
            </w:pPr>
            <w:r>
              <w:rPr>
                <w:rFonts w:ascii="Arial" w:cs="Arial" w:eastAsia="Arial" w:hAnsi="Arial"/>
                <w:sz w:val="18"/>
                <w:szCs w:val="18"/>
                <w:color w:val="auto"/>
                <w:w w:val="95"/>
              </w:rPr>
              <w:t>Palo Alto, CA</w:t>
            </w:r>
          </w:p>
        </w:tc>
        <w:tc>
          <w:tcPr>
            <w:tcW w:w="120" w:type="dxa"/>
            <w:vAlign w:val="bottom"/>
            <w:tcBorders>
              <w:top w:val="single" w:sz="8" w:color="CCFFCC"/>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220" w:type="dxa"/>
            <w:vAlign w:val="bottom"/>
            <w:tcBorders>
              <w:top w:val="single" w:sz="8" w:color="CCFFCC"/>
            </w:tcBorders>
            <w:shd w:val="clear" w:color="auto" w:fill="CCFFCC"/>
          </w:tcPr>
          <w:p>
            <w:pPr>
              <w:spacing w:after="0"/>
              <w:rPr>
                <w:sz w:val="16"/>
                <w:szCs w:val="16"/>
                <w:color w:val="auto"/>
              </w:rPr>
            </w:pPr>
          </w:p>
        </w:tc>
        <w:tc>
          <w:tcPr>
            <w:tcW w:w="260" w:type="dxa"/>
            <w:vAlign w:val="bottom"/>
            <w:tcBorders>
              <w:top w:val="single" w:sz="8" w:color="auto"/>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auto"/>
            </w:tcBorders>
            <w:shd w:val="clear" w:color="auto" w:fill="CCFFCC"/>
          </w:tcPr>
          <w:p>
            <w:pPr>
              <w:spacing w:after="0"/>
              <w:rPr>
                <w:sz w:val="16"/>
                <w:szCs w:val="16"/>
                <w:color w:val="auto"/>
              </w:rPr>
            </w:pPr>
          </w:p>
        </w:tc>
        <w:tc>
          <w:tcPr>
            <w:tcW w:w="1100" w:type="dxa"/>
            <w:vAlign w:val="bottom"/>
            <w:tcBorders>
              <w:top w:val="single" w:sz="8" w:color="auto"/>
            </w:tcBorders>
            <w:shd w:val="clear" w:color="auto" w:fill="CCFFCC"/>
          </w:tcPr>
          <w:p>
            <w:pPr>
              <w:spacing w:after="0"/>
              <w:rPr>
                <w:sz w:val="16"/>
                <w:szCs w:val="16"/>
                <w:color w:val="auto"/>
              </w:rPr>
            </w:pPr>
          </w:p>
        </w:tc>
        <w:tc>
          <w:tcPr>
            <w:tcW w:w="220" w:type="dxa"/>
            <w:vAlign w:val="bottom"/>
            <w:tcBorders>
              <w:top w:val="single" w:sz="8" w:color="CCFFCC"/>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Borders>
              <w:top w:val="single" w:sz="8" w:color="CCFFCC"/>
            </w:tcBorders>
          </w:tcPr>
          <w:p>
            <w:pPr>
              <w:spacing w:after="0"/>
              <w:rPr>
                <w:sz w:val="18"/>
                <w:szCs w:val="18"/>
                <w:color w:val="auto"/>
              </w:rPr>
            </w:pPr>
          </w:p>
        </w:tc>
        <w:tc>
          <w:tcPr>
            <w:tcW w:w="20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8"/>
              </w:rPr>
              <w:t>Common shares, Class A</w:t>
            </w:r>
          </w:p>
        </w:tc>
        <w:tc>
          <w:tcPr>
            <w:tcW w:w="740" w:type="dxa"/>
            <w:vAlign w:val="bottom"/>
            <w:tcBorders>
              <w:top w:val="single" w:sz="8" w:color="CCFFCC"/>
            </w:tcBorders>
            <w:gridSpan w:val="3"/>
          </w:tcPr>
          <w:p>
            <w:pPr>
              <w:spacing w:after="0"/>
              <w:rPr>
                <w:sz w:val="18"/>
                <w:szCs w:val="18"/>
                <w:color w:val="auto"/>
              </w:rPr>
            </w:pPr>
          </w:p>
        </w:tc>
        <w:tc>
          <w:tcPr>
            <w:tcW w:w="2740" w:type="dxa"/>
            <w:vAlign w:val="bottom"/>
            <w:tcBorders>
              <w:top w:val="single" w:sz="8" w:color="CCFFCC"/>
            </w:tcBorders>
            <w:gridSpan w:val="2"/>
          </w:tcPr>
          <w:p>
            <w:pPr>
              <w:jc w:val="center"/>
              <w:ind w:right="20"/>
              <w:spacing w:after="0"/>
              <w:rPr>
                <w:sz w:val="20"/>
                <w:szCs w:val="20"/>
                <w:color w:val="auto"/>
              </w:rPr>
            </w:pPr>
            <w:r>
              <w:rPr>
                <w:rFonts w:ascii="Arial" w:cs="Arial" w:eastAsia="Arial" w:hAnsi="Arial"/>
                <w:sz w:val="18"/>
                <w:szCs w:val="18"/>
                <w:color w:val="auto"/>
                <w:w w:val="91"/>
              </w:rPr>
              <w:t>Cyber Security</w:t>
            </w:r>
          </w:p>
        </w:tc>
        <w:tc>
          <w:tcPr>
            <w:tcW w:w="12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7,045,690</w:t>
            </w:r>
          </w:p>
        </w:tc>
        <w:tc>
          <w:tcPr>
            <w:tcW w:w="480" w:type="dxa"/>
            <w:vAlign w:val="bottom"/>
            <w:tcBorders>
              <w:top w:val="single" w:sz="8" w:color="CCFFCC"/>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19,780,613</w:t>
            </w:r>
          </w:p>
        </w:tc>
        <w:tc>
          <w:tcPr>
            <w:tcW w:w="260" w:type="dxa"/>
            <w:vAlign w:val="bottom"/>
            <w:tcBorders>
              <w:top w:val="single" w:sz="8" w:color="CCFFC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19,747,501</w:t>
            </w:r>
          </w:p>
        </w:tc>
        <w:tc>
          <w:tcPr>
            <w:tcW w:w="1400" w:type="dxa"/>
            <w:vAlign w:val="bottom"/>
            <w:tcBorders>
              <w:top w:val="single" w:sz="8" w:color="CCFFCC"/>
            </w:tcBorders>
            <w:gridSpan w:val="2"/>
          </w:tcPr>
          <w:p>
            <w:pPr>
              <w:jc w:val="right"/>
              <w:ind w:right="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278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G</w:t>
            </w: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326,797</w:t>
            </w: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1,008,968</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999,999</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2780" w:type="dxa"/>
            <w:vAlign w:val="bottom"/>
            <w:gridSpan w:val="10"/>
            <w:vMerge w:val="restart"/>
          </w:tcPr>
          <w:p>
            <w:pPr>
              <w:ind w:left="320"/>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2780" w:type="dxa"/>
            <w:vAlign w:val="bottom"/>
            <w:gridSpan w:val="10"/>
            <w:vMerge w:val="continue"/>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20,789,581</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20,747,500</w:t>
            </w:r>
          </w:p>
        </w:tc>
        <w:tc>
          <w:tcPr>
            <w:tcW w:w="22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0"/>
        </w:trPr>
        <w:tc>
          <w:tcPr>
            <w:tcW w:w="10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6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780" w:type="dxa"/>
            <w:vAlign w:val="bottom"/>
            <w:gridSpan w:val="10"/>
          </w:tcPr>
          <w:p>
            <w:pPr>
              <w:spacing w:after="0" w:line="176" w:lineRule="exact"/>
              <w:rPr>
                <w:sz w:val="20"/>
                <w:szCs w:val="20"/>
                <w:color w:val="auto"/>
              </w:rPr>
            </w:pPr>
            <w:r>
              <w:rPr>
                <w:rFonts w:ascii="Arial" w:cs="Arial" w:eastAsia="Arial" w:hAnsi="Arial"/>
                <w:sz w:val="18"/>
                <w:szCs w:val="18"/>
                <w:b w:val="1"/>
                <w:bCs w:val="1"/>
                <w:color w:val="auto"/>
              </w:rPr>
              <w:t>Serious Energy, Inc.</w:t>
            </w:r>
          </w:p>
        </w:tc>
        <w:tc>
          <w:tcPr>
            <w:tcW w:w="2740" w:type="dxa"/>
            <w:vAlign w:val="bottom"/>
            <w:gridSpan w:val="2"/>
          </w:tcPr>
          <w:p>
            <w:pPr>
              <w:jc w:val="center"/>
              <w:ind w:right="40"/>
              <w:spacing w:after="0" w:line="176" w:lineRule="exact"/>
              <w:rPr>
                <w:sz w:val="20"/>
                <w:szCs w:val="20"/>
                <w:color w:val="auto"/>
              </w:rPr>
            </w:pPr>
            <w:r>
              <w:rPr>
                <w:rFonts w:ascii="Arial" w:cs="Arial" w:eastAsia="Arial" w:hAnsi="Arial"/>
                <w:sz w:val="18"/>
                <w:szCs w:val="18"/>
                <w:color w:val="auto"/>
                <w:w w:val="92"/>
              </w:rPr>
              <w:t>Sunnyvale, CA</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278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740" w:type="dxa"/>
            <w:vAlign w:val="bottom"/>
            <w:gridSpan w:val="2"/>
            <w:shd w:val="clear" w:color="auto" w:fill="CCFFCC"/>
          </w:tcPr>
          <w:p>
            <w:pPr>
              <w:jc w:val="center"/>
              <w:ind w:right="20"/>
              <w:spacing w:after="0"/>
              <w:rPr>
                <w:sz w:val="20"/>
                <w:szCs w:val="20"/>
                <w:color w:val="auto"/>
              </w:rPr>
            </w:pPr>
            <w:r>
              <w:rPr>
                <w:rFonts w:ascii="Arial" w:cs="Arial" w:eastAsia="Arial" w:hAnsi="Arial"/>
                <w:sz w:val="18"/>
                <w:szCs w:val="18"/>
                <w:color w:val="auto"/>
                <w:w w:val="90"/>
              </w:rPr>
              <w:t>Green Materials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178,095</w:t>
            </w: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739,130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auto"/>
            </w:tcBorders>
            <w:gridSpan w:val="2"/>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7"/>
              </w:rPr>
              <w:t>SharesPost, Inc.</w:t>
            </w:r>
          </w:p>
        </w:tc>
        <w:tc>
          <w:tcPr>
            <w:tcW w:w="1540" w:type="dxa"/>
            <w:vAlign w:val="bottom"/>
            <w:tcBorders>
              <w:bottom w:val="single" w:sz="8" w:color="CCFFCC"/>
            </w:tcBorders>
            <w:gridSpan w:val="8"/>
            <w:shd w:val="clear" w:color="auto" w:fill="CCFFCC"/>
          </w:tcPr>
          <w:p>
            <w:pPr>
              <w:spacing w:after="0"/>
              <w:rPr>
                <w:sz w:val="17"/>
                <w:szCs w:val="17"/>
                <w:color w:val="auto"/>
              </w:rPr>
            </w:pPr>
          </w:p>
        </w:tc>
        <w:tc>
          <w:tcPr>
            <w:tcW w:w="2740" w:type="dxa"/>
            <w:vAlign w:val="bottom"/>
            <w:tcBorders>
              <w:bottom w:val="single" w:sz="8" w:color="CCFFCC"/>
            </w:tcBorders>
            <w:gridSpan w:val="2"/>
            <w:shd w:val="clear" w:color="auto" w:fill="CCFFCC"/>
          </w:tcPr>
          <w:p>
            <w:pPr>
              <w:jc w:val="center"/>
              <w:ind w:right="40"/>
              <w:spacing w:after="0" w:line="176" w:lineRule="exact"/>
              <w:rPr>
                <w:sz w:val="20"/>
                <w:szCs w:val="20"/>
                <w:color w:val="auto"/>
              </w:rPr>
            </w:pPr>
            <w:r>
              <w:rPr>
                <w:rFonts w:ascii="Arial" w:cs="Arial" w:eastAsia="Arial" w:hAnsi="Arial"/>
                <w:sz w:val="18"/>
                <w:szCs w:val="18"/>
                <w:color w:val="auto"/>
                <w:w w:val="91"/>
              </w:rPr>
              <w:t>San Bruno, CA</w:t>
            </w:r>
          </w:p>
        </w:tc>
        <w:tc>
          <w:tcPr>
            <w:tcW w:w="12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780" w:type="dxa"/>
            <w:vAlign w:val="bottom"/>
            <w:gridSpan w:val="10"/>
          </w:tcPr>
          <w:p>
            <w:pPr>
              <w:spacing w:after="0"/>
              <w:rPr>
                <w:sz w:val="20"/>
                <w:szCs w:val="20"/>
                <w:color w:val="auto"/>
              </w:rPr>
            </w:pPr>
            <w:r>
              <w:rPr>
                <w:rFonts w:ascii="Arial" w:cs="Arial" w:eastAsia="Arial" w:hAnsi="Arial"/>
                <w:sz w:val="18"/>
                <w:szCs w:val="18"/>
                <w:color w:val="auto"/>
              </w:rPr>
              <w:t>Preferred shares, Series B</w:t>
            </w: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Online</w:t>
            </w:r>
          </w:p>
        </w:tc>
        <w:tc>
          <w:tcPr>
            <w:tcW w:w="1260" w:type="dxa"/>
            <w:vAlign w:val="bottom"/>
          </w:tcPr>
          <w:p>
            <w:pPr>
              <w:jc w:val="right"/>
              <w:spacing w:after="0"/>
              <w:rPr>
                <w:sz w:val="20"/>
                <w:szCs w:val="20"/>
                <w:color w:val="auto"/>
              </w:rPr>
            </w:pPr>
            <w:r>
              <w:rPr>
                <w:rFonts w:ascii="Arial" w:cs="Arial" w:eastAsia="Arial" w:hAnsi="Arial"/>
                <w:sz w:val="18"/>
                <w:szCs w:val="18"/>
                <w:color w:val="auto"/>
              </w:rPr>
              <w:t>1,771,653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2,257,984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2,256,752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2"/>
        </w:trPr>
        <w:tc>
          <w:tcPr>
            <w:tcW w:w="100" w:type="dxa"/>
            <w:vAlign w:val="bottom"/>
            <w:shd w:val="clear" w:color="auto" w:fill="CCFFCC"/>
          </w:tcPr>
          <w:p>
            <w:pPr>
              <w:spacing w:after="0"/>
              <w:rPr>
                <w:sz w:val="17"/>
                <w:szCs w:val="17"/>
                <w:color w:val="auto"/>
              </w:rPr>
            </w:pPr>
          </w:p>
        </w:tc>
        <w:tc>
          <w:tcPr>
            <w:tcW w:w="2780" w:type="dxa"/>
            <w:vAlign w:val="bottom"/>
            <w:gridSpan w:val="10"/>
            <w:shd w:val="clear" w:color="auto" w:fill="CCFFCC"/>
          </w:tcPr>
          <w:p>
            <w:pPr>
              <w:spacing w:after="0" w:line="201" w:lineRule="exact"/>
              <w:rPr>
                <w:sz w:val="20"/>
                <w:szCs w:val="20"/>
                <w:color w:val="auto"/>
              </w:rPr>
            </w:pPr>
            <w:r>
              <w:rPr>
                <w:rFonts w:ascii="Arial" w:cs="Arial" w:eastAsia="Arial" w:hAnsi="Arial"/>
                <w:sz w:val="18"/>
                <w:szCs w:val="18"/>
                <w:color w:val="auto"/>
              </w:rPr>
              <w:t>Common warrants, $0.13 strike</w:t>
            </w:r>
          </w:p>
        </w:tc>
        <w:tc>
          <w:tcPr>
            <w:tcW w:w="2740" w:type="dxa"/>
            <w:vAlign w:val="bottom"/>
            <w:gridSpan w:val="2"/>
            <w:shd w:val="clear" w:color="auto" w:fill="CCFFCC"/>
          </w:tcPr>
          <w:p>
            <w:pPr>
              <w:jc w:val="center"/>
              <w:ind w:right="80"/>
              <w:spacing w:after="0" w:line="201" w:lineRule="exact"/>
              <w:rPr>
                <w:sz w:val="20"/>
                <w:szCs w:val="20"/>
                <w:color w:val="auto"/>
              </w:rPr>
            </w:pPr>
            <w:r>
              <w:rPr>
                <w:rFonts w:ascii="Arial" w:cs="Arial" w:eastAsia="Arial" w:hAnsi="Arial"/>
                <w:sz w:val="18"/>
                <w:szCs w:val="18"/>
                <w:color w:val="auto"/>
                <w:w w:val="91"/>
              </w:rPr>
              <w:t>Marketplace</w:t>
            </w:r>
          </w:p>
        </w:tc>
        <w:tc>
          <w:tcPr>
            <w:tcW w:w="12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CCFFCC"/>
          </w:tcPr>
          <w:p>
            <w:pPr>
              <w:spacing w:after="0"/>
              <w:rPr>
                <w:sz w:val="20"/>
                <w:szCs w:val="20"/>
                <w:color w:val="auto"/>
              </w:rPr>
            </w:pPr>
          </w:p>
        </w:tc>
        <w:tc>
          <w:tcPr>
            <w:tcW w:w="278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price, expire 6/15/2018</w:t>
            </w:r>
          </w:p>
        </w:tc>
        <w:tc>
          <w:tcPr>
            <w:tcW w:w="2740" w:type="dxa"/>
            <w:vAlign w:val="bottom"/>
            <w:gridSpan w:val="2"/>
            <w:shd w:val="clear" w:color="auto" w:fill="CCFFCC"/>
          </w:tcPr>
          <w:p>
            <w:pPr>
              <w:jc w:val="center"/>
              <w:ind w:right="20"/>
              <w:spacing w:after="0"/>
              <w:rPr>
                <w:sz w:val="20"/>
                <w:szCs w:val="20"/>
                <w:color w:val="auto"/>
              </w:rPr>
            </w:pPr>
            <w:r>
              <w:rPr>
                <w:rFonts w:ascii="Arial" w:cs="Arial" w:eastAsia="Arial" w:hAnsi="Arial"/>
                <w:sz w:val="18"/>
                <w:szCs w:val="18"/>
                <w:color w:val="auto"/>
                <w:w w:val="89"/>
              </w:rPr>
              <w:t>(Finance)</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770,934</w:t>
            </w:r>
          </w:p>
        </w:tc>
        <w:tc>
          <w:tcPr>
            <w:tcW w:w="2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23,128</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8,480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2780" w:type="dxa"/>
            <w:vAlign w:val="bottom"/>
            <w:gridSpan w:val="10"/>
            <w:vMerge w:val="restart"/>
          </w:tcPr>
          <w:p>
            <w:pPr>
              <w:ind w:left="320"/>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vMerge w:val="continue"/>
          </w:tcPr>
          <w:p>
            <w:pPr>
              <w:spacing w:after="0"/>
              <w:rPr>
                <w:sz w:val="18"/>
                <w:szCs w:val="18"/>
                <w:color w:val="auto"/>
              </w:rPr>
            </w:pPr>
          </w:p>
        </w:tc>
        <w:tc>
          <w:tcPr>
            <w:tcW w:w="2780" w:type="dxa"/>
            <w:vAlign w:val="bottom"/>
            <w:gridSpan w:val="10"/>
            <w:vMerge w:val="continue"/>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2,281,112</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2,265,232</w:t>
            </w:r>
          </w:p>
        </w:tc>
        <w:tc>
          <w:tcPr>
            <w:tcW w:w="22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0"/>
        </w:trPr>
        <w:tc>
          <w:tcPr>
            <w:tcW w:w="100" w:type="dxa"/>
            <w:vAlign w:val="bottom"/>
            <w:tcBorders>
              <w:top w:val="single" w:sz="8" w:color="CCFFCC"/>
            </w:tcBorders>
            <w:shd w:val="clear" w:color="auto" w:fill="CCFFCC"/>
          </w:tcPr>
          <w:p>
            <w:pPr>
              <w:spacing w:after="0"/>
              <w:rPr>
                <w:sz w:val="18"/>
                <w:szCs w:val="18"/>
                <w:color w:val="auto"/>
              </w:rPr>
            </w:pPr>
          </w:p>
        </w:tc>
        <w:tc>
          <w:tcPr>
            <w:tcW w:w="94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6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780" w:type="dxa"/>
            <w:vAlign w:val="bottom"/>
            <w:gridSpan w:val="10"/>
          </w:tcPr>
          <w:p>
            <w:pPr>
              <w:spacing w:after="0" w:line="176" w:lineRule="exact"/>
              <w:rPr>
                <w:sz w:val="20"/>
                <w:szCs w:val="20"/>
                <w:color w:val="auto"/>
              </w:rPr>
            </w:pPr>
            <w:r>
              <w:rPr>
                <w:rFonts w:ascii="Arial" w:cs="Arial" w:eastAsia="Arial" w:hAnsi="Arial"/>
                <w:sz w:val="18"/>
                <w:szCs w:val="18"/>
                <w:b w:val="1"/>
                <w:bCs w:val="1"/>
                <w:color w:val="auto"/>
              </w:rPr>
              <w:t>Silver Spring Networks, Inc.</w:t>
            </w:r>
          </w:p>
        </w:tc>
        <w:tc>
          <w:tcPr>
            <w:tcW w:w="2740" w:type="dxa"/>
            <w:vAlign w:val="bottom"/>
            <w:gridSpan w:val="2"/>
          </w:tcPr>
          <w:p>
            <w:pPr>
              <w:jc w:val="center"/>
              <w:ind w:right="40"/>
              <w:spacing w:after="0" w:line="176" w:lineRule="exact"/>
              <w:rPr>
                <w:sz w:val="20"/>
                <w:szCs w:val="20"/>
                <w:color w:val="auto"/>
              </w:rPr>
            </w:pPr>
            <w:r>
              <w:rPr>
                <w:rFonts w:ascii="Arial" w:cs="Arial" w:eastAsia="Arial" w:hAnsi="Arial"/>
                <w:sz w:val="18"/>
                <w:szCs w:val="18"/>
                <w:color w:val="auto"/>
                <w:w w:val="93"/>
              </w:rPr>
              <w:t>Redwood City, CA</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278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740" w:type="dxa"/>
            <w:vAlign w:val="bottom"/>
            <w:gridSpan w:val="2"/>
            <w:shd w:val="clear" w:color="auto" w:fill="CCFFCC"/>
          </w:tcPr>
          <w:p>
            <w:pPr>
              <w:jc w:val="center"/>
              <w:ind w:right="20"/>
              <w:spacing w:after="0"/>
              <w:rPr>
                <w:sz w:val="20"/>
                <w:szCs w:val="20"/>
                <w:color w:val="auto"/>
              </w:rPr>
            </w:pPr>
            <w:r>
              <w:rPr>
                <w:rFonts w:ascii="Arial" w:cs="Arial" w:eastAsia="Arial" w:hAnsi="Arial"/>
                <w:sz w:val="18"/>
                <w:szCs w:val="18"/>
                <w:color w:val="auto"/>
                <w:w w:val="91"/>
              </w:rPr>
              <w:t>Smart Grid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510,143</w:t>
            </w: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5,145,271</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3,275,118</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2780" w:type="dxa"/>
            <w:vAlign w:val="bottom"/>
            <w:gridSpan w:val="10"/>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SinoLending Ltd. </w:t>
            </w:r>
            <w:r>
              <w:rPr>
                <w:rFonts w:ascii="Arial" w:cs="Arial" w:eastAsia="Arial" w:hAnsi="Arial"/>
                <w:sz w:val="25"/>
                <w:szCs w:val="25"/>
                <w:b w:val="1"/>
                <w:bCs w:val="1"/>
                <w:color w:val="auto"/>
                <w:vertAlign w:val="superscript"/>
              </w:rPr>
              <w:t>(2)</w:t>
            </w:r>
          </w:p>
        </w:tc>
        <w:tc>
          <w:tcPr>
            <w:tcW w:w="2740" w:type="dxa"/>
            <w:vAlign w:val="bottom"/>
            <w:gridSpan w:val="2"/>
            <w:shd w:val="clear" w:color="auto" w:fill="CCFFCC"/>
          </w:tcPr>
          <w:p>
            <w:pPr>
              <w:jc w:val="center"/>
              <w:ind w:right="20"/>
              <w:spacing w:after="0"/>
              <w:rPr>
                <w:sz w:val="20"/>
                <w:szCs w:val="20"/>
                <w:color w:val="auto"/>
              </w:rPr>
            </w:pPr>
            <w:r>
              <w:rPr>
                <w:rFonts w:ascii="Arial" w:cs="Arial" w:eastAsia="Arial" w:hAnsi="Arial"/>
                <w:sz w:val="18"/>
                <w:szCs w:val="18"/>
                <w:color w:val="auto"/>
                <w:w w:val="90"/>
              </w:rPr>
              <w:t>Shanghai, China</w:t>
            </w: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2780" w:type="dxa"/>
            <w:vAlign w:val="bottom"/>
            <w:gridSpan w:val="10"/>
          </w:tcPr>
          <w:p>
            <w:pPr>
              <w:spacing w:after="0"/>
              <w:rPr>
                <w:sz w:val="20"/>
                <w:szCs w:val="20"/>
                <w:color w:val="auto"/>
              </w:rPr>
            </w:pPr>
            <w:r>
              <w:rPr>
                <w:rFonts w:ascii="Arial" w:cs="Arial" w:eastAsia="Arial" w:hAnsi="Arial"/>
                <w:sz w:val="18"/>
                <w:szCs w:val="18"/>
                <w:color w:val="auto"/>
              </w:rPr>
              <w:t>Preferred shares, Class A</w:t>
            </w: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Chinese P2P Lending</w:t>
            </w:r>
          </w:p>
        </w:tc>
        <w:tc>
          <w:tcPr>
            <w:tcW w:w="1260" w:type="dxa"/>
            <w:vAlign w:val="bottom"/>
          </w:tcPr>
          <w:p>
            <w:pPr>
              <w:jc w:val="right"/>
              <w:spacing w:after="0"/>
              <w:rPr>
                <w:sz w:val="20"/>
                <w:szCs w:val="20"/>
                <w:color w:val="auto"/>
              </w:rPr>
            </w:pPr>
            <w:r>
              <w:rPr>
                <w:rFonts w:ascii="Arial" w:cs="Arial" w:eastAsia="Arial" w:hAnsi="Arial"/>
                <w:sz w:val="18"/>
                <w:szCs w:val="18"/>
                <w:color w:val="auto"/>
              </w:rPr>
              <w:t>6,414,368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501,998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780" w:type="dxa"/>
            <w:vAlign w:val="bottom"/>
            <w:gridSpan w:val="10"/>
          </w:tcPr>
          <w:p>
            <w:pPr>
              <w:spacing w:after="0" w:line="176" w:lineRule="exact"/>
              <w:rPr>
                <w:sz w:val="20"/>
                <w:szCs w:val="20"/>
                <w:color w:val="auto"/>
              </w:rPr>
            </w:pPr>
            <w:r>
              <w:rPr>
                <w:rFonts w:ascii="Arial" w:cs="Arial" w:eastAsia="Arial" w:hAnsi="Arial"/>
                <w:sz w:val="18"/>
                <w:szCs w:val="18"/>
                <w:b w:val="1"/>
                <w:bCs w:val="1"/>
                <w:color w:val="auto"/>
              </w:rPr>
              <w:t>Solexel, Inc.</w:t>
            </w:r>
          </w:p>
        </w:tc>
        <w:tc>
          <w:tcPr>
            <w:tcW w:w="2740" w:type="dxa"/>
            <w:vAlign w:val="bottom"/>
            <w:gridSpan w:val="2"/>
          </w:tcPr>
          <w:p>
            <w:pPr>
              <w:jc w:val="center"/>
              <w:ind w:right="40"/>
              <w:spacing w:after="0" w:line="176" w:lineRule="exact"/>
              <w:rPr>
                <w:sz w:val="20"/>
                <w:szCs w:val="20"/>
                <w:color w:val="auto"/>
              </w:rPr>
            </w:pPr>
            <w:r>
              <w:rPr>
                <w:rFonts w:ascii="Arial" w:cs="Arial" w:eastAsia="Arial" w:hAnsi="Arial"/>
                <w:sz w:val="18"/>
                <w:szCs w:val="18"/>
                <w:color w:val="auto"/>
                <w:w w:val="97"/>
              </w:rPr>
              <w:t>Milpitas, CA</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278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C</w:t>
            </w:r>
          </w:p>
        </w:tc>
        <w:tc>
          <w:tcPr>
            <w:tcW w:w="2740" w:type="dxa"/>
            <w:vAlign w:val="bottom"/>
            <w:gridSpan w:val="2"/>
            <w:shd w:val="clear" w:color="auto" w:fill="CCFFCC"/>
          </w:tcPr>
          <w:p>
            <w:pPr>
              <w:jc w:val="center"/>
              <w:ind w:right="20"/>
              <w:spacing w:after="0"/>
              <w:rPr>
                <w:sz w:val="20"/>
                <w:szCs w:val="20"/>
                <w:color w:val="auto"/>
              </w:rPr>
            </w:pPr>
            <w:r>
              <w:rPr>
                <w:rFonts w:ascii="Arial" w:cs="Arial" w:eastAsia="Arial" w:hAnsi="Arial"/>
                <w:sz w:val="18"/>
                <w:szCs w:val="18"/>
                <w:color w:val="auto"/>
                <w:w w:val="89"/>
              </w:rPr>
              <w:t>Solar Power</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4,576,659</w:t>
            </w: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10,016,559</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10,000,000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CCFFCC"/>
            </w:tcBorders>
            <w:shd w:val="clear" w:color="auto" w:fill="CCFFCC"/>
          </w:tcPr>
          <w:p>
            <w:pPr>
              <w:spacing w:after="0"/>
              <w:rPr>
                <w:sz w:val="17"/>
                <w:szCs w:val="17"/>
                <w:color w:val="auto"/>
              </w:rPr>
            </w:pPr>
          </w:p>
        </w:tc>
        <w:tc>
          <w:tcPr>
            <w:tcW w:w="1840" w:type="dxa"/>
            <w:vAlign w:val="bottom"/>
            <w:tcBorders>
              <w:bottom w:val="single" w:sz="8" w:color="auto"/>
            </w:tcBorders>
            <w:gridSpan w:val="6"/>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7"/>
              </w:rPr>
              <w:t>Spotify Technology S.A.</w:t>
            </w:r>
          </w:p>
        </w:tc>
        <w:tc>
          <w:tcPr>
            <w:tcW w:w="940" w:type="dxa"/>
            <w:vAlign w:val="bottom"/>
            <w:tcBorders>
              <w:bottom w:val="single" w:sz="8" w:color="CCFFCC"/>
            </w:tcBorders>
            <w:gridSpan w:val="4"/>
            <w:shd w:val="clear" w:color="auto" w:fill="CCFFCC"/>
          </w:tcPr>
          <w:p>
            <w:pPr>
              <w:spacing w:after="0"/>
              <w:rPr>
                <w:sz w:val="17"/>
                <w:szCs w:val="17"/>
                <w:color w:val="auto"/>
              </w:rPr>
            </w:pPr>
          </w:p>
        </w:tc>
        <w:tc>
          <w:tcPr>
            <w:tcW w:w="2740" w:type="dxa"/>
            <w:vAlign w:val="bottom"/>
            <w:tcBorders>
              <w:bottom w:val="single" w:sz="8" w:color="CCFFCC"/>
            </w:tcBorders>
            <w:gridSpan w:val="2"/>
            <w:shd w:val="clear" w:color="auto" w:fill="CCFFCC"/>
          </w:tcPr>
          <w:p>
            <w:pPr>
              <w:jc w:val="center"/>
              <w:ind w:right="20"/>
              <w:spacing w:after="0" w:line="176" w:lineRule="exact"/>
              <w:rPr>
                <w:sz w:val="20"/>
                <w:szCs w:val="20"/>
                <w:color w:val="auto"/>
              </w:rPr>
            </w:pPr>
            <w:r>
              <w:rPr>
                <w:rFonts w:ascii="Arial" w:cs="Arial" w:eastAsia="Arial" w:hAnsi="Arial"/>
                <w:sz w:val="18"/>
                <w:szCs w:val="18"/>
                <w:color w:val="auto"/>
                <w:w w:val="90"/>
              </w:rPr>
              <w:t>Stockholm, Sweden</w:t>
            </w:r>
          </w:p>
        </w:tc>
        <w:tc>
          <w:tcPr>
            <w:tcW w:w="126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780" w:type="dxa"/>
            <w:vAlign w:val="bottom"/>
            <w:gridSpan w:val="10"/>
          </w:tcPr>
          <w:p>
            <w:pPr>
              <w:spacing w:after="0"/>
              <w:rPr>
                <w:sz w:val="20"/>
                <w:szCs w:val="20"/>
                <w:color w:val="auto"/>
              </w:rPr>
            </w:pPr>
            <w:r>
              <w:rPr>
                <w:rFonts w:ascii="Arial" w:cs="Arial" w:eastAsia="Arial" w:hAnsi="Arial"/>
                <w:sz w:val="18"/>
                <w:szCs w:val="18"/>
                <w:color w:val="auto"/>
              </w:rPr>
              <w:t>Common shares</w:t>
            </w:r>
          </w:p>
        </w:tc>
        <w:tc>
          <w:tcPr>
            <w:tcW w:w="27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Music Streaming Service</w:t>
            </w:r>
          </w:p>
        </w:tc>
        <w:tc>
          <w:tcPr>
            <w:tcW w:w="1260" w:type="dxa"/>
            <w:vAlign w:val="bottom"/>
          </w:tcPr>
          <w:p>
            <w:pPr>
              <w:jc w:val="right"/>
              <w:spacing w:after="0"/>
              <w:rPr>
                <w:sz w:val="20"/>
                <w:szCs w:val="20"/>
                <w:color w:val="auto"/>
              </w:rPr>
            </w:pPr>
            <w:r>
              <w:rPr>
                <w:rFonts w:ascii="Arial" w:cs="Arial" w:eastAsia="Arial" w:hAnsi="Arial"/>
                <w:sz w:val="18"/>
                <w:szCs w:val="18"/>
                <w:color w:val="auto"/>
              </w:rPr>
              <w:t>3,658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3,598,472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3,589,659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780" w:type="dxa"/>
            <w:vAlign w:val="bottom"/>
            <w:gridSpan w:val="10"/>
          </w:tcPr>
          <w:p>
            <w:pPr>
              <w:spacing w:after="0" w:line="216" w:lineRule="exact"/>
              <w:rPr>
                <w:sz w:val="20"/>
                <w:szCs w:val="20"/>
                <w:color w:val="auto"/>
              </w:rPr>
            </w:pPr>
            <w:r>
              <w:rPr>
                <w:rFonts w:ascii="Arial" w:cs="Arial" w:eastAsia="Arial" w:hAnsi="Arial"/>
                <w:sz w:val="16"/>
                <w:szCs w:val="16"/>
                <w:b w:val="1"/>
                <w:bCs w:val="1"/>
                <w:color w:val="auto"/>
              </w:rPr>
              <w:t xml:space="preserve">StormWind, LLC </w:t>
            </w:r>
            <w:r>
              <w:rPr>
                <w:rFonts w:ascii="Arial" w:cs="Arial" w:eastAsia="Arial" w:hAnsi="Arial"/>
                <w:sz w:val="25"/>
                <w:szCs w:val="25"/>
                <w:b w:val="1"/>
                <w:bCs w:val="1"/>
                <w:color w:val="auto"/>
                <w:vertAlign w:val="superscript"/>
              </w:rPr>
              <w:t>(2)</w:t>
            </w: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Scottsdale, AZ</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278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74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2"/>
              </w:rPr>
              <w:t>Interactive Learning Platform</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3,279,629</w:t>
            </w:r>
          </w:p>
        </w:tc>
        <w:tc>
          <w:tcPr>
            <w:tcW w:w="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2,019,687</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Strategic Sports Solutions,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1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(2)</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Preferred shares, Class A1</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SugarCRM,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shares</w:t>
      </w:r>
    </w:p>
    <w:p>
      <w:pPr>
        <w:spacing w:after="0" w:line="211" w:lineRule="exact"/>
        <w:rPr>
          <w:sz w:val="20"/>
          <w:szCs w:val="20"/>
          <w:color w:val="auto"/>
        </w:rPr>
      </w:pPr>
    </w:p>
    <w:p>
      <w:pPr>
        <w:ind w:left="100"/>
        <w:spacing w:after="0" w:line="213" w:lineRule="auto"/>
        <w:rPr>
          <w:sz w:val="20"/>
          <w:szCs w:val="20"/>
          <w:color w:val="auto"/>
        </w:rPr>
      </w:pPr>
      <w:r>
        <w:rPr>
          <w:rFonts w:ascii="Arial" w:cs="Arial" w:eastAsia="Arial" w:hAnsi="Arial"/>
          <w:sz w:val="17"/>
          <w:szCs w:val="17"/>
          <w:b w:val="1"/>
          <w:bCs w:val="1"/>
          <w:u w:val="single" w:color="auto"/>
          <w:color w:val="auto"/>
        </w:rPr>
        <w:t>The Echo System Corp.</w:t>
      </w:r>
      <w:r>
        <w:rPr>
          <w:rFonts w:ascii="Arial" w:cs="Arial" w:eastAsia="Arial" w:hAnsi="Arial"/>
          <w:sz w:val="17"/>
          <w:szCs w:val="17"/>
          <w:b w:val="1"/>
          <w:bCs w:val="1"/>
          <w:color w:val="auto"/>
        </w:rPr>
        <w:t xml:space="preserve"> </w:t>
      </w:r>
      <w:r>
        <w:rPr>
          <w:rFonts w:ascii="Arial" w:cs="Arial" w:eastAsia="Arial" w:hAnsi="Arial"/>
          <w:sz w:val="28"/>
          <w:szCs w:val="28"/>
          <w:b w:val="1"/>
          <w:bCs w:val="1"/>
          <w:color w:val="auto"/>
          <w:vertAlign w:val="superscript"/>
        </w:rPr>
        <w:t>(1) (2)</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shares, Series A Preferred warrants, $0.20 strike price, expire 11/14/2016</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jc w:val="center"/>
              <w:ind w:right="350"/>
              <w:spacing w:after="0"/>
              <w:rPr>
                <w:sz w:val="20"/>
                <w:szCs w:val="20"/>
                <w:color w:val="auto"/>
              </w:rPr>
            </w:pPr>
            <w:r>
              <w:rPr>
                <w:rFonts w:ascii="Arial" w:cs="Arial" w:eastAsia="Arial" w:hAnsi="Arial"/>
                <w:sz w:val="18"/>
                <w:szCs w:val="18"/>
                <w:color w:val="auto"/>
                <w:w w:val="95"/>
              </w:rPr>
              <w:t>New York, NY</w:t>
            </w: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jc w:val="center"/>
              <w:ind w:right="350"/>
              <w:spacing w:after="0"/>
              <w:rPr>
                <w:sz w:val="20"/>
                <w:szCs w:val="20"/>
                <w:color w:val="auto"/>
              </w:rPr>
            </w:pPr>
            <w:r>
              <w:rPr>
                <w:rFonts w:ascii="Arial" w:cs="Arial" w:eastAsia="Arial" w:hAnsi="Arial"/>
                <w:sz w:val="18"/>
                <w:szCs w:val="18"/>
                <w:color w:val="auto"/>
                <w:w w:val="92"/>
              </w:rPr>
              <w:t>Sports Analytics</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500,000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529,522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418"/>
        </w:trPr>
        <w:tc>
          <w:tcPr>
            <w:tcW w:w="2800" w:type="dxa"/>
            <w:vAlign w:val="bottom"/>
          </w:tcPr>
          <w:p>
            <w:pPr>
              <w:jc w:val="center"/>
              <w:ind w:right="370"/>
              <w:spacing w:after="0"/>
              <w:rPr>
                <w:sz w:val="20"/>
                <w:szCs w:val="20"/>
                <w:color w:val="auto"/>
              </w:rPr>
            </w:pPr>
            <w:r>
              <w:rPr>
                <w:rFonts w:ascii="Arial" w:cs="Arial" w:eastAsia="Arial" w:hAnsi="Arial"/>
                <w:sz w:val="18"/>
                <w:szCs w:val="18"/>
                <w:color w:val="auto"/>
                <w:w w:val="93"/>
              </w:rPr>
              <w:t>Cupertino, CA</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0" w:type="dxa"/>
            <w:vAlign w:val="bottom"/>
          </w:tcPr>
          <w:p>
            <w:pPr>
              <w:jc w:val="center"/>
              <w:ind w:right="370"/>
              <w:spacing w:after="0"/>
              <w:rPr>
                <w:sz w:val="20"/>
                <w:szCs w:val="20"/>
                <w:color w:val="auto"/>
              </w:rPr>
            </w:pPr>
            <w:r>
              <w:rPr>
                <w:rFonts w:ascii="Arial" w:cs="Arial" w:eastAsia="Arial" w:hAnsi="Arial"/>
                <w:sz w:val="18"/>
                <w:szCs w:val="18"/>
                <w:color w:val="auto"/>
                <w:w w:val="90"/>
              </w:rPr>
              <w:t>Customer Relationship Manager</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432,500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1,521,100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1,513,750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458"/>
        </w:trPr>
        <w:tc>
          <w:tcPr>
            <w:tcW w:w="2800" w:type="dxa"/>
            <w:vAlign w:val="bottom"/>
          </w:tcPr>
          <w:p>
            <w:pPr>
              <w:jc w:val="center"/>
              <w:ind w:right="350"/>
              <w:spacing w:after="0"/>
              <w:rPr>
                <w:sz w:val="20"/>
                <w:szCs w:val="20"/>
                <w:color w:val="auto"/>
              </w:rPr>
            </w:pPr>
            <w:r>
              <w:rPr>
                <w:rFonts w:ascii="Arial" w:cs="Arial" w:eastAsia="Arial" w:hAnsi="Arial"/>
                <w:sz w:val="18"/>
                <w:szCs w:val="18"/>
                <w:color w:val="auto"/>
                <w:w w:val="95"/>
              </w:rPr>
              <w:t>New York, NY</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0" w:type="dxa"/>
            <w:vAlign w:val="bottom"/>
          </w:tcPr>
          <w:p>
            <w:pPr>
              <w:jc w:val="center"/>
              <w:ind w:right="370"/>
              <w:spacing w:after="0"/>
              <w:rPr>
                <w:sz w:val="20"/>
                <w:szCs w:val="20"/>
                <w:color w:val="auto"/>
              </w:rPr>
            </w:pPr>
            <w:r>
              <w:rPr>
                <w:rFonts w:ascii="Arial" w:cs="Arial" w:eastAsia="Arial" w:hAnsi="Arial"/>
                <w:sz w:val="18"/>
                <w:szCs w:val="18"/>
                <w:color w:val="auto"/>
                <w:w w:val="93"/>
              </w:rPr>
              <w:t>Social Analytics</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512,365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1,436,404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1,639,568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68,359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75,988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70,394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1,512,392</w:t>
            </w:r>
          </w:p>
        </w:tc>
        <w:tc>
          <w:tcPr>
            <w:tcW w:w="22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1,709,962</w:t>
            </w:r>
          </w:p>
        </w:tc>
        <w:tc>
          <w:tcPr>
            <w:tcW w:w="220" w:type="dxa"/>
            <w:vAlign w:val="bottom"/>
            <w:vMerge w:val="continue"/>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-1276985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-1002665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-728345</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-427990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680"/>
            <w:col w:w="8360"/>
          </w:cols>
          <w:pgMar w:left="240" w:top="904"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11"/>
          </w:tcPr>
          <w:p>
            <w:pPr>
              <w:spacing w:after="0"/>
              <w:rPr>
                <w:sz w:val="20"/>
                <w:szCs w:val="20"/>
                <w:color w:val="auto"/>
              </w:rPr>
            </w:pPr>
            <w:r>
              <w:rPr>
                <w:rFonts w:ascii="Arial" w:cs="Arial" w:eastAsia="Arial" w:hAnsi="Arial"/>
                <w:sz w:val="18"/>
                <w:szCs w:val="18"/>
                <w:b w:val="1"/>
                <w:bCs w:val="1"/>
                <w:color w:val="auto"/>
              </w:rPr>
              <w:t>Portfolio Investments*</w:t>
            </w:r>
          </w:p>
        </w:tc>
        <w:tc>
          <w:tcPr>
            <w:tcW w:w="2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Headquarters / Industry</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 of Net 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20" w:type="dxa"/>
            <w:vAlign w:val="bottom"/>
            <w:tcBorders>
              <w:top w:val="single" w:sz="8" w:color="auto"/>
            </w:tcBorders>
            <w:gridSpan w:val="9"/>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The rSmart Group, Inc.</w:t>
            </w:r>
          </w:p>
        </w:tc>
        <w:tc>
          <w:tcPr>
            <w:tcW w:w="140" w:type="dxa"/>
            <w:vAlign w:val="bottom"/>
            <w:tcBorders>
              <w:top w:val="single" w:sz="8" w:color="CCFFCC"/>
            </w:tcBorders>
            <w:shd w:val="clear" w:color="auto" w:fill="CCFFCC"/>
          </w:tcPr>
          <w:p>
            <w:pPr>
              <w:spacing w:after="0"/>
              <w:rPr>
                <w:sz w:val="14"/>
                <w:szCs w:val="14"/>
                <w:color w:val="auto"/>
              </w:rPr>
            </w:pPr>
          </w:p>
        </w:tc>
        <w:tc>
          <w:tcPr>
            <w:tcW w:w="2620" w:type="dxa"/>
            <w:vAlign w:val="bottom"/>
            <w:tcBorders>
              <w:top w:val="single" w:sz="8" w:color="auto"/>
            </w:tcBorders>
            <w:shd w:val="clear" w:color="auto" w:fill="CCFFCC"/>
          </w:tcPr>
          <w:p>
            <w:pPr>
              <w:jc w:val="center"/>
              <w:spacing w:after="0" w:line="170" w:lineRule="exact"/>
              <w:rPr>
                <w:sz w:val="20"/>
                <w:szCs w:val="20"/>
                <w:color w:val="auto"/>
              </w:rPr>
            </w:pPr>
            <w:r>
              <w:rPr>
                <w:rFonts w:ascii="Arial" w:cs="Arial" w:eastAsia="Arial" w:hAnsi="Arial"/>
                <w:sz w:val="18"/>
                <w:szCs w:val="18"/>
                <w:color w:val="auto"/>
                <w:w w:val="90"/>
              </w:rPr>
              <w:t>Scottsdale, AZ</w:t>
            </w:r>
          </w:p>
        </w:tc>
        <w:tc>
          <w:tcPr>
            <w:tcW w:w="120" w:type="dxa"/>
            <w:vAlign w:val="bottom"/>
            <w:tcBorders>
              <w:top w:val="single" w:sz="8" w:color="CCFFCC"/>
            </w:tcBorders>
            <w:shd w:val="clear" w:color="auto" w:fill="CCFFCC"/>
          </w:tcPr>
          <w:p>
            <w:pPr>
              <w:spacing w:after="0"/>
              <w:rPr>
                <w:sz w:val="14"/>
                <w:szCs w:val="14"/>
                <w:color w:val="auto"/>
              </w:rPr>
            </w:pPr>
          </w:p>
        </w:tc>
        <w:tc>
          <w:tcPr>
            <w:tcW w:w="126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1100" w:type="dxa"/>
            <w:vAlign w:val="bottom"/>
            <w:tcBorders>
              <w:top w:val="single" w:sz="8" w:color="auto"/>
            </w:tcBorders>
            <w:shd w:val="clear" w:color="auto" w:fill="CCFFCC"/>
          </w:tcPr>
          <w:p>
            <w:pPr>
              <w:spacing w:after="0"/>
              <w:rPr>
                <w:sz w:val="14"/>
                <w:szCs w:val="14"/>
                <w:color w:val="auto"/>
              </w:rPr>
            </w:pPr>
          </w:p>
        </w:tc>
        <w:tc>
          <w:tcPr>
            <w:tcW w:w="220" w:type="dxa"/>
            <w:vAlign w:val="bottom"/>
            <w:tcBorders>
              <w:top w:val="single" w:sz="8" w:color="CCFFCC"/>
            </w:tcBorders>
            <w:shd w:val="clear" w:color="auto" w:fill="CCFFCC"/>
          </w:tcPr>
          <w:p>
            <w:pPr>
              <w:spacing w:after="0"/>
              <w:rPr>
                <w:sz w:val="14"/>
                <w:szCs w:val="14"/>
                <w:color w:val="auto"/>
              </w:rPr>
            </w:pPr>
          </w:p>
        </w:tc>
        <w:tc>
          <w:tcPr>
            <w:tcW w:w="1240" w:type="dxa"/>
            <w:vAlign w:val="bottom"/>
            <w:tcBorders>
              <w:top w:val="single" w:sz="8" w:color="auto"/>
            </w:tcBorders>
            <w:shd w:val="clear" w:color="auto" w:fill="CCFFCC"/>
          </w:tcPr>
          <w:p>
            <w:pPr>
              <w:spacing w:after="0"/>
              <w:rPr>
                <w:sz w:val="14"/>
                <w:szCs w:val="14"/>
                <w:color w:val="auto"/>
              </w:rPr>
            </w:pPr>
          </w:p>
        </w:tc>
        <w:tc>
          <w:tcPr>
            <w:tcW w:w="16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gridSpan w:val="10"/>
          </w:tcPr>
          <w:p>
            <w:pPr>
              <w:spacing w:after="0" w:line="201" w:lineRule="exact"/>
              <w:rPr>
                <w:sz w:val="20"/>
                <w:szCs w:val="20"/>
                <w:color w:val="auto"/>
              </w:rPr>
            </w:pPr>
            <w:r>
              <w:rPr>
                <w:rFonts w:ascii="Arial" w:cs="Arial" w:eastAsia="Arial" w:hAnsi="Arial"/>
                <w:sz w:val="18"/>
                <w:szCs w:val="18"/>
                <w:color w:val="auto"/>
              </w:rPr>
              <w:t>Preferred shares, Series B</w:t>
            </w:r>
          </w:p>
        </w:tc>
        <w:tc>
          <w:tcPr>
            <w:tcW w:w="27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2"/>
              </w:rPr>
              <w:t>Higher Education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Learning Platform</w:t>
            </w:r>
          </w:p>
        </w:tc>
        <w:tc>
          <w:tcPr>
            <w:tcW w:w="1260" w:type="dxa"/>
            <w:vAlign w:val="bottom"/>
          </w:tcPr>
          <w:p>
            <w:pPr>
              <w:jc w:val="right"/>
              <w:spacing w:after="0"/>
              <w:rPr>
                <w:sz w:val="20"/>
                <w:szCs w:val="20"/>
                <w:color w:val="auto"/>
              </w:rPr>
            </w:pPr>
            <w:r>
              <w:rPr>
                <w:rFonts w:ascii="Arial" w:cs="Arial" w:eastAsia="Arial" w:hAnsi="Arial"/>
                <w:sz w:val="18"/>
                <w:szCs w:val="18"/>
                <w:color w:val="auto"/>
              </w:rPr>
              <w:t>1,201,923</w:t>
            </w:r>
          </w:p>
        </w:tc>
        <w:tc>
          <w:tcPr>
            <w:tcW w:w="12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1,266,940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1,250,000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0"/>
          </w:tcPr>
          <w:p>
            <w:pPr>
              <w:spacing w:after="0" w:line="216" w:lineRule="exact"/>
              <w:rPr>
                <w:sz w:val="20"/>
                <w:szCs w:val="20"/>
                <w:color w:val="auto"/>
              </w:rPr>
            </w:pPr>
            <w:r>
              <w:rPr>
                <w:rFonts w:ascii="Arial" w:cs="Arial" w:eastAsia="Arial" w:hAnsi="Arial"/>
                <w:sz w:val="16"/>
                <w:szCs w:val="16"/>
                <w:b w:val="1"/>
                <w:bCs w:val="1"/>
                <w:color w:val="auto"/>
              </w:rPr>
              <w:t xml:space="preserve">Top Hat 430, Inc. </w:t>
            </w:r>
            <w:r>
              <w:rPr>
                <w:rFonts w:ascii="Arial" w:cs="Arial" w:eastAsia="Arial" w:hAnsi="Arial"/>
                <w:sz w:val="25"/>
                <w:szCs w:val="25"/>
                <w:b w:val="1"/>
                <w:bCs w:val="1"/>
                <w:color w:val="auto"/>
                <w:vertAlign w:val="superscript"/>
              </w:rPr>
              <w:t>(2)</w:t>
            </w:r>
          </w:p>
        </w:tc>
        <w:tc>
          <w:tcPr>
            <w:tcW w:w="2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Shakopee, MN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74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92"/>
              </w:rPr>
              <w:t>Jewelry Retailing Technology</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1,777,778</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4,015,179</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4,000,001</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860" w:type="dxa"/>
            <w:vAlign w:val="bottom"/>
            <w:gridSpan w:val="10"/>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Totus Solutions, Inc. </w:t>
            </w:r>
            <w:r>
              <w:rPr>
                <w:rFonts w:ascii="Arial" w:cs="Arial" w:eastAsia="Arial" w:hAnsi="Arial"/>
                <w:sz w:val="25"/>
                <w:szCs w:val="25"/>
                <w:b w:val="1"/>
                <w:bCs w:val="1"/>
                <w:color w:val="auto"/>
                <w:vertAlign w:val="superscript"/>
              </w:rPr>
              <w:t>(2)</w:t>
            </w:r>
          </w:p>
        </w:tc>
        <w:tc>
          <w:tcPr>
            <w:tcW w:w="27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5"/>
              </w:rPr>
              <w:t>Carrollton, TX</w:t>
            </w:r>
          </w:p>
        </w:tc>
        <w:tc>
          <w:tcPr>
            <w:tcW w:w="12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Common shares</w:t>
            </w:r>
          </w:p>
        </w:tc>
        <w:tc>
          <w:tcPr>
            <w:tcW w:w="1300" w:type="dxa"/>
            <w:vAlign w:val="bottom"/>
            <w:tcBorders>
              <w:top w:val="single" w:sz="8" w:color="CCFFCC"/>
            </w:tcBorders>
            <w:gridSpan w:val="4"/>
          </w:tcPr>
          <w:p>
            <w:pPr>
              <w:spacing w:after="0"/>
              <w:rPr>
                <w:sz w:val="18"/>
                <w:szCs w:val="18"/>
                <w:color w:val="auto"/>
              </w:rPr>
            </w:pPr>
          </w:p>
        </w:tc>
        <w:tc>
          <w:tcPr>
            <w:tcW w:w="2740" w:type="dxa"/>
            <w:vAlign w:val="bottom"/>
            <w:tcBorders>
              <w:top w:val="single" w:sz="8" w:color="CCFFCC"/>
            </w:tcBorders>
            <w:gridSpan w:val="2"/>
          </w:tcPr>
          <w:p>
            <w:pPr>
              <w:jc w:val="center"/>
              <w:ind w:right="120"/>
              <w:spacing w:after="0"/>
              <w:rPr>
                <w:sz w:val="20"/>
                <w:szCs w:val="20"/>
                <w:color w:val="auto"/>
              </w:rPr>
            </w:pPr>
            <w:r>
              <w:rPr>
                <w:rFonts w:ascii="Arial" w:cs="Arial" w:eastAsia="Arial" w:hAnsi="Arial"/>
                <w:sz w:val="18"/>
                <w:szCs w:val="18"/>
                <w:color w:val="auto"/>
                <w:w w:val="98"/>
              </w:rPr>
              <w:t>LED Lighting</w:t>
            </w:r>
          </w:p>
        </w:tc>
        <w:tc>
          <w:tcPr>
            <w:tcW w:w="1380" w:type="dxa"/>
            <w:vAlign w:val="bottom"/>
            <w:tcBorders>
              <w:top w:val="single" w:sz="8" w:color="CCFFCC"/>
            </w:tcBorders>
            <w:gridSpan w:val="2"/>
          </w:tcPr>
          <w:p>
            <w:pPr>
              <w:jc w:val="right"/>
              <w:ind w:right="120"/>
              <w:spacing w:after="0"/>
              <w:rPr>
                <w:sz w:val="20"/>
                <w:szCs w:val="20"/>
                <w:color w:val="auto"/>
              </w:rPr>
            </w:pPr>
            <w:r>
              <w:rPr>
                <w:rFonts w:ascii="Arial" w:cs="Arial" w:eastAsia="Arial" w:hAnsi="Arial"/>
                <w:sz w:val="18"/>
                <w:szCs w:val="18"/>
                <w:color w:val="auto"/>
              </w:rPr>
              <w:t>20,000,000</w:t>
            </w:r>
          </w:p>
        </w:tc>
        <w:tc>
          <w:tcPr>
            <w:tcW w:w="1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2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5,023,748</w:t>
            </w:r>
          </w:p>
        </w:tc>
        <w:tc>
          <w:tcPr>
            <w:tcW w:w="12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5,000,000</w:t>
            </w:r>
          </w:p>
        </w:tc>
        <w:tc>
          <w:tcPr>
            <w:tcW w:w="1400" w:type="dxa"/>
            <w:vAlign w:val="bottom"/>
            <w:tcBorders>
              <w:top w:val="single" w:sz="8" w:color="CCFFCC"/>
            </w:tcBorders>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0"/>
          </w:tcPr>
          <w:p>
            <w:pPr>
              <w:spacing w:after="0" w:line="176" w:lineRule="exact"/>
              <w:rPr>
                <w:sz w:val="20"/>
                <w:szCs w:val="20"/>
                <w:color w:val="auto"/>
              </w:rPr>
            </w:pPr>
            <w:r>
              <w:rPr>
                <w:rFonts w:ascii="Arial" w:cs="Arial" w:eastAsia="Arial" w:hAnsi="Arial"/>
                <w:sz w:val="18"/>
                <w:szCs w:val="18"/>
                <w:b w:val="1"/>
                <w:bCs w:val="1"/>
                <w:color w:val="auto"/>
              </w:rPr>
              <w:t>TrueCar, Inc.</w:t>
            </w:r>
          </w:p>
        </w:tc>
        <w:tc>
          <w:tcPr>
            <w:tcW w:w="27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Santa Monica, CA</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gridSpan w:val="10"/>
            <w:shd w:val="clear" w:color="auto" w:fill="CCFFCC"/>
          </w:tcPr>
          <w:p>
            <w:pPr>
              <w:spacing w:after="0" w:line="201" w:lineRule="exact"/>
              <w:rPr>
                <w:sz w:val="20"/>
                <w:szCs w:val="20"/>
                <w:color w:val="auto"/>
              </w:rPr>
            </w:pPr>
            <w:r>
              <w:rPr>
                <w:rFonts w:ascii="Arial" w:cs="Arial" w:eastAsia="Arial" w:hAnsi="Arial"/>
                <w:sz w:val="18"/>
                <w:szCs w:val="18"/>
                <w:color w:val="auto"/>
              </w:rPr>
              <w:t>Common shares</w:t>
            </w:r>
          </w:p>
        </w:tc>
        <w:tc>
          <w:tcPr>
            <w:tcW w:w="2740" w:type="dxa"/>
            <w:vAlign w:val="bottom"/>
            <w:gridSpan w:val="2"/>
            <w:shd w:val="clear" w:color="auto" w:fill="CCFFCC"/>
          </w:tcPr>
          <w:p>
            <w:pPr>
              <w:jc w:val="center"/>
              <w:ind w:right="160"/>
              <w:spacing w:after="0" w:line="201" w:lineRule="exact"/>
              <w:rPr>
                <w:sz w:val="20"/>
                <w:szCs w:val="20"/>
                <w:color w:val="auto"/>
              </w:rPr>
            </w:pPr>
            <w:r>
              <w:rPr>
                <w:rFonts w:ascii="Arial" w:cs="Arial" w:eastAsia="Arial" w:hAnsi="Arial"/>
                <w:sz w:val="18"/>
                <w:szCs w:val="18"/>
                <w:color w:val="auto"/>
                <w:w w:val="96"/>
              </w:rPr>
              <w:t>Online</w:t>
            </w:r>
          </w:p>
        </w:tc>
        <w:tc>
          <w:tcPr>
            <w:tcW w:w="12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7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0"/>
              </w:rPr>
              <w:t>Marketplace (Cars)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377,358</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2,014,863</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2,011,318</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Twitter, Inc.</w:t>
            </w:r>
          </w:p>
        </w:tc>
        <w:tc>
          <w:tcPr>
            <w:tcW w:w="2740" w:type="dxa"/>
            <w:vAlign w:val="bottom"/>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89"/>
              </w:rPr>
              <w:t>San Francisco, CA</w:t>
            </w:r>
          </w:p>
        </w:tc>
        <w:tc>
          <w:tcPr>
            <w:tcW w:w="12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8"/>
                <w:szCs w:val="18"/>
                <w:color w:val="auto"/>
              </w:rPr>
              <w:t>Common shares</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Social</w:t>
            </w:r>
          </w:p>
        </w:tc>
        <w:tc>
          <w:tcPr>
            <w:tcW w:w="1260" w:type="dxa"/>
            <w:vAlign w:val="bottom"/>
          </w:tcPr>
          <w:p>
            <w:pPr>
              <w:jc w:val="right"/>
              <w:spacing w:after="0"/>
              <w:rPr>
                <w:sz w:val="20"/>
                <w:szCs w:val="20"/>
                <w:color w:val="auto"/>
              </w:rPr>
            </w:pPr>
            <w:r>
              <w:rPr>
                <w:rFonts w:ascii="Arial" w:cs="Arial" w:eastAsia="Arial" w:hAnsi="Arial"/>
                <w:sz w:val="18"/>
                <w:szCs w:val="18"/>
                <w:color w:val="auto"/>
              </w:rPr>
              <w:t>1,835,600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31,755,821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34,876,400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740" w:type="dxa"/>
            <w:vAlign w:val="bottom"/>
            <w:gridSpan w:val="2"/>
            <w:shd w:val="clear" w:color="auto" w:fill="CCFFCC"/>
          </w:tcPr>
          <w:p>
            <w:pPr>
              <w:jc w:val="center"/>
              <w:ind w:right="140"/>
              <w:spacing w:after="0"/>
              <w:rPr>
                <w:sz w:val="20"/>
                <w:szCs w:val="20"/>
                <w:color w:val="auto"/>
              </w:rPr>
            </w:pPr>
            <w:r>
              <w:rPr>
                <w:rFonts w:ascii="Arial" w:cs="Arial" w:eastAsia="Arial" w:hAnsi="Arial"/>
                <w:sz w:val="18"/>
                <w:szCs w:val="18"/>
                <w:color w:val="auto"/>
                <w:w w:val="92"/>
              </w:rPr>
              <w:t>Communication</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1,235,290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1,235,000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10"/>
            <w:vMerge w:val="restart"/>
          </w:tcPr>
          <w:p>
            <w:pPr>
              <w:ind w:left="300"/>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10"/>
            <w:vMerge w:val="continue"/>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32,991,111</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36,111,400</w:t>
            </w:r>
          </w:p>
        </w:tc>
        <w:tc>
          <w:tcPr>
            <w:tcW w:w="220" w:type="dxa"/>
            <w:vAlign w:val="bottom"/>
            <w:vMerge w:val="continue"/>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6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0"/>
          </w:tcPr>
          <w:p>
            <w:pPr>
              <w:spacing w:after="0" w:line="176" w:lineRule="exact"/>
              <w:rPr>
                <w:sz w:val="20"/>
                <w:szCs w:val="20"/>
                <w:color w:val="auto"/>
              </w:rPr>
            </w:pPr>
            <w:r>
              <w:rPr>
                <w:rFonts w:ascii="Arial" w:cs="Arial" w:eastAsia="Arial" w:hAnsi="Arial"/>
                <w:sz w:val="18"/>
                <w:szCs w:val="18"/>
                <w:b w:val="1"/>
                <w:bCs w:val="1"/>
                <w:color w:val="auto"/>
              </w:rPr>
              <w:t>Violin Memory, Inc.</w:t>
            </w:r>
          </w:p>
        </w:tc>
        <w:tc>
          <w:tcPr>
            <w:tcW w:w="27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5"/>
              </w:rPr>
              <w:t>Mountain View, CA</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7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86"/>
              </w:rPr>
              <w:t>Flash</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4,800,798</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4,800,000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8"/>
                <w:szCs w:val="18"/>
                <w:color w:val="auto"/>
              </w:rPr>
              <w:t>Preferred shares, Series D</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Memory</w:t>
            </w:r>
          </w:p>
        </w:tc>
        <w:tc>
          <w:tcPr>
            <w:tcW w:w="1260" w:type="dxa"/>
            <w:vAlign w:val="bottom"/>
          </w:tcPr>
          <w:p>
            <w:pPr>
              <w:jc w:val="right"/>
              <w:spacing w:after="0"/>
              <w:rPr>
                <w:sz w:val="20"/>
                <w:szCs w:val="20"/>
                <w:color w:val="auto"/>
              </w:rPr>
            </w:pPr>
            <w:r>
              <w:rPr>
                <w:rFonts w:ascii="Arial" w:cs="Arial" w:eastAsia="Arial" w:hAnsi="Arial"/>
                <w:sz w:val="18"/>
                <w:szCs w:val="18"/>
                <w:color w:val="auto"/>
              </w:rPr>
              <w:t>1,666,666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10,018,045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9,999,996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10"/>
            <w:vMerge w:val="restart"/>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10"/>
            <w:vMerge w:val="continue"/>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14,818,843</w:t>
            </w:r>
          </w:p>
        </w:tc>
        <w:tc>
          <w:tcPr>
            <w:tcW w:w="10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14,799,996</w:t>
            </w:r>
          </w:p>
        </w:tc>
        <w:tc>
          <w:tcPr>
            <w:tcW w:w="220" w:type="dxa"/>
            <w:vAlign w:val="bottom"/>
            <w:vMerge w:val="continue"/>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0"/>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Whittle Schools, LLC </w:t>
            </w:r>
            <w:r>
              <w:rPr>
                <w:rFonts w:ascii="Arial" w:cs="Arial" w:eastAsia="Arial" w:hAnsi="Arial"/>
                <w:sz w:val="25"/>
                <w:szCs w:val="25"/>
                <w:b w:val="1"/>
                <w:bCs w:val="1"/>
                <w:color w:val="auto"/>
                <w:vertAlign w:val="superscript"/>
              </w:rPr>
              <w:t>(2)</w:t>
            </w:r>
          </w:p>
        </w:tc>
        <w:tc>
          <w:tcPr>
            <w:tcW w:w="27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7"/>
              </w:rPr>
              <w:t>New York, NY</w:t>
            </w:r>
          </w:p>
        </w:tc>
        <w:tc>
          <w:tcPr>
            <w:tcW w:w="1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8"/>
                <w:szCs w:val="18"/>
                <w:color w:val="auto"/>
              </w:rPr>
              <w:t>Preferred shares, Series B</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Education Technology</w:t>
            </w:r>
          </w:p>
        </w:tc>
        <w:tc>
          <w:tcPr>
            <w:tcW w:w="126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0"/>
          </w:tcPr>
          <w:p>
            <w:pPr>
              <w:spacing w:after="0" w:line="176" w:lineRule="exact"/>
              <w:rPr>
                <w:sz w:val="20"/>
                <w:szCs w:val="20"/>
                <w:color w:val="auto"/>
              </w:rPr>
            </w:pPr>
            <w:r>
              <w:rPr>
                <w:rFonts w:ascii="Arial" w:cs="Arial" w:eastAsia="Arial" w:hAnsi="Arial"/>
                <w:sz w:val="18"/>
                <w:szCs w:val="18"/>
                <w:b w:val="1"/>
                <w:bCs w:val="1"/>
                <w:color w:val="auto"/>
              </w:rPr>
              <w:t>ZocDoc Inc.</w:t>
            </w:r>
          </w:p>
        </w:tc>
        <w:tc>
          <w:tcPr>
            <w:tcW w:w="27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7"/>
              </w:rPr>
              <w:t>New York, NY</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740" w:type="dxa"/>
            <w:vAlign w:val="bottom"/>
            <w:gridSpan w:val="2"/>
            <w:shd w:val="clear" w:color="auto" w:fill="CCFFCC"/>
          </w:tcPr>
          <w:p>
            <w:pPr>
              <w:jc w:val="center"/>
              <w:ind w:right="180"/>
              <w:spacing w:after="0" w:line="201" w:lineRule="exact"/>
              <w:rPr>
                <w:sz w:val="20"/>
                <w:szCs w:val="20"/>
                <w:color w:val="auto"/>
              </w:rPr>
            </w:pPr>
            <w:r>
              <w:rPr>
                <w:rFonts w:ascii="Arial" w:cs="Arial" w:eastAsia="Arial" w:hAnsi="Arial"/>
                <w:sz w:val="18"/>
                <w:szCs w:val="18"/>
                <w:color w:val="auto"/>
                <w:w w:val="94"/>
              </w:rPr>
              <w:t>Online Medical</w:t>
            </w:r>
          </w:p>
        </w:tc>
        <w:tc>
          <w:tcPr>
            <w:tcW w:w="12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10"/>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740" w:type="dxa"/>
            <w:vAlign w:val="bottom"/>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2"/>
              </w:rPr>
              <w:t>Scheduling</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3,563,178</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0"/>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Zynga, Inc.</w:t>
            </w:r>
          </w:p>
        </w:tc>
        <w:tc>
          <w:tcPr>
            <w:tcW w:w="2740" w:type="dxa"/>
            <w:vAlign w:val="bottom"/>
            <w:gridSpan w:val="2"/>
            <w:shd w:val="clear" w:color="auto" w:fill="CCFFCC"/>
          </w:tcPr>
          <w:p>
            <w:pPr>
              <w:jc w:val="center"/>
              <w:ind w:right="120"/>
              <w:spacing w:after="0" w:line="176" w:lineRule="exact"/>
              <w:rPr>
                <w:sz w:val="20"/>
                <w:szCs w:val="20"/>
                <w:color w:val="auto"/>
              </w:rPr>
            </w:pPr>
            <w:r>
              <w:rPr>
                <w:rFonts w:ascii="Arial" w:cs="Arial" w:eastAsia="Arial" w:hAnsi="Arial"/>
                <w:sz w:val="18"/>
                <w:szCs w:val="18"/>
                <w:color w:val="auto"/>
                <w:w w:val="89"/>
              </w:rPr>
              <w:t>San Francisco, CA</w:t>
            </w:r>
          </w:p>
        </w:tc>
        <w:tc>
          <w:tcPr>
            <w:tcW w:w="12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8"/>
                <w:szCs w:val="18"/>
                <w:color w:val="auto"/>
              </w:rPr>
              <w:t>Common shares</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Social Gaming</w:t>
            </w:r>
          </w:p>
        </w:tc>
        <w:tc>
          <w:tcPr>
            <w:tcW w:w="1260" w:type="dxa"/>
            <w:vAlign w:val="bottom"/>
          </w:tcPr>
          <w:p>
            <w:pPr>
              <w:jc w:val="right"/>
              <w:spacing w:after="0"/>
              <w:rPr>
                <w:sz w:val="20"/>
                <w:szCs w:val="20"/>
                <w:color w:val="auto"/>
              </w:rPr>
            </w:pPr>
            <w:r>
              <w:rPr>
                <w:rFonts w:ascii="Arial" w:cs="Arial" w:eastAsia="Arial" w:hAnsi="Arial"/>
                <w:sz w:val="18"/>
                <w:szCs w:val="18"/>
                <w:color w:val="auto"/>
              </w:rPr>
              <w:t>533,333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3,003,462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1,514,666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6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8"/>
                <w:szCs w:val="18"/>
                <w:b w:val="1"/>
                <w:bCs w:val="1"/>
                <w:color w:val="auto"/>
              </w:rPr>
              <w:t>Total Portfolio Investments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224,689,927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217,441,538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b w:val="1"/>
                <w:bCs w:val="1"/>
                <w:color w:val="auto"/>
              </w:rPr>
              <w:t>Non-Portfolio Investments</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of Net Assets</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Money Market Funds </w:t>
            </w:r>
            <w:r>
              <w:rPr>
                <w:rFonts w:ascii="Arial" w:cs="Arial" w:eastAsia="Arial" w:hAnsi="Arial"/>
                <w:sz w:val="30"/>
                <w:szCs w:val="30"/>
                <w:b w:val="1"/>
                <w:bCs w:val="1"/>
                <w:color w:val="auto"/>
                <w:vertAlign w:val="superscript"/>
              </w:rPr>
              <w:t>(1)</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Fidelity Institutional Money Market Funds</w:t>
            </w:r>
          </w:p>
        </w:tc>
        <w:tc>
          <w:tcPr>
            <w:tcW w:w="1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Money Market Portfolio</w:t>
            </w:r>
          </w:p>
        </w:tc>
        <w:tc>
          <w:tcPr>
            <w:tcW w:w="1280" w:type="dxa"/>
            <w:vAlign w:val="bottom"/>
          </w:tcPr>
          <w:p>
            <w:pPr>
              <w:jc w:val="right"/>
              <w:spacing w:after="0"/>
              <w:rPr>
                <w:sz w:val="20"/>
                <w:szCs w:val="20"/>
                <w:color w:val="auto"/>
              </w:rPr>
            </w:pPr>
            <w:r>
              <w:rPr>
                <w:rFonts w:ascii="Arial" w:cs="Arial" w:eastAsia="Arial" w:hAnsi="Arial"/>
                <w:sz w:val="18"/>
                <w:szCs w:val="18"/>
                <w:color w:val="auto"/>
              </w:rPr>
              <w:t>8,000,000</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8,000,000</w:t>
            </w: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8,000,000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Prime Money Market Portfolio</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8,000,000</w:t>
            </w:r>
          </w:p>
        </w:tc>
        <w:tc>
          <w:tcPr>
            <w:tcW w:w="3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8,000,000</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8,000,000</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FFCC"/>
            </w:tcBorders>
            <w:gridSpan w:val="3"/>
          </w:tcPr>
          <w:p>
            <w:pPr>
              <w:spacing w:after="0"/>
              <w:rPr>
                <w:sz w:val="20"/>
                <w:szCs w:val="20"/>
                <w:color w:val="auto"/>
              </w:rPr>
            </w:pPr>
            <w:r>
              <w:rPr>
                <w:rFonts w:ascii="Arial" w:cs="Arial" w:eastAsia="Arial" w:hAnsi="Arial"/>
                <w:sz w:val="18"/>
                <w:szCs w:val="18"/>
                <w:color w:val="auto"/>
              </w:rPr>
              <w:t>Total Money Market Funds</w:t>
            </w:r>
          </w:p>
        </w:tc>
        <w:tc>
          <w:tcPr>
            <w:tcW w:w="1280" w:type="dxa"/>
            <w:vAlign w:val="bottom"/>
            <w:tcBorders>
              <w:bottom w:val="single" w:sz="8" w:color="CCFFCC"/>
            </w:tcBorders>
          </w:tcPr>
          <w:p>
            <w:pPr>
              <w:spacing w:after="0"/>
              <w:rPr>
                <w:sz w:val="18"/>
                <w:szCs w:val="18"/>
                <w:color w:val="auto"/>
              </w:rPr>
            </w:pPr>
          </w:p>
        </w:tc>
        <w:tc>
          <w:tcPr>
            <w:tcW w:w="340" w:type="dxa"/>
            <w:vAlign w:val="bottom"/>
            <w:tcBorders>
              <w:bottom w:val="single" w:sz="8" w:color="CCFFC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16,000,000</w:t>
            </w:r>
          </w:p>
        </w:tc>
        <w:tc>
          <w:tcPr>
            <w:tcW w:w="16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16,000,000</w:t>
            </w:r>
          </w:p>
        </w:tc>
        <w:tc>
          <w:tcPr>
            <w:tcW w:w="32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Borders>
              <w:bottom w:val="single" w:sz="8" w:color="CCFFCC"/>
            </w:tcBorders>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33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Total Investments</w:t>
            </w:r>
          </w:p>
        </w:tc>
        <w:tc>
          <w:tcPr>
            <w:tcW w:w="128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240,689,927</w:t>
            </w:r>
          </w:p>
        </w:tc>
        <w:tc>
          <w:tcPr>
            <w:tcW w:w="160" w:type="dxa"/>
            <w:vAlign w:val="bottom"/>
          </w:tcPr>
          <w:p>
            <w:pPr>
              <w:spacing w:after="0"/>
              <w:rPr>
                <w:sz w:val="21"/>
                <w:szCs w:val="21"/>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233,441,538</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14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6"/>
          <w:szCs w:val="26"/>
          <w:b w:val="1"/>
          <w:bCs w:val="1"/>
          <w:color w:val="auto"/>
          <w:vertAlign w:val="superscript"/>
        </w:rPr>
      </w:pPr>
      <w:r>
        <w:rPr>
          <w:rFonts w:ascii="Arial" w:cs="Arial" w:eastAsia="Arial" w:hAnsi="Arial"/>
          <w:sz w:val="16"/>
          <w:szCs w:val="16"/>
          <w:color w:val="auto"/>
        </w:rPr>
        <w:t>Investment is income producing.</w:t>
      </w:r>
    </w:p>
    <w:p>
      <w:pPr>
        <w:spacing w:after="0" w:line="242" w:lineRule="exact"/>
        <w:rPr>
          <w:rFonts w:ascii="Arial" w:cs="Arial" w:eastAsia="Arial" w:hAnsi="Arial"/>
          <w:sz w:val="26"/>
          <w:szCs w:val="26"/>
          <w:b w:val="1"/>
          <w:bCs w:val="1"/>
          <w:color w:val="auto"/>
          <w:vertAlign w:val="superscript"/>
        </w:rPr>
      </w:pPr>
    </w:p>
    <w:p>
      <w:pPr>
        <w:jc w:val="both"/>
        <w:ind w:right="100" w:firstLine="8"/>
        <w:spacing w:after="0" w:line="226" w:lineRule="auto"/>
        <w:tabs>
          <w:tab w:leader="none" w:pos="231" w:val="left"/>
        </w:tabs>
        <w:numPr>
          <w:ilvl w:val="0"/>
          <w:numId w:val="5"/>
        </w:numPr>
        <w:rPr>
          <w:rFonts w:ascii="Arial" w:cs="Arial" w:eastAsia="Arial" w:hAnsi="Arial"/>
          <w:sz w:val="27"/>
          <w:szCs w:val="27"/>
          <w:b w:val="1"/>
          <w:bCs w:val="1"/>
          <w:color w:val="auto"/>
          <w:vertAlign w:val="superscript"/>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but less than 25% of the voting securities of such company.</w:t>
      </w:r>
    </w:p>
    <w:p>
      <w:pPr>
        <w:spacing w:after="0" w:line="244" w:lineRule="exact"/>
        <w:rPr>
          <w:rFonts w:ascii="Arial" w:cs="Arial" w:eastAsia="Arial" w:hAnsi="Arial"/>
          <w:sz w:val="27"/>
          <w:szCs w:val="27"/>
          <w:b w:val="1"/>
          <w:bCs w:val="1"/>
          <w:color w:val="auto"/>
          <w:vertAlign w:val="superscript"/>
        </w:rPr>
      </w:pPr>
    </w:p>
    <w:p>
      <w:pPr>
        <w:jc w:val="both"/>
        <w:ind w:right="100" w:firstLine="8"/>
        <w:spacing w:after="0" w:line="238" w:lineRule="auto"/>
        <w:tabs>
          <w:tab w:leader="none" w:pos="225" w:val="left"/>
        </w:tabs>
        <w:numPr>
          <w:ilvl w:val="0"/>
          <w:numId w:val="5"/>
        </w:numPr>
        <w:rPr>
          <w:rFonts w:ascii="Arial" w:cs="Arial" w:eastAsia="Arial" w:hAnsi="Arial"/>
          <w:sz w:val="26"/>
          <w:szCs w:val="26"/>
          <w:b w:val="1"/>
          <w:bCs w:val="1"/>
          <w:color w:val="auto"/>
          <w:vertAlign w:val="superscript"/>
        </w:rPr>
      </w:pPr>
      <w:r>
        <w:rPr>
          <w:rFonts w:ascii="Arial" w:cs="Arial" w:eastAsia="Arial" w:hAnsi="Arial"/>
          <w:sz w:val="16"/>
          <w:szCs w:val="16"/>
          <w:color w:val="auto"/>
        </w:rPr>
        <w:t>On May 17, 2012, Facebook, Inc. priced its initial public offering, selling 421,233,615 shares at a price of $38.00 per share. GSV Capital Corp.’s shares in Facebook, Inc. are subject to a lock-up agreement that expires on November 14, 2012. At September 30, 2012, GSV Capital Corp. valued Facebook based on its September 28, 2012 closing price, less a discount for the lock-up restriction.</w:t>
      </w:r>
    </w:p>
    <w:p>
      <w:pPr>
        <w:spacing w:after="0" w:line="243" w:lineRule="exact"/>
        <w:rPr>
          <w:rFonts w:ascii="Arial" w:cs="Arial" w:eastAsia="Arial" w:hAnsi="Arial"/>
          <w:sz w:val="26"/>
          <w:szCs w:val="26"/>
          <w:b w:val="1"/>
          <w:bCs w:val="1"/>
          <w:color w:val="auto"/>
          <w:vertAlign w:val="superscript"/>
        </w:rPr>
      </w:pPr>
    </w:p>
    <w:p>
      <w:pPr>
        <w:jc w:val="both"/>
        <w:ind w:right="100" w:firstLine="8"/>
        <w:spacing w:after="0" w:line="223" w:lineRule="auto"/>
        <w:tabs>
          <w:tab w:leader="none" w:pos="239" w:val="left"/>
        </w:tabs>
        <w:numPr>
          <w:ilvl w:val="0"/>
          <w:numId w:val="5"/>
        </w:numPr>
        <w:rPr>
          <w:rFonts w:ascii="Arial" w:cs="Arial" w:eastAsia="Arial" w:hAnsi="Arial"/>
          <w:sz w:val="28"/>
          <w:szCs w:val="28"/>
          <w:b w:val="1"/>
          <w:bCs w:val="1"/>
          <w:color w:val="auto"/>
          <w:vertAlign w:val="superscript"/>
        </w:rPr>
      </w:pPr>
      <w:r>
        <w:rPr>
          <w:rFonts w:ascii="Arial" w:cs="Arial" w:eastAsia="Arial" w:hAnsi="Arial"/>
          <w:sz w:val="17"/>
          <w:szCs w:val="17"/>
          <w:color w:val="auto"/>
        </w:rPr>
        <w:t>On November 8, 2011, Groupon, Inc. priced its initial public offering, selling 35,000,000 shares at a price of $20.00 per share. GSV Capital Corp.’s shares in Groupon, Inc. are subject to a lock-up agreement that expired on June 1, 2012. At September 30, 2012, GSV Capital Corp. valued Groupon, Inc. based on its September 28, 2012 closing price.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Shares / Par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gridSpan w:val="14"/>
          </w:tcPr>
          <w:p>
            <w:pPr>
              <w:ind w:left="480"/>
              <w:spacing w:after="0"/>
              <w:rPr>
                <w:sz w:val="20"/>
                <w:szCs w:val="20"/>
                <w:color w:val="auto"/>
              </w:rPr>
            </w:pPr>
            <w:r>
              <w:rPr>
                <w:rFonts w:ascii="Arial" w:cs="Arial" w:eastAsia="Arial" w:hAnsi="Arial"/>
                <w:sz w:val="18"/>
                <w:szCs w:val="18"/>
                <w:b w:val="1"/>
                <w:bCs w:val="1"/>
                <w:color w:val="auto"/>
              </w:rPr>
              <w:t>Portfolio Investments*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3"/>
              </w:rPr>
              <w:t>Headquarters / Industry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tcBorders>
              <w:bottom w:val="single" w:sz="8" w:color="auto"/>
            </w:tcBorders>
            <w:gridSpan w:val="12"/>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Bloom Energy Corporation</w:t>
            </w:r>
          </w:p>
        </w:tc>
        <w:tc>
          <w:tcPr>
            <w:tcW w:w="760" w:type="dxa"/>
            <w:vAlign w:val="bottom"/>
            <w:tcBorders>
              <w:bottom w:val="single" w:sz="8" w:color="CCFFCC"/>
            </w:tcBorders>
            <w:gridSpan w:val="2"/>
            <w:shd w:val="clear" w:color="auto" w:fill="CCFFCC"/>
          </w:tcPr>
          <w:p>
            <w:pPr>
              <w:spacing w:after="0"/>
              <w:rPr>
                <w:sz w:val="17"/>
                <w:szCs w:val="17"/>
                <w:color w:val="auto"/>
              </w:rPr>
            </w:pPr>
          </w:p>
        </w:tc>
        <w:tc>
          <w:tcPr>
            <w:tcW w:w="262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2"/>
              </w:rPr>
              <w:t>Sunnyvale, CA</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Fuel Cell Energy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96,389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1,815,818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1,771,335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Chegg, Inc.</w:t>
            </w: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90"/>
              </w:rPr>
              <w:t>Santa Clara, CA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Textbook Rental</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774,193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6,003,694</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5,999,996</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auto"/>
            </w:tcBorders>
            <w:gridSpan w:val="10"/>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1"/>
              </w:rPr>
              <w:t>Control4 Corporation</w:t>
            </w:r>
          </w:p>
        </w:tc>
        <w:tc>
          <w:tcPr>
            <w:tcW w:w="1180" w:type="dxa"/>
            <w:vAlign w:val="bottom"/>
            <w:tcBorders>
              <w:bottom w:val="single" w:sz="8" w:color="CCFFCC"/>
            </w:tcBorders>
            <w:gridSpan w:val="4"/>
            <w:shd w:val="clear" w:color="auto" w:fill="CCFFCC"/>
          </w:tcPr>
          <w:p>
            <w:pPr>
              <w:spacing w:after="0"/>
              <w:rPr>
                <w:sz w:val="17"/>
                <w:szCs w:val="17"/>
                <w:color w:val="auto"/>
              </w:rPr>
            </w:pPr>
          </w:p>
        </w:tc>
        <w:tc>
          <w:tcPr>
            <w:tcW w:w="262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3"/>
              </w:rPr>
              <w:t>Salt Lake City, UT</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Home Automation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1,034,827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DreamBox Learning, Inc.</w:t>
            </w: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94"/>
              </w:rPr>
              <w:t>Bellevue, WA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A</w:t>
            </w: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Education Technology</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3,579,610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757,955</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Dropbox, Inc.</w:t>
            </w:r>
          </w:p>
        </w:tc>
        <w:tc>
          <w:tcPr>
            <w:tcW w:w="26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San Francisco, CA</w:t>
            </w: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tcPr>
          <w:p>
            <w:pPr>
              <w:spacing w:after="0"/>
              <w:rPr>
                <w:sz w:val="20"/>
                <w:szCs w:val="20"/>
                <w:color w:val="auto"/>
              </w:rPr>
            </w:pPr>
            <w:r>
              <w:rPr>
                <w:rFonts w:ascii="Arial" w:cs="Arial" w:eastAsia="Arial" w:hAnsi="Arial"/>
                <w:sz w:val="18"/>
                <w:szCs w:val="18"/>
                <w:color w:val="auto"/>
              </w:rPr>
              <w:t>Preferred shares, Series A</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Online Storage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5,015,333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4,999,998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Facebook, Inc.</w:t>
            </w: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95"/>
              </w:rPr>
              <w:t>Palo Alto, CA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 Class B</w:t>
            </w: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Social Networking</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10,465,981</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10,462,500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gridSpan w:val="14"/>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Gilt Groupe, Inc.</w:t>
            </w:r>
          </w:p>
        </w:tc>
        <w:tc>
          <w:tcPr>
            <w:tcW w:w="26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7"/>
              </w:rPr>
              <w:t>New York, NY</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28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62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2620" w:type="dxa"/>
            <w:vAlign w:val="bottom"/>
            <w:tcBorders>
              <w:top w:val="single" w:sz="8" w:color="CCFFCC"/>
            </w:tcBorders>
          </w:tcPr>
          <w:p>
            <w:pPr>
              <w:jc w:val="center"/>
              <w:spacing w:after="0" w:line="201" w:lineRule="exact"/>
              <w:rPr>
                <w:sz w:val="20"/>
                <w:szCs w:val="20"/>
                <w:color w:val="auto"/>
              </w:rPr>
            </w:pPr>
            <w:r>
              <w:rPr>
                <w:rFonts w:ascii="Arial" w:cs="Arial" w:eastAsia="Arial" w:hAnsi="Arial"/>
                <w:sz w:val="18"/>
                <w:szCs w:val="18"/>
                <w:color w:val="auto"/>
                <w:w w:val="90"/>
              </w:rPr>
              <w:t>e-Commerce</w:t>
            </w:r>
          </w:p>
        </w:tc>
        <w:tc>
          <w:tcPr>
            <w:tcW w:w="12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12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260" w:type="dxa"/>
            <w:vAlign w:val="bottom"/>
            <w:tcBorders>
              <w:top w:val="single" w:sz="8" w:color="CCFFCC"/>
            </w:tcBorders>
          </w:tcPr>
          <w:p>
            <w:pPr>
              <w:spacing w:after="0"/>
              <w:rPr>
                <w:sz w:val="17"/>
                <w:szCs w:val="17"/>
                <w:color w:val="auto"/>
              </w:rPr>
            </w:pPr>
          </w:p>
        </w:tc>
        <w:tc>
          <w:tcPr>
            <w:tcW w:w="98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10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4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15"/>
          </w:tcPr>
          <w:p>
            <w:pPr>
              <w:spacing w:after="0"/>
              <w:rPr>
                <w:sz w:val="20"/>
                <w:szCs w:val="20"/>
                <w:color w:val="auto"/>
              </w:rPr>
            </w:pPr>
            <w:r>
              <w:rPr>
                <w:rFonts w:ascii="Arial" w:cs="Arial" w:eastAsia="Arial" w:hAnsi="Arial"/>
                <w:sz w:val="18"/>
                <w:szCs w:val="18"/>
                <w:color w:val="auto"/>
              </w:rPr>
              <w:t>Common shares</w:t>
            </w: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Flash Sales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203,100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5,576,979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5,499,250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Grockit, Inc.</w:t>
            </w: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89"/>
              </w:rPr>
              <w:t>San Francisco, CA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Online Test</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Preparation</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2,728,252</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2,005,945</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Groupon, Inc. </w:t>
            </w:r>
            <w:r>
              <w:rPr>
                <w:rFonts w:ascii="Arial" w:cs="Arial" w:eastAsia="Arial" w:hAnsi="Arial"/>
                <w:sz w:val="25"/>
                <w:szCs w:val="25"/>
                <w:b w:val="1"/>
                <w:bCs w:val="1"/>
                <w:color w:val="auto"/>
                <w:vertAlign w:val="superscript"/>
              </w:rPr>
              <w:t>(2)</w:t>
            </w: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Chicago, IL</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Online Deals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2,128,585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1,188,288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Kno, Inc.</w:t>
            </w: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90"/>
              </w:rPr>
              <w:t>Santa Clara, CA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Preferred shares, Series C</w:t>
            </w: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Digital</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440,313</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2,262,006</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2,250,000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14"/>
          </w:tcPr>
          <w:p>
            <w:pPr>
              <w:spacing w:after="0"/>
              <w:rPr>
                <w:sz w:val="20"/>
                <w:szCs w:val="20"/>
                <w:color w:val="auto"/>
              </w:rPr>
            </w:pPr>
            <w:r>
              <w:rPr>
                <w:rFonts w:ascii="Arial" w:cs="Arial" w:eastAsia="Arial" w:hAnsi="Arial"/>
                <w:sz w:val="18"/>
                <w:szCs w:val="18"/>
                <w:color w:val="auto"/>
              </w:rPr>
              <w:t>Common shares</w:t>
            </w: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Textbooks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205,000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gridSpan w:val="14"/>
            <w:vMerge w:val="restart"/>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14"/>
            <w:vMerge w:val="continue"/>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2,476,309</w:t>
            </w:r>
          </w:p>
        </w:tc>
        <w:tc>
          <w:tcPr>
            <w:tcW w:w="10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2,455,000</w:t>
            </w:r>
          </w:p>
        </w:tc>
        <w:tc>
          <w:tcPr>
            <w:tcW w:w="220" w:type="dxa"/>
            <w:vAlign w:val="bottom"/>
            <w:vMerge w:val="continue"/>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PJB Fund LLC </w:t>
            </w:r>
            <w:r>
              <w:rPr>
                <w:rFonts w:ascii="Arial" w:cs="Arial" w:eastAsia="Arial" w:hAnsi="Arial"/>
                <w:sz w:val="25"/>
                <w:szCs w:val="25"/>
                <w:b w:val="1"/>
                <w:bCs w:val="1"/>
                <w:color w:val="auto"/>
                <w:vertAlign w:val="superscript"/>
              </w:rPr>
              <w:t>(1) (3)</w:t>
            </w: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San Francisco, CA</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tcPr>
          <w:p>
            <w:pPr>
              <w:spacing w:after="0"/>
              <w:rPr>
                <w:sz w:val="20"/>
                <w:szCs w:val="20"/>
                <w:color w:val="auto"/>
              </w:rPr>
            </w:pPr>
            <w:r>
              <w:rPr>
                <w:rFonts w:ascii="Arial" w:cs="Arial" w:eastAsia="Arial" w:hAnsi="Arial"/>
                <w:sz w:val="18"/>
                <w:szCs w:val="18"/>
                <w:color w:val="auto"/>
                <w:w w:val="96"/>
              </w:rPr>
              <w:t>Structured note, 10%, due 8/15/2012</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Social Gaming</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4,029,259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14"/>
          </w:tcPr>
          <w:p>
            <w:pPr>
              <w:spacing w:after="0" w:line="176" w:lineRule="exact"/>
              <w:rPr>
                <w:sz w:val="20"/>
                <w:szCs w:val="20"/>
                <w:color w:val="auto"/>
              </w:rPr>
            </w:pPr>
            <w:r>
              <w:rPr>
                <w:rFonts w:ascii="Arial" w:cs="Arial" w:eastAsia="Arial" w:hAnsi="Arial"/>
                <w:sz w:val="18"/>
                <w:szCs w:val="18"/>
                <w:b w:val="1"/>
                <w:bCs w:val="1"/>
                <w:color w:val="auto"/>
              </w:rPr>
              <w:t>Serious Energy, Inc.</w:t>
            </w: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92"/>
              </w:rPr>
              <w:t>Sunnyvale, CA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14"/>
            <w:shd w:val="clear" w:color="auto" w:fill="CCFFCC"/>
          </w:tcPr>
          <w:p>
            <w:pPr>
              <w:spacing w:after="0"/>
              <w:rPr>
                <w:sz w:val="20"/>
                <w:szCs w:val="20"/>
                <w:color w:val="auto"/>
              </w:rPr>
            </w:pPr>
            <w:r>
              <w:rPr>
                <w:rFonts w:ascii="Arial" w:cs="Arial" w:eastAsia="Arial" w:hAnsi="Arial"/>
                <w:sz w:val="18"/>
                <w:szCs w:val="18"/>
                <w:color w:val="auto"/>
              </w:rPr>
              <w:t>Common shares</w:t>
            </w: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Green Materials</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178,095</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739,130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712,380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Shares / Par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9"/>
          </w:tcPr>
          <w:p>
            <w:pPr>
              <w:ind w:left="480"/>
              <w:spacing w:after="0"/>
              <w:rPr>
                <w:sz w:val="20"/>
                <w:szCs w:val="20"/>
                <w:color w:val="auto"/>
              </w:rPr>
            </w:pPr>
            <w:r>
              <w:rPr>
                <w:rFonts w:ascii="Arial" w:cs="Arial" w:eastAsia="Arial" w:hAnsi="Arial"/>
                <w:sz w:val="18"/>
                <w:szCs w:val="18"/>
                <w:b w:val="1"/>
                <w:bCs w:val="1"/>
                <w:color w:val="auto"/>
              </w:rPr>
              <w:t>Portfolio Investments*</w:t>
            </w:r>
          </w:p>
        </w:tc>
        <w:tc>
          <w:tcPr>
            <w:tcW w:w="14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3"/>
              </w:rPr>
              <w:t>Headquarters / Industry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 of Net Assets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20" w:type="dxa"/>
            <w:vAlign w:val="bottom"/>
            <w:tcBorders>
              <w:top w:val="single" w:sz="8" w:color="auto"/>
              <w:bottom w:val="single" w:sz="8" w:color="auto"/>
            </w:tcBorders>
            <w:gridSpan w:val="4"/>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85"/>
              </w:rPr>
              <w:t>SharesPost, Inc.</w:t>
            </w:r>
          </w:p>
        </w:tc>
        <w:tc>
          <w:tcPr>
            <w:tcW w:w="1500" w:type="dxa"/>
            <w:vAlign w:val="bottom"/>
            <w:tcBorders>
              <w:top w:val="single" w:sz="8" w:color="auto"/>
              <w:bottom w:val="single" w:sz="8" w:color="CCFFCC"/>
            </w:tcBorders>
            <w:gridSpan w:val="5"/>
            <w:shd w:val="clear" w:color="auto" w:fill="CCFFCC"/>
          </w:tcPr>
          <w:p>
            <w:pPr>
              <w:spacing w:after="0"/>
              <w:rPr>
                <w:sz w:val="16"/>
                <w:szCs w:val="16"/>
                <w:color w:val="auto"/>
              </w:rPr>
            </w:pPr>
          </w:p>
        </w:tc>
        <w:tc>
          <w:tcPr>
            <w:tcW w:w="140" w:type="dxa"/>
            <w:vAlign w:val="bottom"/>
            <w:tcBorders>
              <w:top w:val="single" w:sz="8" w:color="CCFFCC"/>
              <w:bottom w:val="single" w:sz="8" w:color="CCFFCC"/>
            </w:tcBorders>
            <w:shd w:val="clear" w:color="auto" w:fill="CCFFCC"/>
          </w:tcPr>
          <w:p>
            <w:pPr>
              <w:spacing w:after="0"/>
              <w:rPr>
                <w:sz w:val="16"/>
                <w:szCs w:val="16"/>
                <w:color w:val="auto"/>
              </w:rPr>
            </w:pPr>
          </w:p>
        </w:tc>
        <w:tc>
          <w:tcPr>
            <w:tcW w:w="2620" w:type="dxa"/>
            <w:vAlign w:val="bottom"/>
            <w:tcBorders>
              <w:top w:val="single" w:sz="8" w:color="auto"/>
              <w:bottom w:val="single" w:sz="8" w:color="CCFFCC"/>
            </w:tcBorders>
            <w:shd w:val="clear" w:color="auto" w:fill="CCFFCC"/>
          </w:tcPr>
          <w:p>
            <w:pPr>
              <w:jc w:val="center"/>
              <w:spacing w:after="0" w:line="170" w:lineRule="exact"/>
              <w:rPr>
                <w:sz w:val="20"/>
                <w:szCs w:val="20"/>
                <w:color w:val="auto"/>
              </w:rPr>
            </w:pPr>
            <w:r>
              <w:rPr>
                <w:rFonts w:ascii="Arial" w:cs="Arial" w:eastAsia="Arial" w:hAnsi="Arial"/>
                <w:sz w:val="18"/>
                <w:szCs w:val="18"/>
                <w:color w:val="auto"/>
                <w:w w:val="91"/>
              </w:rPr>
              <w:t>San Bruno, CA</w:t>
            </w:r>
          </w:p>
        </w:tc>
        <w:tc>
          <w:tcPr>
            <w:tcW w:w="120" w:type="dxa"/>
            <w:vAlign w:val="bottom"/>
            <w:tcBorders>
              <w:top w:val="single" w:sz="8" w:color="CCFFCC"/>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1120" w:type="dxa"/>
            <w:vAlign w:val="bottom"/>
            <w:tcBorders>
              <w:top w:val="single" w:sz="8" w:color="auto"/>
              <w:bottom w:val="single" w:sz="8" w:color="CCFFCC"/>
            </w:tcBorders>
            <w:shd w:val="clear" w:color="auto" w:fill="CCFFCC"/>
          </w:tcPr>
          <w:p>
            <w:pPr>
              <w:spacing w:after="0"/>
              <w:rPr>
                <w:sz w:val="16"/>
                <w:szCs w:val="16"/>
                <w:color w:val="auto"/>
              </w:rPr>
            </w:pPr>
          </w:p>
        </w:tc>
        <w:tc>
          <w:tcPr>
            <w:tcW w:w="120" w:type="dxa"/>
            <w:vAlign w:val="bottom"/>
            <w:tcBorders>
              <w:top w:val="single" w:sz="8" w:color="CCFFCC"/>
              <w:bottom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260" w:type="dxa"/>
            <w:vAlign w:val="bottom"/>
            <w:tcBorders>
              <w:top w:val="single" w:sz="8" w:color="auto"/>
              <w:bottom w:val="single" w:sz="8" w:color="CCFFCC"/>
            </w:tcBorders>
            <w:shd w:val="clear" w:color="auto" w:fill="CCFFCC"/>
          </w:tcPr>
          <w:p>
            <w:pPr>
              <w:spacing w:after="0"/>
              <w:rPr>
                <w:sz w:val="16"/>
                <w:szCs w:val="16"/>
                <w:color w:val="auto"/>
              </w:rPr>
            </w:pPr>
          </w:p>
        </w:tc>
        <w:tc>
          <w:tcPr>
            <w:tcW w:w="980" w:type="dxa"/>
            <w:vAlign w:val="bottom"/>
            <w:tcBorders>
              <w:top w:val="single" w:sz="8" w:color="auto"/>
              <w:bottom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120" w:type="dxa"/>
            <w:vAlign w:val="bottom"/>
            <w:tcBorders>
              <w:top w:val="single" w:sz="8" w:color="CCFFCC"/>
              <w:bottom w:val="single" w:sz="8" w:color="CCFFCC"/>
            </w:tcBorders>
            <w:shd w:val="clear" w:color="auto" w:fill="CCFFCC"/>
          </w:tcPr>
          <w:p>
            <w:pPr>
              <w:spacing w:after="0"/>
              <w:rPr>
                <w:sz w:val="16"/>
                <w:szCs w:val="16"/>
                <w:color w:val="auto"/>
              </w:rPr>
            </w:pPr>
          </w:p>
        </w:tc>
        <w:tc>
          <w:tcPr>
            <w:tcW w:w="140" w:type="dxa"/>
            <w:vAlign w:val="bottom"/>
            <w:tcBorders>
              <w:top w:val="single" w:sz="8" w:color="auto"/>
              <w:bottom w:val="single" w:sz="8" w:color="CCFFCC"/>
            </w:tcBorders>
            <w:shd w:val="clear" w:color="auto" w:fill="CCFFCC"/>
          </w:tcPr>
          <w:p>
            <w:pPr>
              <w:spacing w:after="0"/>
              <w:rPr>
                <w:sz w:val="16"/>
                <w:szCs w:val="16"/>
                <w:color w:val="auto"/>
              </w:rPr>
            </w:pPr>
          </w:p>
        </w:tc>
        <w:tc>
          <w:tcPr>
            <w:tcW w:w="110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top w:val="single" w:sz="8" w:color="CCFFCC"/>
              <w:bottom w:val="single" w:sz="8" w:color="CCFFCC"/>
            </w:tcBorders>
            <w:shd w:val="clear" w:color="auto" w:fill="CCFFCC"/>
          </w:tcPr>
          <w:p>
            <w:pPr>
              <w:spacing w:after="0"/>
              <w:rPr>
                <w:sz w:val="16"/>
                <w:szCs w:val="16"/>
                <w:color w:val="auto"/>
              </w:rPr>
            </w:pPr>
          </w:p>
        </w:tc>
        <w:tc>
          <w:tcPr>
            <w:tcW w:w="100" w:type="dxa"/>
            <w:vAlign w:val="bottom"/>
            <w:tcBorders>
              <w:top w:val="single" w:sz="8" w:color="auto"/>
              <w:bottom w:val="single" w:sz="8" w:color="CCFFCC"/>
            </w:tcBorders>
            <w:shd w:val="clear" w:color="auto" w:fill="CCFFCC"/>
          </w:tcPr>
          <w:p>
            <w:pPr>
              <w:spacing w:after="0"/>
              <w:rPr>
                <w:sz w:val="16"/>
                <w:szCs w:val="16"/>
                <w:color w:val="auto"/>
              </w:rPr>
            </w:pPr>
          </w:p>
        </w:tc>
        <w:tc>
          <w:tcPr>
            <w:tcW w:w="1140" w:type="dxa"/>
            <w:vAlign w:val="bottom"/>
            <w:tcBorders>
              <w:top w:val="single" w:sz="8" w:color="auto"/>
              <w:bottom w:val="single" w:sz="8" w:color="CCFFCC"/>
            </w:tcBorders>
            <w:shd w:val="clear" w:color="auto" w:fill="CCFFCC"/>
          </w:tcPr>
          <w:p>
            <w:pPr>
              <w:spacing w:after="0"/>
              <w:rPr>
                <w:sz w:val="16"/>
                <w:szCs w:val="16"/>
                <w:color w:val="auto"/>
              </w:rPr>
            </w:pPr>
          </w:p>
        </w:tc>
        <w:tc>
          <w:tcPr>
            <w:tcW w:w="160" w:type="dxa"/>
            <w:vAlign w:val="bottom"/>
            <w:tcBorders>
              <w:top w:val="single" w:sz="8" w:color="CCFFCC"/>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9"/>
          </w:tcPr>
          <w:p>
            <w:pPr>
              <w:spacing w:after="0"/>
              <w:rPr>
                <w:sz w:val="20"/>
                <w:szCs w:val="20"/>
                <w:color w:val="auto"/>
              </w:rPr>
            </w:pPr>
            <w:r>
              <w:rPr>
                <w:rFonts w:ascii="Arial" w:cs="Arial" w:eastAsia="Arial" w:hAnsi="Arial"/>
                <w:sz w:val="18"/>
                <w:szCs w:val="18"/>
                <w:color w:val="auto"/>
              </w:rPr>
              <w:t>Preferred shares, Series B</w:t>
            </w:r>
          </w:p>
        </w:tc>
        <w:tc>
          <w:tcPr>
            <w:tcW w:w="1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6"/>
              </w:rPr>
              <w:t>Online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1,776,970</w:t>
            </w:r>
          </w:p>
        </w:tc>
        <w:tc>
          <w:tcPr>
            <w:tcW w:w="120" w:type="dxa"/>
            <w:vAlign w:val="bottom"/>
          </w:tcPr>
          <w:p>
            <w:pPr>
              <w:spacing w:after="0"/>
              <w:rPr>
                <w:sz w:val="18"/>
                <w:szCs w:val="18"/>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2,257,984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2,256,752</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w w:val="90"/>
              </w:rPr>
              <w:t>Common warrants, $0.13 strike price,</w:t>
            </w:r>
          </w:p>
        </w:tc>
        <w:tc>
          <w:tcPr>
            <w:tcW w:w="140" w:type="dxa"/>
            <w:vAlign w:val="bottom"/>
            <w:shd w:val="clear" w:color="auto" w:fill="CCFFCC"/>
          </w:tcPr>
          <w:p>
            <w:pPr>
              <w:spacing w:after="0"/>
              <w:rPr>
                <w:sz w:val="17"/>
                <w:szCs w:val="17"/>
                <w:color w:val="auto"/>
              </w:rPr>
            </w:pP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Marketplace</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expire 6/15/2018</w:t>
            </w:r>
          </w:p>
        </w:tc>
        <w:tc>
          <w:tcPr>
            <w:tcW w:w="140" w:type="dxa"/>
            <w:vAlign w:val="bottom"/>
            <w:shd w:val="clear" w:color="auto" w:fill="CCFFCC"/>
          </w:tcPr>
          <w:p>
            <w:pPr>
              <w:spacing w:after="0"/>
              <w:rPr>
                <w:sz w:val="20"/>
                <w:szCs w:val="20"/>
                <w:color w:val="auto"/>
              </w:rPr>
            </w:pP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(Finance)</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770,934</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23,128</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17,731</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gridSpan w:val="9"/>
            <w:vMerge w:val="restart"/>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9"/>
            <w:vMerge w:val="continue"/>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2,281,112</w:t>
            </w:r>
          </w:p>
        </w:tc>
        <w:tc>
          <w:tcPr>
            <w:tcW w:w="10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2,274,483</w:t>
            </w:r>
          </w:p>
        </w:tc>
        <w:tc>
          <w:tcPr>
            <w:tcW w:w="220" w:type="dxa"/>
            <w:vAlign w:val="bottom"/>
            <w:vMerge w:val="continue"/>
            <w:shd w:val="clear" w:color="auto" w:fill="CCFFCC"/>
          </w:tcPr>
          <w:p>
            <w:pPr>
              <w:spacing w:after="0"/>
              <w:rPr>
                <w:sz w:val="18"/>
                <w:szCs w:val="18"/>
                <w:color w:val="auto"/>
              </w:rPr>
            </w:pP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auto"/>
            </w:tcBorders>
            <w:gridSpan w:val="8"/>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90"/>
              </w:rPr>
              <w:t>Silver Spring Networks, Inc.</w:t>
            </w:r>
          </w:p>
        </w:tc>
        <w:tc>
          <w:tcPr>
            <w:tcW w:w="54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262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3"/>
              </w:rPr>
              <w:t>Redwood City, CA</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1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9"/>
          </w:tcPr>
          <w:p>
            <w:pPr>
              <w:spacing w:after="0"/>
              <w:rPr>
                <w:sz w:val="20"/>
                <w:szCs w:val="20"/>
                <w:color w:val="auto"/>
              </w:rPr>
            </w:pPr>
            <w:r>
              <w:rPr>
                <w:rFonts w:ascii="Arial" w:cs="Arial" w:eastAsia="Arial" w:hAnsi="Arial"/>
                <w:sz w:val="18"/>
                <w:szCs w:val="18"/>
                <w:color w:val="auto"/>
              </w:rPr>
              <w:t>Common shares</w:t>
            </w:r>
          </w:p>
        </w:tc>
        <w:tc>
          <w:tcPr>
            <w:tcW w:w="14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Smart Grid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110,143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1,153,381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1,101,430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2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StormWind, LLC</w:t>
            </w:r>
          </w:p>
        </w:tc>
        <w:tc>
          <w:tcPr>
            <w:tcW w:w="140" w:type="dxa"/>
            <w:vAlign w:val="bottom"/>
          </w:tcPr>
          <w:p>
            <w:pPr>
              <w:spacing w:after="0"/>
              <w:rPr>
                <w:sz w:val="15"/>
                <w:szCs w:val="15"/>
                <w:color w:val="auto"/>
              </w:rPr>
            </w:pP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90"/>
              </w:rPr>
              <w:t>Scottsdale, AZ</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Preferred shares, Series B</w:t>
            </w: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Electronic</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1,711,111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959,209</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946,335</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9"/>
          </w:tcPr>
          <w:p>
            <w:pPr>
              <w:spacing w:after="0" w:line="201" w:lineRule="exact"/>
              <w:rPr>
                <w:sz w:val="20"/>
                <w:szCs w:val="20"/>
                <w:color w:val="auto"/>
              </w:rPr>
            </w:pPr>
            <w:r>
              <w:rPr>
                <w:rFonts w:ascii="Arial" w:cs="Arial" w:eastAsia="Arial" w:hAnsi="Arial"/>
                <w:sz w:val="18"/>
                <w:szCs w:val="18"/>
                <w:color w:val="auto"/>
                <w:w w:val="89"/>
              </w:rPr>
              <w:t>Preferred warrants, $0.64 strike price,</w:t>
            </w: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10"/>
          </w:tcPr>
          <w:p>
            <w:pPr>
              <w:spacing w:after="0"/>
              <w:rPr>
                <w:sz w:val="20"/>
                <w:szCs w:val="20"/>
                <w:color w:val="auto"/>
              </w:rPr>
            </w:pPr>
            <w:r>
              <w:rPr>
                <w:rFonts w:ascii="Arial" w:cs="Arial" w:eastAsia="Arial" w:hAnsi="Arial"/>
                <w:sz w:val="18"/>
                <w:szCs w:val="18"/>
                <w:color w:val="auto"/>
              </w:rPr>
              <w:t>expire 12/1/2012</w:t>
            </w:r>
          </w:p>
        </w:tc>
        <w:tc>
          <w:tcPr>
            <w:tcW w:w="14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9"/>
              </w:rPr>
              <w:t>Marketing and Business Services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1,568,518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53,665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53,665</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gridSpan w:val="9"/>
            <w:vMerge w:val="restart"/>
            <w:shd w:val="clear" w:color="auto" w:fill="CCFFCC"/>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FFCC"/>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9"/>
            <w:vMerge w:val="continue"/>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1,012,874</w:t>
            </w:r>
          </w:p>
        </w:tc>
        <w:tc>
          <w:tcPr>
            <w:tcW w:w="100" w:type="dxa"/>
            <w:vAlign w:val="bottom"/>
            <w:vMerge w:val="continue"/>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vMerge w:val="continue"/>
            <w:shd w:val="clear" w:color="auto" w:fill="CCFFCC"/>
          </w:tcPr>
          <w:p>
            <w:pPr>
              <w:spacing w:after="0"/>
              <w:rPr>
                <w:sz w:val="18"/>
                <w:szCs w:val="18"/>
                <w:color w:val="auto"/>
              </w:rPr>
            </w:pP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9"/>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The Echo System Corp. </w:t>
            </w:r>
            <w:r>
              <w:rPr>
                <w:rFonts w:ascii="Arial" w:cs="Arial" w:eastAsia="Arial" w:hAnsi="Arial"/>
                <w:sz w:val="25"/>
                <w:szCs w:val="25"/>
                <w:b w:val="1"/>
                <w:bCs w:val="1"/>
                <w:color w:val="auto"/>
                <w:vertAlign w:val="superscript"/>
              </w:rPr>
              <w:t>(1)</w:t>
            </w: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7"/>
              </w:rPr>
              <w:t>New York, NY</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gridSpan w:val="9"/>
          </w:tcPr>
          <w:p>
            <w:pPr>
              <w:spacing w:after="0" w:line="201" w:lineRule="exact"/>
              <w:rPr>
                <w:sz w:val="20"/>
                <w:szCs w:val="20"/>
                <w:color w:val="auto"/>
              </w:rPr>
            </w:pPr>
            <w:r>
              <w:rPr>
                <w:rFonts w:ascii="Arial" w:cs="Arial" w:eastAsia="Arial" w:hAnsi="Arial"/>
                <w:sz w:val="18"/>
                <w:szCs w:val="18"/>
                <w:color w:val="auto"/>
                <w:w w:val="93"/>
              </w:rPr>
              <w:t>Structured note, 6%, due 1/28/2013,</w:t>
            </w: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10"/>
          </w:tcPr>
          <w:p>
            <w:pPr>
              <w:spacing w:after="0"/>
              <w:rPr>
                <w:sz w:val="20"/>
                <w:szCs w:val="20"/>
                <w:color w:val="auto"/>
              </w:rPr>
            </w:pPr>
            <w:r>
              <w:rPr>
                <w:rFonts w:ascii="Arial" w:cs="Arial" w:eastAsia="Arial" w:hAnsi="Arial"/>
                <w:sz w:val="18"/>
                <w:szCs w:val="18"/>
                <w:color w:val="auto"/>
              </w:rPr>
              <w:t>and warrant, $0.20 strike price,</w:t>
            </w: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10"/>
          </w:tcPr>
          <w:p>
            <w:pPr>
              <w:spacing w:after="0"/>
              <w:rPr>
                <w:sz w:val="20"/>
                <w:szCs w:val="20"/>
                <w:color w:val="auto"/>
              </w:rPr>
            </w:pPr>
            <w:r>
              <w:rPr>
                <w:rFonts w:ascii="Arial" w:cs="Arial" w:eastAsia="Arial" w:hAnsi="Arial"/>
                <w:sz w:val="18"/>
                <w:szCs w:val="18"/>
                <w:color w:val="auto"/>
              </w:rPr>
              <w:t>expires 11/14/2016</w:t>
            </w:r>
          </w:p>
        </w:tc>
        <w:tc>
          <w:tcPr>
            <w:tcW w:w="14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Social Analytics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505,823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2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The rSmart Group, Inc.</w:t>
            </w:r>
          </w:p>
        </w:tc>
        <w:tc>
          <w:tcPr>
            <w:tcW w:w="140" w:type="dxa"/>
            <w:vAlign w:val="bottom"/>
          </w:tcPr>
          <w:p>
            <w:pPr>
              <w:spacing w:after="0"/>
              <w:rPr>
                <w:sz w:val="15"/>
                <w:szCs w:val="15"/>
                <w:color w:val="auto"/>
              </w:rPr>
            </w:pP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90"/>
              </w:rPr>
              <w:t>Scottsdale, AZ</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rPr>
              <w:t>Preferred shares, Series B</w:t>
            </w:r>
          </w:p>
        </w:tc>
        <w:tc>
          <w:tcPr>
            <w:tcW w:w="140" w:type="dxa"/>
            <w:vAlign w:val="bottom"/>
            <w:shd w:val="clear" w:color="auto" w:fill="CCFFCC"/>
          </w:tcPr>
          <w:p>
            <w:pPr>
              <w:spacing w:after="0"/>
              <w:rPr>
                <w:sz w:val="17"/>
                <w:szCs w:val="17"/>
                <w:color w:val="auto"/>
              </w:rPr>
            </w:pP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2"/>
              </w:rPr>
              <w:t>Higher Education</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480,769</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513,311</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320" w:type="dxa"/>
            <w:vAlign w:val="bottom"/>
            <w:gridSpan w:val="2"/>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500,000</w:t>
            </w:r>
          </w:p>
        </w:tc>
        <w:tc>
          <w:tcPr>
            <w:tcW w:w="1400" w:type="dxa"/>
            <w:vAlign w:val="bottom"/>
            <w:gridSpan w:val="3"/>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5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Learning Platform</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20" w:type="dxa"/>
            <w:vAlign w:val="bottom"/>
            <w:gridSpan w:val="9"/>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TrueCar, Inc.</w:t>
            </w:r>
          </w:p>
        </w:tc>
        <w:tc>
          <w:tcPr>
            <w:tcW w:w="140" w:type="dxa"/>
            <w:vAlign w:val="bottom"/>
            <w:shd w:val="clear" w:color="auto" w:fill="CCFFCC"/>
          </w:tcPr>
          <w:p>
            <w:pPr>
              <w:spacing w:after="0"/>
              <w:rPr>
                <w:sz w:val="15"/>
                <w:szCs w:val="15"/>
                <w:color w:val="auto"/>
              </w:rPr>
            </w:pPr>
          </w:p>
        </w:tc>
        <w:tc>
          <w:tcPr>
            <w:tcW w:w="26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2"/>
              </w:rPr>
              <w:t>Santa Monica, CA</w:t>
            </w: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gridSpan w:val="9"/>
          </w:tcPr>
          <w:p>
            <w:pPr>
              <w:spacing w:after="0" w:line="201" w:lineRule="exact"/>
              <w:rPr>
                <w:sz w:val="20"/>
                <w:szCs w:val="20"/>
                <w:color w:val="auto"/>
              </w:rPr>
            </w:pPr>
            <w:r>
              <w:rPr>
                <w:rFonts w:ascii="Arial" w:cs="Arial" w:eastAsia="Arial" w:hAnsi="Arial"/>
                <w:sz w:val="18"/>
                <w:szCs w:val="18"/>
                <w:color w:val="auto"/>
              </w:rPr>
              <w:t>Common shares</w:t>
            </w:r>
          </w:p>
        </w:tc>
        <w:tc>
          <w:tcPr>
            <w:tcW w:w="14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96"/>
              </w:rPr>
              <w:t>Online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377,358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2,014,551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1,999,997</w:t>
            </w:r>
          </w:p>
        </w:tc>
        <w:tc>
          <w:tcPr>
            <w:tcW w:w="140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Marketplace (Cars)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2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Twitter, Inc.</w:t>
            </w:r>
          </w:p>
        </w:tc>
        <w:tc>
          <w:tcPr>
            <w:tcW w:w="140" w:type="dxa"/>
            <w:vAlign w:val="bottom"/>
          </w:tcPr>
          <w:p>
            <w:pPr>
              <w:spacing w:after="0"/>
              <w:rPr>
                <w:sz w:val="15"/>
                <w:szCs w:val="15"/>
                <w:color w:val="auto"/>
              </w:rPr>
            </w:pP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89"/>
              </w:rPr>
              <w:t>San Francisco, CA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rPr>
              <w:t>Common shares</w:t>
            </w:r>
          </w:p>
        </w:tc>
        <w:tc>
          <w:tcPr>
            <w:tcW w:w="140" w:type="dxa"/>
            <w:vAlign w:val="bottom"/>
            <w:shd w:val="clear" w:color="auto" w:fill="CCFFCC"/>
          </w:tcPr>
          <w:p>
            <w:pPr>
              <w:spacing w:after="0"/>
              <w:rPr>
                <w:sz w:val="17"/>
                <w:szCs w:val="17"/>
                <w:color w:val="auto"/>
              </w:rPr>
            </w:pP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3"/>
              </w:rPr>
              <w:t>Social</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735,600</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12,304,345</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320" w:type="dxa"/>
            <w:vAlign w:val="bottom"/>
            <w:gridSpan w:val="2"/>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12,113,493</w:t>
            </w:r>
          </w:p>
        </w:tc>
        <w:tc>
          <w:tcPr>
            <w:tcW w:w="1400" w:type="dxa"/>
            <w:vAlign w:val="bottom"/>
            <w:gridSpan w:val="3"/>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5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Communication</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tcBorders>
              <w:bottom w:val="single" w:sz="8" w:color="auto"/>
            </w:tcBorders>
            <w:shd w:val="clear" w:color="auto" w:fill="CCFFCC"/>
          </w:tcPr>
          <w:p>
            <w:pPr>
              <w:spacing w:after="0" w:line="176" w:lineRule="exact"/>
              <w:rPr>
                <w:sz w:val="20"/>
                <w:szCs w:val="20"/>
                <w:color w:val="auto"/>
              </w:rPr>
            </w:pPr>
            <w:r>
              <w:rPr>
                <w:rFonts w:ascii="Arial" w:cs="Arial" w:eastAsia="Arial" w:hAnsi="Arial"/>
                <w:sz w:val="18"/>
                <w:szCs w:val="18"/>
                <w:b w:val="1"/>
                <w:bCs w:val="1"/>
                <w:color w:val="auto"/>
                <w:w w:val="88"/>
              </w:rPr>
              <w:t>ZocDoc Inc.</w:t>
            </w:r>
          </w:p>
        </w:tc>
        <w:tc>
          <w:tcPr>
            <w:tcW w:w="1800" w:type="dxa"/>
            <w:vAlign w:val="bottom"/>
            <w:tcBorders>
              <w:bottom w:val="single" w:sz="8" w:color="CCFFCC"/>
            </w:tcBorders>
            <w:gridSpan w:val="8"/>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2620" w:type="dxa"/>
            <w:vAlign w:val="bottom"/>
            <w:tcBorders>
              <w:bottom w:val="single" w:sz="8" w:color="CCFFCC"/>
            </w:tcBorders>
            <w:shd w:val="clear" w:color="auto" w:fill="CCFFCC"/>
          </w:tcPr>
          <w:p>
            <w:pPr>
              <w:jc w:val="center"/>
              <w:spacing w:after="0" w:line="176" w:lineRule="exact"/>
              <w:rPr>
                <w:sz w:val="20"/>
                <w:szCs w:val="20"/>
                <w:color w:val="auto"/>
              </w:rPr>
            </w:pPr>
            <w:r>
              <w:rPr>
                <w:rFonts w:ascii="Arial" w:cs="Arial" w:eastAsia="Arial" w:hAnsi="Arial"/>
                <w:sz w:val="18"/>
                <w:szCs w:val="18"/>
                <w:color w:val="auto"/>
                <w:w w:val="97"/>
              </w:rPr>
              <w:t>New York, NY</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2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CCFFCC"/>
            </w:tcBorders>
            <w:shd w:val="clear" w:color="auto" w:fill="CCFFCC"/>
          </w:tcPr>
          <w:p>
            <w:pPr>
              <w:spacing w:after="0"/>
              <w:rPr>
                <w:sz w:val="17"/>
                <w:szCs w:val="17"/>
                <w:color w:val="auto"/>
              </w:rPr>
            </w:pPr>
          </w:p>
        </w:tc>
        <w:tc>
          <w:tcPr>
            <w:tcW w:w="9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1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1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9"/>
          </w:tcPr>
          <w:p>
            <w:pPr>
              <w:spacing w:after="0" w:line="201" w:lineRule="exact"/>
              <w:rPr>
                <w:sz w:val="20"/>
                <w:szCs w:val="20"/>
                <w:color w:val="auto"/>
              </w:rPr>
            </w:pPr>
            <w:r>
              <w:rPr>
                <w:rFonts w:ascii="Arial" w:cs="Arial" w:eastAsia="Arial" w:hAnsi="Arial"/>
                <w:sz w:val="18"/>
                <w:szCs w:val="18"/>
                <w:color w:val="auto"/>
              </w:rPr>
              <w:t>Preferred shares</w:t>
            </w:r>
          </w:p>
        </w:tc>
        <w:tc>
          <w:tcPr>
            <w:tcW w:w="14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94"/>
              </w:rPr>
              <w:t>Online Medical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3,563,178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3,500,000</w:t>
            </w:r>
          </w:p>
        </w:tc>
        <w:tc>
          <w:tcPr>
            <w:tcW w:w="140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Scheduling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2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ZoomSystems</w:t>
            </w:r>
          </w:p>
        </w:tc>
        <w:tc>
          <w:tcPr>
            <w:tcW w:w="140" w:type="dxa"/>
            <w:vAlign w:val="bottom"/>
          </w:tcPr>
          <w:p>
            <w:pPr>
              <w:spacing w:after="0"/>
              <w:rPr>
                <w:sz w:val="15"/>
                <w:szCs w:val="15"/>
                <w:color w:val="auto"/>
              </w:rPr>
            </w:pPr>
          </w:p>
        </w:tc>
        <w:tc>
          <w:tcPr>
            <w:tcW w:w="2620" w:type="dxa"/>
            <w:vAlign w:val="bottom"/>
          </w:tcPr>
          <w:p>
            <w:pPr>
              <w:jc w:val="center"/>
              <w:spacing w:after="0" w:line="176" w:lineRule="exact"/>
              <w:rPr>
                <w:sz w:val="20"/>
                <w:szCs w:val="20"/>
                <w:color w:val="auto"/>
              </w:rPr>
            </w:pPr>
            <w:r>
              <w:rPr>
                <w:rFonts w:ascii="Arial" w:cs="Arial" w:eastAsia="Arial" w:hAnsi="Arial"/>
                <w:sz w:val="18"/>
                <w:szCs w:val="18"/>
                <w:color w:val="auto"/>
                <w:w w:val="89"/>
              </w:rPr>
              <w:t>San Francisco, CA</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gridSpan w:val="9"/>
            <w:shd w:val="clear" w:color="auto" w:fill="CCFFCC"/>
          </w:tcPr>
          <w:p>
            <w:pPr>
              <w:spacing w:after="0" w:line="201" w:lineRule="exact"/>
              <w:rPr>
                <w:sz w:val="20"/>
                <w:szCs w:val="20"/>
                <w:color w:val="auto"/>
              </w:rPr>
            </w:pPr>
            <w:r>
              <w:rPr>
                <w:rFonts w:ascii="Arial" w:cs="Arial" w:eastAsia="Arial" w:hAnsi="Arial"/>
                <w:sz w:val="18"/>
                <w:szCs w:val="18"/>
                <w:color w:val="auto"/>
              </w:rPr>
              <w:t>Preferred shares, Series A</w:t>
            </w:r>
          </w:p>
        </w:tc>
        <w:tc>
          <w:tcPr>
            <w:tcW w:w="140" w:type="dxa"/>
            <w:vAlign w:val="bottom"/>
            <w:shd w:val="clear" w:color="auto" w:fill="CCFFCC"/>
          </w:tcPr>
          <w:p>
            <w:pPr>
              <w:spacing w:after="0"/>
              <w:rPr>
                <w:sz w:val="17"/>
                <w:szCs w:val="17"/>
                <w:color w:val="auto"/>
              </w:rPr>
            </w:pPr>
          </w:p>
        </w:tc>
        <w:tc>
          <w:tcPr>
            <w:tcW w:w="26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1"/>
              </w:rPr>
              <w:t>Smart e-tail</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1,250,000</w:t>
            </w: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260,476</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320" w:type="dxa"/>
            <w:vAlign w:val="bottom"/>
            <w:gridSpan w:val="2"/>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250,000</w:t>
            </w:r>
          </w:p>
        </w:tc>
        <w:tc>
          <w:tcPr>
            <w:tcW w:w="1400" w:type="dxa"/>
            <w:vAlign w:val="bottom"/>
            <w:gridSpan w:val="3"/>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5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6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(Retail)</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44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360" w:type="dxa"/>
            <w:vAlign w:val="bottom"/>
            <w:tcBorders>
              <w:bottom w:val="single" w:sz="8" w:color="CCFFCC"/>
            </w:tcBorders>
          </w:tcPr>
          <w:p>
            <w:pPr>
              <w:spacing w:after="0"/>
              <w:rPr>
                <w:sz w:val="18"/>
                <w:szCs w:val="18"/>
                <w:color w:val="auto"/>
              </w:rPr>
            </w:pPr>
          </w:p>
        </w:tc>
        <w:tc>
          <w:tcPr>
            <w:tcW w:w="54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6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11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9"/>
            <w:shd w:val="clear" w:color="auto" w:fill="CCFFCC"/>
          </w:tcPr>
          <w:p>
            <w:pPr>
              <w:spacing w:after="0"/>
              <w:rPr>
                <w:sz w:val="20"/>
                <w:szCs w:val="20"/>
                <w:color w:val="auto"/>
              </w:rPr>
            </w:pPr>
            <w:r>
              <w:rPr>
                <w:rFonts w:ascii="Arial" w:cs="Arial" w:eastAsia="Arial" w:hAnsi="Arial"/>
                <w:sz w:val="18"/>
                <w:szCs w:val="18"/>
                <w:b w:val="1"/>
                <w:bCs w:val="1"/>
                <w:color w:val="auto"/>
              </w:rPr>
              <w:t>Total Portfolio Investments</w:t>
            </w:r>
          </w:p>
        </w:tc>
        <w:tc>
          <w:tcPr>
            <w:tcW w:w="14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65,658,866</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64,078,150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GSVq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Headquarters</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Shares / Par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280" w:type="dxa"/>
            <w:vAlign w:val="bottom"/>
            <w:gridSpan w:val="4"/>
          </w:tcPr>
          <w:p>
            <w:pPr>
              <w:ind w:left="1020"/>
              <w:spacing w:after="0"/>
              <w:rPr>
                <w:sz w:val="20"/>
                <w:szCs w:val="20"/>
                <w:color w:val="auto"/>
              </w:rPr>
            </w:pPr>
            <w:r>
              <w:rPr>
                <w:rFonts w:ascii="Arial" w:cs="Arial" w:eastAsia="Arial" w:hAnsi="Arial"/>
                <w:sz w:val="18"/>
                <w:szCs w:val="18"/>
                <w:b w:val="1"/>
                <w:bCs w:val="1"/>
                <w:color w:val="auto"/>
              </w:rPr>
              <w:t>Non-Portfolio Investments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 Industry</w:t>
            </w:r>
          </w:p>
        </w:tc>
        <w:tc>
          <w:tcPr>
            <w:tcW w:w="1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Fair Value</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 of Net Assets</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tcBorders>
            <w:shd w:val="clear" w:color="auto" w:fill="CCFFCC"/>
          </w:tcPr>
          <w:p>
            <w:pPr>
              <w:spacing w:after="0"/>
              <w:rPr>
                <w:sz w:val="18"/>
                <w:szCs w:val="18"/>
                <w:color w:val="auto"/>
              </w:rPr>
            </w:pPr>
          </w:p>
        </w:tc>
        <w:tc>
          <w:tcPr>
            <w:tcW w:w="16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24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280" w:type="dxa"/>
            <w:vAlign w:val="bottom"/>
            <w:gridSpan w:val="4"/>
          </w:tcPr>
          <w:p>
            <w:pPr>
              <w:spacing w:after="0" w:line="216" w:lineRule="exact"/>
              <w:rPr>
                <w:sz w:val="20"/>
                <w:szCs w:val="20"/>
                <w:color w:val="auto"/>
              </w:rPr>
            </w:pPr>
            <w:r>
              <w:rPr>
                <w:rFonts w:ascii="Arial" w:cs="Arial" w:eastAsia="Arial" w:hAnsi="Arial"/>
                <w:sz w:val="16"/>
                <w:szCs w:val="16"/>
                <w:b w:val="1"/>
                <w:bCs w:val="1"/>
                <w:color w:val="auto"/>
              </w:rPr>
              <w:t xml:space="preserve">United States Treasury </w:t>
            </w:r>
            <w:r>
              <w:rPr>
                <w:rFonts w:ascii="Arial" w:cs="Arial" w:eastAsia="Arial" w:hAnsi="Arial"/>
                <w:sz w:val="25"/>
                <w:szCs w:val="25"/>
                <w:b w:val="1"/>
                <w:bCs w:val="1"/>
                <w:color w:val="auto"/>
                <w:vertAlign w:val="superscript"/>
              </w:rPr>
              <w:t>(1)</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42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United States Treasury Bill, 0%, due 1/26/2012</w:t>
            </w: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20,000,000</w:t>
            </w: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19,999,128</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20,000,044</w:t>
            </w: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4280" w:type="dxa"/>
            <w:vAlign w:val="bottom"/>
            <w:gridSpan w:val="4"/>
            <w:shd w:val="clear" w:color="auto" w:fill="CCFFCC"/>
          </w:tcPr>
          <w:p>
            <w:pPr>
              <w:spacing w:after="0" w:line="216" w:lineRule="exact"/>
              <w:rPr>
                <w:sz w:val="20"/>
                <w:szCs w:val="20"/>
                <w:color w:val="auto"/>
              </w:rPr>
            </w:pPr>
            <w:r>
              <w:rPr>
                <w:rFonts w:ascii="Arial" w:cs="Arial" w:eastAsia="Arial" w:hAnsi="Arial"/>
                <w:sz w:val="16"/>
                <w:szCs w:val="16"/>
                <w:b w:val="1"/>
                <w:bCs w:val="1"/>
                <w:color w:val="auto"/>
              </w:rPr>
              <w:t xml:space="preserve">Money Market Funds </w:t>
            </w:r>
            <w:r>
              <w:rPr>
                <w:rFonts w:ascii="Arial" w:cs="Arial" w:eastAsia="Arial" w:hAnsi="Arial"/>
                <w:sz w:val="25"/>
                <w:szCs w:val="25"/>
                <w:b w:val="1"/>
                <w:bCs w:val="1"/>
                <w:color w:val="auto"/>
                <w:vertAlign w:val="superscript"/>
              </w:rPr>
              <w:t>(1)</w:t>
            </w: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CCFFCC"/>
            </w:tcBorders>
            <w:shd w:val="clear" w:color="auto" w:fill="CCFFCC"/>
          </w:tcPr>
          <w:p>
            <w:pPr>
              <w:spacing w:after="0" w:line="20" w:lineRule="exact"/>
              <w:rPr>
                <w:sz w:val="1"/>
                <w:szCs w:val="1"/>
                <w:color w:val="auto"/>
              </w:rPr>
            </w:pPr>
          </w:p>
        </w:tc>
        <w:tc>
          <w:tcPr>
            <w:tcW w:w="16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Fidelity Institutional Money Market Funds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42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Money Market Portfolio</w:t>
            </w: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3,500,000</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3,500,000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3,500,000</w:t>
            </w: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Prime Money Market Portfolio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3,500,000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3,500,000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100" w:type="dxa"/>
            <w:vAlign w:val="bottom"/>
            <w:vMerge w:val="restart"/>
            <w:shd w:val="clear" w:color="auto" w:fill="CCFFCC"/>
          </w:tcPr>
          <w:p>
            <w:pPr>
              <w:spacing w:after="0" w:line="20" w:lineRule="exact"/>
              <w:rPr>
                <w:sz w:val="1"/>
                <w:szCs w:val="1"/>
                <w:color w:val="auto"/>
              </w:rPr>
            </w:pPr>
          </w:p>
        </w:tc>
        <w:tc>
          <w:tcPr>
            <w:tcW w:w="4280" w:type="dxa"/>
            <w:vAlign w:val="bottom"/>
            <w:gridSpan w:val="4"/>
            <w:vMerge w:val="restart"/>
            <w:shd w:val="clear" w:color="auto" w:fill="CCFFCC"/>
          </w:tcPr>
          <w:p>
            <w:pPr>
              <w:spacing w:after="0"/>
              <w:rPr>
                <w:sz w:val="20"/>
                <w:szCs w:val="20"/>
                <w:color w:val="auto"/>
              </w:rPr>
            </w:pPr>
            <w:r>
              <w:rPr>
                <w:rFonts w:ascii="Arial" w:cs="Arial" w:eastAsia="Arial" w:hAnsi="Arial"/>
                <w:sz w:val="18"/>
                <w:szCs w:val="18"/>
                <w:color w:val="auto"/>
              </w:rPr>
              <w:t>Total Money Market Funds</w:t>
            </w:r>
          </w:p>
        </w:tc>
        <w:tc>
          <w:tcPr>
            <w:tcW w:w="1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vMerge w:val="continue"/>
            <w:shd w:val="clear" w:color="auto" w:fill="CCFFCC"/>
          </w:tcPr>
          <w:p>
            <w:pPr>
              <w:spacing w:after="0"/>
              <w:rPr>
                <w:sz w:val="18"/>
                <w:szCs w:val="18"/>
                <w:color w:val="auto"/>
              </w:rPr>
            </w:pPr>
          </w:p>
        </w:tc>
        <w:tc>
          <w:tcPr>
            <w:tcW w:w="4280" w:type="dxa"/>
            <w:vAlign w:val="bottom"/>
            <w:gridSpan w:val="4"/>
            <w:vMerge w:val="continue"/>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vMerge w:val="continue"/>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7,000,000</w:t>
            </w:r>
          </w:p>
        </w:tc>
        <w:tc>
          <w:tcPr>
            <w:tcW w:w="240" w:type="dxa"/>
            <w:vAlign w:val="bottom"/>
            <w:vMerge w:val="continue"/>
            <w:shd w:val="clear" w:color="auto" w:fill="CCFFCC"/>
          </w:tcPr>
          <w:p>
            <w:pPr>
              <w:spacing w:after="0"/>
              <w:rPr>
                <w:sz w:val="18"/>
                <w:szCs w:val="18"/>
                <w:color w:val="auto"/>
              </w:rPr>
            </w:pP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FFCC"/>
          </w:tcPr>
          <w:p>
            <w:pPr>
              <w:spacing w:after="0"/>
              <w:rPr>
                <w:sz w:val="18"/>
                <w:szCs w:val="18"/>
                <w:color w:val="auto"/>
              </w:rPr>
            </w:pPr>
          </w:p>
        </w:tc>
        <w:tc>
          <w:tcPr>
            <w:tcW w:w="4280" w:type="dxa"/>
            <w:vAlign w:val="bottom"/>
            <w:gridSpan w:val="4"/>
            <w:shd w:val="clear" w:color="auto" w:fill="CCFFCC"/>
          </w:tcPr>
          <w:p>
            <w:pPr>
              <w:spacing w:after="0"/>
              <w:rPr>
                <w:sz w:val="20"/>
                <w:szCs w:val="20"/>
                <w:color w:val="auto"/>
              </w:rPr>
            </w:pPr>
            <w:r>
              <w:rPr>
                <w:rFonts w:ascii="Arial" w:cs="Arial" w:eastAsia="Arial" w:hAnsi="Arial"/>
                <w:sz w:val="18"/>
                <w:szCs w:val="18"/>
                <w:b w:val="1"/>
                <w:bCs w:val="1"/>
                <w:color w:val="auto"/>
              </w:rPr>
              <w:t>Total Investments</w:t>
            </w: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92,657,994</w:t>
            </w:r>
          </w:p>
        </w:tc>
        <w:tc>
          <w:tcPr>
            <w:tcW w:w="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91,078,194</w:t>
            </w:r>
          </w:p>
        </w:tc>
        <w:tc>
          <w:tcPr>
            <w:tcW w:w="14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0"/>
        </w:trPr>
        <w:tc>
          <w:tcPr>
            <w:tcW w:w="100" w:type="dxa"/>
            <w:vAlign w:val="bottom"/>
            <w:tcBorders>
              <w:top w:val="single" w:sz="8" w:color="CCFFCC"/>
            </w:tcBorders>
          </w:tcPr>
          <w:p>
            <w:pPr>
              <w:spacing w:after="0" w:line="20" w:lineRule="exact"/>
              <w:rPr>
                <w:sz w:val="1"/>
                <w:szCs w:val="1"/>
                <w:color w:val="auto"/>
              </w:rPr>
            </w:pPr>
          </w:p>
        </w:tc>
        <w:tc>
          <w:tcPr>
            <w:tcW w:w="16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4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41"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142"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6"/>
          <w:szCs w:val="26"/>
          <w:b w:val="1"/>
          <w:bCs w:val="1"/>
          <w:color w:val="auto"/>
          <w:vertAlign w:val="superscript"/>
        </w:rPr>
      </w:pPr>
      <w:r>
        <w:rPr>
          <w:rFonts w:ascii="Arial" w:cs="Arial" w:eastAsia="Arial" w:hAnsi="Arial"/>
          <w:sz w:val="16"/>
          <w:szCs w:val="16"/>
          <w:color w:val="auto"/>
        </w:rPr>
        <w:t>Investment is income producing.</w:t>
      </w:r>
    </w:p>
    <w:p>
      <w:pPr>
        <w:spacing w:after="0" w:line="242" w:lineRule="exact"/>
        <w:rPr>
          <w:rFonts w:ascii="Arial" w:cs="Arial" w:eastAsia="Arial" w:hAnsi="Arial"/>
          <w:sz w:val="26"/>
          <w:szCs w:val="26"/>
          <w:b w:val="1"/>
          <w:bCs w:val="1"/>
          <w:color w:val="auto"/>
          <w:vertAlign w:val="superscript"/>
        </w:rPr>
      </w:pPr>
    </w:p>
    <w:p>
      <w:pPr>
        <w:ind w:right="20" w:firstLine="8"/>
        <w:spacing w:after="0" w:line="221" w:lineRule="auto"/>
        <w:tabs>
          <w:tab w:leader="none" w:pos="222" w:val="left"/>
        </w:tabs>
        <w:numPr>
          <w:ilvl w:val="0"/>
          <w:numId w:val="7"/>
        </w:numPr>
        <w:rPr>
          <w:rFonts w:ascii="Arial" w:cs="Arial" w:eastAsia="Arial" w:hAnsi="Arial"/>
          <w:sz w:val="26"/>
          <w:szCs w:val="26"/>
          <w:b w:val="1"/>
          <w:bCs w:val="1"/>
          <w:color w:val="auto"/>
          <w:vertAlign w:val="superscript"/>
        </w:rPr>
      </w:pPr>
      <w:r>
        <w:rPr>
          <w:rFonts w:ascii="Arial" w:cs="Arial" w:eastAsia="Arial" w:hAnsi="Arial"/>
          <w:sz w:val="16"/>
          <w:szCs w:val="16"/>
          <w:color w:val="auto"/>
        </w:rPr>
        <w:t>On November 8, 2011, Groupon, Inc. priced its initial public offering, selling 35,000,000 shares at a price of $20.00 per share. GSV Capital Corp.’s shares in Groupon are subject to a lock-up agreement that expires on June 1, 2012.</w:t>
      </w:r>
    </w:p>
    <w:p>
      <w:pPr>
        <w:spacing w:after="0" w:line="244" w:lineRule="exact"/>
        <w:rPr>
          <w:rFonts w:ascii="Arial" w:cs="Arial" w:eastAsia="Arial" w:hAnsi="Arial"/>
          <w:sz w:val="26"/>
          <w:szCs w:val="26"/>
          <w:b w:val="1"/>
          <w:bCs w:val="1"/>
          <w:color w:val="auto"/>
          <w:vertAlign w:val="superscript"/>
        </w:rPr>
      </w:pPr>
    </w:p>
    <w:p>
      <w:pPr>
        <w:jc w:val="both"/>
        <w:ind w:firstLine="8"/>
        <w:spacing w:after="0" w:line="256" w:lineRule="auto"/>
        <w:tabs>
          <w:tab w:leader="none" w:pos="228" w:val="left"/>
        </w:tabs>
        <w:numPr>
          <w:ilvl w:val="0"/>
          <w:numId w:val="7"/>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a $4 million unsecured promissory note with an interest rate of 10% and maturity date of August 15, 2012 that was issued by PJB Fund LLC that may be repaid, at PJB Fund LLC’s election, either by transfer of a certain number of shares of common stock of Zynga, Inc. or with a cash amount of equivalent value. The amount payable under the note will be equal to the face amount, plus the greater of accrued interest (at a rate of 10%) or a return based on the relative value of Zynga, Inc. To the extent the borrower repays the note in cash, GSV Capital Corp. would have no further direct or indirect interest in Zynga, Inc. On December 15, 2011, Zynga, Inc. priced its initial public offering, selling 100,000,000 shares at a price of $10.00 per share.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652780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t>GSV CAPITAL 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NeXt Innovation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Nature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GSV Capital Corp. (formerly NeXt Innovation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(formerly NeXt Asset Management, “GSV Asset Management”).</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date of inception is January 6, 2011, which is the date it commenced its development stage activities. On February 28, 2011, the Company, which had not yet begun investment operations, issued 100 shares which were owned by an officer of the Company who is also a principal of GSV Asset Management. On April 28, 2011, the Company priced its initial public offering, selling 3,335,000 shares at a price of $15.00 per share. The initial public offering closed on May 3, 2011, resulting in net proceeds to the Company of approximately $46.5 million. The Company’s shares are currently listed on the NASDAQ Capital Market under the symbol “GSVC”. The Company began its investment operations during the second quarter.</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will originate portfolio loan investments within the state of California. An application for a California lender license was submitted by GCL to the California Department of Corporations and GCL is awaiting receipt of its license from the State.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28, 2011, the board of directors (the “Board”) of the Company approved Articles of Amendment and Restatement, reflecting a change in the Company’s name from NeXt BDC Capital Corp. to NeXt Innovation Corp., which Articles of Amendment and Restatement became effective upon filing with the State Department of Assessment and Taxation of the State of Maryland on March 29, 2011. Then, on May 26, 2011, the board of directors of the Company approved Articles of Amendment, reflecting a change in the Company’s name from NeXt Innovation Corp. to GSV Capital Corp., which Articles of Amendment became effective upon filing with the State Department of Assessment and Taxation of the State of Maryland on May 26, 2011.</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26, 2011, the Company priced a follow-on equity offering, selling 2,185,000 of common shares at a price of $14.15 per share, including an exercise in full by the underwriters of their option to purchase an additional 285,000 shares of common stock to cover overallotments. The follow-on equity offering resulted in net proceeds to the Company of approximately $29.6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10, 2012, the Company priced a subsequent follow-on equity offering, selling 6,900,000 of common shares at a price of $15.00 per share, including an exercise in full by the underwriters of their option to purchase an additional 900,000 shares of common stock to cover overallotments. The follow-on equity offering resulted in net proceeds to the Company of approximately $96.2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11, 2012, the Company priced an additional follow-on equity offering, selling 6,900,000 of common shares at a price of $16.25 per share, including an exercise in full by the underwriters of their option to purchase an additional 900,000 shares of common stock to cover overallotments. The follow-on equity offering resulted in net proceeds to the Company of approximately $105.4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interim consolidated financial statements of the Company are prepared in accordance with accounting principles generally accepted in the United States of America (“GAAP”) for interim financial information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2012. The interim unaudited consolidated financial statements and notes hereto should be read in conjunction with the audited financial statements and notes thereto contained in the Company’s Annual Report on Form 10-K for the year ended December 31, 2011.</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Regulation S-X under the Securities Act of 1933, as amended, and the Securities Exchange Act of 1934, as amended, the Company does not consolidate portfolio company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Article 6 of Regulation S-X and the American Institute of Certified Public Accountants’ Audit and Accounting Guide for Investment Companies, we are precluded from consolidating any entity other than another investment company or a controlled operating company which provides substantially all of its services and benefits to us. Accordingly, our financial statements include our accounts and the accounts of GCL, our wholly-owned subsidiary. All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181" w:lineRule="exact"/>
        <w:rPr>
          <w:sz w:val="20"/>
          <w:szCs w:val="20"/>
          <w:color w:val="auto"/>
        </w:rPr>
      </w:pPr>
    </w:p>
    <w:p>
      <w:pPr>
        <w:ind w:left="660" w:right="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ind w:left="660" w:right="20" w:hanging="328"/>
        <w:spacing w:after="0" w:line="29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the ability to access (examples include active exchange-traded equity securities, exchange-traded derivatives, and most U.S. Government and agency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66"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ind w:left="1300" w:hanging="320"/>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ind w:left="1300" w:hanging="320"/>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places its cash with U.S. Bank, N.A. and First Republic Bank, N.A., and at times, cash held in these accounts may exceed the Federal Deposit Insurance Corporation insured limit. The Company also invests a portion of its cash in money market funds, within limitations of the 1940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income, adjusted for amortization of premium and accretion of discount, is recorded on an accrual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Commissions and other costs associated with an investment transaction, including legal expenses, are included in the cost basis of purchases and deducted from the proceeds of sales. The Company makes certain acquisitions on the secondary market which involves making deposits to escrow accounts until certain conditions are met including the underlying private company’s right of first refusal. If the underlying private company does not exercise its right to first refusal and all other conditions are met, then the funds in the escrow account are delivered to the seller and the account is closed. These transactions are reflected on the Statement of Assets and Liabilities as Escrow deposits. At September 30, 2012 and December 31, 2011, the Company had $0 in Escrow deposits.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Payable for Unsettled Securities Transaction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Payable for unsettled securities transaction relates to the purchase of the United States Treasury Bill that was unsettled at December 31, 2011 and settled in January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was taxed as a regular corporation (a “C corporation”) under subchapter C of the Internal Revenue Code of 1986, as amended, for its 2011 taxable year and will continue to be taxed as such for its 2012 taxable year, and uses the liability method of accounting for income taxes. Deferred tax assets and liabilities are recorded for temporary differences between the tax basis of assets and liabilities and their reported amounts in the consolidated financial statements, using statutory tax rates in effect for the year in which the temporary differences are expected to reverse. A valuation allowance is provided against deferred tax assets when it is more likely than not that some portion or all of the deferred tax assets will not be realized.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648"/>
        <w:spacing w:after="0" w:line="255" w:lineRule="auto"/>
        <w:rPr>
          <w:sz w:val="20"/>
          <w:szCs w:val="20"/>
          <w:color w:val="auto"/>
        </w:rPr>
      </w:pPr>
      <w:r>
        <w:rPr>
          <w:rFonts w:ascii="Arial" w:cs="Arial" w:eastAsia="Arial" w:hAnsi="Arial"/>
          <w:sz w:val="18"/>
          <w:szCs w:val="18"/>
          <w:color w:val="auto"/>
        </w:rPr>
        <w:t>Beginning with its 2013 taxable year, the Company intends to elect to be treated as a regulated investment company (“RIC”) under subchapter M of the Internal Revenue Code of 1986, as amended, and intends to operate in a manner so as to qualify for the tax treatment applicable to RICs. In order to qualify as a RIC, among other things, the Company is required to distribute to its stockholders on a timely basis at least 90% of investment company taxable income, as defined by the Code, for each year. So long as the Company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Organization costs include costs relating to the formation and incorporation of the business. These costs were expensed as incurred. For the three months ended September 30, 2011, and for the period from January 6, 2011 (date of inception) to September 30, 2011, the Company has incurred and expensed organization costs of $6,336 and $198,831, respectively. The Company did not incur organization costs for the nine months ended September 30, 2012.</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Offering costs include legal fees and other costs pertaining to the public offerings. As of September 30, 2012, $738,697 of offering costs were offset against capital proceeds from the secondary offerings on May 11, 2012 and February 10, 2012. As of September 30, 2011, $1,077,166 of offering costs were offset against capital proceeds from the initial public offering on April 28, 2011 and the secondary offering on September 26, 2011. As of December 31, 2011, $56,436 of offering costs were deferred which were related to our offering on February 10,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and diluted earnings (loss) per common share is calculated using the weighted average number of shares outstanding for the period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(loss) per share are the same since there are no potentially dilutive securities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Accounts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capital accounts including undistributed net investment income,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 be reclassified between financial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 For the period from January 6, 2011 (date of inception) to December 31, 2011, the net investment loss of $2,033,864 was determined to be a permanent difference and reduced paid-in capital in excess of par in the Statement of Assets and Liabilities. As of September 30, 2012, the Company determined the net investment loss from 2011 was no longer a permanent difference because the Company is currently taxable as a C corporation and adjusted paid-in capital in excess of par and accumulated net investment loss by $2,033,864 as of September 30, 2012 on the Statement of Assets and Liabilities.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The amended guidance is to be applied prospectively. For public entities, the guidance is effective during interim and annual periods beginning after December 15, 2011. The adoption of this guidance did not have a significant impact on our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RELATED 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For the period from the close of the initial public offering through and including December 31, 2011, the fee was payable monthly in arrears, and was calculated based on the initial value of the Company’s assets upon the closing of the public offering. For the three and nine months ended September 30, 2012, GSV Asset Management earned $1,351,169 and $3,099,186 in base management fees and $0 in incentive fees, respectively. For the three months ended September 30, 2011 and for the period from January 6, 2011 (date of inception) to September 30, 2011, GSV Asset Management earned $233,961 and $384,904 in base management fees and $0 in incentive fees, respectively.</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2012, the Company was due $3,315 from GSV Asset Management for reimbursement of expenses paid by the Company that were the responsibility of GSV Asset Management, and is included in the Statement of Assets and Liabilities.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2012, the Company owed certain officers and directors $917 for reimbursements of other expenses. The Company owed GSV Asset Management $41,197 for reimbursements of travel-related expenses. These are included in the Statement of Assets and Liabilities.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the Company was due $13,470 from GSV Asset Management for reimbursement of travel-related expenses paid for by the Company that were the responsibility of GSV Asset Management, and is included in the Statement of Assets and Liabilities.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the Company owed certain officers and directors $10,782 for reimbursements of travel-related and other expenses. The Company owed GSV Asset Management $78,427 for management fees and reimbursements of travel-related and other expenses. These are included in the Statement of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$543,171 and $1,490,966 in such costs incurred under the Administration Agreement for the three and nine months ended September 30, 2012, respectively. There were $192,031 and $305,066 in such costs incurred under the Administration Agreement for the three months ended September 30, 2011 and for the period from January 6, 2011 (date of inception) to September 30, 2011,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2012, the Company had 55 investments in 44 portfolio companies. The total cost and fair value of the 55 positions were $224,689,927 and $217,441,538, respectively. At December 31, 2011, the Company had 24 investments in 21 portfolio companies. The total cost and fair value of the 24 positions were $65,658,866 and $64,078,150, respectively. The composition of our investments as of September 30, 2012 and December 31, 2011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September 30, 2012</w:t>
            </w: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ind w:left="420"/>
              <w:spacing w:after="0"/>
              <w:rPr>
                <w:sz w:val="20"/>
                <w:szCs w:val="20"/>
                <w:color w:val="auto"/>
              </w:rPr>
            </w:pPr>
            <w:r>
              <w:rPr>
                <w:rFonts w:ascii="Arial" w:cs="Arial" w:eastAsia="Arial" w:hAnsi="Arial"/>
                <w:sz w:val="18"/>
                <w:szCs w:val="18"/>
                <w:b w:val="1"/>
                <w:bCs w:val="1"/>
                <w:color w:val="auto"/>
              </w:rPr>
              <w:t>December 31,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w:t>
            </w: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129,533,809</w:t>
            </w: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121,396,898</w:t>
            </w:r>
          </w:p>
        </w:tc>
        <w:tc>
          <w:tcPr>
            <w:tcW w:w="1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43,451,594</w:t>
            </w: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42,053,669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94,557,002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95,465,766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17,595,397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17,453,085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Common Membership Interest</w:t>
            </w:r>
          </w:p>
        </w:tc>
        <w:tc>
          <w:tcPr>
            <w:tcW w:w="1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Structured Note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4,535,082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99,116</w:t>
            </w:r>
          </w:p>
        </w:tc>
        <w:tc>
          <w:tcPr>
            <w:tcW w:w="1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78,874</w:t>
            </w:r>
          </w:p>
        </w:tc>
        <w:tc>
          <w:tcPr>
            <w:tcW w:w="18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76,793</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Portfolio Investments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224,689,927</w:t>
            </w:r>
          </w:p>
        </w:tc>
        <w:tc>
          <w:tcPr>
            <w:tcW w:w="160" w:type="dxa"/>
            <w:vAlign w:val="bottom"/>
            <w:tcBorders>
              <w:bottom w:val="single" w:sz="8" w:color="CCFFCC"/>
            </w:tcBorders>
          </w:tcPr>
          <w:p>
            <w:pPr>
              <w:spacing w:after="0"/>
              <w:rPr>
                <w:sz w:val="18"/>
                <w:szCs w:val="18"/>
                <w:color w:val="auto"/>
              </w:rPr>
            </w:pPr>
          </w:p>
        </w:tc>
        <w:tc>
          <w:tcPr>
            <w:tcW w:w="18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217,441,538</w:t>
            </w:r>
          </w:p>
        </w:tc>
        <w:tc>
          <w:tcPr>
            <w:tcW w:w="160" w:type="dxa"/>
            <w:vAlign w:val="bottom"/>
            <w:tcBorders>
              <w:bottom w:val="single" w:sz="8" w:color="CCFFCC"/>
            </w:tcBorders>
          </w:tcPr>
          <w:p>
            <w:pPr>
              <w:spacing w:after="0"/>
              <w:rPr>
                <w:sz w:val="18"/>
                <w:szCs w:val="18"/>
                <w:color w:val="auto"/>
              </w:rPr>
            </w:pPr>
          </w:p>
        </w:tc>
        <w:tc>
          <w:tcPr>
            <w:tcW w:w="18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65,658,866</w:t>
            </w:r>
          </w:p>
        </w:tc>
        <w:tc>
          <w:tcPr>
            <w:tcW w:w="16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64,078,150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Non-Portfolio Investments</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16,000,000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16,000,000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26,999,128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27,000,044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240,689,927</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233,441,538</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92,657,994</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Levels 2 and 3 investments as of September 30, 2012.</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Asset</w:t>
            </w:r>
          </w:p>
        </w:tc>
        <w:tc>
          <w:tcPr>
            <w:tcW w:w="3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Valuation Techniques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Unobservable inputs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Range</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Common stock</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6,898,710</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Discount for lack of marketability</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in public company</w:t>
            </w:r>
          </w:p>
        </w:tc>
        <w:tc>
          <w:tcPr>
            <w:tcW w:w="340" w:type="dxa"/>
            <w:vAlign w:val="bottom"/>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Common stock</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112,601,922</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Precedent transactions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in private companies</w:t>
            </w:r>
          </w:p>
        </w:tc>
        <w:tc>
          <w:tcPr>
            <w:tcW w:w="340" w:type="dxa"/>
            <w:vAlign w:val="bottom"/>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Preferred stock</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95,465,766</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Precedent transactions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in private companies</w:t>
            </w:r>
          </w:p>
        </w:tc>
        <w:tc>
          <w:tcPr>
            <w:tcW w:w="340" w:type="dxa"/>
            <w:vAlign w:val="bottom"/>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86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membership interest</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500,000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Precedent transactions</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Warrants</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78,874</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Term to expiration*</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See below</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right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2500" w:type="dxa"/>
            <w:vAlign w:val="bottom"/>
            <w:tcBorders>
              <w:right w:val="single" w:sz="8" w:color="auto"/>
            </w:tcBorders>
            <w:vMerge w:val="continue"/>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Stock price*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See below</w:t>
            </w:r>
          </w:p>
        </w:tc>
        <w:tc>
          <w:tcPr>
            <w:tcW w:w="0" w:type="dxa"/>
            <w:vAlign w:val="bottom"/>
          </w:tcPr>
          <w:p>
            <w:pPr>
              <w:spacing w:after="0"/>
              <w:rPr>
                <w:sz w:val="1"/>
                <w:szCs w:val="1"/>
                <w:color w:val="auto"/>
              </w:rPr>
            </w:pPr>
          </w:p>
        </w:tc>
      </w:tr>
      <w:tr>
        <w:trPr>
          <w:trHeight w:val="210"/>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Volatility*</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See below</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1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Echo System Corp. warrants have an estimated term of 4.1 years, a stock price of $3.20 and a volatility of 40%, and the SharesPost, Inc. warrants have an estimated term of 1.8 years, a stock price of $0.10 and a volatility of 35%.</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significant unobservable input used in the fair value of the common stock in public company is the discount for lack of marketability. A higher discount results in a lower value, all else equal. The significant unobservable inputs used in the fair value of the warrants are the term to expiration, stock price and volatility. Volatility is based on a combination of implied and historical volatility indications. A higher stock price and a longer time to expiration result in higher values, all else equal.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right="60" w:firstLine="648"/>
        <w:spacing w:after="0" w:line="277"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September 30, 2012 and December 31, 2011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00" w:type="dxa"/>
            <w:vAlign w:val="bottom"/>
            <w:gridSpan w:val="7"/>
          </w:tcPr>
          <w:p>
            <w:pPr>
              <w:ind w:left="1180"/>
              <w:spacing w:after="0"/>
              <w:rPr>
                <w:sz w:val="20"/>
                <w:szCs w:val="20"/>
                <w:color w:val="auto"/>
              </w:rPr>
            </w:pPr>
            <w:r>
              <w:rPr>
                <w:rFonts w:ascii="Arial" w:cs="Arial" w:eastAsia="Arial" w:hAnsi="Arial"/>
                <w:sz w:val="18"/>
                <w:szCs w:val="18"/>
                <w:b w:val="1"/>
                <w:bCs w:val="1"/>
                <w:color w:val="auto"/>
              </w:rPr>
              <w:t>As of September 30, 2012 (Unaudited)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rPr>
              <w:t>Active Markets for</w:t>
            </w: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rPr>
              <w:t>Identical Securities</w:t>
            </w: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w:t>
            </w:r>
          </w:p>
        </w:tc>
        <w:tc>
          <w:tcPr>
            <w:tcW w:w="17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1,896,266</w:t>
            </w:r>
          </w:p>
        </w:tc>
        <w:tc>
          <w:tcPr>
            <w:tcW w:w="3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6,898,710</w:t>
            </w:r>
          </w:p>
        </w:tc>
        <w:tc>
          <w:tcPr>
            <w:tcW w:w="3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112,601,922</w:t>
            </w:r>
          </w:p>
        </w:tc>
        <w:tc>
          <w:tcPr>
            <w:tcW w:w="3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121,396,898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Preferred Stock</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95,465,766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95,465,766</w:t>
            </w:r>
          </w:p>
        </w:tc>
        <w:tc>
          <w:tcPr>
            <w:tcW w:w="0" w:type="dxa"/>
            <w:vAlign w:val="bottom"/>
          </w:tcPr>
          <w:p>
            <w:pPr>
              <w:spacing w:after="0"/>
              <w:rPr>
                <w:sz w:val="1"/>
                <w:szCs w:val="1"/>
                <w:color w:val="auto"/>
              </w:rPr>
            </w:pPr>
          </w:p>
        </w:tc>
      </w:tr>
      <w:tr>
        <w:trPr>
          <w:trHeight w:val="216"/>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Money Market Funds</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16,000,000</w:t>
            </w:r>
          </w:p>
        </w:tc>
        <w:tc>
          <w:tcPr>
            <w:tcW w:w="1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Common Membership Interest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Warrants</w:t>
            </w:r>
          </w:p>
        </w:tc>
        <w:tc>
          <w:tcPr>
            <w:tcW w:w="17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7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78,874</w:t>
            </w: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78,874</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Total Investments</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17,896,266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6,898,710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208,646,562</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233,441,538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3680" w:type="dxa"/>
            <w:vAlign w:val="bottom"/>
            <w:gridSpan w:val="5"/>
          </w:tcPr>
          <w:p>
            <w:pPr>
              <w:jc w:val="right"/>
              <w:ind w:right="25"/>
              <w:spacing w:after="0"/>
              <w:rPr>
                <w:sz w:val="20"/>
                <w:szCs w:val="20"/>
                <w:color w:val="auto"/>
              </w:rPr>
            </w:pPr>
            <w:r>
              <w:rPr>
                <w:rFonts w:ascii="Arial" w:cs="Arial" w:eastAsia="Arial" w:hAnsi="Arial"/>
                <w:sz w:val="18"/>
                <w:szCs w:val="18"/>
                <w:b w:val="1"/>
                <w:bCs w:val="1"/>
                <w:color w:val="auto"/>
              </w:rPr>
              <w:t>As of December 31, 2011</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Quoted Prices in</w:t>
            </w: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rPr>
              <w:t>Active Markets for</w:t>
            </w: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rPr>
              <w:t>Identical Securities</w:t>
            </w: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0"/>
                <w:szCs w:val="20"/>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w:t>
            </w:r>
          </w:p>
        </w:tc>
        <w:tc>
          <w:tcPr>
            <w:tcW w:w="17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1,188,288</w:t>
            </w:r>
          </w:p>
        </w:tc>
        <w:tc>
          <w:tcPr>
            <w:tcW w:w="3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40,865,381</w:t>
            </w:r>
          </w:p>
        </w:tc>
        <w:tc>
          <w:tcPr>
            <w:tcW w:w="32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42,053,669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U.S. Treasury Bill</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20,000,044</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20,000,044</w:t>
            </w:r>
          </w:p>
        </w:tc>
        <w:tc>
          <w:tcPr>
            <w:tcW w:w="0" w:type="dxa"/>
            <w:vAlign w:val="bottom"/>
          </w:tcPr>
          <w:p>
            <w:pPr>
              <w:spacing w:after="0"/>
              <w:rPr>
                <w:sz w:val="1"/>
                <w:szCs w:val="1"/>
                <w:color w:val="auto"/>
              </w:rPr>
            </w:pPr>
          </w:p>
        </w:tc>
      </w:tr>
      <w:tr>
        <w:trPr>
          <w:trHeight w:val="216"/>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Preferred Stock</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17,453,085</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17,453,085</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Money Market Funds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7,000,000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Structured Note</w:t>
            </w:r>
          </w:p>
        </w:tc>
        <w:tc>
          <w:tcPr>
            <w:tcW w:w="1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4,500,000</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Warrants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71,396</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71,396</w:t>
            </w:r>
          </w:p>
        </w:tc>
        <w:tc>
          <w:tcPr>
            <w:tcW w:w="0" w:type="dxa"/>
            <w:vAlign w:val="bottom"/>
          </w:tcPr>
          <w:p>
            <w:pPr>
              <w:spacing w:after="0"/>
              <w:rPr>
                <w:sz w:val="1"/>
                <w:szCs w:val="1"/>
                <w:color w:val="auto"/>
              </w:rPr>
            </w:pPr>
          </w:p>
        </w:tc>
      </w:tr>
      <w:tr>
        <w:trPr>
          <w:trHeight w:val="223"/>
        </w:trPr>
        <w:tc>
          <w:tcPr>
            <w:tcW w:w="34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Investments</w:t>
            </w:r>
          </w:p>
        </w:tc>
        <w:tc>
          <w:tcPr>
            <w:tcW w:w="17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27,000,044</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1,188,288</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62,889,862</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91,078,194</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aggregate values of Level 3 portfolio investments changed during the nine months ended September 30, 2012 and the period from January 6, 2011 (date of inception) to December 31, 2011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14"/>
          </w:tcPr>
          <w:p>
            <w:pPr>
              <w:jc w:val="right"/>
              <w:ind w:right="640"/>
              <w:spacing w:after="0"/>
              <w:rPr>
                <w:sz w:val="20"/>
                <w:szCs w:val="20"/>
                <w:color w:val="auto"/>
              </w:rPr>
            </w:pPr>
            <w:r>
              <w:rPr>
                <w:rFonts w:ascii="Arial" w:cs="Arial" w:eastAsia="Arial" w:hAnsi="Arial"/>
                <w:sz w:val="18"/>
                <w:szCs w:val="18"/>
                <w:b w:val="1"/>
                <w:bCs w:val="1"/>
                <w:color w:val="auto"/>
                <w:w w:val="94"/>
              </w:rPr>
              <w:t>Nine months ended September 30, 2012 (Unaudited)</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Preferred</w:t>
            </w:r>
          </w:p>
        </w:tc>
        <w:tc>
          <w:tcPr>
            <w:tcW w:w="12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Structured</w:t>
            </w:r>
          </w:p>
        </w:tc>
        <w:tc>
          <w:tcPr>
            <w:tcW w:w="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Membership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Note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Warrants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as of December 31, 2011</w:t>
            </w:r>
          </w:p>
        </w:tc>
        <w:tc>
          <w:tcPr>
            <w:tcW w:w="14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40,865,381</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17,453,085</w:t>
            </w: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4,500,000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71,396</w:t>
            </w:r>
          </w:p>
        </w:tc>
        <w:tc>
          <w:tcPr>
            <w:tcW w:w="2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62,889,862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83,078,564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75,977,538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854,236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160,410,338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6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 xml:space="preserve">Exercises, conversions and assignments </w:t>
            </w:r>
            <w:r>
              <w:rPr>
                <w:rFonts w:ascii="Arial" w:cs="Arial" w:eastAsia="Arial" w:hAnsi="Arial"/>
                <w:sz w:val="29"/>
                <w:szCs w:val="29"/>
                <w:color w:val="auto"/>
                <w:vertAlign w:val="superscript"/>
              </w:rPr>
              <w:t>(1)</w:t>
            </w:r>
          </w:p>
        </w:tc>
        <w:tc>
          <w:tcPr>
            <w:tcW w:w="14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984,067</w:t>
            </w:r>
          </w:p>
        </w:tc>
        <w:tc>
          <w:tcPr>
            <w:tcW w:w="1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(1,006,390)</w:t>
            </w:r>
          </w:p>
        </w:tc>
        <w:tc>
          <w:tcPr>
            <w:tcW w:w="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22,323</w:t>
            </w:r>
          </w:p>
        </w:tc>
        <w:tc>
          <w:tcPr>
            <w:tcW w:w="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Sales and settlements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(3,002,665)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(3,002,665)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Realized loss included in earnings</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(1,380,263)</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(1,380,263)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8"/>
              </w:rPr>
              <w:t>Change in unrealized appreciation (depreciation)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(1,980,923)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1,051,076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35,082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(14,845)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(909,610)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Transfer to Level 2</w:t>
            </w:r>
          </w:p>
        </w:tc>
        <w:tc>
          <w:tcPr>
            <w:tcW w:w="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(9,361,100)</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(9,361,100)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Fair Value as of September 30, 2012</w:t>
            </w:r>
          </w:p>
        </w:tc>
        <w:tc>
          <w:tcPr>
            <w:tcW w:w="14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112,601,922</w:t>
            </w:r>
          </w:p>
        </w:tc>
        <w:tc>
          <w:tcPr>
            <w:tcW w:w="16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95,465,766</w:t>
            </w:r>
          </w:p>
        </w:tc>
        <w:tc>
          <w:tcPr>
            <w:tcW w:w="120" w:type="dxa"/>
            <w:vAlign w:val="bottom"/>
            <w:tcBorders>
              <w:bottom w:val="single" w:sz="8" w:color="CCFFCC"/>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FFCC"/>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78,874</w:t>
            </w:r>
          </w:p>
        </w:tc>
        <w:tc>
          <w:tcPr>
            <w:tcW w:w="220" w:type="dxa"/>
            <w:vAlign w:val="bottom"/>
            <w:tcBorders>
              <w:bottom w:val="single" w:sz="8" w:color="CCFFCC"/>
            </w:tcBorders>
          </w:tcPr>
          <w:p>
            <w:pPr>
              <w:spacing w:after="0"/>
              <w:rPr>
                <w:sz w:val="22"/>
                <w:szCs w:val="22"/>
                <w:color w:val="auto"/>
              </w:rPr>
            </w:pPr>
          </w:p>
        </w:tc>
        <w:tc>
          <w:tcPr>
            <w:tcW w:w="20" w:type="dxa"/>
            <w:vAlign w:val="bottom"/>
            <w:tcBorders>
              <w:bottom w:val="single" w:sz="8" w:color="CCFFC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208,646,562</w:t>
            </w:r>
          </w:p>
        </w:tc>
        <w:tc>
          <w:tcPr>
            <w:tcW w:w="2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2"/>
              </w:rPr>
              <w:t>Change in unrealized appreciation (depreciation) 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w w:val="93"/>
              </w:rPr>
              <w:t>Level 3 investments still held as of September 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80" w:type="dxa"/>
            <w:vAlign w:val="bottom"/>
            <w:gridSpan w:val="2"/>
          </w:tcPr>
          <w:p>
            <w:pPr>
              <w:ind w:left="160"/>
              <w:spacing w:after="0"/>
              <w:rPr>
                <w:sz w:val="20"/>
                <w:szCs w:val="20"/>
                <w:color w:val="auto"/>
              </w:rPr>
            </w:pPr>
            <w:r>
              <w:rPr>
                <w:rFonts w:ascii="Arial" w:cs="Arial" w:eastAsia="Arial" w:hAnsi="Arial"/>
                <w:sz w:val="18"/>
                <w:szCs w:val="18"/>
                <w:color w:val="auto"/>
              </w:rPr>
              <w:t>2012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(873,210)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1,051,076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(14,845)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163,021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hanging="648"/>
        <w:spacing w:after="0" w:line="209" w:lineRule="auto"/>
        <w:tabs>
          <w:tab w:leader="none" w:pos="98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During the nine months ended September 30, 2012, the Company converted its structured notes to preferred shares in AlwaysOn, Inc. and The Echo System Corp., and exercised its warrants for preferred shares in StormWind, LLC. A portion of The Echo System Corp. structured notes attributable to the warrants was reclassified during the same period.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12"/>
          </w:tcPr>
          <w:p>
            <w:pPr>
              <w:jc w:val="right"/>
              <w:ind w:right="160"/>
              <w:spacing w:after="0"/>
              <w:rPr>
                <w:sz w:val="20"/>
                <w:szCs w:val="20"/>
                <w:color w:val="auto"/>
              </w:rPr>
            </w:pPr>
            <w:r>
              <w:rPr>
                <w:rFonts w:ascii="Arial" w:cs="Arial" w:eastAsia="Arial" w:hAnsi="Arial"/>
                <w:sz w:val="18"/>
                <w:szCs w:val="18"/>
                <w:b w:val="1"/>
                <w:bCs w:val="1"/>
                <w:color w:val="auto"/>
                <w:w w:val="90"/>
              </w:rPr>
              <w:t>From January 6, 2011 (date of inception) to December 31, 2011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Common Stock</w:t>
            </w:r>
          </w:p>
        </w:tc>
        <w:tc>
          <w:tcPr>
            <w:tcW w:w="240" w:type="dxa"/>
            <w:vAlign w:val="bottom"/>
          </w:tcPr>
          <w:p>
            <w:pPr>
              <w:spacing w:after="0"/>
              <w:rPr>
                <w:sz w:val="19"/>
                <w:szCs w:val="19"/>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Preferred Stock</w:t>
            </w:r>
          </w:p>
        </w:tc>
        <w:tc>
          <w:tcPr>
            <w:tcW w:w="140" w:type="dxa"/>
            <w:vAlign w:val="bottom"/>
          </w:tcPr>
          <w:p>
            <w:pPr>
              <w:spacing w:after="0"/>
              <w:rPr>
                <w:sz w:val="19"/>
                <w:szCs w:val="19"/>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rPr>
              <w:t>Structured Note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Warrants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as of January 6, 2011</w:t>
            </w: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43,451,594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17,595,397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4,535,082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76,793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65,658,866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Change in unrealized depreciation included in</w:t>
            </w: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earnings</w:t>
            </w:r>
          </w:p>
        </w:tc>
        <w:tc>
          <w:tcPr>
            <w:tcW w:w="28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(1,397,925)</w:t>
            </w:r>
          </w:p>
        </w:tc>
        <w:tc>
          <w:tcPr>
            <w:tcW w:w="2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(142,312)</w:t>
            </w:r>
          </w:p>
        </w:tc>
        <w:tc>
          <w:tcPr>
            <w:tcW w:w="14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(35,082)</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(5,397)</w:t>
            </w:r>
          </w:p>
        </w:tc>
        <w:tc>
          <w:tcPr>
            <w:tcW w:w="2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(1,580,716)</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Transfer to Level 2</w:t>
            </w: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(1,188,288)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(1,188,288)</w:t>
            </w:r>
          </w:p>
        </w:tc>
        <w:tc>
          <w:tcPr>
            <w:tcW w:w="0" w:type="dxa"/>
            <w:vAlign w:val="bottom"/>
          </w:tcPr>
          <w:p>
            <w:pPr>
              <w:spacing w:after="0"/>
              <w:rPr>
                <w:sz w:val="1"/>
                <w:szCs w:val="1"/>
                <w:color w:val="auto"/>
              </w:rPr>
            </w:pPr>
          </w:p>
        </w:tc>
      </w:tr>
      <w:tr>
        <w:trPr>
          <w:trHeight w:val="223"/>
        </w:trPr>
        <w:tc>
          <w:tcPr>
            <w:tcW w:w="36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as of December 31, 2011</w:t>
            </w: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40,865,381</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17,453,085</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4,500,000</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71,396</w:t>
            </w:r>
          </w:p>
        </w:tc>
        <w:tc>
          <w:tcPr>
            <w:tcW w:w="320" w:type="dxa"/>
            <w:vAlign w:val="bottom"/>
            <w:tcBorders>
              <w:top w:val="single" w:sz="8" w:color="CCFFCC"/>
              <w:bottom w:val="single" w:sz="8" w:color="CCFFCC"/>
            </w:tcBorders>
            <w:shd w:val="clear" w:color="auto" w:fill="CCFFCC"/>
          </w:tcPr>
          <w:p>
            <w:pPr>
              <w:spacing w:after="0"/>
              <w:rPr>
                <w:sz w:val="19"/>
                <w:szCs w:val="19"/>
                <w:color w:val="auto"/>
              </w:rPr>
            </w:pP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62,889,862</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line="195" w:lineRule="exact"/>
              <w:rPr>
                <w:sz w:val="20"/>
                <w:szCs w:val="20"/>
                <w:color w:val="auto"/>
              </w:rPr>
            </w:pPr>
            <w:r>
              <w:rPr>
                <w:rFonts w:ascii="Arial" w:cs="Arial" w:eastAsia="Arial" w:hAnsi="Arial"/>
                <w:sz w:val="18"/>
                <w:szCs w:val="18"/>
                <w:color w:val="auto"/>
              </w:rPr>
              <w:t>Change in unrealized depreciation on Level 3</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investments still held as of December 31,</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160"/>
              <w:spacing w:after="0"/>
              <w:rPr>
                <w:sz w:val="20"/>
                <w:szCs w:val="20"/>
                <w:color w:val="auto"/>
              </w:rPr>
            </w:pPr>
            <w:r>
              <w:rPr>
                <w:rFonts w:ascii="Arial" w:cs="Arial" w:eastAsia="Arial" w:hAnsi="Arial"/>
                <w:sz w:val="18"/>
                <w:szCs w:val="18"/>
                <w:color w:val="auto"/>
              </w:rPr>
              <w:t>2011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(457,628)</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(142,312)</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(35,082)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(5,397)</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(640,419)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nine months ended September 30, 2012, there were two transfers between levels. Both of these transfers occurred as of June 30, 2012. Due to the expiration of the lock-up agreement on our shares in Groupon, Inc. on June 1, 2012, the closing price on a public exchange on June 29, 2012 was used for our valuation as of June 30, 2012. This resulted in a transfer of Groupon, Inc. from Level 2 to Level 1. Due to the initial public offering of Facebook, Inc. on May 17, 2012, observable inputs became available for our valuation as of June 30, 2012. However, our shares in Facebook, Inc. are presently subject to a lock-up agreement that expires on November 14, 2012. As such, the fair value for Facebook, Inc. was estimated using the closing price on a public exchange as of June 29, 2012, adjusted for a discount due to a lack of marketability of 14% that was primarily based on the market price of publicly traded put options with a similar term as our lock-up as of June 30, 2012. At September 30, 2012, Groupon, Inc. was valued used the closing price on a public exchange on September 28, 2012. The fair value of Facebook, Inc. was estimated using the closing price on a public exchange as of September 28, 2012, adjusted for a discount due to a lack of marketability of 9% that was primarily based on the market price of publicly traded put options with a similar term as our lock-up as of September 30, 2012.</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period from January 6, 2011 (date of inception) to December 31, 2011, there was one transfer from Level 3 to Level 2 related to our investment in Groupon, Inc. Due to its public offering in November 2011, observable inputs became available for our valuation as of December 31, 2011. However, during that period, our shares in Groupon, Inc. were subject to a lock-up agreement that was scheduled to expire on June 1, 2012. As such, the fair value for Groupon, Inc. was estimated using the closing price on a public exchange as of the valuation date, adjusted for a discount due to a lack of marketability of 28% that was primarily based on the market price of publicly traded put options with a similar term as our lock-up as of December 31,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issued 5,520,100 shares of our common stock during the period from January 6, 2011 (date of inception) to December 31, 2011. We issued 13,800,000 shares of our common stock during the nine months ended September 30, 2012. The proceeds raised, the related underwriting fees, the offering expenses and the prices at which these shares were issued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gridSpan w:val="2"/>
          </w:tcPr>
          <w:p>
            <w:pPr>
              <w:ind w:left="1240"/>
              <w:spacing w:after="0"/>
              <w:rPr>
                <w:sz w:val="20"/>
                <w:szCs w:val="20"/>
                <w:color w:val="auto"/>
              </w:rPr>
            </w:pPr>
            <w:r>
              <w:rPr>
                <w:rFonts w:ascii="Arial" w:cs="Arial" w:eastAsia="Arial" w:hAnsi="Arial"/>
                <w:sz w:val="18"/>
                <w:szCs w:val="18"/>
                <w:b w:val="1"/>
                <w:bCs w:val="1"/>
                <w:color w:val="auto"/>
              </w:rPr>
              <w:t>Issuances of</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5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86"/>
              </w:rPr>
              <w:t>Gross Proceeds</w:t>
            </w:r>
          </w:p>
        </w:tc>
        <w:tc>
          <w:tcPr>
            <w:tcW w:w="10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Underwriting</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Offering</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60" w:type="dxa"/>
            <w:vAlign w:val="bottom"/>
            <w:gridSpan w:val="2"/>
          </w:tcPr>
          <w:p>
            <w:pPr>
              <w:ind w:left="1140"/>
              <w:spacing w:after="0"/>
              <w:rPr>
                <w:sz w:val="20"/>
                <w:szCs w:val="20"/>
                <w:color w:val="auto"/>
              </w:rPr>
            </w:pPr>
            <w:r>
              <w:rPr>
                <w:rFonts w:ascii="Arial" w:cs="Arial" w:eastAsia="Arial" w:hAnsi="Arial"/>
                <w:sz w:val="18"/>
                <w:szCs w:val="18"/>
                <w:b w:val="1"/>
                <w:bCs w:val="1"/>
                <w:color w:val="auto"/>
              </w:rPr>
              <w:t>Common Stock</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Raised</w:t>
            </w:r>
          </w:p>
        </w:tc>
        <w:tc>
          <w:tcPr>
            <w:tcW w:w="10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2"/>
              </w:rPr>
              <w:t>Expenses</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Offering Price</w:t>
            </w:r>
          </w:p>
        </w:tc>
      </w:tr>
      <w:tr>
        <w:trPr>
          <w:trHeight w:val="210"/>
        </w:trPr>
        <w:tc>
          <w:tcPr>
            <w:tcW w:w="3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February 28, 2011</w:t>
            </w:r>
          </w:p>
        </w:tc>
        <w:tc>
          <w:tcPr>
            <w:tcW w:w="220" w:type="dxa"/>
            <w:vAlign w:val="bottom"/>
            <w:tcBorders>
              <w:top w:val="single" w:sz="8" w:color="CCFFCC"/>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3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April 28, 2011</w:t>
            </w:r>
          </w:p>
        </w:tc>
        <w:tc>
          <w:tcPr>
            <w:tcW w:w="1280" w:type="dxa"/>
            <w:vAlign w:val="bottom"/>
          </w:tcPr>
          <w:p>
            <w:pPr>
              <w:jc w:val="right"/>
              <w:spacing w:after="0"/>
              <w:rPr>
                <w:sz w:val="20"/>
                <w:szCs w:val="20"/>
                <w:color w:val="auto"/>
              </w:rPr>
            </w:pPr>
            <w:r>
              <w:rPr>
                <w:rFonts w:ascii="Arial" w:cs="Arial" w:eastAsia="Arial" w:hAnsi="Arial"/>
                <w:sz w:val="18"/>
                <w:szCs w:val="18"/>
                <w:color w:val="auto"/>
              </w:rPr>
              <w:t>3,335,000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50,025,000</w:t>
            </w: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3,501,750</w:t>
            </w: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527,166</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3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September 27, 2011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2,185,000</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30,917,750</w:t>
            </w: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1,267,300</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531,122</w:t>
            </w:r>
            <w:r>
              <w:rPr>
                <w:rFonts w:ascii="Arial" w:cs="Arial" w:eastAsia="Arial" w:hAnsi="Arial"/>
                <w:sz w:val="15"/>
                <w:szCs w:val="15"/>
                <w:color w:val="auto"/>
              </w:rPr>
              <w:t>(2)</w:t>
            </w:r>
          </w:p>
        </w:tc>
        <w:tc>
          <w:tcPr>
            <w:tcW w:w="4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14.15</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February 10, 2012</w:t>
            </w:r>
          </w:p>
        </w:tc>
        <w:tc>
          <w:tcPr>
            <w:tcW w:w="1280" w:type="dxa"/>
            <w:vAlign w:val="bottom"/>
          </w:tcPr>
          <w:p>
            <w:pPr>
              <w:jc w:val="right"/>
              <w:spacing w:after="0"/>
              <w:rPr>
                <w:sz w:val="20"/>
                <w:szCs w:val="20"/>
                <w:color w:val="auto"/>
              </w:rPr>
            </w:pPr>
            <w:r>
              <w:rPr>
                <w:rFonts w:ascii="Arial" w:cs="Arial" w:eastAsia="Arial" w:hAnsi="Arial"/>
                <w:sz w:val="18"/>
                <w:szCs w:val="18"/>
                <w:color w:val="auto"/>
              </w:rPr>
              <w:t>6,900,000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103,500,000</w:t>
            </w: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7,245,000</w:t>
            </w:r>
          </w:p>
        </w:tc>
        <w:tc>
          <w:tcPr>
            <w:tcW w:w="18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326,077</w:t>
            </w: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3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May 11, 2012</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6,900,000</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w w:val="99"/>
              </w:rPr>
              <w:t>112,125,000</w:t>
            </w: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6,727,500</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412,620</w:t>
            </w:r>
            <w:r>
              <w:rPr>
                <w:rFonts w:ascii="Arial" w:cs="Arial" w:eastAsia="Arial" w:hAnsi="Arial"/>
                <w:sz w:val="15"/>
                <w:szCs w:val="15"/>
                <w:color w:val="auto"/>
              </w:rPr>
              <w:t>(3)</w:t>
            </w:r>
          </w:p>
        </w:tc>
        <w:tc>
          <w:tcPr>
            <w:tcW w:w="4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16.25</w:t>
            </w:r>
          </w:p>
        </w:tc>
      </w:tr>
    </w:tbl>
    <w:p>
      <w:pPr>
        <w:spacing w:after="0" w:line="8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Includes $3,585 of offering expenses that were accrued as of September 30, 2011.</w:t>
      </w:r>
    </w:p>
    <w:p>
      <w:pPr>
        <w:spacing w:after="0" w:line="1" w:lineRule="exact"/>
        <w:rPr>
          <w:rFonts w:ascii="Arial" w:cs="Arial" w:eastAsia="Arial" w:hAnsi="Arial"/>
          <w:sz w:val="30"/>
          <w:szCs w:val="30"/>
          <w:color w:val="auto"/>
          <w:vertAlign w:val="superscript"/>
        </w:rPr>
      </w:pPr>
    </w:p>
    <w:p>
      <w:pPr>
        <w:ind w:left="400" w:hanging="392"/>
        <w:spacing w:after="0" w:line="186" w:lineRule="auto"/>
        <w:tabs>
          <w:tab w:leader="none" w:pos="4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Amount was reduced by $18,878 after actual expenses for the offering were determined as of December 31, 2011.</w:t>
      </w:r>
    </w:p>
    <w:p>
      <w:pPr>
        <w:spacing w:after="0" w:line="2" w:lineRule="exact"/>
        <w:rPr>
          <w:rFonts w:ascii="Arial" w:cs="Arial" w:eastAsia="Arial" w:hAnsi="Arial"/>
          <w:sz w:val="24"/>
          <w:szCs w:val="24"/>
          <w:color w:val="auto"/>
          <w:vertAlign w:val="superscript"/>
        </w:rPr>
      </w:pPr>
    </w:p>
    <w:p>
      <w:pPr>
        <w:ind w:left="400" w:hanging="392"/>
        <w:spacing w:after="0" w:line="186" w:lineRule="auto"/>
        <w:tabs>
          <w:tab w:leader="none" w:pos="40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Includes $960 of offering expenses that were accrued as of September 30,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DECREASE IN NET ASSETS PER COMMON SHARE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sets forth the computation of net decrease in net assets resulting from operations per common share for the three and nine months ended September 30, 2012, for the three months ended September 30, 2011 and for the period from January 6, 2011 (date of inception) to September 30, 2011.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3" w:name="page24"/>
    <w:bookmarkEnd w:id="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1"/>
              </w:rPr>
              <w:t>Three months ended September 30,</w:t>
            </w:r>
          </w:p>
        </w:tc>
        <w:tc>
          <w:tcPr>
            <w:tcW w:w="180" w:type="dxa"/>
            <w:vAlign w:val="bottom"/>
          </w:tcPr>
          <w:p>
            <w:pPr>
              <w:spacing w:after="0"/>
              <w:rPr>
                <w:sz w:val="20"/>
                <w:szCs w:val="20"/>
                <w:color w:val="auto"/>
              </w:rPr>
            </w:pPr>
          </w:p>
        </w:tc>
        <w:tc>
          <w:tcPr>
            <w:tcW w:w="3540" w:type="dxa"/>
            <w:vAlign w:val="bottom"/>
            <w:gridSpan w:val="6"/>
          </w:tcPr>
          <w:p>
            <w:pPr>
              <w:jc w:val="right"/>
              <w:ind w:right="781"/>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FFCC"/>
            </w:tcBorders>
          </w:tcPr>
          <w:p>
            <w:pPr>
              <w:spacing w:after="0"/>
              <w:rPr>
                <w:sz w:val="21"/>
                <w:szCs w:val="21"/>
                <w:color w:val="auto"/>
              </w:rPr>
            </w:pPr>
          </w:p>
        </w:tc>
        <w:tc>
          <w:tcPr>
            <w:tcW w:w="260" w:type="dxa"/>
            <w:vAlign w:val="bottom"/>
            <w:tcBorders>
              <w:bottom w:val="single" w:sz="8" w:color="CCFFC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bottom w:val="single" w:sz="8" w:color="CCFFCC"/>
            </w:tcBorders>
          </w:tcPr>
          <w:p>
            <w:pPr>
              <w:spacing w:after="0"/>
              <w:rPr>
                <w:sz w:val="21"/>
                <w:szCs w:val="21"/>
                <w:color w:val="auto"/>
              </w:rPr>
            </w:pPr>
          </w:p>
        </w:tc>
        <w:tc>
          <w:tcPr>
            <w:tcW w:w="100" w:type="dxa"/>
            <w:vAlign w:val="bottom"/>
            <w:tcBorders>
              <w:top w:val="single" w:sz="8" w:color="auto"/>
              <w:bottom w:val="single" w:sz="8" w:color="CCFFC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FFC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bottom w:val="single" w:sz="8" w:color="CCFFCC"/>
            </w:tcBorders>
          </w:tcPr>
          <w:p>
            <w:pPr>
              <w:spacing w:after="0"/>
              <w:rPr>
                <w:sz w:val="21"/>
                <w:szCs w:val="21"/>
                <w:color w:val="auto"/>
              </w:rPr>
            </w:pPr>
          </w:p>
        </w:tc>
        <w:tc>
          <w:tcPr>
            <w:tcW w:w="80" w:type="dxa"/>
            <w:vAlign w:val="bottom"/>
            <w:tcBorders>
              <w:top w:val="single" w:sz="8" w:color="auto"/>
              <w:bottom w:val="single" w:sz="8" w:color="CCFFC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02"/>
              <w:spacing w:after="0" w:line="251"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9"/>
                <w:szCs w:val="29"/>
                <w:color w:val="auto"/>
                <w:vertAlign w:val="superscript"/>
              </w:rPr>
              <w:t>(1)</w:t>
            </w:r>
          </w:p>
        </w:tc>
        <w:tc>
          <w:tcPr>
            <w:tcW w:w="560" w:type="dxa"/>
            <w:vAlign w:val="bottom"/>
            <w:tcBorders>
              <w:bottom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w w:val="95"/>
              </w:rPr>
              <w:t>Net decrease in net assets resulting from operations</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(6,999,840)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(1,174,258)</w:t>
            </w: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(12,557,797)</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(1,910,005)</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19,320,100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3,430,100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15,013,896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501"/>
              <w:spacing w:after="0"/>
              <w:rPr>
                <w:sz w:val="20"/>
                <w:szCs w:val="20"/>
                <w:color w:val="auto"/>
              </w:rPr>
            </w:pPr>
            <w:r>
              <w:rPr>
                <w:rFonts w:ascii="Arial" w:cs="Arial" w:eastAsia="Arial" w:hAnsi="Arial"/>
                <w:sz w:val="18"/>
                <w:szCs w:val="18"/>
                <w:color w:val="auto"/>
              </w:rPr>
              <w:t>2,460,565</w:t>
            </w:r>
          </w:p>
        </w:tc>
        <w:tc>
          <w:tcPr>
            <w:tcW w:w="0" w:type="dxa"/>
            <w:vAlign w:val="bottom"/>
          </w:tcPr>
          <w:p>
            <w:pPr>
              <w:spacing w:after="0"/>
              <w:rPr>
                <w:sz w:val="1"/>
                <w:szCs w:val="1"/>
                <w:color w:val="auto"/>
              </w:rPr>
            </w:pPr>
          </w:p>
        </w:tc>
      </w:tr>
      <w:tr>
        <w:trPr>
          <w:trHeight w:val="20"/>
        </w:trPr>
        <w:tc>
          <w:tcPr>
            <w:tcW w:w="398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FFCC"/>
          </w:tcPr>
          <w:p>
            <w:pPr>
              <w:jc w:val="right"/>
              <w:ind w:right="281"/>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(2)</w:t>
            </w:r>
          </w:p>
        </w:tc>
        <w:tc>
          <w:tcPr>
            <w:tcW w:w="0" w:type="dxa"/>
            <w:vAlign w:val="bottom"/>
          </w:tcPr>
          <w:p>
            <w:pPr>
              <w:spacing w:after="0" w:line="20" w:lineRule="exact"/>
              <w:rPr>
                <w:sz w:val="1"/>
                <w:szCs w:val="1"/>
                <w:color w:val="auto"/>
              </w:rPr>
            </w:pPr>
          </w:p>
        </w:tc>
      </w:tr>
      <w:tr>
        <w:trPr>
          <w:trHeight w:val="183"/>
        </w:trPr>
        <w:tc>
          <w:tcPr>
            <w:tcW w:w="398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rPr>
              <w:t>Basic and diluted earnings per common share</w:t>
            </w:r>
          </w:p>
        </w:tc>
        <w:tc>
          <w:tcPr>
            <w:tcW w:w="260" w:type="dxa"/>
            <w:vAlign w:val="bottom"/>
            <w:vMerge w:val="restart"/>
            <w:shd w:val="clear" w:color="auto" w:fill="CCFFCC"/>
          </w:tcPr>
          <w:p>
            <w:pPr>
              <w:spacing w:after="0"/>
              <w:rPr>
                <w:sz w:val="15"/>
                <w:szCs w:val="15"/>
                <w:color w:val="auto"/>
              </w:rPr>
            </w:pPr>
          </w:p>
        </w:tc>
        <w:tc>
          <w:tcPr>
            <w:tcW w:w="180" w:type="dxa"/>
            <w:vAlign w:val="bottom"/>
            <w:vMerge w:val="restart"/>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FFCC"/>
          </w:tcPr>
          <w:p>
            <w:pPr>
              <w:spacing w:after="0"/>
              <w:rPr>
                <w:sz w:val="15"/>
                <w:szCs w:val="15"/>
                <w:color w:val="auto"/>
              </w:rPr>
            </w:pPr>
          </w:p>
        </w:tc>
        <w:tc>
          <w:tcPr>
            <w:tcW w:w="160" w:type="dxa"/>
            <w:vAlign w:val="bottom"/>
            <w:shd w:val="clear" w:color="auto" w:fill="CCFFCC"/>
          </w:tcPr>
          <w:p>
            <w:pPr>
              <w:jc w:val="right"/>
              <w:ind w:right="20"/>
              <w:spacing w:after="0" w:line="183" w:lineRule="exact"/>
              <w:rPr>
                <w:sz w:val="20"/>
                <w:szCs w:val="20"/>
                <w:color w:val="auto"/>
              </w:rPr>
            </w:pPr>
            <w:r>
              <w:rPr>
                <w:rFonts w:ascii="Arial" w:cs="Arial" w:eastAsia="Arial" w:hAnsi="Arial"/>
                <w:sz w:val="16"/>
                <w:szCs w:val="16"/>
                <w:color w:val="auto"/>
                <w:w w:val="74"/>
              </w:rPr>
              <w:t>)</w:t>
            </w:r>
          </w:p>
        </w:tc>
        <w:tc>
          <w:tcPr>
            <w:tcW w:w="420" w:type="dxa"/>
            <w:vAlign w:val="bottom"/>
            <w:gridSpan w:val="2"/>
            <w:vMerge w:val="restart"/>
            <w:shd w:val="clear" w:color="auto" w:fill="CCFFCC"/>
          </w:tcPr>
          <w:p>
            <w:pPr>
              <w:jc w:val="right"/>
              <w:ind w:right="16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FFC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spacing w:after="0"/>
              <w:rPr>
                <w:sz w:val="15"/>
                <w:szCs w:val="15"/>
                <w:color w:val="auto"/>
              </w:rPr>
            </w:pPr>
          </w:p>
        </w:tc>
        <w:tc>
          <w:tcPr>
            <w:tcW w:w="560" w:type="dxa"/>
            <w:vAlign w:val="bottom"/>
            <w:vMerge w:val="continue"/>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980" w:type="dxa"/>
            <w:vAlign w:val="bottom"/>
            <w:shd w:val="clear" w:color="auto" w:fill="CCFFCC"/>
          </w:tcPr>
          <w:p>
            <w:pPr>
              <w:spacing w:after="0"/>
              <w:rPr>
                <w:sz w:val="7"/>
                <w:szCs w:val="7"/>
                <w:color w:val="auto"/>
              </w:rPr>
            </w:pPr>
          </w:p>
        </w:tc>
        <w:tc>
          <w:tcPr>
            <w:tcW w:w="260" w:type="dxa"/>
            <w:vAlign w:val="bottom"/>
            <w:vMerge w:val="continue"/>
            <w:shd w:val="clear" w:color="auto" w:fill="CCFFCC"/>
          </w:tcPr>
          <w:p>
            <w:pPr>
              <w:spacing w:after="0"/>
              <w:rPr>
                <w:sz w:val="7"/>
                <w:szCs w:val="7"/>
                <w:color w:val="auto"/>
              </w:rPr>
            </w:pPr>
          </w:p>
        </w:tc>
        <w:tc>
          <w:tcPr>
            <w:tcW w:w="180" w:type="dxa"/>
            <w:vAlign w:val="bottom"/>
            <w:vMerge w:val="continue"/>
            <w:shd w:val="clear" w:color="auto" w:fill="CCFFCC"/>
          </w:tcPr>
          <w:p>
            <w:pPr>
              <w:spacing w:after="0"/>
              <w:rPr>
                <w:sz w:val="7"/>
                <w:szCs w:val="7"/>
                <w:color w:val="auto"/>
              </w:rPr>
            </w:pPr>
          </w:p>
        </w:tc>
        <w:tc>
          <w:tcPr>
            <w:tcW w:w="1480" w:type="dxa"/>
            <w:vAlign w:val="bottom"/>
            <w:gridSpan w:val="2"/>
            <w:shd w:val="clear" w:color="auto" w:fill="CCFFCC"/>
          </w:tcPr>
          <w:p>
            <w:pPr>
              <w:jc w:val="right"/>
              <w:ind w:right="80"/>
              <w:spacing w:after="0" w:line="81" w:lineRule="exact"/>
              <w:rPr>
                <w:sz w:val="20"/>
                <w:szCs w:val="20"/>
                <w:color w:val="auto"/>
              </w:rPr>
            </w:pPr>
            <w:r>
              <w:rPr>
                <w:rFonts w:ascii="Arial" w:cs="Arial" w:eastAsia="Arial" w:hAnsi="Arial"/>
                <w:sz w:val="9"/>
                <w:szCs w:val="9"/>
                <w:color w:val="auto"/>
              </w:rPr>
              <w:t>(0.36</w:t>
            </w:r>
          </w:p>
        </w:tc>
        <w:tc>
          <w:tcPr>
            <w:tcW w:w="420" w:type="dxa"/>
            <w:vAlign w:val="bottom"/>
            <w:gridSpan w:val="2"/>
            <w:vMerge w:val="continue"/>
            <w:shd w:val="clear" w:color="auto" w:fill="CCFFCC"/>
          </w:tcPr>
          <w:p>
            <w:pPr>
              <w:spacing w:after="0"/>
              <w:rPr>
                <w:sz w:val="7"/>
                <w:szCs w:val="7"/>
                <w:color w:val="auto"/>
              </w:rPr>
            </w:pPr>
          </w:p>
        </w:tc>
        <w:tc>
          <w:tcPr>
            <w:tcW w:w="1380" w:type="dxa"/>
            <w:vAlign w:val="bottom"/>
            <w:gridSpan w:val="2"/>
            <w:shd w:val="clear" w:color="auto" w:fill="CCFFCC"/>
          </w:tcPr>
          <w:p>
            <w:pPr>
              <w:jc w:val="right"/>
              <w:ind w:right="220"/>
              <w:spacing w:after="0" w:line="81" w:lineRule="exact"/>
              <w:rPr>
                <w:sz w:val="20"/>
                <w:szCs w:val="20"/>
                <w:color w:val="auto"/>
              </w:rPr>
            </w:pPr>
            <w:r>
              <w:rPr>
                <w:rFonts w:ascii="Arial" w:cs="Arial" w:eastAsia="Arial" w:hAnsi="Arial"/>
                <w:sz w:val="9"/>
                <w:szCs w:val="9"/>
                <w:color w:val="auto"/>
              </w:rPr>
              <w:t>(0.34</w:t>
            </w:r>
          </w:p>
        </w:tc>
        <w:tc>
          <w:tcPr>
            <w:tcW w:w="180" w:type="dxa"/>
            <w:vAlign w:val="bottom"/>
            <w:vMerge w:val="continue"/>
            <w:shd w:val="clear" w:color="auto" w:fill="CCFFCC"/>
          </w:tcPr>
          <w:p>
            <w:pPr>
              <w:spacing w:after="0"/>
              <w:rPr>
                <w:sz w:val="7"/>
                <w:szCs w:val="7"/>
                <w:color w:val="auto"/>
              </w:rPr>
            </w:pPr>
          </w:p>
        </w:tc>
        <w:tc>
          <w:tcPr>
            <w:tcW w:w="1420" w:type="dxa"/>
            <w:vAlign w:val="bottom"/>
            <w:gridSpan w:val="2"/>
            <w:shd w:val="clear" w:color="auto" w:fill="CCFFCC"/>
          </w:tcPr>
          <w:p>
            <w:pPr>
              <w:jc w:val="right"/>
              <w:ind w:right="140"/>
              <w:spacing w:after="0" w:line="81" w:lineRule="exact"/>
              <w:rPr>
                <w:sz w:val="20"/>
                <w:szCs w:val="20"/>
                <w:color w:val="auto"/>
              </w:rPr>
            </w:pPr>
            <w:r>
              <w:rPr>
                <w:rFonts w:ascii="Arial" w:cs="Arial" w:eastAsia="Arial" w:hAnsi="Arial"/>
                <w:sz w:val="9"/>
                <w:szCs w:val="9"/>
                <w:color w:val="auto"/>
              </w:rPr>
              <w:t>(0.84</w:t>
            </w:r>
          </w:p>
        </w:tc>
        <w:tc>
          <w:tcPr>
            <w:tcW w:w="360" w:type="dxa"/>
            <w:vAlign w:val="bottom"/>
            <w:gridSpan w:val="2"/>
            <w:vMerge w:val="continue"/>
            <w:shd w:val="clear" w:color="auto" w:fill="CCFFCC"/>
          </w:tcPr>
          <w:p>
            <w:pPr>
              <w:spacing w:after="0"/>
              <w:rPr>
                <w:sz w:val="7"/>
                <w:szCs w:val="7"/>
                <w:color w:val="auto"/>
              </w:rPr>
            </w:pPr>
          </w:p>
        </w:tc>
        <w:tc>
          <w:tcPr>
            <w:tcW w:w="1760" w:type="dxa"/>
            <w:vAlign w:val="bottom"/>
            <w:gridSpan w:val="2"/>
            <w:shd w:val="clear" w:color="auto" w:fill="CCFFCC"/>
          </w:tcPr>
          <w:p>
            <w:pPr>
              <w:jc w:val="right"/>
              <w:ind w:right="501"/>
              <w:spacing w:after="0" w:line="81" w:lineRule="exact"/>
              <w:rPr>
                <w:sz w:val="20"/>
                <w:szCs w:val="20"/>
                <w:color w:val="auto"/>
              </w:rPr>
            </w:pPr>
            <w:r>
              <w:rPr>
                <w:rFonts w:ascii="Arial" w:cs="Arial" w:eastAsia="Arial" w:hAnsi="Arial"/>
                <w:sz w:val="9"/>
                <w:szCs w:val="9"/>
                <w:color w:val="auto"/>
              </w:rPr>
              <w:t>(0.78</w:t>
            </w:r>
          </w:p>
        </w:tc>
        <w:tc>
          <w:tcPr>
            <w:tcW w:w="0" w:type="dxa"/>
            <w:vAlign w:val="bottom"/>
          </w:tcPr>
          <w:p>
            <w:pPr>
              <w:spacing w:after="0"/>
              <w:rPr>
                <w:sz w:val="1"/>
                <w:szCs w:val="1"/>
                <w:color w:val="auto"/>
              </w:rPr>
            </w:pPr>
          </w:p>
        </w:tc>
      </w:tr>
      <w:tr>
        <w:trPr>
          <w:trHeight w:val="20"/>
        </w:trPr>
        <w:tc>
          <w:tcPr>
            <w:tcW w:w="39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520" w:hanging="356"/>
        <w:spacing w:after="0"/>
        <w:tabs>
          <w:tab w:leader="none" w:pos="52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For the period from January 6, 2011 (date of inception) to September 30, 2011.</w:t>
      </w:r>
    </w:p>
    <w:p>
      <w:pPr>
        <w:spacing w:after="0" w:line="1" w:lineRule="exact"/>
        <w:rPr>
          <w:rFonts w:ascii="Arial" w:cs="Arial" w:eastAsia="Arial" w:hAnsi="Arial"/>
          <w:sz w:val="30"/>
          <w:szCs w:val="30"/>
          <w:color w:val="auto"/>
          <w:vertAlign w:val="superscript"/>
        </w:rPr>
      </w:pPr>
    </w:p>
    <w:p>
      <w:pPr>
        <w:ind w:left="520" w:right="20" w:hanging="356"/>
        <w:spacing w:after="0" w:line="187" w:lineRule="auto"/>
        <w:tabs>
          <w:tab w:leader="none" w:pos="52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Weighted average common shares for the period from January 6, 2011 (date of inception) to September 30, 2011 was calculated starting from the issuance of 100 shares on February 28, 2011.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LEGAL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NOTE 7 — FINANCIAL HIGHLIGHTS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4"/>
            <w:vMerge w:val="restart"/>
          </w:tcPr>
          <w:p>
            <w:pPr>
              <w:jc w:val="right"/>
              <w:ind w:right="400"/>
              <w:spacing w:after="0"/>
              <w:rPr>
                <w:sz w:val="20"/>
                <w:szCs w:val="20"/>
                <w:color w:val="auto"/>
              </w:rPr>
            </w:pPr>
            <w:r>
              <w:rPr>
                <w:rFonts w:ascii="Arial" w:cs="Arial" w:eastAsia="Arial" w:hAnsi="Arial"/>
                <w:sz w:val="18"/>
                <w:szCs w:val="18"/>
                <w:b w:val="1"/>
                <w:bCs w:val="1"/>
                <w:color w:val="auto"/>
                <w:w w:val="90"/>
              </w:rPr>
              <w:t>Three months ended</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2"/>
              </w:rPr>
              <w:t>September 30, 2012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20" w:type="dxa"/>
            <w:vAlign w:val="bottom"/>
            <w:gridSpan w:val="2"/>
          </w:tcPr>
          <w:p>
            <w:pPr>
              <w:jc w:val="right"/>
              <w:ind w:right="193"/>
              <w:spacing w:after="0"/>
              <w:rPr>
                <w:sz w:val="20"/>
                <w:szCs w:val="20"/>
                <w:color w:val="auto"/>
              </w:rPr>
            </w:pPr>
            <w:r>
              <w:rPr>
                <w:rFonts w:ascii="Arial" w:cs="Arial" w:eastAsia="Arial" w:hAnsi="Arial"/>
                <w:sz w:val="18"/>
                <w:szCs w:val="18"/>
                <w:b w:val="1"/>
                <w:bCs w:val="1"/>
                <w:color w:val="auto"/>
                <w:w w:val="90"/>
              </w:rPr>
              <w:t>September 30, 2011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Net asset value at beginning of period</w:t>
            </w: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140" w:type="dxa"/>
            <w:vAlign w:val="bottom"/>
            <w:gridSpan w:val="3"/>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13.81</w:t>
            </w:r>
          </w:p>
        </w:tc>
        <w:tc>
          <w:tcPr>
            <w:tcW w:w="6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13.57</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FFCC"/>
          </w:tcPr>
          <w:p>
            <w:pPr>
              <w:spacing w:after="0" w:line="149" w:lineRule="exact"/>
              <w:rPr>
                <w:sz w:val="20"/>
                <w:szCs w:val="20"/>
                <w:color w:val="auto"/>
              </w:rPr>
            </w:pPr>
            <w:r>
              <w:rPr>
                <w:rFonts w:ascii="Arial" w:cs="Arial" w:eastAsia="Arial" w:hAnsi="Arial"/>
                <w:sz w:val="17"/>
                <w:szCs w:val="17"/>
                <w:color w:val="auto"/>
              </w:rPr>
              <w:t>Accretion from offering</w:t>
            </w:r>
          </w:p>
        </w:tc>
        <w:tc>
          <w:tcPr>
            <w:tcW w:w="4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6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7"/>
                <w:szCs w:val="17"/>
                <w:color w:val="auto"/>
              </w:rPr>
              <w:t>-</w:t>
            </w:r>
          </w:p>
        </w:tc>
        <w:tc>
          <w:tcPr>
            <w:tcW w:w="6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700" w:type="dxa"/>
            <w:vAlign w:val="bottom"/>
            <w:shd w:val="clear" w:color="auto" w:fill="CCFFCC"/>
          </w:tcPr>
          <w:p>
            <w:pPr>
              <w:jc w:val="right"/>
              <w:spacing w:after="0" w:line="149" w:lineRule="exact"/>
              <w:rPr>
                <w:sz w:val="20"/>
                <w:szCs w:val="20"/>
                <w:color w:val="auto"/>
              </w:rPr>
            </w:pPr>
            <w:r>
              <w:rPr>
                <w:rFonts w:ascii="Arial" w:cs="Arial" w:eastAsia="Arial" w:hAnsi="Arial"/>
                <w:sz w:val="17"/>
                <w:szCs w:val="17"/>
                <w:color w:val="auto"/>
              </w:rPr>
              <w:t>0.23</w:t>
            </w:r>
          </w:p>
        </w:tc>
        <w:tc>
          <w:tcPr>
            <w:tcW w:w="560" w:type="dxa"/>
            <w:vAlign w:val="bottom"/>
            <w:vMerge w:val="restart"/>
            <w:shd w:val="clear" w:color="auto" w:fill="CCFFCC"/>
          </w:tcPr>
          <w:p>
            <w:pPr>
              <w:jc w:val="right"/>
              <w:ind w:right="325"/>
              <w:spacing w:after="0"/>
              <w:rPr>
                <w:sz w:val="20"/>
                <w:szCs w:val="20"/>
                <w:color w:val="auto"/>
              </w:rPr>
            </w:pPr>
            <w:r>
              <w:rPr>
                <w:rFonts w:ascii="Arial" w:cs="Arial" w:eastAsia="Arial" w:hAnsi="Arial"/>
                <w:sz w:val="15"/>
                <w:szCs w:val="15"/>
                <w:color w:val="auto"/>
                <w:w w:val="76"/>
              </w:rPr>
              <w:t>(2)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80" w:type="dxa"/>
            <w:vAlign w:val="bottom"/>
            <w:tcBorders>
              <w:bottom w:val="single" w:sz="8" w:color="CCFFCC"/>
            </w:tcBorders>
            <w:shd w:val="clear" w:color="auto" w:fill="CCFFCC"/>
          </w:tcPr>
          <w:p>
            <w:pPr>
              <w:spacing w:after="0"/>
              <w:rPr>
                <w:sz w:val="4"/>
                <w:szCs w:val="4"/>
                <w:color w:val="auto"/>
              </w:rPr>
            </w:pPr>
          </w:p>
        </w:tc>
        <w:tc>
          <w:tcPr>
            <w:tcW w:w="420" w:type="dxa"/>
            <w:vAlign w:val="bottom"/>
            <w:tcBorders>
              <w:bottom w:val="single" w:sz="8" w:color="CCFFCC"/>
            </w:tcBorders>
            <w:shd w:val="clear" w:color="auto" w:fill="CCFFCC"/>
          </w:tcPr>
          <w:p>
            <w:pPr>
              <w:spacing w:after="0"/>
              <w:rPr>
                <w:sz w:val="4"/>
                <w:szCs w:val="4"/>
                <w:color w:val="auto"/>
              </w:rPr>
            </w:pPr>
          </w:p>
        </w:tc>
        <w:tc>
          <w:tcPr>
            <w:tcW w:w="120" w:type="dxa"/>
            <w:vAlign w:val="bottom"/>
            <w:tcBorders>
              <w:bottom w:val="single" w:sz="8" w:color="CCFFCC"/>
            </w:tcBorders>
            <w:shd w:val="clear" w:color="auto" w:fill="CCFFCC"/>
          </w:tcPr>
          <w:p>
            <w:pPr>
              <w:spacing w:after="0"/>
              <w:rPr>
                <w:sz w:val="4"/>
                <w:szCs w:val="4"/>
                <w:color w:val="auto"/>
              </w:rPr>
            </w:pPr>
          </w:p>
        </w:tc>
        <w:tc>
          <w:tcPr>
            <w:tcW w:w="1720" w:type="dxa"/>
            <w:vAlign w:val="bottom"/>
            <w:tcBorders>
              <w:bottom w:val="single" w:sz="8" w:color="CCFFCC"/>
            </w:tcBorders>
            <w:shd w:val="clear" w:color="auto" w:fill="CCFFCC"/>
          </w:tcPr>
          <w:p>
            <w:pPr>
              <w:spacing w:after="0"/>
              <w:rPr>
                <w:sz w:val="4"/>
                <w:szCs w:val="4"/>
                <w:color w:val="auto"/>
              </w:rPr>
            </w:pPr>
          </w:p>
        </w:tc>
        <w:tc>
          <w:tcPr>
            <w:tcW w:w="220" w:type="dxa"/>
            <w:vAlign w:val="bottom"/>
            <w:tcBorders>
              <w:bottom w:val="single" w:sz="8" w:color="CCFFCC"/>
            </w:tcBorders>
            <w:shd w:val="clear" w:color="auto" w:fill="CCFFCC"/>
          </w:tcPr>
          <w:p>
            <w:pPr>
              <w:spacing w:after="0"/>
              <w:rPr>
                <w:sz w:val="4"/>
                <w:szCs w:val="4"/>
                <w:color w:val="auto"/>
              </w:rPr>
            </w:pPr>
          </w:p>
        </w:tc>
        <w:tc>
          <w:tcPr>
            <w:tcW w:w="200" w:type="dxa"/>
            <w:vAlign w:val="bottom"/>
            <w:tcBorders>
              <w:bottom w:val="single" w:sz="8" w:color="CCFFCC"/>
            </w:tcBorders>
            <w:shd w:val="clear" w:color="auto" w:fill="CCFFCC"/>
          </w:tcPr>
          <w:p>
            <w:pPr>
              <w:spacing w:after="0"/>
              <w:rPr>
                <w:sz w:val="4"/>
                <w:szCs w:val="4"/>
                <w:color w:val="auto"/>
              </w:rPr>
            </w:pPr>
          </w:p>
        </w:tc>
        <w:tc>
          <w:tcPr>
            <w:tcW w:w="280" w:type="dxa"/>
            <w:vAlign w:val="bottom"/>
            <w:tcBorders>
              <w:bottom w:val="single" w:sz="8" w:color="CCFFCC"/>
            </w:tcBorders>
            <w:shd w:val="clear" w:color="auto" w:fill="CCFFCC"/>
          </w:tcPr>
          <w:p>
            <w:pPr>
              <w:spacing w:after="0"/>
              <w:rPr>
                <w:sz w:val="4"/>
                <w:szCs w:val="4"/>
                <w:color w:val="auto"/>
              </w:rPr>
            </w:pPr>
          </w:p>
        </w:tc>
        <w:tc>
          <w:tcPr>
            <w:tcW w:w="100" w:type="dxa"/>
            <w:vAlign w:val="bottom"/>
            <w:tcBorders>
              <w:bottom w:val="single" w:sz="8" w:color="CCFFCC"/>
            </w:tcBorders>
            <w:shd w:val="clear" w:color="auto" w:fill="CCFFCC"/>
          </w:tcPr>
          <w:p>
            <w:pPr>
              <w:spacing w:after="0"/>
              <w:rPr>
                <w:sz w:val="4"/>
                <w:szCs w:val="4"/>
                <w:color w:val="auto"/>
              </w:rPr>
            </w:pPr>
          </w:p>
        </w:tc>
        <w:tc>
          <w:tcPr>
            <w:tcW w:w="1480" w:type="dxa"/>
            <w:vAlign w:val="bottom"/>
            <w:tcBorders>
              <w:bottom w:val="single" w:sz="8" w:color="CCFFCC"/>
            </w:tcBorders>
            <w:shd w:val="clear" w:color="auto" w:fill="CCFFCC"/>
          </w:tcPr>
          <w:p>
            <w:pPr>
              <w:spacing w:after="0"/>
              <w:rPr>
                <w:sz w:val="4"/>
                <w:szCs w:val="4"/>
                <w:color w:val="auto"/>
              </w:rPr>
            </w:pPr>
          </w:p>
        </w:tc>
        <w:tc>
          <w:tcPr>
            <w:tcW w:w="160" w:type="dxa"/>
            <w:vAlign w:val="bottom"/>
            <w:tcBorders>
              <w:bottom w:val="single" w:sz="8" w:color="CCFFCC"/>
            </w:tcBorders>
            <w:shd w:val="clear" w:color="auto" w:fill="CCFFCC"/>
          </w:tcPr>
          <w:p>
            <w:pPr>
              <w:spacing w:after="0"/>
              <w:rPr>
                <w:sz w:val="4"/>
                <w:szCs w:val="4"/>
                <w:color w:val="auto"/>
              </w:rPr>
            </w:pPr>
          </w:p>
        </w:tc>
        <w:tc>
          <w:tcPr>
            <w:tcW w:w="60" w:type="dxa"/>
            <w:vAlign w:val="bottom"/>
            <w:tcBorders>
              <w:bottom w:val="single" w:sz="8" w:color="CCFFCC"/>
            </w:tcBorders>
            <w:shd w:val="clear" w:color="auto" w:fill="CCFFCC"/>
          </w:tcPr>
          <w:p>
            <w:pPr>
              <w:spacing w:after="0"/>
              <w:rPr>
                <w:sz w:val="4"/>
                <w:szCs w:val="4"/>
                <w:color w:val="auto"/>
              </w:rPr>
            </w:pPr>
          </w:p>
        </w:tc>
        <w:tc>
          <w:tcPr>
            <w:tcW w:w="460" w:type="dxa"/>
            <w:vAlign w:val="bottom"/>
            <w:tcBorders>
              <w:bottom w:val="single" w:sz="8" w:color="CCFFCC"/>
            </w:tcBorders>
            <w:shd w:val="clear" w:color="auto" w:fill="CCFFCC"/>
          </w:tcPr>
          <w:p>
            <w:pPr>
              <w:spacing w:after="0"/>
              <w:rPr>
                <w:sz w:val="4"/>
                <w:szCs w:val="4"/>
                <w:color w:val="auto"/>
              </w:rPr>
            </w:pPr>
          </w:p>
        </w:tc>
        <w:tc>
          <w:tcPr>
            <w:tcW w:w="160" w:type="dxa"/>
            <w:vAlign w:val="bottom"/>
            <w:tcBorders>
              <w:bottom w:val="single" w:sz="8" w:color="CCFFCC"/>
            </w:tcBorders>
            <w:shd w:val="clear" w:color="auto" w:fill="CCFFCC"/>
          </w:tcPr>
          <w:p>
            <w:pPr>
              <w:spacing w:after="0"/>
              <w:rPr>
                <w:sz w:val="4"/>
                <w:szCs w:val="4"/>
                <w:color w:val="auto"/>
              </w:rPr>
            </w:pPr>
          </w:p>
        </w:tc>
        <w:tc>
          <w:tcPr>
            <w:tcW w:w="60" w:type="dxa"/>
            <w:vAlign w:val="bottom"/>
            <w:tcBorders>
              <w:bottom w:val="single" w:sz="8" w:color="CCFFCC"/>
            </w:tcBorders>
            <w:shd w:val="clear" w:color="auto" w:fill="CCFFCC"/>
          </w:tcPr>
          <w:p>
            <w:pPr>
              <w:spacing w:after="0"/>
              <w:rPr>
                <w:sz w:val="4"/>
                <w:szCs w:val="4"/>
                <w:color w:val="auto"/>
              </w:rPr>
            </w:pPr>
          </w:p>
        </w:tc>
        <w:tc>
          <w:tcPr>
            <w:tcW w:w="120" w:type="dxa"/>
            <w:vAlign w:val="bottom"/>
            <w:tcBorders>
              <w:bottom w:val="single" w:sz="8" w:color="CCFFCC"/>
            </w:tcBorders>
            <w:shd w:val="clear" w:color="auto" w:fill="CCFFCC"/>
          </w:tcPr>
          <w:p>
            <w:pPr>
              <w:spacing w:after="0"/>
              <w:rPr>
                <w:sz w:val="4"/>
                <w:szCs w:val="4"/>
                <w:color w:val="auto"/>
              </w:rPr>
            </w:pPr>
          </w:p>
        </w:tc>
        <w:tc>
          <w:tcPr>
            <w:tcW w:w="1700" w:type="dxa"/>
            <w:vAlign w:val="bottom"/>
            <w:tcBorders>
              <w:bottom w:val="single" w:sz="8" w:color="CCFFCC"/>
            </w:tcBorders>
            <w:shd w:val="clear" w:color="auto" w:fill="CCFFCC"/>
          </w:tcPr>
          <w:p>
            <w:pPr>
              <w:spacing w:after="0"/>
              <w:rPr>
                <w:sz w:val="4"/>
                <w:szCs w:val="4"/>
                <w:color w:val="auto"/>
              </w:rPr>
            </w:pPr>
          </w:p>
        </w:tc>
        <w:tc>
          <w:tcPr>
            <w:tcW w:w="560" w:type="dxa"/>
            <w:vAlign w:val="bottom"/>
            <w:tcBorders>
              <w:bottom w:val="single" w:sz="8" w:color="CCFFCC"/>
            </w:tcBorders>
            <w:vMerge w:val="continue"/>
            <w:shd w:val="clear" w:color="auto" w:fill="CCFFCC"/>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Underwriters’ discount</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2"/>
          </w:tcPr>
          <w:p>
            <w:pPr>
              <w:jc w:val="right"/>
              <w:ind w:right="265"/>
              <w:spacing w:after="0" w:line="256" w:lineRule="exact"/>
              <w:rPr>
                <w:sz w:val="20"/>
                <w:szCs w:val="20"/>
                <w:color w:val="auto"/>
              </w:rPr>
            </w:pPr>
            <w:r>
              <w:rPr>
                <w:rFonts w:ascii="Arial" w:cs="Arial" w:eastAsia="Arial" w:hAnsi="Arial"/>
                <w:sz w:val="18"/>
                <w:szCs w:val="18"/>
                <w:color w:val="auto"/>
              </w:rPr>
              <w:t>(0.23)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Offering costs</w:t>
            </w:r>
          </w:p>
        </w:tc>
        <w:tc>
          <w:tcPr>
            <w:tcW w:w="4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7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4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60" w:type="dxa"/>
            <w:vAlign w:val="bottom"/>
            <w:gridSpan w:val="2"/>
            <w:shd w:val="clear" w:color="auto" w:fill="CCFFCC"/>
          </w:tcPr>
          <w:p>
            <w:pPr>
              <w:jc w:val="right"/>
              <w:ind w:right="265"/>
              <w:spacing w:after="0" w:line="256" w:lineRule="exact"/>
              <w:rPr>
                <w:sz w:val="20"/>
                <w:szCs w:val="20"/>
                <w:color w:val="auto"/>
              </w:rPr>
            </w:pPr>
            <w:r>
              <w:rPr>
                <w:rFonts w:ascii="Arial" w:cs="Arial" w:eastAsia="Arial" w:hAnsi="Arial"/>
                <w:sz w:val="18"/>
                <w:szCs w:val="18"/>
                <w:color w:val="auto"/>
              </w:rPr>
              <w:t>(0.10)</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Net investment loss</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4"/>
          </w:tcPr>
          <w:p>
            <w:pPr>
              <w:jc w:val="right"/>
              <w:ind w:right="353"/>
              <w:spacing w:after="0" w:line="256"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2"/>
          </w:tcPr>
          <w:p>
            <w:pPr>
              <w:jc w:val="right"/>
              <w:ind w:right="265"/>
              <w:spacing w:after="0" w:line="256"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Realized loss</w:t>
            </w: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00" w:type="dxa"/>
            <w:vAlign w:val="bottom"/>
            <w:gridSpan w:val="2"/>
          </w:tcPr>
          <w:p>
            <w:pPr>
              <w:spacing w:after="0"/>
              <w:rPr>
                <w:sz w:val="20"/>
                <w:szCs w:val="20"/>
                <w:color w:val="auto"/>
              </w:rPr>
            </w:pPr>
            <w:r>
              <w:rPr>
                <w:rFonts w:ascii="Arial" w:cs="Arial" w:eastAsia="Arial" w:hAnsi="Arial"/>
                <w:sz w:val="18"/>
                <w:szCs w:val="18"/>
                <w:color w:val="auto"/>
              </w:rPr>
              <w:t>Change in unrealized depreciation</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gridSpan w:val="4"/>
          </w:tcPr>
          <w:p>
            <w:pPr>
              <w:jc w:val="right"/>
              <w:ind w:right="353"/>
              <w:spacing w:after="0" w:line="269" w:lineRule="exact"/>
              <w:rPr>
                <w:sz w:val="20"/>
                <w:szCs w:val="20"/>
                <w:color w:val="auto"/>
              </w:rPr>
            </w:pPr>
            <w:r>
              <w:rPr>
                <w:rFonts w:ascii="Arial" w:cs="Arial" w:eastAsia="Arial" w:hAnsi="Arial"/>
                <w:sz w:val="18"/>
                <w:szCs w:val="18"/>
                <w:color w:val="auto"/>
              </w:rPr>
              <w:t>(0.24)</w:t>
            </w:r>
            <w:r>
              <w:rPr>
                <w:rFonts w:ascii="Arial" w:cs="Arial" w:eastAsia="Arial" w:hAnsi="Arial"/>
                <w:sz w:val="30"/>
                <w:szCs w:val="30"/>
                <w:color w:val="auto"/>
                <w:vertAlign w:val="superscript"/>
              </w:rPr>
              <w:t>(5)</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60" w:type="dxa"/>
            <w:vAlign w:val="bottom"/>
            <w:gridSpan w:val="2"/>
          </w:tcPr>
          <w:p>
            <w:pPr>
              <w:jc w:val="right"/>
              <w:ind w:right="265"/>
              <w:spacing w:after="0" w:line="269" w:lineRule="exact"/>
              <w:rPr>
                <w:sz w:val="20"/>
                <w:szCs w:val="20"/>
                <w:color w:val="auto"/>
              </w:rPr>
            </w:pPr>
            <w:r>
              <w:rPr>
                <w:rFonts w:ascii="Arial" w:cs="Arial" w:eastAsia="Arial" w:hAnsi="Arial"/>
                <w:sz w:val="18"/>
                <w:szCs w:val="18"/>
                <w:color w:val="auto"/>
              </w:rPr>
              <w:t>(0.09)</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 value at end of period</w:t>
            </w:r>
          </w:p>
        </w:tc>
        <w:tc>
          <w:tcPr>
            <w:tcW w:w="42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172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spacing w:after="0"/>
              <w:rPr>
                <w:sz w:val="19"/>
                <w:szCs w:val="19"/>
                <w:color w:val="auto"/>
              </w:rPr>
            </w:pP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13.45</w:t>
            </w: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4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spacing w:after="0"/>
              <w:rPr>
                <w:sz w:val="19"/>
                <w:szCs w:val="19"/>
                <w:color w:val="auto"/>
              </w:rPr>
            </w:pPr>
          </w:p>
        </w:tc>
        <w:tc>
          <w:tcPr>
            <w:tcW w:w="1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13.26</w:t>
            </w:r>
          </w:p>
        </w:tc>
        <w:tc>
          <w:tcPr>
            <w:tcW w:w="56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end of period</w:t>
            </w: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140" w:type="dxa"/>
            <w:vAlign w:val="bottom"/>
            <w:gridSpan w:val="3"/>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8.63</w:t>
            </w:r>
          </w:p>
        </w:tc>
        <w:tc>
          <w:tcPr>
            <w:tcW w:w="6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13.56</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Total return based on market value</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4"/>
          </w:tcPr>
          <w:p>
            <w:pPr>
              <w:jc w:val="right"/>
              <w:ind w:right="213"/>
              <w:spacing w:after="0" w:line="256" w:lineRule="exact"/>
              <w:rPr>
                <w:sz w:val="20"/>
                <w:szCs w:val="20"/>
                <w:color w:val="auto"/>
              </w:rPr>
            </w:pPr>
            <w:r>
              <w:rPr>
                <w:rFonts w:ascii="Arial" w:cs="Arial" w:eastAsia="Arial" w:hAnsi="Arial"/>
                <w:sz w:val="18"/>
                <w:szCs w:val="18"/>
                <w:color w:val="auto"/>
              </w:rPr>
              <w:t>(7.20)%</w:t>
            </w:r>
            <w:r>
              <w:rPr>
                <w:rFonts w:ascii="Arial" w:cs="Arial" w:eastAsia="Arial" w:hAnsi="Arial"/>
                <w:sz w:val="29"/>
                <w:szCs w:val="29"/>
                <w:color w:val="auto"/>
                <w:vertAlign w:val="superscript"/>
              </w:rPr>
              <w:t>(6)</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2"/>
          </w:tcPr>
          <w:p>
            <w:pPr>
              <w:jc w:val="right"/>
              <w:ind w:right="105"/>
              <w:spacing w:after="0" w:line="256" w:lineRule="exact"/>
              <w:rPr>
                <w:sz w:val="20"/>
                <w:szCs w:val="20"/>
                <w:color w:val="auto"/>
              </w:rPr>
            </w:pPr>
            <w:r>
              <w:rPr>
                <w:rFonts w:ascii="Arial" w:cs="Arial" w:eastAsia="Arial" w:hAnsi="Arial"/>
                <w:sz w:val="18"/>
                <w:szCs w:val="18"/>
                <w:color w:val="auto"/>
              </w:rPr>
              <w:t>(2.66)%</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Total return based on net asset value</w:t>
            </w:r>
          </w:p>
        </w:tc>
        <w:tc>
          <w:tcPr>
            <w:tcW w:w="4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72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160" w:type="dxa"/>
            <w:vAlign w:val="bottom"/>
            <w:gridSpan w:val="4"/>
            <w:shd w:val="clear" w:color="auto" w:fill="CCFFCC"/>
          </w:tcPr>
          <w:p>
            <w:pPr>
              <w:jc w:val="right"/>
              <w:ind w:right="213"/>
              <w:spacing w:after="0" w:line="256" w:lineRule="exact"/>
              <w:rPr>
                <w:sz w:val="20"/>
                <w:szCs w:val="20"/>
                <w:color w:val="auto"/>
              </w:rPr>
            </w:pPr>
            <w:r>
              <w:rPr>
                <w:rFonts w:ascii="Arial" w:cs="Arial" w:eastAsia="Arial" w:hAnsi="Arial"/>
                <w:sz w:val="18"/>
                <w:szCs w:val="18"/>
                <w:color w:val="auto"/>
              </w:rPr>
              <w:t>(2.61)%</w:t>
            </w:r>
            <w:r>
              <w:rPr>
                <w:rFonts w:ascii="Arial" w:cs="Arial" w:eastAsia="Arial" w:hAnsi="Arial"/>
                <w:sz w:val="29"/>
                <w:szCs w:val="29"/>
                <w:color w:val="auto"/>
                <w:vertAlign w:val="superscript"/>
              </w:rPr>
              <w:t>(6)</w:t>
            </w:r>
          </w:p>
        </w:tc>
        <w:tc>
          <w:tcPr>
            <w:tcW w:w="16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60" w:type="dxa"/>
            <w:vAlign w:val="bottom"/>
            <w:gridSpan w:val="2"/>
            <w:shd w:val="clear" w:color="auto" w:fill="CCFFCC"/>
          </w:tcPr>
          <w:p>
            <w:pPr>
              <w:jc w:val="right"/>
              <w:ind w:right="105"/>
              <w:spacing w:after="0" w:line="256" w:lineRule="exact"/>
              <w:rPr>
                <w:sz w:val="20"/>
                <w:szCs w:val="20"/>
                <w:color w:val="auto"/>
              </w:rPr>
            </w:pPr>
            <w:r>
              <w:rPr>
                <w:rFonts w:ascii="Arial" w:cs="Arial" w:eastAsia="Arial" w:hAnsi="Arial"/>
                <w:sz w:val="18"/>
                <w:szCs w:val="18"/>
                <w:color w:val="auto"/>
              </w:rPr>
              <w:t>(2.28)%</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19,320,100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5,520,100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Net assets at end of period</w:t>
            </w: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140" w:type="dxa"/>
            <w:vAlign w:val="bottom"/>
            <w:gridSpan w:val="3"/>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259,859,254</w:t>
            </w:r>
          </w:p>
        </w:tc>
        <w:tc>
          <w:tcPr>
            <w:tcW w:w="6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73,188,030</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Average net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263,278,115</w:t>
            </w:r>
          </w:p>
        </w:tc>
        <w:tc>
          <w:tcPr>
            <w:tcW w:w="60" w:type="dxa"/>
            <w:vAlign w:val="bottom"/>
          </w:tcPr>
          <w:p>
            <w:pPr>
              <w:spacing w:after="0"/>
              <w:rPr>
                <w:sz w:val="18"/>
                <w:szCs w:val="18"/>
                <w:color w:val="auto"/>
              </w:rPr>
            </w:pP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45,046,867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 xml:space="preserve">Annualized ratio of gross operating expenses to average net assets </w:t>
            </w:r>
            <w:r>
              <w:rPr>
                <w:rFonts w:ascii="Arial" w:cs="Arial" w:eastAsia="Arial" w:hAnsi="Arial"/>
                <w:sz w:val="29"/>
                <w:szCs w:val="29"/>
                <w:color w:val="auto"/>
                <w:vertAlign w:val="superscript"/>
              </w:rPr>
              <w:t>(8)</w:t>
            </w:r>
          </w:p>
        </w:tc>
        <w:tc>
          <w:tcPr>
            <w:tcW w:w="2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FFCC"/>
          </w:tcPr>
          <w:p>
            <w:pPr>
              <w:spacing w:after="0"/>
              <w:rPr>
                <w:sz w:val="22"/>
                <w:szCs w:val="22"/>
                <w:color w:val="auto"/>
              </w:rPr>
            </w:pPr>
          </w:p>
        </w:tc>
        <w:tc>
          <w:tcPr>
            <w:tcW w:w="4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60" w:type="dxa"/>
            <w:vAlign w:val="bottom"/>
            <w:gridSpan w:val="2"/>
            <w:shd w:val="clear" w:color="auto" w:fill="CCFFCC"/>
          </w:tcPr>
          <w:p>
            <w:pPr>
              <w:jc w:val="right"/>
              <w:ind w:right="345"/>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6"/>
          </w:tcPr>
          <w:p>
            <w:pPr>
              <w:spacing w:after="0" w:line="256" w:lineRule="exact"/>
              <w:rPr>
                <w:sz w:val="20"/>
                <w:szCs w:val="20"/>
                <w:color w:val="auto"/>
              </w:rPr>
            </w:pPr>
            <w:r>
              <w:rPr>
                <w:rFonts w:ascii="Arial" w:cs="Arial" w:eastAsia="Arial" w:hAnsi="Arial"/>
                <w:sz w:val="18"/>
                <w:szCs w:val="18"/>
                <w:color w:val="auto"/>
              </w:rPr>
              <w:t xml:space="preserve">Annualized ratio of net operating expenses to average net assets </w:t>
            </w:r>
            <w:r>
              <w:rPr>
                <w:rFonts w:ascii="Arial" w:cs="Arial" w:eastAsia="Arial" w:hAnsi="Arial"/>
                <w:sz w:val="29"/>
                <w:szCs w:val="29"/>
                <w:color w:val="auto"/>
                <w:vertAlign w:val="superscript"/>
              </w:rPr>
              <w:t>(8)</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2"/>
          </w:tcPr>
          <w:p>
            <w:pPr>
              <w:jc w:val="right"/>
              <w:ind w:right="345"/>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6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 xml:space="preserve">Annualized ratio of net investment income to average net assets </w:t>
            </w:r>
            <w:r>
              <w:rPr>
                <w:rFonts w:ascii="Arial" w:cs="Arial" w:eastAsia="Arial" w:hAnsi="Arial"/>
                <w:sz w:val="29"/>
                <w:szCs w:val="29"/>
                <w:color w:val="auto"/>
                <w:vertAlign w:val="superscript"/>
              </w:rPr>
              <w:t>(8)</w:t>
            </w:r>
          </w:p>
        </w:tc>
        <w:tc>
          <w:tcPr>
            <w:tcW w:w="2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7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(3.52)%</w:t>
            </w:r>
          </w:p>
        </w:tc>
        <w:tc>
          <w:tcPr>
            <w:tcW w:w="4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60" w:type="dxa"/>
            <w:vAlign w:val="bottom"/>
            <w:gridSpan w:val="2"/>
            <w:shd w:val="clear" w:color="auto" w:fill="CCFFCC"/>
          </w:tcPr>
          <w:p>
            <w:pPr>
              <w:jc w:val="right"/>
              <w:ind w:right="285"/>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For the period from</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center"/>
              <w:ind w:right="33"/>
              <w:spacing w:after="0"/>
              <w:rPr>
                <w:sz w:val="20"/>
                <w:szCs w:val="20"/>
                <w:color w:val="auto"/>
              </w:rPr>
            </w:pPr>
            <w:r>
              <w:rPr>
                <w:rFonts w:ascii="Arial" w:cs="Arial" w:eastAsia="Arial" w:hAnsi="Arial"/>
                <w:sz w:val="18"/>
                <w:szCs w:val="18"/>
                <w:b w:val="1"/>
                <w:bCs w:val="1"/>
                <w:color w:val="auto"/>
                <w:w w:val="92"/>
              </w:rPr>
              <w:t>For the period from</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January 6, 2011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73"/>
              <w:spacing w:after="0"/>
              <w:rPr>
                <w:sz w:val="20"/>
                <w:szCs w:val="20"/>
                <w:color w:val="auto"/>
              </w:rPr>
            </w:pPr>
            <w:r>
              <w:rPr>
                <w:rFonts w:ascii="Arial" w:cs="Arial" w:eastAsia="Arial" w:hAnsi="Arial"/>
                <w:sz w:val="18"/>
                <w:szCs w:val="18"/>
                <w:b w:val="1"/>
                <w:bCs w:val="1"/>
                <w:color w:val="auto"/>
                <w:w w:val="90"/>
              </w:rPr>
              <w:t>January 6, 2011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right"/>
              <w:ind w:right="545"/>
              <w:spacing w:after="0"/>
              <w:rPr>
                <w:sz w:val="20"/>
                <w:szCs w:val="20"/>
                <w:color w:val="auto"/>
              </w:rPr>
            </w:pPr>
            <w:r>
              <w:rPr>
                <w:rFonts w:ascii="Arial" w:cs="Arial" w:eastAsia="Arial" w:hAnsi="Arial"/>
                <w:sz w:val="18"/>
                <w:szCs w:val="18"/>
                <w:b w:val="1"/>
                <w:bCs w:val="1"/>
                <w:color w:val="auto"/>
                <w:w w:val="89"/>
              </w:rPr>
              <w:t>Nine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(date of inception) to</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(date of inceptions) to</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3"/>
          </w:tcPr>
          <w:p>
            <w:pPr>
              <w:jc w:val="right"/>
              <w:ind w:right="505"/>
              <w:spacing w:after="0"/>
              <w:rPr>
                <w:sz w:val="20"/>
                <w:szCs w:val="20"/>
                <w:color w:val="auto"/>
              </w:rPr>
            </w:pPr>
            <w:r>
              <w:rPr>
                <w:rFonts w:ascii="Arial" w:cs="Arial" w:eastAsia="Arial" w:hAnsi="Arial"/>
                <w:sz w:val="18"/>
                <w:szCs w:val="18"/>
                <w:b w:val="1"/>
                <w:bCs w:val="1"/>
                <w:color w:val="auto"/>
                <w:w w:val="91"/>
              </w:rPr>
              <w:t>September 30, 2012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 2011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33"/>
              <w:spacing w:after="0"/>
              <w:rPr>
                <w:sz w:val="20"/>
                <w:szCs w:val="20"/>
                <w:color w:val="auto"/>
              </w:rPr>
            </w:pPr>
            <w:r>
              <w:rPr>
                <w:rFonts w:ascii="Arial" w:cs="Arial" w:eastAsia="Arial" w:hAnsi="Arial"/>
                <w:sz w:val="18"/>
                <w:szCs w:val="18"/>
                <w:b w:val="1"/>
                <w:bCs w:val="1"/>
                <w:color w:val="auto"/>
                <w:w w:val="90"/>
              </w:rPr>
              <w:t>December 31, 2011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Net asset value at beginning of period</w:t>
            </w:r>
          </w:p>
        </w:tc>
        <w:tc>
          <w:tcPr>
            <w:tcW w:w="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3580" w:type="dxa"/>
            <w:vAlign w:val="bottom"/>
          </w:tcPr>
          <w:p>
            <w:pPr>
              <w:spacing w:after="0"/>
              <w:rPr>
                <w:sz w:val="20"/>
                <w:szCs w:val="20"/>
                <w:color w:val="auto"/>
              </w:rPr>
            </w:pPr>
            <w:r>
              <w:rPr>
                <w:rFonts w:ascii="Arial" w:cs="Arial" w:eastAsia="Arial" w:hAnsi="Arial"/>
                <w:sz w:val="1"/>
                <w:szCs w:val="1"/>
                <w:color w:val="auto"/>
              </w:rPr>
              <w:t>Issuance of common shares</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
                <w:szCs w:val="1"/>
                <w:color w:val="auto"/>
              </w:rPr>
              <w:t>1.91</w:t>
            </w: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jc w:val="right"/>
              <w:spacing w:after="0"/>
              <w:rPr>
                <w:sz w:val="20"/>
                <w:szCs w:val="20"/>
                <w:color w:val="auto"/>
              </w:rPr>
            </w:pPr>
            <w:r>
              <w:rPr>
                <w:rFonts w:ascii="Arial" w:cs="Arial" w:eastAsia="Arial" w:hAnsi="Arial"/>
                <w:sz w:val="1"/>
                <w:szCs w:val="1"/>
                <w:color w:val="auto"/>
              </w:rPr>
              <w:t>14.67</w:t>
            </w:r>
          </w:p>
        </w:tc>
        <w:tc>
          <w:tcPr>
            <w:tcW w:w="460" w:type="dxa"/>
            <w:vAlign w:val="bottom"/>
            <w:vMerge w:val="restart"/>
          </w:tcPr>
          <w:p>
            <w:pPr>
              <w:jc w:val="right"/>
              <w:ind w:right="193"/>
              <w:spacing w:after="0"/>
              <w:rPr>
                <w:sz w:val="20"/>
                <w:szCs w:val="20"/>
                <w:color w:val="auto"/>
              </w:rPr>
            </w:pPr>
            <w:r>
              <w:rPr>
                <w:rFonts w:ascii="Arial" w:cs="Arial" w:eastAsia="Arial" w:hAnsi="Arial"/>
                <w:sz w:val="15"/>
                <w:szCs w:val="15"/>
                <w:color w:val="auto"/>
                <w:w w:val="87"/>
              </w:rPr>
              <w:t>(4)</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jc w:val="right"/>
              <w:spacing w:after="0"/>
              <w:rPr>
                <w:sz w:val="20"/>
                <w:szCs w:val="20"/>
                <w:color w:val="auto"/>
              </w:rPr>
            </w:pPr>
            <w:r>
              <w:rPr>
                <w:rFonts w:ascii="Arial" w:cs="Arial" w:eastAsia="Arial" w:hAnsi="Arial"/>
                <w:sz w:val="1"/>
                <w:szCs w:val="1"/>
                <w:color w:val="auto"/>
              </w:rPr>
              <w:t>14.67</w:t>
            </w:r>
          </w:p>
        </w:tc>
        <w:tc>
          <w:tcPr>
            <w:tcW w:w="560" w:type="dxa"/>
            <w:vAlign w:val="bottom"/>
            <w:vMerge w:val="restart"/>
          </w:tcPr>
          <w:p>
            <w:pPr>
              <w:jc w:val="right"/>
              <w:ind w:right="325"/>
              <w:spacing w:after="0"/>
              <w:rPr>
                <w:sz w:val="20"/>
                <w:szCs w:val="20"/>
                <w:color w:val="auto"/>
              </w:rPr>
            </w:pPr>
            <w:r>
              <w:rPr>
                <w:rFonts w:ascii="Arial" w:cs="Arial" w:eastAsia="Arial" w:hAnsi="Arial"/>
                <w:sz w:val="15"/>
                <w:szCs w:val="15"/>
                <w:color w:val="auto"/>
                <w:w w:val="76"/>
              </w:rPr>
              <w:t>(4)</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Accretion from offering</w:t>
            </w:r>
          </w:p>
        </w:tc>
        <w:tc>
          <w:tcPr>
            <w:tcW w:w="4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Underwriters’ discount</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gridSpan w:val="3"/>
          </w:tcPr>
          <w:p>
            <w:pPr>
              <w:jc w:val="right"/>
              <w:ind w:right="105"/>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4"/>
          </w:tcPr>
          <w:p>
            <w:pPr>
              <w:jc w:val="right"/>
              <w:ind w:right="133"/>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2"/>
          </w:tcPr>
          <w:p>
            <w:pPr>
              <w:jc w:val="right"/>
              <w:ind w:right="265"/>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Offering costs</w:t>
            </w:r>
          </w:p>
        </w:tc>
        <w:tc>
          <w:tcPr>
            <w:tcW w:w="4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140" w:type="dxa"/>
            <w:vAlign w:val="bottom"/>
            <w:gridSpan w:val="3"/>
            <w:shd w:val="clear" w:color="auto" w:fill="CCFFCC"/>
          </w:tcPr>
          <w:p>
            <w:pPr>
              <w:jc w:val="right"/>
              <w:ind w:right="105"/>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2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160" w:type="dxa"/>
            <w:vAlign w:val="bottom"/>
            <w:gridSpan w:val="4"/>
            <w:shd w:val="clear" w:color="auto" w:fill="CCFFCC"/>
          </w:tcPr>
          <w:p>
            <w:pPr>
              <w:jc w:val="right"/>
              <w:ind w:right="133"/>
              <w:spacing w:after="0" w:line="256" w:lineRule="exact"/>
              <w:rPr>
                <w:sz w:val="20"/>
                <w:szCs w:val="20"/>
                <w:color w:val="auto"/>
              </w:rPr>
            </w:pPr>
            <w:r>
              <w:rPr>
                <w:rFonts w:ascii="Arial" w:cs="Arial" w:eastAsia="Arial" w:hAnsi="Arial"/>
                <w:sz w:val="18"/>
                <w:szCs w:val="18"/>
                <w:color w:val="auto"/>
              </w:rPr>
              <w:t>(0.20)</w:t>
            </w:r>
            <w:r>
              <w:rPr>
                <w:rFonts w:ascii="Arial" w:cs="Arial" w:eastAsia="Arial" w:hAnsi="Arial"/>
                <w:sz w:val="29"/>
                <w:szCs w:val="29"/>
                <w:color w:val="auto"/>
                <w:vertAlign w:val="superscript"/>
              </w:rPr>
              <w:t>(2)</w:t>
            </w:r>
          </w:p>
        </w:tc>
        <w:tc>
          <w:tcPr>
            <w:tcW w:w="16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60" w:type="dxa"/>
            <w:vAlign w:val="bottom"/>
            <w:gridSpan w:val="2"/>
            <w:shd w:val="clear" w:color="auto" w:fill="CCFFCC"/>
          </w:tcPr>
          <w:p>
            <w:pPr>
              <w:jc w:val="right"/>
              <w:ind w:right="265"/>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Net investment loss</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gridSpan w:val="3"/>
          </w:tcPr>
          <w:p>
            <w:pPr>
              <w:jc w:val="right"/>
              <w:ind w:right="105"/>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(1)</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4"/>
          </w:tcPr>
          <w:p>
            <w:pPr>
              <w:jc w:val="right"/>
              <w:ind w:right="133"/>
              <w:spacing w:after="0" w:line="256" w:lineRule="exact"/>
              <w:rPr>
                <w:sz w:val="20"/>
                <w:szCs w:val="20"/>
                <w:color w:val="auto"/>
              </w:rPr>
            </w:pPr>
            <w:r>
              <w:rPr>
                <w:rFonts w:ascii="Arial" w:cs="Arial" w:eastAsia="Arial" w:hAnsi="Arial"/>
                <w:sz w:val="18"/>
                <w:szCs w:val="18"/>
                <w:color w:val="auto"/>
              </w:rPr>
              <w:t>(0.25)</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2"/>
          </w:tcPr>
          <w:p>
            <w:pPr>
              <w:jc w:val="right"/>
              <w:ind w:right="265"/>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Realized loss</w:t>
            </w:r>
          </w:p>
        </w:tc>
        <w:tc>
          <w:tcPr>
            <w:tcW w:w="4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140" w:type="dxa"/>
            <w:vAlign w:val="bottom"/>
            <w:gridSpan w:val="3"/>
            <w:shd w:val="clear" w:color="auto" w:fill="CCFFCC"/>
          </w:tcPr>
          <w:p>
            <w:pPr>
              <w:jc w:val="right"/>
              <w:ind w:right="105"/>
              <w:spacing w:after="0" w:line="256" w:lineRule="exact"/>
              <w:rPr>
                <w:sz w:val="20"/>
                <w:szCs w:val="20"/>
                <w:color w:val="auto"/>
              </w:rPr>
            </w:pPr>
            <w:r>
              <w:rPr>
                <w:rFonts w:ascii="Arial" w:cs="Arial" w:eastAsia="Arial" w:hAnsi="Arial"/>
                <w:sz w:val="18"/>
                <w:szCs w:val="18"/>
                <w:color w:val="auto"/>
              </w:rPr>
              <w:t>(0.07)</w:t>
            </w:r>
            <w:r>
              <w:rPr>
                <w:rFonts w:ascii="Arial" w:cs="Arial" w:eastAsia="Arial" w:hAnsi="Arial"/>
                <w:sz w:val="29"/>
                <w:szCs w:val="29"/>
                <w:color w:val="auto"/>
                <w:vertAlign w:val="superscript"/>
              </w:rPr>
              <w:t>(2)</w:t>
            </w:r>
          </w:p>
        </w:tc>
        <w:tc>
          <w:tcPr>
            <w:tcW w:w="2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48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Change in unrealized depreciation</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gridSpan w:val="3"/>
          </w:tcPr>
          <w:p>
            <w:pPr>
              <w:jc w:val="right"/>
              <w:ind w:right="105"/>
              <w:spacing w:after="0" w:line="256" w:lineRule="exact"/>
              <w:rPr>
                <w:sz w:val="20"/>
                <w:szCs w:val="20"/>
                <w:color w:val="auto"/>
              </w:rPr>
            </w:pPr>
            <w:r>
              <w:rPr>
                <w:rFonts w:ascii="Arial" w:cs="Arial" w:eastAsia="Arial" w:hAnsi="Arial"/>
                <w:sz w:val="18"/>
                <w:szCs w:val="18"/>
                <w:color w:val="auto"/>
              </w:rPr>
              <w:t>(0.21)</w:t>
            </w:r>
            <w:r>
              <w:rPr>
                <w:rFonts w:ascii="Arial" w:cs="Arial" w:eastAsia="Arial" w:hAnsi="Arial"/>
                <w:sz w:val="29"/>
                <w:szCs w:val="29"/>
                <w:color w:val="auto"/>
                <w:vertAlign w:val="superscript"/>
              </w:rPr>
              <w:t>(5)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4"/>
          </w:tcPr>
          <w:p>
            <w:pPr>
              <w:jc w:val="right"/>
              <w:ind w:right="133"/>
              <w:spacing w:after="0" w:line="256" w:lineRule="exact"/>
              <w:rPr>
                <w:sz w:val="20"/>
                <w:szCs w:val="20"/>
                <w:color w:val="auto"/>
              </w:rPr>
            </w:pPr>
            <w:r>
              <w:rPr>
                <w:rFonts w:ascii="Arial" w:cs="Arial" w:eastAsia="Arial" w:hAnsi="Arial"/>
                <w:sz w:val="18"/>
                <w:szCs w:val="18"/>
                <w:color w:val="auto"/>
              </w:rPr>
              <w:t>(0.10)</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2"/>
          </w:tcPr>
          <w:p>
            <w:pPr>
              <w:jc w:val="right"/>
              <w:ind w:right="265"/>
              <w:spacing w:after="0" w:line="256" w:lineRule="exact"/>
              <w:rPr>
                <w:sz w:val="20"/>
                <w:szCs w:val="20"/>
                <w:color w:val="auto"/>
              </w:rPr>
            </w:pPr>
            <w:r>
              <w:rPr>
                <w:rFonts w:ascii="Arial" w:cs="Arial" w:eastAsia="Arial" w:hAnsi="Arial"/>
                <w:sz w:val="18"/>
                <w:szCs w:val="18"/>
                <w:color w:val="auto"/>
              </w:rPr>
              <w:t>(0.30)</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 value at end of period</w:t>
            </w:r>
          </w:p>
        </w:tc>
        <w:tc>
          <w:tcPr>
            <w:tcW w:w="420" w:type="dxa"/>
            <w:vAlign w:val="bottom"/>
            <w:tcBorders>
              <w:top w:val="single" w:sz="8" w:color="CCFFCC"/>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Borders>
              <w:top w:val="single" w:sz="8" w:color="CCFFCC"/>
              <w:bottom w:val="single" w:sz="8" w:color="CCFFCC"/>
            </w:tcBorders>
            <w:shd w:val="clear" w:color="auto" w:fill="CCFFCC"/>
          </w:tcPr>
          <w:p>
            <w:pPr>
              <w:spacing w:after="0"/>
              <w:rPr>
                <w:sz w:val="18"/>
                <w:szCs w:val="18"/>
                <w:color w:val="auto"/>
              </w:rPr>
            </w:pPr>
          </w:p>
        </w:tc>
        <w:tc>
          <w:tcPr>
            <w:tcW w:w="200" w:type="dxa"/>
            <w:vAlign w:val="bottom"/>
            <w:tcBorders>
              <w:top w:val="single" w:sz="8" w:color="CCFFCC"/>
              <w:bottom w:val="single" w:sz="8" w:color="CCFFCC"/>
            </w:tcBorders>
            <w:shd w:val="clear" w:color="auto" w:fill="CCFFCC"/>
          </w:tcPr>
          <w:p>
            <w:pPr>
              <w:spacing w:after="0"/>
              <w:rPr>
                <w:sz w:val="18"/>
                <w:szCs w:val="18"/>
                <w:color w:val="auto"/>
              </w:rPr>
            </w:pPr>
          </w:p>
        </w:tc>
        <w:tc>
          <w:tcPr>
            <w:tcW w:w="280" w:type="dxa"/>
            <w:vAlign w:val="bottom"/>
            <w:tcBorders>
              <w:top w:val="single" w:sz="8" w:color="CCFFCC"/>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gridSpan w:val="3"/>
            <w:shd w:val="clear" w:color="auto" w:fill="CCFFCC"/>
          </w:tcPr>
          <w:p>
            <w:pPr>
              <w:jc w:val="right"/>
              <w:spacing w:after="0"/>
              <w:rPr>
                <w:sz w:val="20"/>
                <w:szCs w:val="20"/>
                <w:color w:val="auto"/>
              </w:rPr>
            </w:pPr>
            <w:r>
              <w:rPr>
                <w:rFonts w:ascii="Arial" w:cs="Arial" w:eastAsia="Arial" w:hAnsi="Arial"/>
                <w:sz w:val="18"/>
                <w:szCs w:val="18"/>
                <w:color w:val="auto"/>
              </w:rPr>
              <w:t>13.26</w:t>
            </w:r>
          </w:p>
        </w:tc>
        <w:tc>
          <w:tcPr>
            <w:tcW w:w="460" w:type="dxa"/>
            <w:vAlign w:val="bottom"/>
            <w:tcBorders>
              <w:top w:val="single" w:sz="8" w:color="CCFFCC"/>
              <w:bottom w:val="single" w:sz="8" w:color="CCFFCC"/>
            </w:tcBorders>
            <w:shd w:val="clear" w:color="auto" w:fill="CCFFCC"/>
          </w:tcPr>
          <w:p>
            <w:pPr>
              <w:spacing w:after="0"/>
              <w:rPr>
                <w:sz w:val="18"/>
                <w:szCs w:val="18"/>
                <w:color w:val="auto"/>
              </w:rPr>
            </w:pPr>
          </w:p>
        </w:tc>
        <w:tc>
          <w:tcPr>
            <w:tcW w:w="16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12.95</w:t>
            </w:r>
          </w:p>
        </w:tc>
        <w:tc>
          <w:tcPr>
            <w:tcW w:w="56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end of period</w:t>
            </w:r>
          </w:p>
        </w:tc>
        <w:tc>
          <w:tcPr>
            <w:tcW w:w="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13.56</w:t>
            </w:r>
          </w:p>
        </w:tc>
        <w:tc>
          <w:tcPr>
            <w:tcW w:w="4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13.95</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00" w:type="dxa"/>
            <w:vAlign w:val="bottom"/>
            <w:gridSpan w:val="2"/>
          </w:tcPr>
          <w:p>
            <w:pPr>
              <w:spacing w:after="0"/>
              <w:rPr>
                <w:sz w:val="20"/>
                <w:szCs w:val="20"/>
                <w:color w:val="auto"/>
              </w:rPr>
            </w:pPr>
            <w:r>
              <w:rPr>
                <w:rFonts w:ascii="Arial" w:cs="Arial" w:eastAsia="Arial" w:hAnsi="Arial"/>
                <w:sz w:val="18"/>
                <w:szCs w:val="18"/>
                <w:color w:val="auto"/>
              </w:rPr>
              <w:t>Total return based on market value</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gridSpan w:val="3"/>
          </w:tcPr>
          <w:p>
            <w:pPr>
              <w:jc w:val="right"/>
              <w:spacing w:after="0" w:line="256" w:lineRule="exact"/>
              <w:rPr>
                <w:sz w:val="20"/>
                <w:szCs w:val="20"/>
                <w:color w:val="auto"/>
              </w:rPr>
            </w:pPr>
            <w:r>
              <w:rPr>
                <w:rFonts w:ascii="Arial" w:cs="Arial" w:eastAsia="Arial" w:hAnsi="Arial"/>
                <w:sz w:val="18"/>
                <w:szCs w:val="18"/>
                <w:color w:val="auto"/>
              </w:rPr>
              <w:t>(38.14)%</w:t>
            </w:r>
            <w:r>
              <w:rPr>
                <w:rFonts w:ascii="Arial" w:cs="Arial" w:eastAsia="Arial" w:hAnsi="Arial"/>
                <w:sz w:val="29"/>
                <w:szCs w:val="29"/>
                <w:color w:val="auto"/>
                <w:vertAlign w:val="superscript"/>
              </w:rPr>
              <w:t>(6)</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gridSpan w:val="4"/>
          </w:tcPr>
          <w:p>
            <w:pPr>
              <w:jc w:val="right"/>
              <w:spacing w:after="0" w:line="256" w:lineRule="exact"/>
              <w:rPr>
                <w:sz w:val="20"/>
                <w:szCs w:val="20"/>
                <w:color w:val="auto"/>
              </w:rPr>
            </w:pPr>
            <w:r>
              <w:rPr>
                <w:rFonts w:ascii="Arial" w:cs="Arial" w:eastAsia="Arial" w:hAnsi="Arial"/>
                <w:sz w:val="18"/>
                <w:szCs w:val="18"/>
                <w:color w:val="auto"/>
              </w:rPr>
              <w:t>(9.60)%</w:t>
            </w:r>
            <w:r>
              <w:rPr>
                <w:rFonts w:ascii="Arial" w:cs="Arial" w:eastAsia="Arial" w:hAnsi="Arial"/>
                <w:sz w:val="29"/>
                <w:szCs w:val="29"/>
                <w:color w:val="auto"/>
                <w:vertAlign w:val="superscript"/>
              </w:rPr>
              <w:t>(7)</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2"/>
          </w:tcPr>
          <w:p>
            <w:pPr>
              <w:jc w:val="right"/>
              <w:ind w:right="105"/>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Total return based on net asset value</w:t>
            </w:r>
          </w:p>
        </w:tc>
        <w:tc>
          <w:tcPr>
            <w:tcW w:w="4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140" w:type="dxa"/>
            <w:vAlign w:val="bottom"/>
            <w:gridSpan w:val="3"/>
            <w:shd w:val="clear" w:color="auto" w:fill="CCFFCC"/>
          </w:tcPr>
          <w:p>
            <w:pPr>
              <w:jc w:val="right"/>
              <w:ind w:right="25"/>
              <w:spacing w:after="0" w:line="256" w:lineRule="exact"/>
              <w:rPr>
                <w:sz w:val="20"/>
                <w:szCs w:val="20"/>
                <w:color w:val="auto"/>
              </w:rPr>
            </w:pPr>
            <w:r>
              <w:rPr>
                <w:rFonts w:ascii="Arial" w:cs="Arial" w:eastAsia="Arial" w:hAnsi="Arial"/>
                <w:sz w:val="18"/>
                <w:szCs w:val="18"/>
                <w:color w:val="auto"/>
              </w:rPr>
              <w:t>3.86%</w:t>
            </w:r>
            <w:r>
              <w:rPr>
                <w:rFonts w:ascii="Arial" w:cs="Arial" w:eastAsia="Arial" w:hAnsi="Arial"/>
                <w:sz w:val="29"/>
                <w:szCs w:val="29"/>
                <w:color w:val="auto"/>
                <w:vertAlign w:val="superscript"/>
              </w:rPr>
              <w:t>(6)</w:t>
            </w:r>
          </w:p>
        </w:tc>
        <w:tc>
          <w:tcPr>
            <w:tcW w:w="2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160" w:type="dxa"/>
            <w:vAlign w:val="bottom"/>
            <w:gridSpan w:val="4"/>
            <w:shd w:val="clear" w:color="auto" w:fill="CCFFCC"/>
          </w:tcPr>
          <w:p>
            <w:pPr>
              <w:jc w:val="right"/>
              <w:spacing w:after="0" w:line="256" w:lineRule="exact"/>
              <w:rPr>
                <w:sz w:val="20"/>
                <w:szCs w:val="20"/>
                <w:color w:val="auto"/>
              </w:rPr>
            </w:pPr>
            <w:r>
              <w:rPr>
                <w:rFonts w:ascii="Arial" w:cs="Arial" w:eastAsia="Arial" w:hAnsi="Arial"/>
                <w:sz w:val="18"/>
                <w:szCs w:val="18"/>
                <w:color w:val="auto"/>
              </w:rPr>
              <w:t>(11.60)%</w:t>
            </w:r>
            <w:r>
              <w:rPr>
                <w:rFonts w:ascii="Arial" w:cs="Arial" w:eastAsia="Arial" w:hAnsi="Arial"/>
                <w:sz w:val="29"/>
                <w:szCs w:val="29"/>
                <w:color w:val="auto"/>
                <w:vertAlign w:val="superscript"/>
              </w:rPr>
              <w:t>(7)</w:t>
            </w:r>
          </w:p>
        </w:tc>
        <w:tc>
          <w:tcPr>
            <w:tcW w:w="16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260" w:type="dxa"/>
            <w:vAlign w:val="bottom"/>
            <w:gridSpan w:val="2"/>
            <w:shd w:val="clear" w:color="auto" w:fill="CCFFCC"/>
          </w:tcPr>
          <w:p>
            <w:pPr>
              <w:jc w:val="right"/>
              <w:ind w:right="105"/>
              <w:spacing w:after="0" w:line="256"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19,320,100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5,520,100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5,520,100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Net assets at end of period</w:t>
            </w:r>
          </w:p>
        </w:tc>
        <w:tc>
          <w:tcPr>
            <w:tcW w:w="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259,859,254</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73,188,030</w:t>
            </w:r>
          </w:p>
        </w:tc>
        <w:tc>
          <w:tcPr>
            <w:tcW w:w="4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71,503,248</w:t>
            </w:r>
          </w:p>
        </w:tc>
        <w:tc>
          <w:tcPr>
            <w:tcW w:w="5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Average net assets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190,300,817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32,432,765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44,532,523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FFCC"/>
          </w:tcPr>
          <w:p>
            <w:pPr>
              <w:spacing w:after="0"/>
              <w:rPr>
                <w:sz w:val="6"/>
                <w:szCs w:val="6"/>
                <w:color w:val="auto"/>
              </w:rPr>
            </w:pPr>
          </w:p>
        </w:tc>
        <w:tc>
          <w:tcPr>
            <w:tcW w:w="3580" w:type="dxa"/>
            <w:vAlign w:val="bottom"/>
            <w:shd w:val="clear" w:color="auto" w:fill="CCFFCC"/>
          </w:tcPr>
          <w:p>
            <w:pPr>
              <w:spacing w:after="0"/>
              <w:rPr>
                <w:sz w:val="6"/>
                <w:szCs w:val="6"/>
                <w:color w:val="auto"/>
              </w:rPr>
            </w:pPr>
          </w:p>
        </w:tc>
        <w:tc>
          <w:tcPr>
            <w:tcW w:w="420" w:type="dxa"/>
            <w:vAlign w:val="bottom"/>
            <w:shd w:val="clear" w:color="auto" w:fill="CCFFCC"/>
          </w:tcPr>
          <w:p>
            <w:pPr>
              <w:spacing w:after="0"/>
              <w:rPr>
                <w:sz w:val="6"/>
                <w:szCs w:val="6"/>
                <w:color w:val="auto"/>
              </w:rPr>
            </w:pPr>
          </w:p>
        </w:tc>
        <w:tc>
          <w:tcPr>
            <w:tcW w:w="120" w:type="dxa"/>
            <w:vAlign w:val="bottom"/>
            <w:shd w:val="clear" w:color="auto" w:fill="CCFFCC"/>
          </w:tcPr>
          <w:p>
            <w:pPr>
              <w:spacing w:after="0"/>
              <w:rPr>
                <w:sz w:val="6"/>
                <w:szCs w:val="6"/>
                <w:color w:val="auto"/>
              </w:rPr>
            </w:pPr>
          </w:p>
        </w:tc>
        <w:tc>
          <w:tcPr>
            <w:tcW w:w="1720" w:type="dxa"/>
            <w:vAlign w:val="bottom"/>
            <w:shd w:val="clear" w:color="auto" w:fill="CCFFCC"/>
          </w:tcPr>
          <w:p>
            <w:pPr>
              <w:spacing w:after="0"/>
              <w:rPr>
                <w:sz w:val="6"/>
                <w:szCs w:val="6"/>
                <w:color w:val="auto"/>
              </w:rPr>
            </w:pPr>
          </w:p>
        </w:tc>
        <w:tc>
          <w:tcPr>
            <w:tcW w:w="220" w:type="dxa"/>
            <w:vAlign w:val="bottom"/>
            <w:shd w:val="clear" w:color="auto" w:fill="CCFFCC"/>
          </w:tcPr>
          <w:p>
            <w:pPr>
              <w:spacing w:after="0"/>
              <w:rPr>
                <w:sz w:val="6"/>
                <w:szCs w:val="6"/>
                <w:color w:val="auto"/>
              </w:rPr>
            </w:pPr>
          </w:p>
        </w:tc>
        <w:tc>
          <w:tcPr>
            <w:tcW w:w="200" w:type="dxa"/>
            <w:vAlign w:val="bottom"/>
            <w:shd w:val="clear" w:color="auto" w:fill="CCFFCC"/>
          </w:tcPr>
          <w:p>
            <w:pPr>
              <w:spacing w:after="0"/>
              <w:rPr>
                <w:sz w:val="6"/>
                <w:szCs w:val="6"/>
                <w:color w:val="auto"/>
              </w:rPr>
            </w:pPr>
          </w:p>
        </w:tc>
        <w:tc>
          <w:tcPr>
            <w:tcW w:w="280" w:type="dxa"/>
            <w:vAlign w:val="bottom"/>
            <w:shd w:val="clear" w:color="auto" w:fill="CCFFCC"/>
          </w:tcPr>
          <w:p>
            <w:pPr>
              <w:spacing w:after="0"/>
              <w:rPr>
                <w:sz w:val="6"/>
                <w:szCs w:val="6"/>
                <w:color w:val="auto"/>
              </w:rPr>
            </w:pPr>
          </w:p>
        </w:tc>
        <w:tc>
          <w:tcPr>
            <w:tcW w:w="100" w:type="dxa"/>
            <w:vAlign w:val="bottom"/>
            <w:shd w:val="clear" w:color="auto" w:fill="CCFFCC"/>
          </w:tcPr>
          <w:p>
            <w:pPr>
              <w:spacing w:after="0"/>
              <w:rPr>
                <w:sz w:val="6"/>
                <w:szCs w:val="6"/>
                <w:color w:val="auto"/>
              </w:rPr>
            </w:pPr>
          </w:p>
        </w:tc>
        <w:tc>
          <w:tcPr>
            <w:tcW w:w="1480" w:type="dxa"/>
            <w:vAlign w:val="bottom"/>
            <w:shd w:val="clear" w:color="auto" w:fill="CCFFCC"/>
          </w:tcPr>
          <w:p>
            <w:pPr>
              <w:spacing w:after="0"/>
              <w:rPr>
                <w:sz w:val="6"/>
                <w:szCs w:val="6"/>
                <w:color w:val="auto"/>
              </w:rPr>
            </w:pPr>
          </w:p>
        </w:tc>
        <w:tc>
          <w:tcPr>
            <w:tcW w:w="160" w:type="dxa"/>
            <w:vAlign w:val="bottom"/>
            <w:shd w:val="clear" w:color="auto" w:fill="CCFFCC"/>
          </w:tcPr>
          <w:p>
            <w:pPr>
              <w:spacing w:after="0"/>
              <w:rPr>
                <w:sz w:val="6"/>
                <w:szCs w:val="6"/>
                <w:color w:val="auto"/>
              </w:rPr>
            </w:pPr>
          </w:p>
        </w:tc>
        <w:tc>
          <w:tcPr>
            <w:tcW w:w="60" w:type="dxa"/>
            <w:vAlign w:val="bottom"/>
            <w:shd w:val="clear" w:color="auto" w:fill="CCFFCC"/>
          </w:tcPr>
          <w:p>
            <w:pPr>
              <w:spacing w:after="0"/>
              <w:rPr>
                <w:sz w:val="6"/>
                <w:szCs w:val="6"/>
                <w:color w:val="auto"/>
              </w:rPr>
            </w:pPr>
          </w:p>
        </w:tc>
        <w:tc>
          <w:tcPr>
            <w:tcW w:w="460" w:type="dxa"/>
            <w:vAlign w:val="bottom"/>
            <w:shd w:val="clear" w:color="auto" w:fill="CCFFCC"/>
          </w:tcPr>
          <w:p>
            <w:pPr>
              <w:spacing w:after="0"/>
              <w:rPr>
                <w:sz w:val="6"/>
                <w:szCs w:val="6"/>
                <w:color w:val="auto"/>
              </w:rPr>
            </w:pPr>
          </w:p>
        </w:tc>
        <w:tc>
          <w:tcPr>
            <w:tcW w:w="160" w:type="dxa"/>
            <w:vAlign w:val="bottom"/>
            <w:shd w:val="clear" w:color="auto" w:fill="CCFFCC"/>
          </w:tcPr>
          <w:p>
            <w:pPr>
              <w:spacing w:after="0"/>
              <w:rPr>
                <w:sz w:val="6"/>
                <w:szCs w:val="6"/>
                <w:color w:val="auto"/>
              </w:rPr>
            </w:pPr>
          </w:p>
        </w:tc>
        <w:tc>
          <w:tcPr>
            <w:tcW w:w="60" w:type="dxa"/>
            <w:vAlign w:val="bottom"/>
            <w:shd w:val="clear" w:color="auto" w:fill="CCFFCC"/>
          </w:tcPr>
          <w:p>
            <w:pPr>
              <w:spacing w:after="0"/>
              <w:rPr>
                <w:sz w:val="6"/>
                <w:szCs w:val="6"/>
                <w:color w:val="auto"/>
              </w:rPr>
            </w:pPr>
          </w:p>
        </w:tc>
        <w:tc>
          <w:tcPr>
            <w:tcW w:w="120" w:type="dxa"/>
            <w:vAlign w:val="bottom"/>
            <w:shd w:val="clear" w:color="auto" w:fill="CCFFCC"/>
          </w:tcPr>
          <w:p>
            <w:pPr>
              <w:spacing w:after="0"/>
              <w:rPr>
                <w:sz w:val="6"/>
                <w:szCs w:val="6"/>
                <w:color w:val="auto"/>
              </w:rPr>
            </w:pPr>
          </w:p>
        </w:tc>
        <w:tc>
          <w:tcPr>
            <w:tcW w:w="1700" w:type="dxa"/>
            <w:vAlign w:val="bottom"/>
            <w:shd w:val="clear" w:color="auto" w:fill="CCFFCC"/>
          </w:tcPr>
          <w:p>
            <w:pPr>
              <w:spacing w:after="0"/>
              <w:rPr>
                <w:sz w:val="6"/>
                <w:szCs w:val="6"/>
                <w:color w:val="auto"/>
              </w:rPr>
            </w:pPr>
          </w:p>
        </w:tc>
        <w:tc>
          <w:tcPr>
            <w:tcW w:w="560" w:type="dxa"/>
            <w:vAlign w:val="bottom"/>
            <w:shd w:val="clear" w:color="auto" w:fill="CCFFCC"/>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34"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shd w:val="clear" w:color="auto" w:fill="CCFFCC"/>
          </w:tcPr>
          <w:p>
            <w:pPr>
              <w:spacing w:after="0"/>
              <w:rPr>
                <w:sz w:val="20"/>
                <w:szCs w:val="20"/>
                <w:color w:val="auto"/>
              </w:rPr>
            </w:pPr>
            <w:r>
              <w:rPr>
                <w:rFonts w:ascii="Arial" w:cs="Arial" w:eastAsia="Arial" w:hAnsi="Arial"/>
                <w:sz w:val="18"/>
                <w:szCs w:val="18"/>
                <w:color w:val="auto"/>
              </w:rPr>
              <w:t>Annualized ratio of gross operating expenses to</w:t>
            </w:r>
          </w:p>
        </w:tc>
        <w:tc>
          <w:tcPr>
            <w:tcW w:w="2340" w:type="dxa"/>
            <w:vAlign w:val="bottom"/>
            <w:shd w:val="clear" w:color="auto" w:fill="CCFFCC"/>
          </w:tcPr>
          <w:p>
            <w:pPr>
              <w:jc w:val="right"/>
              <w:ind w:right="930"/>
              <w:spacing w:after="0"/>
              <w:rPr>
                <w:sz w:val="20"/>
                <w:szCs w:val="20"/>
                <w:color w:val="auto"/>
              </w:rPr>
            </w:pPr>
            <w:r>
              <w:rPr>
                <w:rFonts w:ascii="Arial" w:cs="Arial" w:eastAsia="Arial" w:hAnsi="Arial"/>
                <w:sz w:val="18"/>
                <w:szCs w:val="18"/>
                <w:color w:val="auto"/>
              </w:rPr>
              <w:t>4.03%</w:t>
            </w:r>
          </w:p>
        </w:tc>
        <w:tc>
          <w:tcPr>
            <w:tcW w:w="2500" w:type="dxa"/>
            <w:vAlign w:val="bottom"/>
            <w:shd w:val="clear" w:color="auto" w:fill="CCFFCC"/>
          </w:tcPr>
          <w:p>
            <w:pPr>
              <w:jc w:val="right"/>
              <w:ind w:right="910"/>
              <w:spacing w:after="0"/>
              <w:rPr>
                <w:sz w:val="20"/>
                <w:szCs w:val="20"/>
                <w:color w:val="auto"/>
              </w:rPr>
            </w:pPr>
            <w:r>
              <w:rPr>
                <w:rFonts w:ascii="Arial" w:cs="Arial" w:eastAsia="Arial" w:hAnsi="Arial"/>
                <w:sz w:val="18"/>
                <w:szCs w:val="18"/>
                <w:color w:val="auto"/>
              </w:rPr>
              <w:t>5.72%</w:t>
            </w:r>
          </w:p>
        </w:tc>
        <w:tc>
          <w:tcPr>
            <w:tcW w:w="19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5.01%</w:t>
            </w:r>
          </w:p>
        </w:tc>
      </w:tr>
      <w:tr>
        <w:trPr>
          <w:trHeight w:val="267"/>
        </w:trPr>
        <w:tc>
          <w:tcPr>
            <w:tcW w:w="4680" w:type="dxa"/>
            <w:vAlign w:val="bottom"/>
            <w:shd w:val="clear" w:color="auto" w:fill="CCFFCC"/>
          </w:tcPr>
          <w:p>
            <w:pPr>
              <w:ind w:left="160"/>
              <w:spacing w:after="0" w:line="266" w:lineRule="exact"/>
              <w:rPr>
                <w:sz w:val="20"/>
                <w:szCs w:val="20"/>
                <w:color w:val="auto"/>
              </w:rPr>
            </w:pPr>
            <w:r>
              <w:rPr>
                <w:rFonts w:ascii="Arial" w:cs="Arial" w:eastAsia="Arial" w:hAnsi="Arial"/>
                <w:sz w:val="18"/>
                <w:szCs w:val="18"/>
                <w:color w:val="auto"/>
              </w:rPr>
              <w:t xml:space="preserve">average net assets </w:t>
            </w:r>
            <w:r>
              <w:rPr>
                <w:rFonts w:ascii="Arial" w:cs="Arial" w:eastAsia="Arial" w:hAnsi="Arial"/>
                <w:sz w:val="30"/>
                <w:szCs w:val="30"/>
                <w:color w:val="auto"/>
                <w:vertAlign w:val="superscript"/>
              </w:rPr>
              <w:t>(8)</w:t>
            </w:r>
          </w:p>
        </w:tc>
        <w:tc>
          <w:tcPr>
            <w:tcW w:w="2340" w:type="dxa"/>
            <w:vAlign w:val="bottom"/>
            <w:shd w:val="clear" w:color="auto" w:fill="CCFFCC"/>
          </w:tcPr>
          <w:p>
            <w:pPr>
              <w:spacing w:after="0"/>
              <w:rPr>
                <w:sz w:val="23"/>
                <w:szCs w:val="23"/>
                <w:color w:val="auto"/>
              </w:rPr>
            </w:pPr>
          </w:p>
        </w:tc>
        <w:tc>
          <w:tcPr>
            <w:tcW w:w="2500" w:type="dxa"/>
            <w:vAlign w:val="bottom"/>
            <w:shd w:val="clear" w:color="auto" w:fill="CCFFCC"/>
          </w:tcPr>
          <w:p>
            <w:pPr>
              <w:spacing w:after="0"/>
              <w:rPr>
                <w:sz w:val="23"/>
                <w:szCs w:val="23"/>
                <w:color w:val="auto"/>
              </w:rPr>
            </w:pPr>
          </w:p>
        </w:tc>
        <w:tc>
          <w:tcPr>
            <w:tcW w:w="1900" w:type="dxa"/>
            <w:vAlign w:val="bottom"/>
            <w:shd w:val="clear" w:color="auto" w:fill="CCFFCC"/>
          </w:tcPr>
          <w:p>
            <w:pPr>
              <w:spacing w:after="0"/>
              <w:rPr>
                <w:sz w:val="23"/>
                <w:szCs w:val="23"/>
                <w:color w:val="auto"/>
              </w:rPr>
            </w:pPr>
          </w:p>
        </w:tc>
      </w:tr>
      <w:tr>
        <w:trPr>
          <w:trHeight w:val="205"/>
        </w:trPr>
        <w:tc>
          <w:tcPr>
            <w:tcW w:w="4680" w:type="dxa"/>
            <w:vAlign w:val="bottom"/>
          </w:tcPr>
          <w:p>
            <w:pPr>
              <w:spacing w:after="0" w:line="206" w:lineRule="exact"/>
              <w:rPr>
                <w:sz w:val="20"/>
                <w:szCs w:val="20"/>
                <w:color w:val="auto"/>
              </w:rPr>
            </w:pPr>
            <w:r>
              <w:rPr>
                <w:rFonts w:ascii="Arial" w:cs="Arial" w:eastAsia="Arial" w:hAnsi="Arial"/>
                <w:sz w:val="18"/>
                <w:szCs w:val="18"/>
                <w:color w:val="auto"/>
              </w:rPr>
              <w:t>Annualized ratio of net operating expenses to average</w:t>
            </w: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7"/>
        </w:trPr>
        <w:tc>
          <w:tcPr>
            <w:tcW w:w="468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net assets </w:t>
            </w:r>
            <w:r>
              <w:rPr>
                <w:rFonts w:ascii="Arial" w:cs="Arial" w:eastAsia="Arial" w:hAnsi="Arial"/>
                <w:sz w:val="30"/>
                <w:szCs w:val="30"/>
                <w:color w:val="auto"/>
                <w:vertAlign w:val="superscript"/>
              </w:rPr>
              <w:t>(8)</w:t>
            </w:r>
          </w:p>
        </w:tc>
        <w:tc>
          <w:tcPr>
            <w:tcW w:w="2340" w:type="dxa"/>
            <w:vAlign w:val="bottom"/>
          </w:tcPr>
          <w:p>
            <w:pPr>
              <w:jc w:val="right"/>
              <w:ind w:right="930"/>
              <w:spacing w:after="0"/>
              <w:rPr>
                <w:sz w:val="20"/>
                <w:szCs w:val="20"/>
                <w:color w:val="auto"/>
              </w:rPr>
            </w:pPr>
            <w:r>
              <w:rPr>
                <w:rFonts w:ascii="Arial" w:cs="Arial" w:eastAsia="Arial" w:hAnsi="Arial"/>
                <w:sz w:val="18"/>
                <w:szCs w:val="18"/>
                <w:color w:val="auto"/>
              </w:rPr>
              <w:t>4.03%</w:t>
            </w:r>
          </w:p>
        </w:tc>
        <w:tc>
          <w:tcPr>
            <w:tcW w:w="2500" w:type="dxa"/>
            <w:vAlign w:val="bottom"/>
          </w:tcPr>
          <w:p>
            <w:pPr>
              <w:jc w:val="right"/>
              <w:ind w:right="910"/>
              <w:spacing w:after="0"/>
              <w:rPr>
                <w:sz w:val="20"/>
                <w:szCs w:val="20"/>
                <w:color w:val="auto"/>
              </w:rPr>
            </w:pPr>
            <w:r>
              <w:rPr>
                <w:rFonts w:ascii="Arial" w:cs="Arial" w:eastAsia="Arial" w:hAnsi="Arial"/>
                <w:sz w:val="18"/>
                <w:szCs w:val="18"/>
                <w:color w:val="auto"/>
              </w:rPr>
              <w:t>5.72%</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5.01%</w:t>
            </w:r>
          </w:p>
        </w:tc>
      </w:tr>
      <w:tr>
        <w:trPr>
          <w:trHeight w:val="205"/>
        </w:trPr>
        <w:tc>
          <w:tcPr>
            <w:tcW w:w="4680" w:type="dxa"/>
            <w:vAlign w:val="bottom"/>
            <w:shd w:val="clear" w:color="auto" w:fill="CCFFCC"/>
          </w:tcPr>
          <w:p>
            <w:pPr>
              <w:spacing w:after="0" w:line="206" w:lineRule="exact"/>
              <w:rPr>
                <w:sz w:val="20"/>
                <w:szCs w:val="20"/>
                <w:color w:val="auto"/>
              </w:rPr>
            </w:pPr>
            <w:r>
              <w:rPr>
                <w:rFonts w:ascii="Arial" w:cs="Arial" w:eastAsia="Arial" w:hAnsi="Arial"/>
                <w:sz w:val="18"/>
                <w:szCs w:val="18"/>
                <w:color w:val="auto"/>
              </w:rPr>
              <w:t>Annualized ratio of net investment income to average</w:t>
            </w:r>
          </w:p>
        </w:tc>
        <w:tc>
          <w:tcPr>
            <w:tcW w:w="2340" w:type="dxa"/>
            <w:vAlign w:val="bottom"/>
            <w:shd w:val="clear" w:color="auto" w:fill="CCFFCC"/>
          </w:tcPr>
          <w:p>
            <w:pPr>
              <w:spacing w:after="0"/>
              <w:rPr>
                <w:sz w:val="17"/>
                <w:szCs w:val="17"/>
                <w:color w:val="auto"/>
              </w:rPr>
            </w:pPr>
          </w:p>
        </w:tc>
        <w:tc>
          <w:tcPr>
            <w:tcW w:w="2500" w:type="dxa"/>
            <w:vAlign w:val="bottom"/>
            <w:shd w:val="clear" w:color="auto" w:fill="CCFFCC"/>
          </w:tcPr>
          <w:p>
            <w:pPr>
              <w:spacing w:after="0"/>
              <w:rPr>
                <w:sz w:val="17"/>
                <w:szCs w:val="17"/>
                <w:color w:val="auto"/>
              </w:rPr>
            </w:pPr>
          </w:p>
        </w:tc>
        <w:tc>
          <w:tcPr>
            <w:tcW w:w="1900" w:type="dxa"/>
            <w:vAlign w:val="bottom"/>
            <w:shd w:val="clear" w:color="auto" w:fill="CCFFCC"/>
          </w:tcPr>
          <w:p>
            <w:pPr>
              <w:spacing w:after="0"/>
              <w:rPr>
                <w:sz w:val="17"/>
                <w:szCs w:val="17"/>
                <w:color w:val="auto"/>
              </w:rPr>
            </w:pPr>
          </w:p>
        </w:tc>
      </w:tr>
      <w:tr>
        <w:trPr>
          <w:trHeight w:val="267"/>
        </w:trPr>
        <w:tc>
          <w:tcPr>
            <w:tcW w:w="4680" w:type="dxa"/>
            <w:vAlign w:val="bottom"/>
            <w:shd w:val="clear" w:color="auto" w:fill="CCFFCC"/>
          </w:tcPr>
          <w:p>
            <w:pPr>
              <w:ind w:left="160"/>
              <w:spacing w:after="0" w:line="266" w:lineRule="exact"/>
              <w:rPr>
                <w:sz w:val="20"/>
                <w:szCs w:val="20"/>
                <w:color w:val="auto"/>
              </w:rPr>
            </w:pPr>
            <w:r>
              <w:rPr>
                <w:rFonts w:ascii="Arial" w:cs="Arial" w:eastAsia="Arial" w:hAnsi="Arial"/>
                <w:sz w:val="18"/>
                <w:szCs w:val="18"/>
                <w:color w:val="auto"/>
              </w:rPr>
              <w:t xml:space="preserve">net assets </w:t>
            </w:r>
            <w:r>
              <w:rPr>
                <w:rFonts w:ascii="Arial" w:cs="Arial" w:eastAsia="Arial" w:hAnsi="Arial"/>
                <w:sz w:val="30"/>
                <w:szCs w:val="30"/>
                <w:color w:val="auto"/>
                <w:vertAlign w:val="superscript"/>
              </w:rPr>
              <w:t>(8)</w:t>
            </w:r>
          </w:p>
        </w:tc>
        <w:tc>
          <w:tcPr>
            <w:tcW w:w="2340" w:type="dxa"/>
            <w:vAlign w:val="bottom"/>
            <w:shd w:val="clear" w:color="auto" w:fill="CCFFCC"/>
          </w:tcPr>
          <w:p>
            <w:pPr>
              <w:jc w:val="right"/>
              <w:ind w:right="870"/>
              <w:spacing w:after="0"/>
              <w:rPr>
                <w:sz w:val="20"/>
                <w:szCs w:val="20"/>
                <w:color w:val="auto"/>
              </w:rPr>
            </w:pPr>
            <w:r>
              <w:rPr>
                <w:rFonts w:ascii="Arial" w:cs="Arial" w:eastAsia="Arial" w:hAnsi="Arial"/>
                <w:sz w:val="18"/>
                <w:szCs w:val="18"/>
                <w:color w:val="auto"/>
              </w:rPr>
              <w:t>(3.86)%</w:t>
            </w:r>
          </w:p>
        </w:tc>
        <w:tc>
          <w:tcPr>
            <w:tcW w:w="250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rPr>
              <w:t>(5.49)%</w:t>
            </w:r>
          </w:p>
        </w:tc>
        <w:tc>
          <w:tcPr>
            <w:tcW w:w="190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(4.64)%</w:t>
            </w:r>
          </w:p>
        </w:tc>
      </w:tr>
      <w:tr>
        <w:trPr>
          <w:trHeight w:val="891"/>
        </w:trPr>
        <w:tc>
          <w:tcPr>
            <w:tcW w:w="4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24</w:t>
            </w:r>
          </w:p>
        </w:tc>
        <w:tc>
          <w:tcPr>
            <w:tcW w:w="2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8" w:right="239" w:bottom="1440" w:gutter="0" w:footer="0" w:header="0"/>
        </w:sectPr>
      </w:pPr>
    </w:p>
    <w:bookmarkStart w:id="25" w:name="page26"/>
    <w:bookmarkEnd w:id="25"/>
    <w:p>
      <w:pPr>
        <w:ind w:left="400" w:hanging="392"/>
        <w:spacing w:after="0"/>
        <w:tabs>
          <w:tab w:leader="none" w:pos="4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shares outstanding for the period.</w:t>
      </w:r>
    </w:p>
    <w:p>
      <w:pPr>
        <w:spacing w:after="0" w:line="1" w:lineRule="exact"/>
        <w:rPr>
          <w:rFonts w:ascii="Arial" w:cs="Arial" w:eastAsia="Arial" w:hAnsi="Arial"/>
          <w:sz w:val="30"/>
          <w:szCs w:val="30"/>
          <w:color w:val="auto"/>
          <w:vertAlign w:val="superscript"/>
        </w:rPr>
      </w:pPr>
    </w:p>
    <w:p>
      <w:pPr>
        <w:ind w:left="400" w:hanging="392"/>
        <w:spacing w:after="0" w:line="186" w:lineRule="auto"/>
        <w:tabs>
          <w:tab w:leader="none" w:pos="40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Based on shares outstanding at end of period.</w:t>
      </w:r>
    </w:p>
    <w:p>
      <w:pPr>
        <w:spacing w:after="0" w:line="2" w:lineRule="exact"/>
        <w:rPr>
          <w:rFonts w:ascii="Arial" w:cs="Arial" w:eastAsia="Arial" w:hAnsi="Arial"/>
          <w:sz w:val="24"/>
          <w:szCs w:val="24"/>
          <w:color w:val="auto"/>
          <w:vertAlign w:val="superscript"/>
        </w:rPr>
      </w:pPr>
    </w:p>
    <w:p>
      <w:pPr>
        <w:ind w:left="400" w:right="20" w:hanging="392"/>
        <w:spacing w:after="0" w:line="187" w:lineRule="auto"/>
        <w:tabs>
          <w:tab w:leader="none" w:pos="4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Issuance of common shares for the nine months ended September 30, 2012 is based on the change in net asset value from the secondary offerings on February 10, 2012 and May 11, 2012.</w:t>
      </w:r>
    </w:p>
    <w:p>
      <w:pPr>
        <w:ind w:left="400" w:hanging="392"/>
        <w:spacing w:after="0" w:line="187" w:lineRule="auto"/>
        <w:tabs>
          <w:tab w:leader="none" w:pos="4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Issuance of common shares for the period from January 6, 2011 (date of inception) to September 30, 2011 and from January 6, 2011 (date of inception) to December 31, 2011 is based on the weighted average offering price for the shares issued during the period.</w:t>
      </w:r>
    </w:p>
    <w:p>
      <w:pPr>
        <w:spacing w:after="0" w:line="2" w:lineRule="exact"/>
        <w:rPr>
          <w:rFonts w:ascii="Arial" w:cs="Arial" w:eastAsia="Arial" w:hAnsi="Arial"/>
          <w:sz w:val="30"/>
          <w:szCs w:val="30"/>
          <w:color w:val="auto"/>
          <w:vertAlign w:val="superscript"/>
        </w:rPr>
      </w:pPr>
    </w:p>
    <w:p>
      <w:pPr>
        <w:ind w:left="400" w:hanging="392"/>
        <w:spacing w:after="0" w:line="187" w:lineRule="auto"/>
        <w:tabs>
          <w:tab w:leader="none" w:pos="4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2" w:lineRule="exact"/>
        <w:rPr>
          <w:rFonts w:ascii="Arial" w:cs="Arial" w:eastAsia="Arial" w:hAnsi="Arial"/>
          <w:sz w:val="30"/>
          <w:szCs w:val="30"/>
          <w:color w:val="auto"/>
          <w:vertAlign w:val="superscript"/>
        </w:rPr>
      </w:pPr>
    </w:p>
    <w:p>
      <w:pPr>
        <w:jc w:val="both"/>
        <w:ind w:left="400" w:hanging="392"/>
        <w:spacing w:after="0" w:line="250" w:lineRule="auto"/>
        <w:tabs>
          <w:tab w:leader="none" w:pos="40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 of our common stock at a premium to net asset value per share are not typical, and may not occur in the future. The total returns are not annualized.</w:t>
      </w:r>
    </w:p>
    <w:p>
      <w:pPr>
        <w:spacing w:after="0" w:line="2" w:lineRule="exact"/>
        <w:rPr>
          <w:rFonts w:ascii="Arial" w:cs="Arial" w:eastAsia="Arial" w:hAnsi="Arial"/>
          <w:sz w:val="26"/>
          <w:szCs w:val="26"/>
          <w:color w:val="auto"/>
          <w:vertAlign w:val="superscript"/>
        </w:rPr>
      </w:pPr>
    </w:p>
    <w:p>
      <w:pPr>
        <w:jc w:val="both"/>
        <w:ind w:left="400" w:right="20" w:hanging="392"/>
        <w:spacing w:after="0" w:line="204" w:lineRule="auto"/>
        <w:tabs>
          <w:tab w:leader="none" w:pos="4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3" w:lineRule="exact"/>
        <w:rPr>
          <w:rFonts w:ascii="Arial" w:cs="Arial" w:eastAsia="Arial" w:hAnsi="Arial"/>
          <w:sz w:val="30"/>
          <w:szCs w:val="30"/>
          <w:color w:val="auto"/>
          <w:vertAlign w:val="superscript"/>
        </w:rPr>
      </w:pPr>
    </w:p>
    <w:p>
      <w:pPr>
        <w:jc w:val="both"/>
        <w:ind w:left="400" w:right="20" w:hanging="392"/>
        <w:spacing w:after="0" w:line="239" w:lineRule="auto"/>
        <w:tabs>
          <w:tab w:leader="none" w:pos="40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Financial Highlights for periods of less than one year are annualized and the ratios of operating expenses to average net assets and net investment loss to average net assets are adjusted accordingly. Non-recurring expenses were not annualized. For the three months ended September 30, 2011, for the period from January 6, 2011 (date of inception) to September 30, 2011 and for the period from January 6, 2011 (date of inception) to December 31, 2011, the Company incurred $6,336, $198,831 and $198,831 of organizational expenses, respectively, which were deemed to be non-recurring. Average net assets were calculated starting from the issuance of 100 shares on February 28, 2011.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currently taxable as a C corporation and subject to federal and state corporation income taxes. However, the Company recorded no current income tax expense or benefit during the three-month and nine-month periods ended September 30, 2012 since it had net operating loss carry-forwards from prior years and expects a net operating loss for the 2012 tax year.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recorded no deferred income tax expense or benefit during the three-month and nine-month periods ended September 30, 2012 since it provided a full valuation allowance for deferred tax assets, which consisted primarily of net operating losses and temporary differences based on realized losses and unrealized depreciation of investments for financial statement purposes. As of September 30, 2012, the total amount of gross deferred tax assets before valuation allowance was $6,927,402. The federal and state net operating losses will expire in 2031 through 2033. The federal and state capital loss will expire in 2017.</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provided a full valuation allowance for its deferred tax assets due to uncertainty of generating sufficient capital gains or taxable income in future periods to realize these assets. The Company will elect to be treated for federal income tax purposes as a RIC beginning with its 2013 taxable year and anticipates meeting all the requirements as a RIC. As a RIC, the Company generally will not pay corporate-level U.S. federal income taxes on any net ordinary income or capital gains that the Company distributes to its stockholders as dividends and claims dividends paid deductions to compute taxable income. A RIC will not be eligible to utilize net operating losses. However, the net operating losses may become available should the Company disqualify as a RIC and become a C corporation in the future</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26" w:name="page27"/>
    <w:bookmarkEnd w:id="26"/>
    <w:p>
      <w:pPr>
        <w:jc w:val="both"/>
        <w:ind w:firstLine="648"/>
        <w:spacing w:after="0" w:line="259" w:lineRule="auto"/>
        <w:rPr>
          <w:sz w:val="20"/>
          <w:szCs w:val="20"/>
          <w:color w:val="auto"/>
        </w:rPr>
      </w:pPr>
      <w:r>
        <w:rPr>
          <w:rFonts w:ascii="Arial" w:cs="Arial" w:eastAsia="Arial" w:hAnsi="Arial"/>
          <w:sz w:val="18"/>
          <w:szCs w:val="18"/>
          <w:color w:val="auto"/>
        </w:rPr>
        <w:t>The Company did not have any unrecognized tax benefits as of the period presented herein. The Company identified its major tax jurisdictions as U.S. federal and California. For the nine months ended September 30, 2012, no income tax expenses or related liabilities for uncertain tax positions were recognized for the Company’s open tax years from inception through 2012. The Company is not aware of any tax positions for which it is reasonably possible that the total amount of unrecognized tax benefits will change significantly in the next 12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September 30, 2012, the Company closed on investments of $4.7 million, plus transaction costs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$3,000,000, plus transaction costs, in Parchment, Inc., an education data company, on October 1,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$270,000, plus transaction costs, in Palantir Technologies, Inc., a cyber-security company, on October 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$735,000, plus transaction costs, in Control4 Corporation, a smart home automation company, on October 19,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$500,000, plus transaction costs, in Ozy Media, Inc., a social media company, on November 2,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$150,000, plus transaction costs, in Top Hat 430, Inc., an internet commerce company, on November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 looking statements contained in this quarterly report on Form 10-Q involve risks and uncertainties, including statements as to:</w:t>
      </w:r>
    </w:p>
    <w:p>
      <w:pPr>
        <w:spacing w:after="0" w:line="2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1"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consolidated financial statements and the related notes included in the annual report on Form 10-K for the year ended December 31, 2011 and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rapidly growing venture capital-backed emerging companies. We acquire our investments through secondary marketplaces for private companies, negotiations with selling stockholders and direct investments with prospective portfolio companies.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firstLine="648"/>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media, mobility, cloud computing, software-as-a-service, green technology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anticipate that substantially all of the net proceeds of our follow-on offerings, which closed in February and May 2012, will be used for the above purposes within six to 12 months, depending on the availability of investment opportunities that are consistent with our investment objectives and market conditions.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 As of September 30, 2012, we have completed investments in 44 companies for aggregate consideration of approximately $224.1 million (exclusive of transaction fees and costs), or 80.6% of the net proceeds from our initial public offering and subsequent follow-on offerings. We expect that the total number of portfolio companies in which we are invested will increase as our equity capital base grows.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28, 2011, we priced our initial public offering of 3,335,000 shares of our common stock at the offering price of $15.00 per share. The initial public offering closed on May 3, 2011, resulting in net proceeds to GSV Capital Corp. of approximately $46.5 million. On September 26, 2011, we priced a follow-on equity offering of 2,185,000 shares of our common stock at an offering price $14.15 per share. The follow-on equity offering included the full exercise of the underwriters’ option to purchase an additional 285,000 shares of our common stock, resulting in net proceeds to GSV Capital Corp. of approximately $29.6 million. On February 10, 2012, we priced a subsequent follow-on equity offering of 6,900,000 shares of our common stock at an offering price of $15.00 per share. The follow-on equity offering included the full exercise of the underwriters’ option to purchase an additional 900,000 shares of our common stock, resulting in net proceeds to GSV Capital Corp. of approximately $96.2 million. On May 11, 2012, we priced an additional follow-on equity offering of 6,900,000 shares of our common stock at an offering price of $16.25 per share. The follow-on offering included the full exercise of the underwriters’ option to purchase an additional 900,000 shares of our common stock, resulting in net proceeds to GSV Capital Corp. of approximately $105.4 million. Our shares are currently listed on the NASDAQ Capital Market under the symbol ‘‘GSVC’’.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our investments can be expected to fluctuate in future periods due to changes in our investments and changes in the fair value of the investments. The investments made during the nine months ended September 30, 2012 include: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$100,000, plus transaction costs, in AlwaysOn, LLC, a social media company, on January 10,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$200,000, plus transaction costs, in Maven Research, Inc., a global knowledge marketplace, on February 28,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AltEgo, LLC, an avatar technology and games developer, on February 29,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$4,000,000, plus transaction costs, in Chegg, Inc., an online textbook rental company, on March 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$150,000, plus transaction costs, in AlwaysOn, LLC, a social media company, on March 9, 2012.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closed on an investment of $250,000, plus transaction costs, in The Echo System Corp., a social analytics company, on March 21, 2012.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firstLine="648"/>
        <w:spacing w:after="0" w:line="277" w:lineRule="auto"/>
        <w:rPr>
          <w:sz w:val="20"/>
          <w:szCs w:val="20"/>
          <w:color w:val="auto"/>
        </w:rPr>
      </w:pPr>
      <w:r>
        <w:rPr>
          <w:rFonts w:ascii="Arial" w:cs="Arial" w:eastAsia="Arial" w:hAnsi="Arial"/>
          <w:sz w:val="18"/>
          <w:szCs w:val="18"/>
          <w:color w:val="auto"/>
        </w:rPr>
        <w:t>We closed on an investment of $1,000,000, plus transaction costs, in StormWind, LLC, an electronic marketing and business services platform, on March 23,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$855,000, plus transaction costs, in Bloom Energy Corporation, a fuel cell energy company, on March 28,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$2,000,000, plus transaction costs, in CUX, Inc., a corporate education company, on March 29,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$750,000, plus transaction costs, in The Echo System Corp., a social media company, on March 30,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$750,000, plus transaction costs, in The rSmart Group, Inc., a higher education learning platform, on March 30,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$1,143,800, plus transaction costs, in Bloom Energy Corporation, a fuel cell energy company, on April 4,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$9,999,996, plus transaction costs, in Violin Memory, Inc., a flash memory company, on April 11,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$4,000,000, plus transaction costs, in Top Hat, Inc., an internet commerce company, on April 13,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$2,369,500, $1,277,500 and $350,000, plus transaction costs, in Control4 Corporation, a smart home automation company, on April 18, 20102, April 19, 2012 and April 20, 2012, respectively.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an investment of $2,999,998, plus transaction costs, in Global Education Learning (Holdings) Ltd., an Asia-focused education technology company, on April 19, 2012.</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closed on investments of $5,312,492, $4,875,010 and $7,312,498, plus transaction costs, in Twitter, Inc., a social communication company, on April 25, 2012, April 27, 2012, and April 30,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$3,800,000, plus transaction costs, in Silver Spring Networks, Inc., a smart grid company, on May 1,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$1,969,996, plus transaction costs, in Fullbridge, Inc., a business education company, on May 4, 2012.</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closed on investments of $888,384 and $2,674,048, plus transaction costs, in Palantir Technologies, Inc., a cyber-security company, on May 7, 2012 and May 11,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$10,000,000, plus transaction costs, in Avenues World Holdings LLC, a globally-focused private school, on May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$6,858,500, plus transaction costs, in Dropbox, Inc., an online storage service, on May 11,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$200,000, plus transaction costs, in AltEgo, LLC, an avatar technology and games developer, on May 11,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$280,005, plus transaction costs, in Fullbridge, Inc., a business education company, on May 15,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$40,500, $67,500 and $540,000, plus transaction costs, in Palantir Technologies, Inc., a cyber-security company, on May 16, 2012, May 21, 2012 and May 22,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$4,800,000, plus transaction costs, in Violin Memory, Inc., a flash memory company, on May 22,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$1,000,000, plus transaction costs, in NestGSV, Inc., an entrepreneurial education company, on May 25,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$1,900,000, plus transaction costs, in Twitter, Inc., a social communication company, on June 1, 2012.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6"/>
          <w:szCs w:val="16"/>
          <w:color w:val="auto"/>
        </w:rPr>
        <w:t>We closed on an investment of $300,000, plus transaction costs, in AltEgo, LLC, an avatar technology and games developer, on June 15,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$10,000,000, plus transaction costs, in Solexel, Inc., a solar power company, on June 18,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$2,400,000 and $1,600,000, plus transaction costs, in Chegg, Inc., an online textbook rental company, on June 20, 2012 and June 25,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$7,500,000, plus transaction costs, in Kno, Inc., an education software company, on June 27,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$2,000,000, plus transaction costs, in Dailybreak, Inc., a social advertising company, on June 29,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$1,999,999, plus transaction costs, in Dataminr, Inc., a social media analytics company, on July 2,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$1,999,998, plus transaction costs, in Maven Research, Inc., a global knowledge marketplace, on July 2,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NestGSV Silicon Valley, LLC, an entrepreneurial education company, on July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$1,202,500, plus transaction costs, in Twitter, Inc., a social communication company, on July 10,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$10,000,000, plus transaction costs, in 2tor, Inc., an online education company, on July 16,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$5,000,000, plus transaction costs, in Totus Solutions, Inc., an LED lighting company, on July 20, 2012.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closed on investments of $999,999, $15,228,070 and $135,000, plus transaction costs, in Palantir Technologies, Inc., a cyber-security company, on July 24, 2012, July 27, 2012 and July 31,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$1,001,000, plus transaction costs, in Gilt Groupe, Inc., an eCommerce platform, on July 27,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$400,000, plus transaction costs, in AltEgo, LLC, an avatar technology and games developer, on August 7,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$500,000, plus transaction costs, in SinoLending Ltd, a Chinese P2P lending platform, on August 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$3,589,659, plus transaction costs, in Spotify Technology S.A., a music streaming service, on August 7,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$250,000, plus transaction costs in Neuron Fuel, Inc., a computer software company, on August 8,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$1,190,000, plus transaction costs, in Control4 Corporation, a smart home automation company, on August 15,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closed on an investment of $174,000, plus transaction costs, in Palantir Technologies, Inc., a cyber-security company, on August 24, 2012.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closed on an investment of $500,000, plus transaction costs, in Strategic Sports Solutions, LLC, a sports analytics company, on August 31, 2012.</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We closed on an investment of $1,760,000, plus transaction costs, in Dropbox, Inc., an online storage service, on September 4, 2012.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closed on an investment of $1,500,000, plus transaction costs, in Whittle Schools, LLC, an affiliate of Avenues World Holdings LLC, on September 6,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closed on an investment of $733,493, plus transaction costs, in AlwaysOn, Inc., a social media company, on September 7, 2012.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closed on an investment of $1,513,750, plus transaction costs, in SugarCRM Inc., a customer relationship management company, on September 12,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as of September 30, 2012, of all of our portfolio investments was $217,441,538. In addition, we held $16,000,000 in two money market funds as of September 30, 2012. We also held $26,331,482 in unrestricted cash on September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2012 and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September 30, 2012, we had investment income of $13,928, or $0.00 per share, which consisted of $7,063 of interest income from our portfolio investments and $6,865 of dividend income from our money market investments.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September 30, 2011, we had investment income of $53,408, or $0.02 per share, which consisted of $52,222 of interest income from our portfolio investments and $1,186 of dividend income from our money market investments.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investment income for the three months ended September 30, 2012 relative to the three months ended September 30, 2011 was primarily due to us no longer carrying fixed income investments as of September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months ended September 30, 2012, we had $2,348,496 in total operating expenses consisting primarily of investment management fees and administration fees, in addition to legal, audit and consulting fees. The investment advisory fee for the three months ended September 30, 2012, was $1,351,169, representing the base management fee as provided in our investment advisory agreement. Our base management fee was significantly higher than during the same period in 2011 as a result of the increase in our gross assets. Costs incurred under our administration agreement for the three months ended September 30, 2012, were $543,171. Professional fees, consisting of legal, valuation, audit and consulting fees, were approximately $242,683 for the three months ended September 30, 2012.</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September 30, 2011, we had $733,496 in total operating expenses consisting primarily of legal, audit and consulting fees, in addition to organizational expenses, investment management fees and administration fees. The investment advisory fee for the three months ended September 30, 2011 was $233,961, representing the base management fee as provided for in our investment advisory agreement. Costs incurred under our administration agreement for the three months ended September 30, 2011, were $192,031. Professional fees, consisting of legal, valuation, audit and consulting fees, were approximately $152,916 for the three months ended September 30,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September 30, 2012, we had a net change in unrealized depreciation of $4,665,272, or $0.24 per share. The change in unrealized depreciation is primarily a result of our investment in Facebook, Inc. Net investment loss was $2,334,568, or $0.12 per share, for the three months ended September 30, 2012, resulting primarily from operating expenses incurred during the quarter. Net decrease in net assets resulting from operations was $6,999,840, or $0.36 per share, for the three months ended September 30, 2012.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64" w:lineRule="auto"/>
        <w:rPr>
          <w:sz w:val="20"/>
          <w:szCs w:val="20"/>
          <w:color w:val="auto"/>
        </w:rPr>
      </w:pPr>
      <w:r>
        <w:rPr>
          <w:rFonts w:ascii="Arial" w:cs="Arial" w:eastAsia="Arial" w:hAnsi="Arial"/>
          <w:sz w:val="18"/>
          <w:szCs w:val="18"/>
          <w:color w:val="auto"/>
        </w:rPr>
        <w:t>For the three months ended September 30, 2011, we had a net change in unrealized depreciation of $494,170, or $0.14 per share. Net investment loss was $680,088, or $0.20 per share, for the three months ended September 30, 2011. Net decrease in net assets resulting from operations was $1,174,258, or $0.34 per share, for the three months ended September 30, 2011.</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 share figures noted above are based on a weighted-average of 19,320,100 and 3,430,100 shares outstanding for the three months ended September 30,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nine months ended September 30, 2012 and the period from January 6, 2011 (date of inception) to September 30, 2011</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January 6, 2011 was our date of inception and April 28, 2011 was the date of our initial public offering, the period from January 6, 2011 to September 30, 2011 is not a directly comparable period to the nine months ended September 30,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nine months ended September 30, 2012, we had investment income of $242,087, or $0.02 per share, which consisted of $222,047 of interest income from our portfolio investments and $20,040 of dividend income from our money market investments.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from January 6, 2011 (date of inception) to September 30, 2011, we had investment income of $53,408, or $0.02 per share, which consisted of $52,222 of interest income and $1,186 of dividend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nine months ended September 30, 2012, we had $5,750,776 in total operating expenses consisting primarily of investment management fees and administration fees, in addition to legal, audit and consulting fees. The investment advisory fee for the nine months ended September 30, 2012, was $3,099,186, representing the base management fee as provided in our investment advisory agreement. Our base management fee was significantly higher than the same period in 2011 as a result of the increase in our gross assets. Costs incurred under our administration agreement for the nine months ended September 30, 2012, were $1,490,966. Professional fees, consisting of legal, valuation, audit and consulting fees, were approximately $597,089 for the nine months ended September 30, 2012.</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period from January 6, 2011 (date of inception) to September 30, 2011, we had $1,409,609 in total operating expenses primarily of investment management fees and administration fees, in addition to legal, audit and consulting fees. The investment advisory fee for the period from January 6, 2011 (inception) to September 30, 2011 was $384,904, representing the base fee as provided for in our investment advisory agreement. Costs incurred under our administration agreement for the period from January 6, 2011 (inception) to September 30, 2011 were $305,066. Professional fees, consisting of legal, valuation, audit and consulting fees, were approximately $271,548 for the period from January 6, 2011 (inception) to September 30,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nine months ended September 30, 2012, we had a net change in unrealized depreciation of $5,668,589, or $0.38 per share. The change in unrealized depreciation is primarily a result of our investment in Facebook, Inc. We had a net realized loss of $1,380,519, or $0.09 per share, resulting primarily from our investment in PJB Fund LLC, which resulted from fluctuating share prices of Zynga, Inc. Net investment loss was $5,508,689, or $0.37 per share, for the nine months ended September 30, 2012, resulting primarily from operating expenses incurred during the period. Net decrease in net assets resulting from operations was $12,557,797, or $0.84 per share, for the nine months ended September 30, 2012.</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period from January 6, 2011 (date of inception) to September 30, 2011, we had a net change in unrealized depreciation of $553,804, or $0.23 per share. Net investment loss was $1,356,201, or $0.55 per share, for the period from January 6, 2011 (date of inception) to September 30, 2011. Net decrease in net assets resulting from operations was $1,910,005, or $0.78 per share, for the period from January 6, 2011 (date of inception) to September 30, 2011.</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 share figures noted above are based on a weighted-average of 15,013,896 and 2,460,565 shares outstanding for the nine months ended September 30, 2012 and for the period from January 6, 2011 (date of inception) to September 30, 2011,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2012, we had investments in 44 portfolio companies with costs totaling $224,689,927, two money market funds totaling $16,000,000 and cash in the amount of $26,331,482.</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10, 2012, we priced a follow-on equity offering of 6,900,000 shares of our common stock at an offering price of $15.00 per share. The follow-on equity offering included the full exercise of the underwriters’ option to purchase an additional 900,000 share of our common stock, resulting in net proceeds to GSV Capital Corp. of approximately $96.2 million. On May 11, 2012, we priced a subsequent follow-on equity offering of 6,900,000 shares of our common stock at an offering price of $16.25 per share. The follow-on equity offering included the full exercise of the underwriters’ option to purchase an additional 900,000 share of our common stock, resulting in net proceeds to GSV Capital Corp. of approximately $105.4 million. Our shares are currently listed on the NASDAQ Capital Market under the symbol ‘‘GSVC’’.</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primary use of cash is to make investments and to pay our operating expenses. We used substantially all of the proceeds of the offerings to invest in portfolio companies as of September 30, 2012, except for amounts retained for purposes of funding our ongoing expenses.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current policy is to maintain cash reserves in an amount sufficient to pay our operating expenses, including investment management fees, incentive fees and costs incurred under the administration agreement, for approximately two years. For a description of the investment advisory and administration services we receive, see ‘‘Related Party Transactions and Certain Relationships’’. We incurred approximately $1,351,169 and $3,099,186 in investment management fees and $543,171 and $1,490,966 in costs incurred under the administration agreement for the three and nine months ended September 30, 2012, respectively.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2012, the fair value of our portfolio investments was equal to the cost of the investments, net of unrealized depreciation representing transaction costs and any fair value adjustments. Fair value adjustments may include subsequent financing rounds, discounts due to lack of marketability, senior management changes or any other developments that factor into our valuations. The fair value of our investments can be expected to fluctuate in future periods due to changes in our investments and changes in the fair value of the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2012, we had no off-balance sheet arrangements, including any risk management of commodity pricing or other hedging practices. However, we may employ hedging and other risk management techniques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beginning with our 2013 taxable year. To obtain and maintain RIC tax treatment, we must, among other things, distribute at least 90% of our ordinary income and realized net short-term capital gains in excess of realized net long-term capital losses, if any, for each taxable year. In addition, in order to avoid certain excise taxes imposed on RICs, we currently intend to distribute during each calendar year an amount at least equal to the sum of (1) 98% of our ordinary income for the calendar year,</w:t>
      </w:r>
    </w:p>
    <w:p>
      <w:pPr>
        <w:spacing w:after="0" w:line="2" w:lineRule="exact"/>
        <w:rPr>
          <w:sz w:val="20"/>
          <w:szCs w:val="20"/>
          <w:color w:val="auto"/>
        </w:rPr>
      </w:pPr>
    </w:p>
    <w:p>
      <w:pPr>
        <w:jc w:val="both"/>
        <w:ind w:firstLine="8"/>
        <w:spacing w:after="0" w:line="268" w:lineRule="auto"/>
        <w:tabs>
          <w:tab w:leader="none" w:pos="262" w:val="left"/>
        </w:tabs>
        <w:numPr>
          <w:ilvl w:val="0"/>
          <w:numId w:val="17"/>
        </w:numPr>
        <w:rPr>
          <w:rFonts w:ascii="Arial" w:cs="Arial" w:eastAsia="Arial" w:hAnsi="Arial"/>
          <w:sz w:val="17"/>
          <w:szCs w:val="17"/>
          <w:color w:val="auto"/>
        </w:rPr>
      </w:pPr>
      <w:r>
        <w:rPr>
          <w:rFonts w:ascii="Arial" w:cs="Arial" w:eastAsia="Arial" w:hAnsi="Arial"/>
          <w:sz w:val="17"/>
          <w:szCs w:val="17"/>
          <w:color w:val="auto"/>
        </w:rPr>
        <w:t>98.2% of our capital gains in excess of capital losses for the one-year period ending on October 31 of the calendar year and (3) any ordinary income and net capital gains for preceding years that were not distributed during such years. Although we currently intend to distribute realized net capital gains (</w:t>
      </w:r>
      <w:r>
        <w:rPr>
          <w:rFonts w:ascii="Arial" w:cs="Arial" w:eastAsia="Arial" w:hAnsi="Arial"/>
          <w:sz w:val="17"/>
          <w:szCs w:val="17"/>
          <w:i w:val="1"/>
          <w:iCs w:val="1"/>
          <w:color w:val="auto"/>
        </w:rPr>
        <w:t>i.e.</w:t>
      </w:r>
      <w:r>
        <w:rPr>
          <w:rFonts w:ascii="Arial" w:cs="Arial" w:eastAsia="Arial" w:hAnsi="Arial"/>
          <w:sz w:val="17"/>
          <w:szCs w:val="17"/>
          <w:color w:val="auto"/>
        </w:rPr>
        <w:t>, net long-term capital gains in excess of net short-term capital losses), if any, at least annually, we may in the future decide to retain such capital gains for investment but designate the retained net capital gain as a “deemed distribution”.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ind w:firstLine="648"/>
        <w:spacing w:after="0" w:line="270"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borrowings outstanding as of September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entered into an investment advisory agreement with GSV Asset Management (the ‘‘Advisory Agreement’’) in connection with our initial public offering. Pursuant to the Advisory Agreement, GSV Asset Management will be paid a base annual fee of 2.00% of gross assets, and an annual incentive fee equal to the lesser of (i) 20% of the GSV Capital’s realized capital gains during each calendar year, if any, calculated on an investment-by-investment basis, subject to a non-compounded preferred return, or ‘‘hurdle,’’ and a ‘‘catch-up’’ feature, and (ii) 20% of the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$1,351,169 and $3,099,186 in base management fees and $0 in incentive fees for the three and nine months ended September 30, 2012, respectively.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2012, we were owed $3,315 from GSV Asset Management for reimbursement of expenses paid for by us that were the responsibility of GSV Asset Management.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as of September 30, 2012, we owed GSV Asset Management $41,197 for reimbursement of travel-related and other expenses. We owed certain officers and directors $917 in reimbursements for travel-related and other expenses.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$543,171 and $1,490,966 in such costs incurred under the Administration Agreement for the three and nine months ended September 30, 2012, respectively.</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648"/>
        <w:spacing w:after="0" w:line="312" w:lineRule="auto"/>
        <w:rPr>
          <w:sz w:val="20"/>
          <w:szCs w:val="20"/>
          <w:color w:val="auto"/>
        </w:rPr>
      </w:pPr>
      <w:r>
        <w:rPr>
          <w:rFonts w:ascii="Arial" w:cs="Arial" w:eastAsia="Arial" w:hAnsi="Arial"/>
          <w:sz w:val="16"/>
          <w:szCs w:val="16"/>
          <w:color w:val="auto"/>
        </w:rPr>
        <w:t>In April 2012, in connection with our investment in Top Hat, Inc., Cherry Tree &amp; Associates, LLC, an investment banking firm, received a fee of approximately $259,000 for its representation of Top Hat, Inc. Mark Moe, who is the brother of our Chief Executive Officer, Michael Moe, presently serves as a Managing Director of Cherry Tree &amp; Associates, LLC, and may therefore be deemed to have an indirect material interest in such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fair value measurement guidance classifies the inputs used to measure these fair values into the following hierarchy:</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the ability to access.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166"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9"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own assumptions about the assumptions a market participant would use in pricing the asset or liability.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 asset’s categorization within the valuation hierarchy is based upon the lowest level of input that is significant to the fair value measurement.</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648"/>
        <w:spacing w:after="0" w:line="259"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among other factors, in making our fair value determinations.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was taxed as a regular corporation (a “C corporation”) under subchapter C of the Internal Revenue Code of 1986, as amended, for its 2011 taxable year and will continue to be taxed as such for its 2012 taxable year, and uses the liability method of accounting for income taxes. Deferred tax assets and liabilities are recorded for temporary differences between the tax basis of assets and liabilities and their reported amounts in the consolidated financial statements, using statutory tax rates in effect for the year in which the temporary differences are expected to reverse. A valuation allowance is provided against deferred tax assets when it is more likely than not that some portion or all of the deferred tax assets will not be realized.</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Beginning with its 2013 taxable year, the Company intends to elect to be treated as a regulated investment company (“RIC”) under subchapter M of the Internal Revenue Code of 1986, as amended, and intends to operate in a manner so as to qualify for the tax treatment applicable to RICs. In order to qualify as a RIC, among other things, the Company is required to distribute to its stockholders on a timely basis at least 90% of investment company taxable income, as defined by the Code, for each year. So long as the Company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This accounting standard is effective prospectively for interim and annual reporting periods beginning after December 15, 2011. The adoption of this guidance did not have a significant impact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September 30, 2012, the Company closed on investments of $4.7 million, plus transaction costs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$3,000,000, plus transaction costs, in Parchment, Inc., an education data company, on October 1,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$270,000, plus transaction costs, in Palantir Technologies, Inc., a cyber-security company, on October 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closed on an investment of $735,000, plus transaction costs, in Control4 Corporation, a smart home automation company, on October 19, 2012.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6"/>
          <w:szCs w:val="16"/>
          <w:color w:val="auto"/>
        </w:rPr>
        <w:t>The Company closed on an investment of $500,000, plus transaction costs, in Ozy Media, Inc., a social media company, on November 2,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closed on an investment of $150,000, plus transaction costs, in Top Hat 430, Inc., an internet commerce company, on November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As of September 30, 2012,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September 30, 2012 that have materially affected, or are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fiscal year ended December 31, 2011,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With the exception of the risk factors set forth below, there have been no material changes during the nine months ended September 30, 2012 to the risk factors discussed in Item 1A. Risk Factors in our Annual Report on Form 10-K for the year ended December 31,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potential conflicts of interest, which could impact our investment returns and limit the flexibility of our investment policies.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entered into an Investment Advisory Agreement with GSV Asset Management. GSV Asset Management is controlled by Michael T. Moe, our president, chief executive officer and chairman of our board of directors and Stephen D. Bard, our chief financial officer, chief compliance officer, treasurer and corporate secretary. Messrs. Moe and Bard, as principals of GSV Asset Management, collectively manage the business and internal affairs of GSV Asset Management. In addition, GSV Capital Service Company provides us with office facilities and administrative services pursuant to an Administration Agreement. Mr. Moe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by GSV Asset Management.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GSV Capital has priority over such other funds. Our board of directors will monitor on a quarterly basis any such allocation of investment opportunities between GSV Capital and any such other funds.</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ind w:firstLine="648"/>
        <w:spacing w:after="0" w:line="273"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which creates conflicts of interest that our board of directors must monitor.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any future offerings may incur immediate and substantial dilution.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Commissions and discounts payable to any underwriters, together with our organizational expense and other expenses of any future offering, may reduce the net proceeds of any such offering available for us to invest. As of September 30, 2012 our net asset value was $259,859,254, or $13.45 per share. Depending upon the public offering price, and after deducting the underwriting discounts and commissions and the related offering expenses payable by us, in connection with any future offering, investors in any such offering may be subject to an immediate and substantial dilution.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640" w:type="dxa"/>
            <w:vAlign w:val="bottom"/>
          </w:tcPr>
          <w:p>
            <w:pPr>
              <w:ind w:left="140"/>
              <w:spacing w:after="0"/>
              <w:rPr>
                <w:sz w:val="20"/>
                <w:szCs w:val="20"/>
                <w:color w:val="auto"/>
              </w:rPr>
            </w:pPr>
            <w:r>
              <w:rPr>
                <w:rFonts w:ascii="Arial" w:cs="Arial" w:eastAsia="Arial" w:hAnsi="Arial"/>
                <w:sz w:val="18"/>
                <w:szCs w:val="18"/>
                <w:b w:val="1"/>
                <w:bCs w:val="1"/>
                <w:color w:val="auto"/>
              </w:rPr>
              <w:t>2. Unregistered Sales of Equity Securities and Use of Proceeds</w:t>
            </w:r>
          </w:p>
        </w:tc>
      </w:tr>
      <w:tr>
        <w:trPr>
          <w:trHeight w:val="540"/>
        </w:trPr>
        <w:tc>
          <w:tcPr>
            <w:tcW w:w="520" w:type="dxa"/>
            <w:vAlign w:val="bottom"/>
          </w:tcPr>
          <w:p>
            <w:pPr>
              <w:spacing w:after="0"/>
              <w:rPr>
                <w:sz w:val="24"/>
                <w:szCs w:val="24"/>
                <w:color w:val="auto"/>
              </w:rPr>
            </w:pPr>
          </w:p>
        </w:tc>
        <w:tc>
          <w:tcPr>
            <w:tcW w:w="10640" w:type="dxa"/>
            <w:vAlign w:val="bottom"/>
          </w:tcPr>
          <w:p>
            <w:pPr>
              <w:ind w:left="140"/>
              <w:spacing w:after="0"/>
              <w:rPr>
                <w:sz w:val="20"/>
                <w:szCs w:val="20"/>
                <w:color w:val="auto"/>
              </w:rPr>
            </w:pPr>
            <w:r>
              <w:rPr>
                <w:rFonts w:ascii="Arial" w:cs="Arial" w:eastAsia="Arial" w:hAnsi="Arial"/>
                <w:sz w:val="18"/>
                <w:szCs w:val="18"/>
                <w:color w:val="auto"/>
              </w:rPr>
              <w:t>Not applicable.</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640" w:type="dxa"/>
            <w:vAlign w:val="bottom"/>
          </w:tcPr>
          <w:p>
            <w:pPr>
              <w:ind w:left="140"/>
              <w:spacing w:after="0"/>
              <w:rPr>
                <w:sz w:val="20"/>
                <w:szCs w:val="20"/>
                <w:color w:val="auto"/>
              </w:rPr>
            </w:pPr>
            <w:r>
              <w:rPr>
                <w:rFonts w:ascii="Arial" w:cs="Arial" w:eastAsia="Arial" w:hAnsi="Arial"/>
                <w:sz w:val="18"/>
                <w:szCs w:val="18"/>
                <w:b w:val="1"/>
                <w:bCs w:val="1"/>
                <w:color w:val="auto"/>
              </w:rPr>
              <w:t>3. Defaults Upon Senior Securities</w:t>
            </w:r>
          </w:p>
        </w:tc>
      </w:tr>
      <w:tr>
        <w:trPr>
          <w:trHeight w:val="540"/>
        </w:trPr>
        <w:tc>
          <w:tcPr>
            <w:tcW w:w="520" w:type="dxa"/>
            <w:vAlign w:val="bottom"/>
          </w:tcPr>
          <w:p>
            <w:pPr>
              <w:spacing w:after="0"/>
              <w:rPr>
                <w:sz w:val="24"/>
                <w:szCs w:val="24"/>
                <w:color w:val="auto"/>
              </w:rPr>
            </w:pPr>
          </w:p>
        </w:tc>
        <w:tc>
          <w:tcPr>
            <w:tcW w:w="10640" w:type="dxa"/>
            <w:vAlign w:val="bottom"/>
          </w:tcPr>
          <w:p>
            <w:pPr>
              <w:ind w:left="140"/>
              <w:spacing w:after="0"/>
              <w:rPr>
                <w:sz w:val="20"/>
                <w:szCs w:val="20"/>
                <w:color w:val="auto"/>
              </w:rPr>
            </w:pPr>
            <w:r>
              <w:rPr>
                <w:rFonts w:ascii="Arial" w:cs="Arial" w:eastAsia="Arial" w:hAnsi="Arial"/>
                <w:sz w:val="18"/>
                <w:szCs w:val="18"/>
                <w:color w:val="auto"/>
              </w:rPr>
              <w:t>None.</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640" w:type="dxa"/>
            <w:vAlign w:val="bottom"/>
          </w:tcPr>
          <w:p>
            <w:pPr>
              <w:ind w:left="140"/>
              <w:spacing w:after="0"/>
              <w:rPr>
                <w:sz w:val="20"/>
                <w:szCs w:val="20"/>
                <w:color w:val="auto"/>
              </w:rPr>
            </w:pPr>
            <w:r>
              <w:rPr>
                <w:rFonts w:ascii="Arial" w:cs="Arial" w:eastAsia="Arial" w:hAnsi="Arial"/>
                <w:sz w:val="18"/>
                <w:szCs w:val="18"/>
                <w:b w:val="1"/>
                <w:bCs w:val="1"/>
                <w:color w:val="auto"/>
              </w:rPr>
              <w:t>4. Mine Safety Disclosure</w:t>
            </w:r>
          </w:p>
        </w:tc>
      </w:tr>
      <w:tr>
        <w:trPr>
          <w:trHeight w:val="540"/>
        </w:trPr>
        <w:tc>
          <w:tcPr>
            <w:tcW w:w="520" w:type="dxa"/>
            <w:vAlign w:val="bottom"/>
          </w:tcPr>
          <w:p>
            <w:pPr>
              <w:spacing w:after="0"/>
              <w:rPr>
                <w:sz w:val="24"/>
                <w:szCs w:val="24"/>
                <w:color w:val="auto"/>
              </w:rPr>
            </w:pPr>
          </w:p>
        </w:tc>
        <w:tc>
          <w:tcPr>
            <w:tcW w:w="10640" w:type="dxa"/>
            <w:vAlign w:val="bottom"/>
          </w:tcPr>
          <w:p>
            <w:pPr>
              <w:ind w:left="140"/>
              <w:spacing w:after="0"/>
              <w:rPr>
                <w:sz w:val="20"/>
                <w:szCs w:val="20"/>
                <w:color w:val="auto"/>
              </w:rPr>
            </w:pPr>
            <w:r>
              <w:rPr>
                <w:rFonts w:ascii="Arial" w:cs="Arial" w:eastAsia="Arial" w:hAnsi="Arial"/>
                <w:sz w:val="18"/>
                <w:szCs w:val="18"/>
                <w:color w:val="auto"/>
              </w:rPr>
              <w:t>Not applicable.</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640" w:type="dxa"/>
            <w:vAlign w:val="bottom"/>
          </w:tcPr>
          <w:p>
            <w:pPr>
              <w:ind w:left="140"/>
              <w:spacing w:after="0"/>
              <w:rPr>
                <w:sz w:val="20"/>
                <w:szCs w:val="20"/>
                <w:color w:val="auto"/>
              </w:rPr>
            </w:pPr>
            <w:r>
              <w:rPr>
                <w:rFonts w:ascii="Arial" w:cs="Arial" w:eastAsia="Arial" w:hAnsi="Arial"/>
                <w:sz w:val="18"/>
                <w:szCs w:val="18"/>
                <w:b w:val="1"/>
                <w:bCs w:val="1"/>
                <w:color w:val="auto"/>
              </w:rPr>
              <w:t>5. Other Information</w:t>
            </w:r>
          </w:p>
        </w:tc>
      </w:tr>
      <w:tr>
        <w:trPr>
          <w:trHeight w:val="540"/>
        </w:trPr>
        <w:tc>
          <w:tcPr>
            <w:tcW w:w="520" w:type="dxa"/>
            <w:vAlign w:val="bottom"/>
          </w:tcPr>
          <w:p>
            <w:pPr>
              <w:spacing w:after="0"/>
              <w:rPr>
                <w:sz w:val="24"/>
                <w:szCs w:val="24"/>
                <w:color w:val="auto"/>
              </w:rPr>
            </w:pPr>
          </w:p>
        </w:tc>
        <w:tc>
          <w:tcPr>
            <w:tcW w:w="10640" w:type="dxa"/>
            <w:vAlign w:val="bottom"/>
          </w:tcPr>
          <w:p>
            <w:pPr>
              <w:ind w:left="140"/>
              <w:spacing w:after="0"/>
              <w:rPr>
                <w:sz w:val="20"/>
                <w:szCs w:val="20"/>
                <w:color w:val="auto"/>
              </w:rPr>
            </w:pPr>
            <w:r>
              <w:rPr>
                <w:rFonts w:ascii="Arial" w:cs="Arial" w:eastAsia="Arial" w:hAnsi="Arial"/>
                <w:sz w:val="18"/>
                <w:szCs w:val="18"/>
                <w:color w:val="auto"/>
              </w:rPr>
              <w:t>Not applicable.</w:t>
            </w:r>
          </w:p>
        </w:tc>
      </w:tr>
      <w:tr>
        <w:trPr>
          <w:trHeight w:val="432"/>
        </w:trPr>
        <w:tc>
          <w:tcPr>
            <w:tcW w:w="5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10640" w:type="dxa"/>
            <w:vAlign w:val="bottom"/>
          </w:tcPr>
          <w:p>
            <w:pPr>
              <w:ind w:left="140"/>
              <w:spacing w:after="0"/>
              <w:rPr>
                <w:sz w:val="20"/>
                <w:szCs w:val="20"/>
                <w:color w:val="auto"/>
              </w:rPr>
            </w:pPr>
            <w:r>
              <w:rPr>
                <w:rFonts w:ascii="Arial" w:cs="Arial" w:eastAsia="Arial" w:hAnsi="Arial"/>
                <w:sz w:val="18"/>
                <w:szCs w:val="18"/>
                <w:b w:val="1"/>
                <w:bCs w:val="1"/>
                <w:color w:val="auto"/>
              </w:rPr>
              <w:t>6. Exhibits</w:t>
            </w:r>
          </w:p>
        </w:tc>
      </w:tr>
      <w:tr>
        <w:trPr>
          <w:trHeight w:val="540"/>
        </w:trPr>
        <w:tc>
          <w:tcPr>
            <w:tcW w:w="520" w:type="dxa"/>
            <w:vAlign w:val="bottom"/>
          </w:tcPr>
          <w:p>
            <w:pPr>
              <w:spacing w:after="0"/>
              <w:rPr>
                <w:sz w:val="24"/>
                <w:szCs w:val="24"/>
                <w:color w:val="auto"/>
              </w:rPr>
            </w:pPr>
          </w:p>
        </w:tc>
        <w:tc>
          <w:tcPr>
            <w:tcW w:w="10640" w:type="dxa"/>
            <w:vAlign w:val="bottom"/>
          </w:tcPr>
          <w:p>
            <w:pPr>
              <w:ind w:left="1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640" w:type="dxa"/>
            <w:vAlign w:val="bottom"/>
          </w:tcPr>
          <w:p>
            <w:pPr>
              <w:ind w:left="140"/>
              <w:spacing w:after="0"/>
              <w:rPr>
                <w:sz w:val="20"/>
                <w:szCs w:val="20"/>
                <w:color w:val="auto"/>
              </w:rPr>
            </w:pPr>
            <w:r>
              <w:rPr>
                <w:rFonts w:ascii="Arial" w:cs="Arial" w:eastAsia="Arial" w:hAnsi="Arial"/>
                <w:sz w:val="18"/>
                <w:szCs w:val="18"/>
                <w:color w:val="auto"/>
              </w:rPr>
              <w:t>Articles of Amendment and Restatement*</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640" w:type="dxa"/>
            <w:vAlign w:val="bottom"/>
          </w:tcPr>
          <w:p>
            <w:pPr>
              <w:ind w:left="140"/>
              <w:spacing w:after="0"/>
              <w:rPr>
                <w:sz w:val="20"/>
                <w:szCs w:val="20"/>
                <w:color w:val="auto"/>
              </w:rPr>
            </w:pPr>
            <w:r>
              <w:rPr>
                <w:rFonts w:ascii="Arial" w:cs="Arial" w:eastAsia="Arial" w:hAnsi="Arial"/>
                <w:sz w:val="18"/>
                <w:szCs w:val="18"/>
                <w:color w:val="auto"/>
              </w:rPr>
              <w:t>Articles of Amendment**</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10640" w:type="dxa"/>
            <w:vAlign w:val="bottom"/>
          </w:tcPr>
          <w:p>
            <w:pPr>
              <w:ind w:left="140"/>
              <w:spacing w:after="0"/>
              <w:rPr>
                <w:sz w:val="20"/>
                <w:szCs w:val="20"/>
                <w:color w:val="auto"/>
              </w:rPr>
            </w:pPr>
            <w:r>
              <w:rPr>
                <w:rFonts w:ascii="Arial" w:cs="Arial" w:eastAsia="Arial" w:hAnsi="Arial"/>
                <w:sz w:val="18"/>
                <w:szCs w:val="18"/>
                <w:color w:val="auto"/>
              </w:rPr>
              <w:t>Bylaws*</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640" w:type="dxa"/>
            <w:vAlign w:val="bottom"/>
          </w:tcPr>
          <w:p>
            <w:pPr>
              <w:ind w:left="140"/>
              <w:spacing w:after="0"/>
              <w:rPr>
                <w:sz w:val="20"/>
                <w:szCs w:val="20"/>
                <w:color w:val="auto"/>
              </w:rPr>
            </w:pPr>
            <w:r>
              <w:rPr>
                <w:rFonts w:ascii="Arial" w:cs="Arial" w:eastAsia="Arial" w:hAnsi="Arial"/>
                <w:sz w:val="18"/>
                <w:szCs w:val="18"/>
                <w:color w:val="auto"/>
              </w:rPr>
              <w:t>Form of Common Stock Certificate*</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tcPr>
          <w:p>
            <w:pPr>
              <w:ind w:left="140"/>
              <w:spacing w:after="0"/>
              <w:rPr>
                <w:sz w:val="20"/>
                <w:szCs w:val="20"/>
                <w:color w:val="auto"/>
              </w:rPr>
            </w:pPr>
            <w:r>
              <w:rPr>
                <w:rFonts w:ascii="Arial" w:cs="Arial" w:eastAsia="Arial" w:hAnsi="Arial"/>
                <w:sz w:val="18"/>
                <w:szCs w:val="18"/>
                <w:color w:val="auto"/>
              </w:rPr>
              <w:t>Form of Dividend Reinvestment Plan*</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640" w:type="dxa"/>
            <w:vAlign w:val="bottom"/>
          </w:tcPr>
          <w:p>
            <w:pPr>
              <w:ind w:left="140"/>
              <w:spacing w:after="0"/>
              <w:rPr>
                <w:sz w:val="20"/>
                <w:szCs w:val="20"/>
                <w:color w:val="auto"/>
              </w:rPr>
            </w:pPr>
            <w:r>
              <w:rPr>
                <w:rFonts w:ascii="Arial" w:cs="Arial" w:eastAsia="Arial" w:hAnsi="Arial"/>
                <w:sz w:val="18"/>
                <w:szCs w:val="18"/>
                <w:color w:val="auto"/>
                <w:w w:val="98"/>
              </w:rPr>
              <w:t>Investment Advisory Agreement by and between Registrant and GSV Asset Management, LLC (f/k/a NeXt Asset Management, LLC) *</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640" w:type="dxa"/>
            <w:vAlign w:val="bottom"/>
          </w:tcPr>
          <w:p>
            <w:pPr>
              <w:ind w:left="140"/>
              <w:spacing w:after="0"/>
              <w:rPr>
                <w:sz w:val="20"/>
                <w:szCs w:val="20"/>
                <w:color w:val="auto"/>
              </w:rPr>
            </w:pPr>
            <w:r>
              <w:rPr>
                <w:rFonts w:ascii="Arial" w:cs="Arial" w:eastAsia="Arial" w:hAnsi="Arial"/>
                <w:sz w:val="18"/>
                <w:szCs w:val="18"/>
                <w:color w:val="auto"/>
                <w:w w:val="92"/>
              </w:rPr>
              <w:t>Administration Agreement by and between Registrant and GSV Capital Service Company, LLC (f/k/a NeXt Innovation Service Company, LLC)*</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640" w:type="dxa"/>
            <w:vAlign w:val="bottom"/>
          </w:tcPr>
          <w:p>
            <w:pPr>
              <w:ind w:left="140"/>
              <w:spacing w:after="0"/>
              <w:rPr>
                <w:sz w:val="20"/>
                <w:szCs w:val="20"/>
                <w:color w:val="auto"/>
              </w:rPr>
            </w:pPr>
            <w:r>
              <w:rPr>
                <w:rFonts w:ascii="Arial" w:cs="Arial" w:eastAsia="Arial" w:hAnsi="Arial"/>
                <w:sz w:val="18"/>
                <w:szCs w:val="18"/>
                <w:color w:val="auto"/>
              </w:rPr>
              <w:t>Form of Indemnification Agreement by and between Registrant and each of its directors*</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640" w:type="dxa"/>
            <w:vAlign w:val="bottom"/>
          </w:tcPr>
          <w:p>
            <w:pPr>
              <w:ind w:left="140"/>
              <w:spacing w:after="0"/>
              <w:rPr>
                <w:sz w:val="20"/>
                <w:szCs w:val="20"/>
                <w:color w:val="auto"/>
              </w:rPr>
            </w:pPr>
            <w:r>
              <w:rPr>
                <w:rFonts w:ascii="Arial" w:cs="Arial" w:eastAsia="Arial" w:hAnsi="Arial"/>
                <w:sz w:val="18"/>
                <w:szCs w:val="18"/>
                <w:color w:val="auto"/>
              </w:rPr>
              <w:t>Form of Custody Agreement by and between Registrant and U.S. Bank National Association*</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10640" w:type="dxa"/>
            <w:vAlign w:val="bottom"/>
          </w:tcPr>
          <w:p>
            <w:pPr>
              <w:ind w:left="140"/>
              <w:spacing w:after="0"/>
              <w:rPr>
                <w:sz w:val="20"/>
                <w:szCs w:val="20"/>
                <w:color w:val="auto"/>
              </w:rPr>
            </w:pPr>
            <w:r>
              <w:rPr>
                <w:rFonts w:ascii="Arial" w:cs="Arial" w:eastAsia="Arial" w:hAnsi="Arial"/>
                <w:sz w:val="18"/>
                <w:szCs w:val="18"/>
                <w:color w:val="auto"/>
              </w:rPr>
              <w:t>Form of Trademark License Agreement by and between Registrant and GSV Asset Management, LLC**</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Rule 13a-14 of the Securities Exchange Act of 1934, as amended</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Rule 13a-14 of the Securities Exchange Act of 1934, as amended.</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1064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5" w:lineRule="exact"/>
        <w:rPr>
          <w:sz w:val="20"/>
          <w:szCs w:val="20"/>
          <w:color w:val="auto"/>
        </w:rPr>
      </w:pPr>
    </w:p>
    <w:p>
      <w:pPr>
        <w:ind w:firstLine="53"/>
        <w:spacing w:after="0" w:line="258"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 in connection with Current Report on Form 8-K (File No. 814-00852) filed on June 1, 2011.</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7, 2012</w:t>
      </w:r>
    </w:p>
    <w:p>
      <w:pPr>
        <w:spacing w:after="0" w:line="20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 Michael T. Moe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President and Chairman of the Board of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7, 2012</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color w:val="auto"/>
        </w:rPr>
        <w:t>s</w:t>
      </w:r>
      <w:r>
        <w:rPr>
          <w:rFonts w:ascii="Arial" w:cs="Arial" w:eastAsia="Arial" w:hAnsi="Arial"/>
          <w:sz w:val="15"/>
          <w:szCs w:val="15"/>
          <w:color w:val="auto"/>
        </w:rPr>
        <w:t>/ Stephen D. Bard</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43" w:name="page44"/>
    <w:bookmarkEnd w:id="43"/>
    <w:p>
      <w:pPr>
        <w:ind w:left="40"/>
        <w:spacing w:after="0"/>
        <w:rPr>
          <w:sz w:val="20"/>
          <w:szCs w:val="20"/>
          <w:color w:val="auto"/>
        </w:rPr>
      </w:pPr>
      <w:r>
        <w:rPr>
          <w:rFonts w:ascii="Arial" w:cs="Arial" w:eastAsia="Arial" w:hAnsi="Arial"/>
          <w:sz w:val="32"/>
          <w:szCs w:val="32"/>
          <w:b w:val="1"/>
          <w:bCs w:val="1"/>
          <w:color w:val="auto"/>
        </w:rPr>
        <w:t>Section 2: EX-31.1</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225"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656"/>
        <w:spacing w:after="0" w:line="277" w:lineRule="auto"/>
        <w:tabs>
          <w:tab w:leader="none" w:pos="8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64" w:lineRule="auto"/>
        <w:tabs>
          <w:tab w:leader="none" w:pos="9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308" w:lineRule="auto"/>
        <w:tabs>
          <w:tab w:leader="none" w:pos="947"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656"/>
        <w:spacing w:after="0" w:line="277" w:lineRule="auto"/>
        <w:tabs>
          <w:tab w:leader="none" w:pos="9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2012.</w:t>
      </w:r>
    </w:p>
    <w:p>
      <w:pPr>
        <w:spacing w:after="0" w:line="120"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2499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6" w:lineRule="exact"/>
        <w:rPr>
          <w:sz w:val="20"/>
          <w:szCs w:val="20"/>
          <w:color w:val="auto"/>
        </w:rPr>
      </w:pPr>
    </w:p>
    <w:p>
      <w:pPr>
        <w:jc w:val="center"/>
        <w:ind w:right="514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jc w:val="center"/>
        <w:ind w:right="51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44" w:name="page45"/>
    <w:bookmarkEnd w:id="44"/>
    <w:p>
      <w:pPr>
        <w:ind w:left="40"/>
        <w:spacing w:after="0"/>
        <w:rPr>
          <w:sz w:val="20"/>
          <w:szCs w:val="20"/>
          <w:color w:val="auto"/>
        </w:rPr>
      </w:pPr>
      <w:r>
        <w:rPr>
          <w:rFonts w:ascii="Arial" w:cs="Arial" w:eastAsia="Arial" w:hAnsi="Arial"/>
          <w:sz w:val="32"/>
          <w:szCs w:val="32"/>
          <w:b w:val="1"/>
          <w:bCs w:val="1"/>
          <w:color w:val="auto"/>
        </w:rPr>
        <w:t>Section 3: EX-31.2</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D. Bard, certify that:</w:t>
      </w:r>
    </w:p>
    <w:p>
      <w:pPr>
        <w:spacing w:after="0" w:line="225" w:lineRule="exact"/>
        <w:rPr>
          <w:sz w:val="20"/>
          <w:szCs w:val="20"/>
          <w:color w:val="auto"/>
        </w:rPr>
      </w:pPr>
    </w:p>
    <w:p>
      <w:pPr>
        <w:ind w:left="680" w:hanging="18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494"/>
        <w:spacing w:after="0" w:line="342" w:lineRule="auto"/>
        <w:tabs>
          <w:tab w:leader="none" w:pos="6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94"/>
        <w:spacing w:after="0" w:line="277" w:lineRule="auto"/>
        <w:tabs>
          <w:tab w:leader="none" w:pos="6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494"/>
        <w:spacing w:after="0" w:line="277" w:lineRule="auto"/>
        <w:tabs>
          <w:tab w:leader="none" w:pos="6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494"/>
        <w:spacing w:after="0" w:line="264" w:lineRule="auto"/>
        <w:tabs>
          <w:tab w:leader="none" w:pos="7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94"/>
        <w:spacing w:after="0" w:line="277" w:lineRule="auto"/>
        <w:tabs>
          <w:tab w:leader="none" w:pos="7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94"/>
        <w:spacing w:after="0" w:line="264" w:lineRule="auto"/>
        <w:tabs>
          <w:tab w:leader="none" w:pos="7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94"/>
        <w:spacing w:after="0" w:line="308" w:lineRule="auto"/>
        <w:tabs>
          <w:tab w:leader="none" w:pos="67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94"/>
        <w:spacing w:after="0" w:line="277" w:lineRule="auto"/>
        <w:tabs>
          <w:tab w:leader="none" w:pos="7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7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2012.</w:t>
      </w:r>
    </w:p>
    <w:p>
      <w:pPr>
        <w:spacing w:after="0" w:line="120"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34302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30270" cy="17145"/>
                    </a:xfrm>
                    <a:prstGeom prst="rect">
                      <a:avLst/>
                    </a:prstGeom>
                    <a:noFill/>
                  </pic:spPr>
                </pic:pic>
              </a:graphicData>
            </a:graphic>
          </wp:anchor>
        </w:drawing>
      </w:r>
    </w:p>
    <w:p>
      <w:pPr>
        <w:spacing w:after="0" w:line="16" w:lineRule="exact"/>
        <w:rPr>
          <w:sz w:val="20"/>
          <w:szCs w:val="20"/>
          <w:color w:val="auto"/>
        </w:rPr>
      </w:pPr>
    </w:p>
    <w:p>
      <w:pPr>
        <w:jc w:val="center"/>
        <w:ind w:right="5260"/>
        <w:spacing w:after="0"/>
        <w:rPr>
          <w:sz w:val="20"/>
          <w:szCs w:val="20"/>
          <w:color w:val="auto"/>
        </w:rPr>
      </w:pPr>
      <w:r>
        <w:rPr>
          <w:rFonts w:ascii="Arial" w:cs="Arial" w:eastAsia="Arial" w:hAnsi="Arial"/>
          <w:sz w:val="18"/>
          <w:szCs w:val="18"/>
          <w:b w:val="1"/>
          <w:bCs w:val="1"/>
          <w:color w:val="auto"/>
        </w:rPr>
        <w:t>Stephen D. Bard</w:t>
      </w:r>
    </w:p>
    <w:p>
      <w:pPr>
        <w:spacing w:after="0" w:line="27" w:lineRule="exact"/>
        <w:rPr>
          <w:sz w:val="20"/>
          <w:szCs w:val="20"/>
          <w:color w:val="auto"/>
        </w:rPr>
      </w:pPr>
    </w:p>
    <w:p>
      <w:pPr>
        <w:jc w:val="center"/>
        <w:ind w:right="52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45" w:name="page46"/>
    <w:bookmarkEnd w:id="45"/>
    <w:p>
      <w:pPr>
        <w:ind w:left="40"/>
        <w:spacing w:after="0"/>
        <w:rPr>
          <w:sz w:val="20"/>
          <w:szCs w:val="20"/>
          <w:color w:val="auto"/>
        </w:rPr>
      </w:pPr>
      <w:r>
        <w:rPr>
          <w:rFonts w:ascii="Arial" w:cs="Arial" w:eastAsia="Arial" w:hAnsi="Arial"/>
          <w:sz w:val="32"/>
          <w:szCs w:val="32"/>
          <w:b w:val="1"/>
          <w:bCs w:val="1"/>
          <w:color w:val="auto"/>
        </w:rPr>
        <w:t>Section 4: EX-32.1</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2012 (the “Report”) of GSV Capital Corp. (the “Registrant”), as filed with the Securities and Exchange Commission on the date hereof, I, Michael T. Moe, the Chief Executive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T. Moe</w:t>
            </w:r>
          </w:p>
        </w:tc>
        <w:tc>
          <w:tcPr>
            <w:tcW w:w="5720" w:type="dxa"/>
            <w:vAlign w:val="bottom"/>
          </w:tcPr>
          <w:p>
            <w:pPr>
              <w:spacing w:after="0"/>
              <w:rPr>
                <w:sz w:val="20"/>
                <w:szCs w:val="20"/>
                <w:color w:val="auto"/>
              </w:rPr>
            </w:pPr>
          </w:p>
        </w:tc>
      </w:tr>
      <w:tr>
        <w:trPr>
          <w:trHeight w:val="198"/>
        </w:trPr>
        <w:tc>
          <w:tcPr>
            <w:tcW w:w="700" w:type="dxa"/>
            <w:vAlign w:val="bottom"/>
          </w:tcPr>
          <w:p>
            <w:pPr>
              <w:spacing w:after="0" w:line="198" w:lineRule="exact"/>
              <w:rPr>
                <w:sz w:val="20"/>
                <w:szCs w:val="20"/>
                <w:color w:val="auto"/>
              </w:rPr>
            </w:pPr>
            <w:r>
              <w:rPr>
                <w:rFonts w:ascii="Arial" w:cs="Arial" w:eastAsia="Arial" w:hAnsi="Arial"/>
                <w:sz w:val="18"/>
                <w:szCs w:val="18"/>
                <w:b w:val="1"/>
                <w:bCs w:val="1"/>
                <w:color w:val="auto"/>
              </w:rPr>
              <w:t>Name:</w:t>
            </w:r>
          </w:p>
        </w:tc>
        <w:tc>
          <w:tcPr>
            <w:tcW w:w="5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Michael T. Moe</w:t>
            </w:r>
          </w:p>
        </w:tc>
        <w:tc>
          <w:tcPr>
            <w:tcW w:w="5720" w:type="dxa"/>
            <w:vAlign w:val="bottom"/>
          </w:tcPr>
          <w:p>
            <w:pPr>
              <w:spacing w:after="0"/>
              <w:rPr>
                <w:sz w:val="17"/>
                <w:szCs w:val="17"/>
                <w:color w:val="auto"/>
              </w:rPr>
            </w:pPr>
          </w:p>
        </w:tc>
      </w:t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0"/>
              </w:rPr>
              <w:t>November 7, 2012</w:t>
            </w:r>
          </w:p>
        </w:tc>
        <w:tc>
          <w:tcPr>
            <w:tcW w:w="5720" w:type="dxa"/>
            <w:vAlign w:val="bottom"/>
          </w:tcPr>
          <w:p>
            <w:pPr>
              <w:spacing w:after="0"/>
              <w:rPr>
                <w:sz w:val="20"/>
                <w:szCs w:val="20"/>
                <w:color w:val="auto"/>
              </w:rPr>
            </w:pPr>
          </w:p>
        </w:tc>
      </w:tr>
      <w:tr>
        <w:trPr>
          <w:trHeight w:val="648"/>
        </w:trPr>
        <w:tc>
          <w:tcPr>
            <w:tcW w:w="7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46" w:name="page47"/>
    <w:bookmarkEnd w:id="46"/>
    <w:p>
      <w:pPr>
        <w:ind w:left="40"/>
        <w:spacing w:after="0"/>
        <w:rPr>
          <w:sz w:val="20"/>
          <w:szCs w:val="20"/>
          <w:color w:val="auto"/>
        </w:rPr>
      </w:pPr>
      <w:r>
        <w:rPr>
          <w:rFonts w:ascii="Arial" w:cs="Arial" w:eastAsia="Arial" w:hAnsi="Arial"/>
          <w:sz w:val="32"/>
          <w:szCs w:val="32"/>
          <w:b w:val="1"/>
          <w:bCs w:val="1"/>
          <w:color w:val="auto"/>
        </w:rPr>
        <w:t>Section 5: EX-32.2</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September 30, 2012 (the “Report”) of GSV Capital Corp. (the “Registrant”), as filed with the Securities and Exchange Commission on the date hereof, I, Stephen D. Bard, the Chief Financial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51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9"/>
              </w:rPr>
              <w:t>/s/ Stephen D. Bard</w:t>
            </w:r>
          </w:p>
        </w:tc>
        <w:tc>
          <w:tcPr>
            <w:tcW w:w="5720" w:type="dxa"/>
            <w:vAlign w:val="bottom"/>
          </w:tcPr>
          <w:p>
            <w:pPr>
              <w:spacing w:after="0"/>
              <w:rPr>
                <w:sz w:val="20"/>
                <w:szCs w:val="20"/>
                <w:color w:val="auto"/>
              </w:rPr>
            </w:pPr>
          </w:p>
        </w:tc>
      </w:tr>
      <w:tr>
        <w:trPr>
          <w:trHeight w:val="198"/>
        </w:trPr>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Name:</w:t>
            </w:r>
          </w:p>
        </w:tc>
        <w:tc>
          <w:tcPr>
            <w:tcW w:w="5180" w:type="dxa"/>
            <w:vAlign w:val="bottom"/>
          </w:tcPr>
          <w:p>
            <w:pPr>
              <w:jc w:val="center"/>
              <w:ind w:left="130"/>
              <w:spacing w:after="0" w:line="198" w:lineRule="exact"/>
              <w:rPr>
                <w:sz w:val="20"/>
                <w:szCs w:val="20"/>
                <w:color w:val="auto"/>
              </w:rPr>
            </w:pPr>
            <w:r>
              <w:rPr>
                <w:rFonts w:ascii="Arial" w:cs="Arial" w:eastAsia="Arial" w:hAnsi="Arial"/>
                <w:sz w:val="18"/>
                <w:szCs w:val="18"/>
                <w:b w:val="1"/>
                <w:bCs w:val="1"/>
                <w:color w:val="auto"/>
                <w:w w:val="91"/>
              </w:rPr>
              <w:t>Stephen D. Bard</w:t>
            </w:r>
          </w:p>
        </w:tc>
        <w:tc>
          <w:tcPr>
            <w:tcW w:w="5720" w:type="dxa"/>
            <w:vAlign w:val="bottom"/>
          </w:tcPr>
          <w:p>
            <w:pPr>
              <w:spacing w:after="0"/>
              <w:rPr>
                <w:sz w:val="17"/>
                <w:szCs w:val="17"/>
                <w:color w:val="auto"/>
              </w:rPr>
            </w:pPr>
          </w:p>
        </w:tc>
      </w:t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518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November 7, 2012</w:t>
            </w:r>
          </w:p>
        </w:tc>
        <w:tc>
          <w:tcPr>
            <w:tcW w:w="5720" w:type="dxa"/>
            <w:vAlign w:val="bottom"/>
          </w:tcPr>
          <w:p>
            <w:pPr>
              <w:spacing w:after="0"/>
              <w:rPr>
                <w:sz w:val="20"/>
                <w:szCs w:val="20"/>
                <w:color w:val="auto"/>
              </w:rPr>
            </w:pPr>
          </w:p>
        </w:tc>
      </w:tr>
      <w:tr>
        <w:trPr>
          <w:trHeight w:val="648"/>
        </w:trPr>
        <w:tc>
          <w:tcPr>
            <w:tcW w:w="5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2019-12-09T20:12:02Z</dcterms:created>
  <dcterms:modified xsi:type="dcterms:W3CDTF">2019-12-09T20:12:02Z</dcterms:modified>
</cp:coreProperties>
</file>