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14" w:lineRule="auto"/>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____________________________</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ind w:left="4360"/>
        <w:spacing w:after="0" w:line="222" w:lineRule="auto"/>
        <w:rPr>
          <w:sz w:val="20"/>
          <w:szCs w:val="20"/>
          <w:color w:val="auto"/>
        </w:rPr>
      </w:pPr>
      <w:r>
        <w:rPr>
          <w:rFonts w:ascii="Arial" w:cs="Arial" w:eastAsia="Arial" w:hAnsi="Arial"/>
          <w:sz w:val="18"/>
          <w:szCs w:val="18"/>
          <w:color w:val="auto"/>
        </w:rPr>
        <w:t>____________________________</w:t>
      </w:r>
    </w:p>
    <w:p>
      <w:pPr>
        <w:spacing w:after="0" w:line="226" w:lineRule="auto"/>
        <w:rPr>
          <w:sz w:val="20"/>
          <w:szCs w:val="20"/>
          <w:color w:val="auto"/>
        </w:rPr>
      </w:pPr>
      <w:r>
        <w:rPr>
          <w:rFonts w:ascii="Arial" w:cs="Arial" w:eastAsia="Arial" w:hAnsi="Arial"/>
          <w:sz w:val="16"/>
          <w:szCs w:val="16"/>
          <w:b w:val="1"/>
          <w:bCs w:val="1"/>
          <w:color w:val="auto"/>
        </w:rPr>
        <w:t>(Mark One)</w:t>
      </w:r>
    </w:p>
    <w:p>
      <w:pPr>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ANNUAL REPORT PURSUANT TO SECTION 13 OR 15(d) OF THE SECURITIES EXCHANGE ACT OF 1934</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 xml:space="preserve">FOR THE FISCAL YEAR ENDED </w:t>
      </w:r>
      <w:r>
        <w:rPr>
          <w:rFonts w:ascii="Arial" w:cs="Arial" w:eastAsia="Arial" w:hAnsi="Arial"/>
          <w:sz w:val="17"/>
          <w:szCs w:val="17"/>
          <w:b w:val="1"/>
          <w:bCs w:val="1"/>
          <w:color w:val="auto"/>
        </w:rPr>
        <w:t>December 31, 2020</w:t>
      </w:r>
    </w:p>
    <w:p>
      <w:pPr>
        <w:spacing w:after="0" w:line="93" w:lineRule="exact"/>
        <w:rPr>
          <w:sz w:val="24"/>
          <w:szCs w:val="24"/>
          <w:color w:val="auto"/>
        </w:rPr>
      </w:pPr>
    </w:p>
    <w:p>
      <w:pPr>
        <w:ind w:left="4080" w:right="2800" w:hanging="4072"/>
        <w:spacing w:after="0" w:line="351" w:lineRule="auto"/>
        <w:tabs>
          <w:tab w:leader="none" w:pos="194"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814-00852</w:t>
      </w:r>
    </w:p>
    <w:p>
      <w:pPr>
        <w:spacing w:after="0" w:line="1" w:lineRule="exact"/>
        <w:rPr>
          <w:rFonts w:ascii="MS PGothic" w:cs="MS PGothic" w:eastAsia="MS PGothic" w:hAnsi="MS PGothic"/>
          <w:sz w:val="16"/>
          <w:szCs w:val="16"/>
          <w:color w:val="auto"/>
        </w:rPr>
      </w:pPr>
    </w:p>
    <w:p>
      <w:pPr>
        <w:ind w:left="4460"/>
        <w:spacing w:after="0"/>
        <w:rPr>
          <w:rFonts w:ascii="MS PGothic" w:cs="MS PGothic" w:eastAsia="MS PGothic" w:hAnsi="MS PGothic"/>
          <w:sz w:val="16"/>
          <w:szCs w:val="16"/>
          <w:color w:val="auto"/>
        </w:rPr>
      </w:pPr>
      <w:r>
        <w:rPr>
          <w:rFonts w:ascii="Arial" w:cs="Arial" w:eastAsia="Arial" w:hAnsi="Arial"/>
          <w:sz w:val="18"/>
          <w:szCs w:val="18"/>
          <w:color w:val="auto"/>
        </w:rPr>
        <w:t>__________________________</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SuRo Capital Corp.</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4360"/>
        <w:spacing w:after="0"/>
        <w:rPr>
          <w:sz w:val="20"/>
          <w:szCs w:val="20"/>
          <w:color w:val="auto"/>
        </w:rPr>
      </w:pPr>
      <w:r>
        <w:rPr>
          <w:rFonts w:ascii="Arial" w:cs="Arial" w:eastAsia="Arial" w:hAnsi="Arial"/>
          <w:sz w:val="18"/>
          <w:szCs w:val="18"/>
          <w:color w:val="auto"/>
        </w:rPr>
        <w:t>____________________________</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210"/>
        </w:trPr>
        <w:tc>
          <w:tcPr>
            <w:tcW w:w="4000" w:type="dxa"/>
            <w:vAlign w:val="bottom"/>
          </w:tcPr>
          <w:p>
            <w:pPr>
              <w:jc w:val="center"/>
              <w:ind w:left="1483"/>
              <w:spacing w:after="0"/>
              <w:rPr>
                <w:sz w:val="20"/>
                <w:szCs w:val="20"/>
                <w:color w:val="auto"/>
              </w:rPr>
            </w:pPr>
            <w:r>
              <w:rPr>
                <w:rFonts w:ascii="Arial" w:cs="Arial" w:eastAsia="Arial" w:hAnsi="Arial"/>
                <w:sz w:val="16"/>
                <w:szCs w:val="16"/>
                <w:b w:val="1"/>
                <w:bCs w:val="1"/>
                <w:color w:val="auto"/>
                <w:w w:val="96"/>
              </w:rPr>
              <w:t>Maryland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80" w:type="dxa"/>
            <w:vAlign w:val="bottom"/>
          </w:tcPr>
          <w:p>
            <w:pPr>
              <w:jc w:val="right"/>
              <w:ind w:right="2364"/>
              <w:spacing w:after="0"/>
              <w:rPr>
                <w:sz w:val="20"/>
                <w:szCs w:val="20"/>
                <w:color w:val="auto"/>
              </w:rPr>
            </w:pPr>
            <w:r>
              <w:rPr>
                <w:rFonts w:ascii="Arial" w:cs="Arial" w:eastAsia="Arial" w:hAnsi="Arial"/>
                <w:sz w:val="16"/>
                <w:szCs w:val="16"/>
                <w:b w:val="1"/>
                <w:bCs w:val="1"/>
                <w:color w:val="auto"/>
              </w:rPr>
              <w:t>27-4443543</w:t>
            </w:r>
          </w:p>
        </w:tc>
      </w:tr>
      <w:tr>
        <w:trPr>
          <w:trHeight w:val="183"/>
        </w:trPr>
        <w:tc>
          <w:tcPr>
            <w:tcW w:w="4000" w:type="dxa"/>
            <w:vAlign w:val="bottom"/>
          </w:tcPr>
          <w:p>
            <w:pPr>
              <w:jc w:val="center"/>
              <w:ind w:left="1483"/>
              <w:spacing w:after="0"/>
              <w:rPr>
                <w:sz w:val="20"/>
                <w:szCs w:val="20"/>
                <w:color w:val="auto"/>
              </w:rPr>
            </w:pPr>
            <w:r>
              <w:rPr>
                <w:rFonts w:ascii="Arial" w:cs="Arial" w:eastAsia="Arial" w:hAnsi="Arial"/>
                <w:sz w:val="14"/>
                <w:szCs w:val="14"/>
                <w:color w:val="auto"/>
                <w:w w:val="95"/>
              </w:rPr>
              <w:t>(State of incorporation)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80" w:type="dxa"/>
            <w:vAlign w:val="bottom"/>
          </w:tcPr>
          <w:p>
            <w:pPr>
              <w:jc w:val="center"/>
              <w:ind w:right="1584"/>
              <w:spacing w:after="0"/>
              <w:rPr>
                <w:sz w:val="20"/>
                <w:szCs w:val="20"/>
                <w:color w:val="auto"/>
              </w:rPr>
            </w:pPr>
            <w:r>
              <w:rPr>
                <w:rFonts w:ascii="Arial" w:cs="Arial" w:eastAsia="Arial" w:hAnsi="Arial"/>
                <w:sz w:val="14"/>
                <w:szCs w:val="14"/>
                <w:color w:val="auto"/>
                <w:w w:val="96"/>
              </w:rPr>
              <w:t>(I.R.S. Employer Identification No.)</w:t>
            </w:r>
          </w:p>
        </w:tc>
      </w:tr>
      <w:tr>
        <w:trPr>
          <w:trHeight w:val="222"/>
        </w:trPr>
        <w:tc>
          <w:tcPr>
            <w:tcW w:w="7220" w:type="dxa"/>
            <w:vAlign w:val="bottom"/>
            <w:gridSpan w:val="6"/>
          </w:tcPr>
          <w:p>
            <w:pPr>
              <w:jc w:val="center"/>
              <w:ind w:right="1660"/>
              <w:spacing w:after="0"/>
              <w:rPr>
                <w:sz w:val="20"/>
                <w:szCs w:val="20"/>
                <w:color w:val="auto"/>
              </w:rPr>
            </w:pPr>
            <w:r>
              <w:rPr>
                <w:rFonts w:ascii="Arial" w:cs="Arial" w:eastAsia="Arial" w:hAnsi="Arial"/>
                <w:sz w:val="16"/>
                <w:szCs w:val="16"/>
                <w:b w:val="1"/>
                <w:bCs w:val="1"/>
                <w:color w:val="auto"/>
                <w:w w:val="90"/>
              </w:rPr>
              <w:t>One Sansome Street, Suite 730, San Francisco, CA</w:t>
            </w:r>
          </w:p>
        </w:tc>
        <w:tc>
          <w:tcPr>
            <w:tcW w:w="3980" w:type="dxa"/>
            <w:vAlign w:val="bottom"/>
          </w:tcPr>
          <w:p>
            <w:pPr>
              <w:jc w:val="right"/>
              <w:ind w:right="2544"/>
              <w:spacing w:after="0"/>
              <w:rPr>
                <w:sz w:val="20"/>
                <w:szCs w:val="20"/>
                <w:color w:val="auto"/>
              </w:rPr>
            </w:pPr>
            <w:r>
              <w:rPr>
                <w:rFonts w:ascii="Arial" w:cs="Arial" w:eastAsia="Arial" w:hAnsi="Arial"/>
                <w:sz w:val="16"/>
                <w:szCs w:val="16"/>
                <w:b w:val="1"/>
                <w:bCs w:val="1"/>
                <w:color w:val="auto"/>
              </w:rPr>
              <w:t>94104</w:t>
            </w:r>
          </w:p>
        </w:tc>
      </w:tr>
      <w:tr>
        <w:trPr>
          <w:trHeight w:val="183"/>
        </w:trPr>
        <w:tc>
          <w:tcPr>
            <w:tcW w:w="4000" w:type="dxa"/>
            <w:vAlign w:val="bottom"/>
          </w:tcPr>
          <w:p>
            <w:pPr>
              <w:jc w:val="center"/>
              <w:ind w:left="1483"/>
              <w:spacing w:after="0"/>
              <w:rPr>
                <w:sz w:val="20"/>
                <w:szCs w:val="20"/>
                <w:color w:val="auto"/>
              </w:rPr>
            </w:pPr>
            <w:r>
              <w:rPr>
                <w:rFonts w:ascii="Arial" w:cs="Arial" w:eastAsia="Arial" w:hAnsi="Arial"/>
                <w:sz w:val="14"/>
                <w:szCs w:val="14"/>
                <w:color w:val="auto"/>
                <w:w w:val="95"/>
              </w:rPr>
              <w:t>(Address of principal executive offices)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980" w:type="dxa"/>
            <w:vAlign w:val="bottom"/>
          </w:tcPr>
          <w:p>
            <w:pPr>
              <w:jc w:val="center"/>
              <w:ind w:right="1584"/>
              <w:spacing w:after="0"/>
              <w:rPr>
                <w:sz w:val="20"/>
                <w:szCs w:val="20"/>
                <w:color w:val="auto"/>
              </w:rPr>
            </w:pPr>
            <w:r>
              <w:rPr>
                <w:rFonts w:ascii="Arial" w:cs="Arial" w:eastAsia="Arial" w:hAnsi="Arial"/>
                <w:sz w:val="14"/>
                <w:szCs w:val="14"/>
                <w:color w:val="auto"/>
                <w:w w:val="96"/>
              </w:rPr>
              <w:t>(Zip Code)</w:t>
            </w:r>
          </w:p>
        </w:tc>
      </w:tr>
      <w:tr>
        <w:trPr>
          <w:trHeight w:val="276"/>
        </w:trPr>
        <w:tc>
          <w:tcPr>
            <w:tcW w:w="4000" w:type="dxa"/>
            <w:vAlign w:val="bottom"/>
          </w:tcPr>
          <w:p>
            <w:pPr>
              <w:spacing w:after="0"/>
              <w:rPr>
                <w:sz w:val="24"/>
                <w:szCs w:val="24"/>
                <w:color w:val="auto"/>
              </w:rPr>
            </w:pPr>
          </w:p>
        </w:tc>
        <w:tc>
          <w:tcPr>
            <w:tcW w:w="2720" w:type="dxa"/>
            <w:vAlign w:val="bottom"/>
            <w:gridSpan w:val="3"/>
          </w:tcPr>
          <w:p>
            <w:pPr>
              <w:jc w:val="center"/>
              <w:ind w:left="364"/>
              <w:spacing w:after="0"/>
              <w:rPr>
                <w:sz w:val="20"/>
                <w:szCs w:val="20"/>
                <w:color w:val="auto"/>
              </w:rPr>
            </w:pPr>
            <w:r>
              <w:rPr>
                <w:rFonts w:ascii="Arial" w:cs="Arial" w:eastAsia="Arial" w:hAnsi="Arial"/>
                <w:sz w:val="16"/>
                <w:szCs w:val="16"/>
                <w:b w:val="1"/>
                <w:bCs w:val="1"/>
                <w:color w:val="auto"/>
                <w:w w:val="91"/>
              </w:rPr>
              <w:t>(650) 235-4769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181"/>
        </w:trPr>
        <w:tc>
          <w:tcPr>
            <w:tcW w:w="4000" w:type="dxa"/>
            <w:vAlign w:val="bottom"/>
          </w:tcPr>
          <w:p>
            <w:pPr>
              <w:spacing w:after="0"/>
              <w:rPr>
                <w:sz w:val="15"/>
                <w:szCs w:val="15"/>
                <w:color w:val="auto"/>
              </w:rPr>
            </w:pPr>
          </w:p>
        </w:tc>
        <w:tc>
          <w:tcPr>
            <w:tcW w:w="3220" w:type="dxa"/>
            <w:vAlign w:val="bottom"/>
            <w:gridSpan w:val="5"/>
          </w:tcPr>
          <w:p>
            <w:pPr>
              <w:jc w:val="center"/>
              <w:ind w:right="60"/>
              <w:spacing w:after="0"/>
              <w:rPr>
                <w:sz w:val="20"/>
                <w:szCs w:val="20"/>
                <w:color w:val="auto"/>
              </w:rPr>
            </w:pPr>
            <w:r>
              <w:rPr>
                <w:rFonts w:ascii="Arial" w:cs="Arial" w:eastAsia="Arial" w:hAnsi="Arial"/>
                <w:sz w:val="14"/>
                <w:szCs w:val="14"/>
                <w:color w:val="auto"/>
                <w:w w:val="92"/>
              </w:rPr>
              <w:t>(Registrant’s telephone number, including area code)</w:t>
            </w:r>
          </w:p>
        </w:tc>
        <w:tc>
          <w:tcPr>
            <w:tcW w:w="3980" w:type="dxa"/>
            <w:vAlign w:val="bottom"/>
          </w:tcPr>
          <w:p>
            <w:pPr>
              <w:spacing w:after="0"/>
              <w:rPr>
                <w:sz w:val="15"/>
                <w:szCs w:val="15"/>
                <w:color w:val="auto"/>
              </w:rPr>
            </w:pPr>
          </w:p>
        </w:tc>
      </w:tr>
      <w:tr>
        <w:trPr>
          <w:trHeight w:val="210"/>
        </w:trPr>
        <w:tc>
          <w:tcPr>
            <w:tcW w:w="11200" w:type="dxa"/>
            <w:vAlign w:val="bottom"/>
            <w:gridSpan w:val="7"/>
          </w:tcPr>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203"/>
        </w:trPr>
        <w:tc>
          <w:tcPr>
            <w:tcW w:w="4000" w:type="dxa"/>
            <w:vAlign w:val="bottom"/>
            <w:tcBorders>
              <w:bottom w:val="single" w:sz="8" w:color="auto"/>
            </w:tcBorders>
          </w:tcPr>
          <w:p>
            <w:pPr>
              <w:jc w:val="center"/>
              <w:ind w:left="83"/>
              <w:spacing w:after="0"/>
              <w:rPr>
                <w:sz w:val="20"/>
                <w:szCs w:val="20"/>
                <w:color w:val="auto"/>
              </w:rPr>
            </w:pPr>
            <w:r>
              <w:rPr>
                <w:rFonts w:ascii="Arial" w:cs="Arial" w:eastAsia="Arial" w:hAnsi="Arial"/>
                <w:sz w:val="14"/>
                <w:szCs w:val="14"/>
                <w:b w:val="1"/>
                <w:bCs w:val="1"/>
                <w:color w:val="auto"/>
                <w:w w:val="93"/>
              </w:rPr>
              <w:t>Title of Each Class</w:t>
            </w:r>
          </w:p>
        </w:tc>
        <w:tc>
          <w:tcPr>
            <w:tcW w:w="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98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09"/>
        </w:trPr>
        <w:tc>
          <w:tcPr>
            <w:tcW w:w="4000" w:type="dxa"/>
            <w:vAlign w:val="bottom"/>
          </w:tcPr>
          <w:p>
            <w:pPr>
              <w:jc w:val="center"/>
              <w:ind w:left="83"/>
              <w:spacing w:after="0"/>
              <w:rPr>
                <w:sz w:val="20"/>
                <w:szCs w:val="20"/>
                <w:color w:val="auto"/>
              </w:rPr>
            </w:pPr>
            <w:r>
              <w:rPr>
                <w:rFonts w:ascii="Arial" w:cs="Arial" w:eastAsia="Arial" w:hAnsi="Arial"/>
                <w:sz w:val="16"/>
                <w:szCs w:val="16"/>
                <w:color w:val="auto"/>
                <w:w w:val="90"/>
              </w:rPr>
              <w:t>Common Stock, par value $0.01 per share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gridSpan w:val="3"/>
          </w:tcPr>
          <w:p>
            <w:pPr>
              <w:jc w:val="center"/>
              <w:ind w:right="520"/>
              <w:spacing w:after="0"/>
              <w:rPr>
                <w:sz w:val="20"/>
                <w:szCs w:val="20"/>
                <w:color w:val="auto"/>
              </w:rPr>
            </w:pPr>
            <w:r>
              <w:rPr>
                <w:rFonts w:ascii="Arial" w:cs="Arial" w:eastAsia="Arial" w:hAnsi="Arial"/>
                <w:sz w:val="16"/>
                <w:szCs w:val="16"/>
                <w:color w:val="auto"/>
                <w:w w:val="84"/>
              </w:rPr>
              <w:t>SSSS</w:t>
            </w:r>
          </w:p>
        </w:tc>
        <w:tc>
          <w:tcPr>
            <w:tcW w:w="3980" w:type="dxa"/>
            <w:vAlign w:val="bottom"/>
          </w:tcPr>
          <w:p>
            <w:pPr>
              <w:jc w:val="center"/>
              <w:ind w:right="304"/>
              <w:spacing w:after="0"/>
              <w:rPr>
                <w:sz w:val="20"/>
                <w:szCs w:val="20"/>
                <w:color w:val="auto"/>
              </w:rPr>
            </w:pPr>
            <w:r>
              <w:rPr>
                <w:rFonts w:ascii="Arial" w:cs="Arial" w:eastAsia="Arial" w:hAnsi="Arial"/>
                <w:sz w:val="16"/>
                <w:szCs w:val="16"/>
                <w:color w:val="auto"/>
                <w:w w:val="93"/>
              </w:rPr>
              <w:t>Nasdaq Capital Market</w:t>
            </w:r>
          </w:p>
        </w:tc>
      </w:tr>
    </w:tbl>
    <w:p>
      <w:pPr>
        <w:spacing w:after="0" w:line="235" w:lineRule="exact"/>
        <w:rPr>
          <w:sz w:val="24"/>
          <w:szCs w:val="24"/>
          <w:color w:val="auto"/>
        </w:rPr>
      </w:pPr>
    </w:p>
    <w:p>
      <w:pPr>
        <w:ind w:left="380" w:right="2340" w:firstLine="2295"/>
        <w:spacing w:after="0" w:line="290" w:lineRule="auto"/>
        <w:rPr>
          <w:sz w:val="20"/>
          <w:szCs w:val="20"/>
          <w:color w:val="auto"/>
        </w:rPr>
      </w:pPr>
      <w:r>
        <w:rPr>
          <w:rFonts w:ascii="Arial" w:cs="Arial" w:eastAsia="Arial" w:hAnsi="Arial"/>
          <w:sz w:val="14"/>
          <w:szCs w:val="14"/>
          <w:b w:val="1"/>
          <w:bCs w:val="1"/>
          <w:color w:val="auto"/>
        </w:rPr>
        <w:t xml:space="preserve">SECURITIES REGISTERED PURSUANT TO SECTION 12(g) OF THE ACT: None </w:t>
      </w:r>
      <w:r>
        <w:rPr>
          <w:rFonts w:ascii="Arial" w:cs="Arial" w:eastAsia="Arial" w:hAnsi="Arial"/>
          <w:sz w:val="14"/>
          <w:szCs w:val="14"/>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spacing w:after="0" w:line="1" w:lineRule="exact"/>
        <w:rPr>
          <w:sz w:val="24"/>
          <w:szCs w:val="24"/>
          <w:color w:val="auto"/>
        </w:rPr>
      </w:pPr>
    </w:p>
    <w:p>
      <w:pPr>
        <w:ind w:right="40" w:firstLine="364"/>
        <w:spacing w:after="0" w:line="246"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periods as the registrant was required to file such reports), and (2) has been subject to such filing requirements for the past 90 days. Yes x No o</w:t>
      </w:r>
    </w:p>
    <w:p>
      <w:pPr>
        <w:spacing w:after="0" w:line="1" w:lineRule="exact"/>
        <w:rPr>
          <w:sz w:val="24"/>
          <w:szCs w:val="24"/>
          <w:color w:val="auto"/>
        </w:rPr>
      </w:pPr>
    </w:p>
    <w:p>
      <w:pPr>
        <w:ind w:right="40" w:firstLine="364"/>
        <w:spacing w:after="0" w:line="246"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o No o</w:t>
      </w:r>
    </w:p>
    <w:p>
      <w:pPr>
        <w:spacing w:after="0" w:line="1" w:lineRule="exact"/>
        <w:rPr>
          <w:sz w:val="24"/>
          <w:szCs w:val="24"/>
          <w:color w:val="auto"/>
        </w:rPr>
      </w:pPr>
    </w:p>
    <w:p>
      <w:pPr>
        <w:ind w:firstLine="364"/>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29" w:right="339" w:bottom="1440" w:gutter="0" w:footer="0" w:header="0"/>
        </w:sectPr>
      </w:pPr>
    </w:p>
    <w:p>
      <w:pPr>
        <w:spacing w:after="0" w:line="111" w:lineRule="exact"/>
        <w:rPr>
          <w:sz w:val="24"/>
          <w:szCs w:val="24"/>
          <w:color w:val="auto"/>
        </w:rPr>
      </w:pPr>
    </w:p>
    <w:p>
      <w:pPr>
        <w:ind w:left="360"/>
        <w:spacing w:after="0"/>
        <w:rPr>
          <w:sz w:val="20"/>
          <w:szCs w:val="20"/>
          <w:color w:val="auto"/>
        </w:rPr>
      </w:pPr>
      <w:r>
        <w:rPr>
          <w:rFonts w:ascii="Arial" w:cs="Arial" w:eastAsia="Arial" w:hAnsi="Arial"/>
          <w:sz w:val="14"/>
          <w:szCs w:val="14"/>
          <w:color w:val="auto"/>
        </w:rPr>
        <w:t>Large accelerated filer o</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44" w:lineRule="exact"/>
        <w:rPr>
          <w:sz w:val="24"/>
          <w:szCs w:val="24"/>
          <w:color w:val="auto"/>
        </w:rPr>
      </w:pPr>
    </w:p>
    <w:p>
      <w:pPr>
        <w:sectPr>
          <w:pgSz w:w="11900" w:h="16838" w:orient="portrait"/>
          <w:cols w:equalWidth="0" w:num="2">
            <w:col w:w="7040" w:space="720"/>
            <w:col w:w="348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Non-accelerated filer x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55" w:lineRule="exact"/>
        <w:rPr>
          <w:sz w:val="24"/>
          <w:szCs w:val="24"/>
          <w:color w:val="auto"/>
        </w:rPr>
      </w:pPr>
    </w:p>
    <w:p>
      <w:pPr>
        <w:sectPr>
          <w:pgSz w:w="11900" w:h="16838" w:orient="portrait"/>
          <w:cols w:equalWidth="0" w:num="2">
            <w:col w:w="7040" w:space="720"/>
            <w:col w:w="3480"/>
          </w:cols>
          <w:pgMar w:left="320" w:top="229" w:right="3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240"/>
          </w:cols>
          <w:pgMar w:left="320" w:top="229" w:right="339" w:bottom="1440" w:gutter="0" w:footer="0" w:header="0"/>
          <w:type w:val="continuous"/>
        </w:sectPr>
      </w:pPr>
    </w:p>
    <w:p>
      <w:pPr>
        <w:spacing w:after="0" w:line="45" w:lineRule="exact"/>
        <w:rPr>
          <w:sz w:val="24"/>
          <w:szCs w:val="24"/>
          <w:color w:val="auto"/>
        </w:rPr>
      </w:pPr>
    </w:p>
    <w:p>
      <w:pPr>
        <w:ind w:right="220" w:firstLine="364"/>
        <w:spacing w:after="0" w:line="25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3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7" w:lineRule="exact"/>
        <w:rPr>
          <w:sz w:val="24"/>
          <w:szCs w:val="24"/>
          <w:color w:val="auto"/>
        </w:rPr>
      </w:pPr>
    </w:p>
    <w:p>
      <w:pPr>
        <w:ind w:right="220" w:firstLine="364"/>
        <w:spacing w:after="0" w:line="281" w:lineRule="auto"/>
        <w:rPr>
          <w:sz w:val="20"/>
          <w:szCs w:val="20"/>
          <w:color w:val="auto"/>
        </w:rPr>
      </w:pPr>
      <w:r>
        <w:rPr>
          <w:rFonts w:ascii="Arial" w:cs="Arial" w:eastAsia="Arial" w:hAnsi="Arial"/>
          <w:sz w:val="14"/>
          <w:szCs w:val="14"/>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o</w:t>
      </w:r>
    </w:p>
    <w:p>
      <w:pPr>
        <w:spacing w:after="0" w:line="1" w:lineRule="exact"/>
        <w:rPr>
          <w:sz w:val="24"/>
          <w:szCs w:val="24"/>
          <w:color w:val="auto"/>
        </w:rPr>
      </w:pPr>
    </w:p>
    <w:p>
      <w:pPr>
        <w:ind w:right="20" w:firstLine="364"/>
        <w:spacing w:after="0" w:line="246" w:lineRule="auto"/>
        <w:rPr>
          <w:sz w:val="20"/>
          <w:szCs w:val="20"/>
          <w:color w:val="auto"/>
        </w:rPr>
      </w:pPr>
      <w:r>
        <w:rPr>
          <w:rFonts w:ascii="Arial" w:cs="Arial" w:eastAsia="Arial" w:hAnsi="Arial"/>
          <w:sz w:val="16"/>
          <w:szCs w:val="16"/>
          <w:color w:val="auto"/>
        </w:rPr>
        <w:t>The aggregate market value of common stock beneficially owned by non-affiliates of the Registrant on June 30, 2020, based on the closing price on that date of $8.47 on the Nasdaq Capital Market, was $134,683,935. For the purposes of calculating this amount only, all interested directors and executive officers of the Registrant have been treated as affiliates. There were 20,215,458 shares of the Registrant’s common stock outstanding as of March 11,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5" w:lineRule="exact"/>
        <w:rPr>
          <w:sz w:val="24"/>
          <w:szCs w:val="24"/>
          <w:color w:val="auto"/>
        </w:rPr>
      </w:pPr>
    </w:p>
    <w:p>
      <w:pPr>
        <w:ind w:right="140" w:firstLine="364"/>
        <w:spacing w:after="0" w:line="251" w:lineRule="auto"/>
        <w:rPr>
          <w:sz w:val="20"/>
          <w:szCs w:val="20"/>
          <w:color w:val="auto"/>
        </w:rPr>
      </w:pPr>
      <w:r>
        <w:rPr>
          <w:rFonts w:ascii="Arial" w:cs="Arial" w:eastAsia="Arial" w:hAnsi="Arial"/>
          <w:sz w:val="16"/>
          <w:szCs w:val="16"/>
          <w:color w:val="auto"/>
        </w:rPr>
        <w:t>Portions of the Registrant’s definitive proxy statement relating to the Registrant’s 2021 annual meeting of stockholders (the “2021 Proxy Statement”), to be filed with the Securities and Exchange Commission (the “SEC”) within 120 days following the end of the Registrant’s fiscal year, are incorporated by reference in Part III of this annual report on Form 10-K as indicated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51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520" w:type="dxa"/>
            <w:vAlign w:val="bottom"/>
          </w:tcPr>
          <w:p>
            <w:pPr>
              <w:ind w:left="640"/>
              <w:spacing w:after="0"/>
              <w:rPr>
                <w:sz w:val="20"/>
                <w:szCs w:val="20"/>
                <w:color w:val="auto"/>
              </w:rPr>
            </w:pPr>
            <w:r>
              <w:rPr>
                <w:rFonts w:ascii="Arial" w:cs="Arial" w:eastAsia="Arial" w:hAnsi="Arial"/>
                <w:sz w:val="18"/>
                <w:szCs w:val="18"/>
                <w:b w:val="1"/>
                <w:bCs w:val="1"/>
                <w:color w:val="auto"/>
              </w:rPr>
              <w:t>SURO CAPITAL CORP.</w:t>
            </w:r>
          </w:p>
        </w:tc>
        <w:tc>
          <w:tcPr>
            <w:tcW w:w="680" w:type="dxa"/>
            <w:vAlign w:val="bottom"/>
          </w:tcPr>
          <w:p>
            <w:pPr>
              <w:spacing w:after="0"/>
              <w:rPr>
                <w:sz w:val="20"/>
                <w:szCs w:val="20"/>
                <w:color w:val="auto"/>
              </w:rPr>
            </w:pPr>
          </w:p>
        </w:tc>
      </w:tr>
      <w:tr>
        <w:trPr>
          <w:trHeight w:val="459"/>
        </w:trPr>
        <w:tc>
          <w:tcPr>
            <w:tcW w:w="9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520" w:type="dxa"/>
            <w:vAlign w:val="bottom"/>
          </w:tcPr>
          <w:p>
            <w:pPr>
              <w:ind w:left="64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4"/>
                <w:szCs w:val="24"/>
                <w:color w:val="auto"/>
              </w:rPr>
            </w:pPr>
          </w:p>
        </w:tc>
      </w:tr>
      <w:tr>
        <w:trPr>
          <w:trHeight w:val="548"/>
        </w:trPr>
        <w:tc>
          <w:tcPr>
            <w:tcW w:w="96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1540" w:type="dxa"/>
            <w:vAlign w:val="bottom"/>
            <w:tcBorders>
              <w:bottom w:val="single" w:sz="8" w:color="CCEEFF"/>
            </w:tcBorders>
          </w:tcPr>
          <w:p>
            <w:pPr>
              <w:spacing w:after="0"/>
              <w:rPr>
                <w:sz w:val="24"/>
                <w:szCs w:val="24"/>
                <w:color w:val="auto"/>
              </w:rPr>
            </w:pPr>
          </w:p>
        </w:tc>
        <w:tc>
          <w:tcPr>
            <w:tcW w:w="65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1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65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Item 1.</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Business</w:t>
              </w:r>
            </w:hyperlink>
          </w:p>
        </w:tc>
        <w:tc>
          <w:tcPr>
            <w:tcW w:w="68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1A.</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Risk Factors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16</w:t>
              </w:r>
            </w:hyperlink>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Item 1B.</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Unresolved Staff Comments</w:t>
              </w:r>
            </w:hyperlink>
          </w:p>
        </w:tc>
        <w:tc>
          <w:tcPr>
            <w:tcW w:w="68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2.</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Properties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Item 3.</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Legal Proceedings</w:t>
              </w:r>
            </w:hyperlink>
          </w:p>
        </w:tc>
        <w:tc>
          <w:tcPr>
            <w:tcW w:w="68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4.</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Mine Safety Disclosures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46</w:t>
              </w:r>
            </w:hyperlink>
          </w:p>
        </w:tc>
      </w:tr>
      <w:tr>
        <w:trPr>
          <w:trHeight w:val="243"/>
        </w:trPr>
        <w:tc>
          <w:tcPr>
            <w:tcW w:w="9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52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5.</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Market for Registrant’s Common Equity, Related Stockholder Matters and Issuer Purchases of Equity Securities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47</w:t>
              </w:r>
            </w:hyperlink>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Item 6.</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Selected Financial Data</w:t>
              </w:r>
            </w:hyperlink>
          </w:p>
        </w:tc>
        <w:tc>
          <w:tcPr>
            <w:tcW w:w="680" w:type="dxa"/>
            <w:vAlign w:val="bottom"/>
          </w:tcPr>
          <w:p>
            <w:pPr>
              <w:jc w:val="right"/>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54</w:t>
              </w:r>
            </w:hyperlink>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7.</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Management’s Discussion and Analysis of Financial Condition and Results of Operations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55</w:t>
              </w:r>
            </w:hyperlink>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Item 7A.</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Quantitative and Qualitative Disclosures About Market Risk</w:t>
              </w:r>
            </w:hyperlink>
          </w:p>
        </w:tc>
        <w:tc>
          <w:tcPr>
            <w:tcW w:w="680" w:type="dxa"/>
            <w:vAlign w:val="bottom"/>
          </w:tcPr>
          <w:p>
            <w:pPr>
              <w:jc w:val="right"/>
              <w:spacing w:after="0"/>
              <w:rPr>
                <w:rFonts w:ascii="Arial" w:cs="Arial" w:eastAsia="Arial" w:hAnsi="Arial"/>
                <w:sz w:val="18"/>
                <w:szCs w:val="18"/>
                <w:u w:val="single" w:color="auto"/>
                <w:color w:val="0000FF"/>
              </w:rPr>
            </w:pPr>
            <w:hyperlink w:anchor="page72">
              <w:r>
                <w:rPr>
                  <w:rFonts w:ascii="Arial" w:cs="Arial" w:eastAsia="Arial" w:hAnsi="Arial"/>
                  <w:sz w:val="18"/>
                  <w:szCs w:val="18"/>
                  <w:u w:val="single" w:color="auto"/>
                  <w:color w:val="0000FF"/>
                </w:rPr>
                <w:t>70</w:t>
              </w:r>
            </w:hyperlink>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8.</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Financial Statements and Supplementary Data</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73">
              <w:r>
                <w:rPr>
                  <w:rFonts w:ascii="Arial" w:cs="Arial" w:eastAsia="Arial" w:hAnsi="Arial"/>
                  <w:sz w:val="18"/>
                  <w:szCs w:val="18"/>
                  <w:u w:val="single" w:color="auto"/>
                  <w:color w:val="0000FF"/>
                </w:rPr>
                <w:t>71</w:t>
              </w:r>
            </w:hyperlink>
          </w:p>
        </w:tc>
      </w:tr>
      <w:tr>
        <w:trPr>
          <w:trHeight w:val="229"/>
        </w:trPr>
        <w:tc>
          <w:tcPr>
            <w:tcW w:w="960" w:type="dxa"/>
            <w:vAlign w:val="bottom"/>
          </w:tcPr>
          <w:p>
            <w:pPr>
              <w:ind w:left="20"/>
              <w:spacing w:after="0"/>
              <w:rPr>
                <w:sz w:val="20"/>
                <w:szCs w:val="20"/>
                <w:color w:val="auto"/>
              </w:rPr>
            </w:pPr>
            <w:r>
              <w:rPr>
                <w:rFonts w:ascii="Arial" w:cs="Arial" w:eastAsia="Arial" w:hAnsi="Arial"/>
                <w:sz w:val="18"/>
                <w:szCs w:val="18"/>
                <w:color w:val="auto"/>
              </w:rPr>
              <w:t>Item 9.</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Changes in and Disagreements with Accountants on Accounting and Financial Disclosure</w:t>
              </w:r>
            </w:hyperlink>
          </w:p>
        </w:tc>
        <w:tc>
          <w:tcPr>
            <w:tcW w:w="680" w:type="dxa"/>
            <w:vAlign w:val="bottom"/>
          </w:tcPr>
          <w:p>
            <w:pPr>
              <w:jc w:val="right"/>
              <w:spacing w:after="0"/>
              <w:rPr>
                <w:rFonts w:ascii="Arial" w:cs="Arial" w:eastAsia="Arial" w:hAnsi="Arial"/>
                <w:sz w:val="18"/>
                <w:szCs w:val="18"/>
                <w:u w:val="single" w:color="auto"/>
                <w:color w:val="0000FF"/>
              </w:rPr>
            </w:pPr>
            <w:hyperlink w:anchor="page138">
              <w:r>
                <w:rPr>
                  <w:rFonts w:ascii="Arial" w:cs="Arial" w:eastAsia="Arial" w:hAnsi="Arial"/>
                  <w:sz w:val="18"/>
                  <w:szCs w:val="18"/>
                  <w:u w:val="single" w:color="auto"/>
                  <w:color w:val="0000FF"/>
                </w:rPr>
                <w:t>137</w:t>
              </w:r>
            </w:hyperlink>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9A.</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Controls and Procedures</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137</w:t>
              </w:r>
            </w:hyperlink>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Item 9B.</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Other Information</w:t>
              </w:r>
            </w:hyperlink>
          </w:p>
        </w:tc>
        <w:tc>
          <w:tcPr>
            <w:tcW w:w="680" w:type="dxa"/>
            <w:vAlign w:val="bottom"/>
          </w:tcPr>
          <w:p>
            <w:pPr>
              <w:jc w:val="right"/>
              <w:spacing w:after="0"/>
              <w:rPr>
                <w:rFonts w:ascii="Arial" w:cs="Arial" w:eastAsia="Arial" w:hAnsi="Arial"/>
                <w:sz w:val="18"/>
                <w:szCs w:val="18"/>
                <w:u w:val="single" w:color="auto"/>
                <w:color w:val="0000FF"/>
              </w:rPr>
            </w:pPr>
            <w:hyperlink w:anchor="page139">
              <w:r>
                <w:rPr>
                  <w:rFonts w:ascii="Arial" w:cs="Arial" w:eastAsia="Arial" w:hAnsi="Arial"/>
                  <w:sz w:val="18"/>
                  <w:szCs w:val="18"/>
                  <w:u w:val="single" w:color="auto"/>
                  <w:color w:val="0000FF"/>
                </w:rPr>
                <w:t>138</w:t>
              </w:r>
            </w:hyperlink>
          </w:p>
        </w:tc>
      </w:tr>
      <w:tr>
        <w:trPr>
          <w:trHeight w:val="243"/>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III.</w:t>
            </w:r>
          </w:p>
        </w:tc>
        <w:tc>
          <w:tcPr>
            <w:tcW w:w="14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5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Item 10.</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Directors, Executive Officers and Corporate Governance</w:t>
              </w:r>
            </w:hyperlink>
          </w:p>
        </w:tc>
        <w:tc>
          <w:tcPr>
            <w:tcW w:w="680" w:type="dxa"/>
            <w:vAlign w:val="bottom"/>
          </w:tcPr>
          <w:p>
            <w:pPr>
              <w:jc w:val="right"/>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139</w:t>
              </w:r>
            </w:hyperlink>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11.</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Executive Compensation</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139</w:t>
              </w:r>
            </w:hyperlink>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Item 12.</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Security Ownership of Certain Beneficial Owners and Management and Related Stockholder Matters</w:t>
              </w:r>
            </w:hyperlink>
          </w:p>
        </w:tc>
        <w:tc>
          <w:tcPr>
            <w:tcW w:w="680" w:type="dxa"/>
            <w:vAlign w:val="bottom"/>
          </w:tcPr>
          <w:p>
            <w:pPr>
              <w:jc w:val="right"/>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139</w:t>
              </w:r>
            </w:hyperlink>
          </w:p>
        </w:tc>
      </w:tr>
      <w:tr>
        <w:trPr>
          <w:trHeight w:val="23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13.</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Certain Relationships and Related Transactions, and Director Independence</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139</w:t>
              </w:r>
            </w:hyperlink>
          </w:p>
        </w:tc>
      </w:tr>
      <w:tr>
        <w:trPr>
          <w:trHeight w:val="189"/>
        </w:trPr>
        <w:tc>
          <w:tcPr>
            <w:tcW w:w="960" w:type="dxa"/>
            <w:vAlign w:val="bottom"/>
          </w:tcPr>
          <w:p>
            <w:pPr>
              <w:ind w:left="20"/>
              <w:spacing w:after="0" w:line="189" w:lineRule="exact"/>
              <w:rPr>
                <w:sz w:val="20"/>
                <w:szCs w:val="20"/>
                <w:color w:val="auto"/>
              </w:rPr>
            </w:pPr>
            <w:r>
              <w:rPr>
                <w:rFonts w:ascii="Arial" w:cs="Arial" w:eastAsia="Arial" w:hAnsi="Arial"/>
                <w:sz w:val="18"/>
                <w:szCs w:val="18"/>
                <w:color w:val="auto"/>
              </w:rPr>
              <w:t>Item 14.</w:t>
            </w:r>
          </w:p>
        </w:tc>
        <w:tc>
          <w:tcPr>
            <w:tcW w:w="9540" w:type="dxa"/>
            <w:vAlign w:val="bottom"/>
            <w:gridSpan w:val="3"/>
          </w:tcPr>
          <w:p>
            <w:pPr>
              <w:ind w:left="160"/>
              <w:spacing w:after="0" w:line="189" w:lineRule="exact"/>
              <w:rPr>
                <w:rFonts w:ascii="Arial" w:cs="Arial" w:eastAsia="Arial" w:hAnsi="Arial"/>
                <w:sz w:val="18"/>
                <w:szCs w:val="18"/>
                <w:color w:val="0000FF"/>
              </w:rPr>
            </w:pPr>
            <w:hyperlink w:anchor="page141">
              <w:r>
                <w:rPr>
                  <w:rFonts w:ascii="Arial" w:cs="Arial" w:eastAsia="Arial" w:hAnsi="Arial"/>
                  <w:sz w:val="18"/>
                  <w:szCs w:val="18"/>
                  <w:u w:val="single" w:color="auto"/>
                  <w:color w:val="0000FF"/>
                </w:rPr>
                <w:t>Principal</w:t>
              </w:r>
              <w:r>
                <w:rPr>
                  <w:rFonts w:ascii="Arial" w:cs="Arial" w:eastAsia="Arial" w:hAnsi="Arial"/>
                  <w:sz w:val="18"/>
                  <w:szCs w:val="18"/>
                  <w:color w:val="0000FF"/>
                </w:rPr>
                <w:t xml:space="preserve"> Accountant Fees and Services</w:t>
              </w:r>
            </w:hyperlink>
          </w:p>
        </w:tc>
        <w:tc>
          <w:tcPr>
            <w:tcW w:w="680" w:type="dxa"/>
            <w:vAlign w:val="bottom"/>
          </w:tcPr>
          <w:p>
            <w:pPr>
              <w:jc w:val="right"/>
              <w:spacing w:after="0" w:line="189" w:lineRule="exact"/>
              <w:rPr>
                <w:rFonts w:ascii="Arial" w:cs="Arial" w:eastAsia="Arial" w:hAnsi="Arial"/>
                <w:sz w:val="18"/>
                <w:szCs w:val="18"/>
                <w:u w:val="single" w:color="auto"/>
                <w:color w:val="0000FF"/>
              </w:rPr>
            </w:pPr>
            <w:hyperlink w:anchor="page141">
              <w:r>
                <w:rPr>
                  <w:rFonts w:ascii="Arial" w:cs="Arial" w:eastAsia="Arial" w:hAnsi="Arial"/>
                  <w:sz w:val="18"/>
                  <w:szCs w:val="18"/>
                  <w:u w:val="single" w:color="auto"/>
                  <w:color w:val="0000FF"/>
                </w:rPr>
                <w:t>139</w:t>
              </w:r>
            </w:hyperlink>
          </w:p>
        </w:tc>
      </w:tr>
      <w:tr>
        <w:trPr>
          <w:trHeight w:val="21"/>
        </w:trPr>
        <w:tc>
          <w:tcPr>
            <w:tcW w:w="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40" w:type="dxa"/>
            <w:vAlign w:val="bottom"/>
            <w:tcBorders>
              <w:top w:val="single" w:sz="8" w:color="0000FF"/>
            </w:tcBorders>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43"/>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IV.</w:t>
            </w:r>
          </w:p>
        </w:tc>
        <w:tc>
          <w:tcPr>
            <w:tcW w:w="148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65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0"/>
        </w:trPr>
        <w:tc>
          <w:tcPr>
            <w:tcW w:w="960" w:type="dxa"/>
            <w:vAlign w:val="bottom"/>
          </w:tcPr>
          <w:p>
            <w:pPr>
              <w:ind w:left="20"/>
              <w:spacing w:after="0"/>
              <w:rPr>
                <w:sz w:val="20"/>
                <w:szCs w:val="20"/>
                <w:color w:val="auto"/>
              </w:rPr>
            </w:pPr>
            <w:r>
              <w:rPr>
                <w:rFonts w:ascii="Arial" w:cs="Arial" w:eastAsia="Arial" w:hAnsi="Arial"/>
                <w:sz w:val="18"/>
                <w:szCs w:val="18"/>
                <w:color w:val="auto"/>
              </w:rPr>
              <w:t>Item 15.</w:t>
            </w: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Exhibits and Financial Statement Schedules</w:t>
              </w:r>
            </w:hyperlink>
          </w:p>
        </w:tc>
        <w:tc>
          <w:tcPr>
            <w:tcW w:w="680" w:type="dxa"/>
            <w:vAlign w:val="bottom"/>
          </w:tcPr>
          <w:p>
            <w:pPr>
              <w:jc w:val="right"/>
              <w:spacing w:after="0"/>
              <w:rPr>
                <w:rFonts w:ascii="Arial" w:cs="Arial" w:eastAsia="Arial" w:hAnsi="Arial"/>
                <w:sz w:val="18"/>
                <w:szCs w:val="18"/>
                <w:u w:val="single" w:color="auto"/>
                <w:color w:val="0000FF"/>
              </w:rPr>
            </w:pPr>
            <w:hyperlink w:anchor="page142">
              <w:r>
                <w:rPr>
                  <w:rFonts w:ascii="Arial" w:cs="Arial" w:eastAsia="Arial" w:hAnsi="Arial"/>
                  <w:sz w:val="18"/>
                  <w:szCs w:val="18"/>
                  <w:u w:val="single" w:color="auto"/>
                  <w:color w:val="0000FF"/>
                </w:rPr>
                <w:t>140</w:t>
              </w:r>
            </w:hyperlink>
          </w:p>
        </w:tc>
      </w:tr>
      <w:tr>
        <w:trPr>
          <w:trHeight w:val="229"/>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16.</w:t>
            </w:r>
          </w:p>
        </w:tc>
        <w:tc>
          <w:tcPr>
            <w:tcW w:w="9540" w:type="dxa"/>
            <w:vAlign w:val="bottom"/>
            <w:gridSpan w:val="3"/>
            <w:shd w:val="clear" w:color="auto" w:fill="CCEEFF"/>
          </w:tcPr>
          <w:p>
            <w:pPr>
              <w:ind w:left="160"/>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Form 10-K Summary</w:t>
              </w:r>
            </w:hyperlink>
          </w:p>
        </w:tc>
        <w:tc>
          <w:tcPr>
            <w:tcW w:w="680" w:type="dxa"/>
            <w:vAlign w:val="bottom"/>
            <w:shd w:val="clear" w:color="auto" w:fill="CCEEFF"/>
          </w:tcPr>
          <w:p>
            <w:pPr>
              <w:jc w:val="right"/>
              <w:spacing w:after="0"/>
              <w:rPr>
                <w:rFonts w:ascii="Arial" w:cs="Arial" w:eastAsia="Arial" w:hAnsi="Arial"/>
                <w:sz w:val="18"/>
                <w:szCs w:val="18"/>
                <w:u w:val="single" w:color="auto"/>
                <w:color w:val="0000FF"/>
              </w:rPr>
            </w:pPr>
            <w:hyperlink w:anchor="page143">
              <w:r>
                <w:rPr>
                  <w:rFonts w:ascii="Arial" w:cs="Arial" w:eastAsia="Arial" w:hAnsi="Arial"/>
                  <w:sz w:val="18"/>
                  <w:szCs w:val="18"/>
                  <w:u w:val="single" w:color="auto"/>
                  <w:color w:val="0000FF"/>
                </w:rPr>
                <w:t>141</w:t>
              </w:r>
            </w:hyperlink>
          </w:p>
        </w:tc>
      </w:tr>
      <w:tr>
        <w:trPr>
          <w:trHeight w:val="230"/>
        </w:trPr>
        <w:tc>
          <w:tcPr>
            <w:tcW w:w="960" w:type="dxa"/>
            <w:vAlign w:val="bottom"/>
          </w:tcPr>
          <w:p>
            <w:pPr>
              <w:spacing w:after="0"/>
              <w:rPr>
                <w:sz w:val="20"/>
                <w:szCs w:val="20"/>
                <w:color w:val="auto"/>
              </w:rPr>
            </w:pPr>
          </w:p>
        </w:tc>
        <w:tc>
          <w:tcPr>
            <w:tcW w:w="9540" w:type="dxa"/>
            <w:vAlign w:val="bottom"/>
            <w:gridSpan w:val="3"/>
          </w:tcPr>
          <w:p>
            <w:pPr>
              <w:ind w:left="160"/>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Signatures</w:t>
              </w:r>
            </w:hyperlink>
          </w:p>
        </w:tc>
        <w:tc>
          <w:tcPr>
            <w:tcW w:w="680" w:type="dxa"/>
            <w:vAlign w:val="bottom"/>
          </w:tcPr>
          <w:p>
            <w:pPr>
              <w:jc w:val="right"/>
              <w:spacing w:after="0"/>
              <w:rPr>
                <w:rFonts w:ascii="Arial" w:cs="Arial" w:eastAsia="Arial" w:hAnsi="Arial"/>
                <w:sz w:val="18"/>
                <w:szCs w:val="18"/>
                <w:u w:val="single" w:color="auto"/>
                <w:color w:val="0000FF"/>
              </w:rPr>
            </w:pPr>
            <w:hyperlink w:anchor="page144">
              <w:r>
                <w:rPr>
                  <w:rFonts w:ascii="Arial" w:cs="Arial" w:eastAsia="Arial" w:hAnsi="Arial"/>
                  <w:sz w:val="18"/>
                  <w:szCs w:val="18"/>
                  <w:u w:val="single" w:color="auto"/>
                  <w:color w:val="0000FF"/>
                </w:rPr>
                <w:t>142</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-737235</wp:posOffset>
            </wp:positionV>
            <wp:extent cx="6660515"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051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-1619885</wp:posOffset>
            </wp:positionV>
            <wp:extent cx="6660515"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0515" cy="15430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-3823335</wp:posOffset>
            </wp:positionV>
            <wp:extent cx="66605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05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21" w:right="359" w:bottom="1440" w:gutter="0" w:footer="0" w:header="0"/>
        </w:sectPr>
      </w:pPr>
    </w:p>
    <w:bookmarkStart w:id="2" w:name="page3"/>
    <w:bookmarkEnd w:id="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SuRo Capital</w:t>
      </w:r>
    </w:p>
    <w:p>
      <w:pPr>
        <w:spacing w:after="0" w:line="238"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215"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7"/>
          <w:szCs w:val="17"/>
          <w:color w:val="auto"/>
        </w:rPr>
        <w:t>On and effective June 22, 2020, we changed our name to “SuRo Capital Corp.” from “Sutter Rock Capital Corp.” On and effective March 12, 2019 (the “Effective Date”), our board of directors ("Board of Directors") approved internalizing our operating structure (“Internalization”) and we began operating as an internally-managed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 See “Part II, Item 8—Note 3—Related-Party Arrangements” in this Form 10-K for more information.</w:t>
      </w:r>
    </w:p>
    <w:p>
      <w:pPr>
        <w:spacing w:after="0" w:line="211"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The Company’s date of inception was January 6, 2011, which is the date it commenced its development stage activities, and it commenced operations as a BDC upon completion of its initial public offering (“IPO”) in May 2011. The Company’s common stock is currently listed on the Nasdaq Capital Market under the symbol “SSSS” (formerly "GSVC"). The Company began its investment operations during the second quarter of 2011. See “Management’s Discussion and Analysis of Financial Condition and Results of Operations” in Part II, Item 7 of this Form 10-K.</w:t>
      </w:r>
    </w:p>
    <w:p>
      <w:pPr>
        <w:spacing w:after="0" w:line="198"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private investment in public equity (“PIPE”) transactions of special purpose acquisition companies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208"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Our investment philosophy is based on a disciplined approach of identifying promising investments in high-growth, venture-backed companies across several key industry themes which may include, among others, social mobile, cloud 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seek to create a low-turnover portfolio that includes investments in companies representing a broad range of investment themes.</w:t>
      </w:r>
    </w:p>
    <w:p>
      <w:pPr>
        <w:spacing w:after="0" w:line="252"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Our common stock is traded on the Nasdaq Capital Market under the symbol “SSSS”. The net asset value per share of our common stock on December 31, 2020 was $15.14. On March 11, 2021, the last reported sale price of a share of our common stock on the Nasdaq Capital Market was $13.58.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Regulatory Structure</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We formed in 2010 as a Maryland corporation and operate as an internally managed, non-diversified closed-end management investment company. Our investment activities are supervised by our Board of Directors and managed by our executive officers and investments professionals, all of which are our employees.</w:t>
      </w:r>
    </w:p>
    <w:p>
      <w:pPr>
        <w:spacing w:after="0" w:line="211"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As a BDC, we are subject to certain regulatory requirements. See “—Regulation as a Business Development Company.” Also, while we are permitted to finance investments using debt, our ability to use debt is limited in certain significant aspects.</w:t>
      </w:r>
    </w:p>
    <w:p>
      <w:pPr>
        <w:spacing w:after="0" w:line="197"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7"/>
          <w:szCs w:val="17"/>
          <w:color w:val="auto"/>
        </w:rPr>
        <w:t>With certain limited exceptions, we may issue “senior securities,” including borrowing money from banks or other financial institutions only in amounts such that the ratio of our total assets (less total liabilities other than indebtedness represented by senior securities) to our total indebtedness represented by senior securities plus preferred stock, if any, is at least 200% (or 150% if certain conditions are met) after such incurrence or issuance. This means that generally, we can borrow up to $1 for every $1 of investor equity (or, if certain conditions are met, we can borrow up to $2 for every $1 of investor equity). In March 2018, the Small Business Credit Availability Act modified the 1940 Act by allowing a BDC to increase the maximum amount of leverage it may incur by decreasing the asset coverage percentage from 200% to 150%, if certain requirements under the 1940 Act are met. Under the 1940 Act,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1940 Act allows the majority of our independent directors to approve an increase in our leverage capacity, and such approval would become effective after the one-year anniversary of such approval. In either case, we would be required to make certain disclosures on our website and in SEC filings regarding, among other things, the receipt of approval to increase our leverage, our leverage capacity and usage, and risks related to leverage. The Company currently does not intend to seek stockholder approval or board approval to increase its leverage capacity as set forth above. See “Risk Factors” in Part I, Item 1A for more information.</w:t>
      </w:r>
    </w:p>
    <w:p>
      <w:pPr>
        <w:spacing w:after="0" w:line="213"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We have elected to be treated as a RIC under Subchapter M of the Code and expect to continue to operate in a manner so as to qualify for the tax treatment applicable to RICs. See “—Material U.S. Federal Income Tax Considerations” and “Note 2—Significant Accounting Policies—U.S. Federal and State Income Taxes” and “Note 9—Income Taxes” to our consolidated financial statements for the year ended December 31, 2020 for more information.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56" w:lineRule="exact"/>
        <w:rPr>
          <w:sz w:val="20"/>
          <w:szCs w:val="20"/>
          <w:color w:val="auto"/>
        </w:rPr>
      </w:pPr>
    </w:p>
    <w:p>
      <w:pPr>
        <w:jc w:val="both"/>
        <w:ind w:right="20" w:firstLine="324"/>
        <w:spacing w:after="0" w:line="311" w:lineRule="auto"/>
        <w:rPr>
          <w:sz w:val="20"/>
          <w:szCs w:val="20"/>
          <w:color w:val="auto"/>
        </w:rPr>
      </w:pPr>
      <w:r>
        <w:rPr>
          <w:rFonts w:ascii="Arial" w:cs="Arial" w:eastAsia="Arial" w:hAnsi="Arial"/>
          <w:sz w:val="16"/>
          <w:szCs w:val="16"/>
          <w:color w:val="auto"/>
        </w:rPr>
        <w:t>As of December 31, 2020, we had seven employees, each of whom was directly employed by us. These employees include our executive officers, investment and finance professionals, and administrative staff. All of our employees are located in our principal executive office in San Francisco, California. Our principal office is located at One Sansome Street, Suite 730, San Francisco, CA 94104, and our telephone number is (650) 235-4769.</w:t>
      </w:r>
    </w:p>
    <w:p>
      <w:pPr>
        <w:spacing w:after="0" w:line="17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response to the COVID-19 pandemic, we instituted a temporary work-from-home policy in March 2020, pursuant to which our employees have and continue to primarily work remotely without disruption to our operations. This policy will remain in effect until it is deemed safe to return to our office.</w:t>
      </w:r>
    </w:p>
    <w:p>
      <w:pPr>
        <w:spacing w:after="0" w:line="151" w:lineRule="exact"/>
        <w:rPr>
          <w:sz w:val="20"/>
          <w:szCs w:val="20"/>
          <w:color w:val="auto"/>
        </w:rPr>
      </w:pPr>
    </w:p>
    <w:p>
      <w:pPr>
        <w:jc w:val="both"/>
        <w:ind w:firstLine="324"/>
        <w:spacing w:after="0" w:line="324" w:lineRule="auto"/>
        <w:rPr>
          <w:sz w:val="20"/>
          <w:szCs w:val="20"/>
          <w:color w:val="auto"/>
        </w:rPr>
      </w:pPr>
      <w:r>
        <w:rPr>
          <w:rFonts w:ascii="Arial" w:cs="Arial" w:eastAsia="Arial" w:hAnsi="Arial"/>
          <w:sz w:val="18"/>
          <w:szCs w:val="18"/>
          <w:color w:val="auto"/>
        </w:rPr>
        <w:t>As an internally managed BDC, the success of our business and investment strategy, including achieving our investment objective, depends in material part on our employees. We depend upon the members of our management team and our</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investment professionals for the identification, final selection, structuring, closing and monitoring of our investments. These employees have critical industry experience and relationships on which we rely to implement our business plan. We expect that the members of our management team and our investment professionals will maintain key informal relationships, which we will use to help identify and gain access to investment opportunities. If we do not attract, develop and retain highly skilled employees, we may not be able to operate our business as we expect and our operating results could be adversely affected. See “Item 1A, Risk Factors.”</w:t>
      </w:r>
    </w:p>
    <w:p>
      <w:pPr>
        <w:spacing w:after="0" w:line="25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strive to attract, develop and retain our employees by offering unique employment opportunities, advancement and promotion opportunities, training programs and opportunities, and competitive compensation and benefit structures, as well as a safe, harassment-free work environment.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Opportunity</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that society is experiencing a convergence of numerous disruptive trends, producing new high-growth markets.</w:t>
      </w:r>
    </w:p>
    <w:p>
      <w:pPr>
        <w:spacing w:after="0" w:line="252"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At the same time, we believe that the IPO markets have experienced substantial structural changes which have made it significantly more challenging for private companies to go public. Volatile equity markets, a lack of investment research coverage for private and smaller companies and investor demand for a longer history of revenue and earnings growth have resulted in companies staying private significantly longer than in the past. In addition, increased public company compliance obligations such as those imposed by the Sarbanes-Oxley Act of 2002 (the “Sarbanes-Oxley Act”) and the Dodd-Frank Wall Street Reform and Consumer Protection Act (the “Dodd-Frank Act”) have made it more costly and less attractive to become a public company. As a result, there are significantly fewer IPOs today than there were during the 1990s, with prospective public companies taking longer to come to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Strategy</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We seek to maintain our portfolio of potentially high-growth emerging private companies via a repeatable and disciplined investment approach, as well as to provide investors with access to such companies through our publicly traded common stock.</w:t>
      </w:r>
    </w:p>
    <w:p>
      <w:pPr>
        <w:spacing w:after="0" w:line="197"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Our investment objective is to maximize our portfolio’s total return, principally by seeking capital gains on our equity and equity-related investments, and to a lesser extent, income from debt investments. We have adopted the following business strategies to achieve our investment objective:</w:t>
      </w:r>
    </w:p>
    <w:p>
      <w:pPr>
        <w:spacing w:after="0" w:line="151" w:lineRule="exact"/>
        <w:rPr>
          <w:sz w:val="20"/>
          <w:szCs w:val="20"/>
          <w:color w:val="auto"/>
        </w:rPr>
      </w:pPr>
    </w:p>
    <w:p>
      <w:pPr>
        <w:jc w:val="both"/>
        <w:ind w:left="660" w:hanging="328"/>
        <w:spacing w:after="0" w:line="291" w:lineRule="auto"/>
        <w:tabs>
          <w:tab w:leader="none" w:pos="655"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Identify high quality growth companies. </w:t>
      </w:r>
      <w:r>
        <w:rPr>
          <w:rFonts w:ascii="Arial" w:cs="Arial" w:eastAsia="Arial" w:hAnsi="Arial"/>
          <w:sz w:val="16"/>
          <w:szCs w:val="16"/>
          <w:color w:val="auto"/>
        </w:rPr>
        <w:t>Based on our extensive experience in analyzing technology trends and markets, we have identified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technology sub-sectors, including social mobile, big data and cloud, marketplaces, and education technology, as opportunities where we</w:t>
      </w:r>
    </w:p>
    <w:p>
      <w:pPr>
        <w:ind w:left="660"/>
        <w:spacing w:after="0" w:line="250" w:lineRule="auto"/>
        <w:rPr>
          <w:sz w:val="20"/>
          <w:szCs w:val="20"/>
          <w:color w:val="auto"/>
        </w:rPr>
      </w:pPr>
      <w:r>
        <w:rPr>
          <w:rFonts w:ascii="Arial" w:cs="Arial" w:eastAsia="Arial" w:hAnsi="Arial"/>
          <w:sz w:val="18"/>
          <w:szCs w:val="18"/>
          <w:color w:val="auto"/>
        </w:rPr>
        <w:t>believe companies are capable of producing substantial growth. We rely on our collective industry knowledge as well as an understanding of where leading venture capitalists and other institutional investors are investing.</w:t>
      </w:r>
    </w:p>
    <w:p>
      <w:pPr>
        <w:spacing w:after="0" w:line="1" w:lineRule="exact"/>
        <w:rPr>
          <w:sz w:val="20"/>
          <w:szCs w:val="20"/>
          <w:color w:val="auto"/>
        </w:rPr>
      </w:pPr>
    </w:p>
    <w:p>
      <w:pPr>
        <w:jc w:val="both"/>
        <w:ind w:left="340" w:firstLine="324"/>
        <w:spacing w:after="0" w:line="273" w:lineRule="auto"/>
        <w:rPr>
          <w:sz w:val="20"/>
          <w:szCs w:val="20"/>
          <w:color w:val="auto"/>
        </w:rPr>
      </w:pPr>
      <w:r>
        <w:rPr>
          <w:rFonts w:ascii="Arial" w:cs="Arial" w:eastAsia="Arial" w:hAnsi="Arial"/>
          <w:sz w:val="17"/>
          <w:szCs w:val="17"/>
          <w:color w:val="auto"/>
        </w:rPr>
        <w:t>We leverage a combination of our relationships throughout Silicon Valley and our independent research to identify leaders in our targeted sub-sectors that we believe are differentiated and best positioned for sustained growth. Our team continues to expand our sourcing network in order to evaluate a wide range of investment opportunities in companies that demonstrate strong operating fundamentals. We are targeting businesses that have been shown to provide scaled valuation growth before a potential IPO or strategic exit.</w:t>
      </w:r>
    </w:p>
    <w:p>
      <w:pPr>
        <w:spacing w:after="0" w:line="203" w:lineRule="exact"/>
        <w:rPr>
          <w:sz w:val="20"/>
          <w:szCs w:val="20"/>
          <w:color w:val="auto"/>
        </w:rPr>
      </w:pPr>
    </w:p>
    <w:p>
      <w:pPr>
        <w:jc w:val="both"/>
        <w:ind w:left="660" w:hanging="328"/>
        <w:spacing w:after="0" w:line="291" w:lineRule="auto"/>
        <w:tabs>
          <w:tab w:leader="none" w:pos="655"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Acquire positions in targeted investments. </w:t>
      </w:r>
      <w:r>
        <w:rPr>
          <w:rFonts w:ascii="Arial" w:cs="Arial" w:eastAsia="Arial" w:hAnsi="Arial"/>
          <w:sz w:val="16"/>
          <w:szCs w:val="16"/>
          <w:color w:val="auto"/>
        </w:rPr>
        <w:t>We seek to selectively add to our portfolio by sourcing investments at an acceptable price through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disciplined investing strategy. To this end, we utilize multiple methods to acquire equity stakes in private companies that are not available to many</w:t>
      </w:r>
    </w:p>
    <w:p>
      <w:pPr>
        <w:ind w:left="660"/>
        <w:spacing w:after="0"/>
        <w:rPr>
          <w:sz w:val="20"/>
          <w:szCs w:val="20"/>
          <w:color w:val="auto"/>
        </w:rPr>
      </w:pPr>
      <w:r>
        <w:rPr>
          <w:rFonts w:ascii="Arial" w:cs="Arial" w:eastAsia="Arial" w:hAnsi="Arial"/>
          <w:sz w:val="18"/>
          <w:szCs w:val="18"/>
          <w:color w:val="auto"/>
        </w:rPr>
        <w:t>individual investors.</w:t>
      </w:r>
    </w:p>
    <w:p>
      <w:pPr>
        <w:spacing w:after="0" w:line="9" w:lineRule="exact"/>
        <w:rPr>
          <w:sz w:val="20"/>
          <w:szCs w:val="20"/>
          <w:color w:val="auto"/>
        </w:rPr>
      </w:pPr>
    </w:p>
    <w:p>
      <w:pPr>
        <w:jc w:val="both"/>
        <w:ind w:left="340" w:firstLine="324"/>
        <w:spacing w:after="0" w:line="253" w:lineRule="auto"/>
        <w:rPr>
          <w:sz w:val="20"/>
          <w:szCs w:val="20"/>
          <w:color w:val="auto"/>
        </w:rPr>
      </w:pPr>
      <w:r>
        <w:rPr>
          <w:rFonts w:ascii="Arial" w:cs="Arial" w:eastAsia="Arial" w:hAnsi="Arial"/>
          <w:sz w:val="18"/>
          <w:szCs w:val="18"/>
          <w:i w:val="1"/>
          <w:iCs w:val="1"/>
          <w:color w:val="auto"/>
        </w:rPr>
        <w:t xml:space="preserve">Direct equity investments. </w:t>
      </w:r>
      <w:r>
        <w:rPr>
          <w:rFonts w:ascii="Arial" w:cs="Arial" w:eastAsia="Arial" w:hAnsi="Arial"/>
          <w:sz w:val="18"/>
          <w:szCs w:val="18"/>
          <w:color w:val="auto"/>
        </w:rPr>
        <w:t>We seek direct investments in private companies. There is a large market among emerging private companies for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capital investments. Many of these companies, particularly within the technology sector, lack the necessary cash flows to sustain substantial amounts of debt, and therefore have viewed equity capital as a more attractive long-term financing tool. We seek to be a source of such equity capital as a means of investing in these companies and look for opportunities to invest alongside other venture capital and private equity investors with whom we have established relationships.</w:t>
      </w:r>
    </w:p>
    <w:p>
      <w:pPr>
        <w:spacing w:after="0" w:line="218" w:lineRule="exact"/>
        <w:rPr>
          <w:sz w:val="20"/>
          <w:szCs w:val="20"/>
          <w:color w:val="auto"/>
        </w:rPr>
      </w:pPr>
    </w:p>
    <w:p>
      <w:pPr>
        <w:jc w:val="both"/>
        <w:ind w:left="340" w:firstLine="324"/>
        <w:spacing w:after="0" w:line="277" w:lineRule="auto"/>
        <w:rPr>
          <w:sz w:val="20"/>
          <w:szCs w:val="20"/>
          <w:color w:val="auto"/>
        </w:rPr>
      </w:pPr>
      <w:r>
        <w:rPr>
          <w:rFonts w:ascii="Arial" w:cs="Arial" w:eastAsia="Arial" w:hAnsi="Arial"/>
          <w:sz w:val="18"/>
          <w:szCs w:val="18"/>
          <w:i w:val="1"/>
          <w:iCs w:val="1"/>
          <w:color w:val="auto"/>
        </w:rPr>
        <w:t xml:space="preserve">Private secondary marketplaces and direct share purchases. </w:t>
      </w:r>
      <w:r>
        <w:rPr>
          <w:rFonts w:ascii="Arial" w:cs="Arial" w:eastAsia="Arial" w:hAnsi="Arial"/>
          <w:sz w:val="18"/>
          <w:szCs w:val="18"/>
          <w:color w:val="auto"/>
        </w:rPr>
        <w:t>We also utilize private secondary marketplaces as a means to acquire equity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equity-related interests in privately held companies that meet our investment criteria and that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we believe are attractive candidates for investment. We believe that such markets offer new channels for access to equity investments in private companies and provide a potential source of liquidity should we decide to exit an investment. In addition, we also purchase shares directly from stockholders, including current or former employees. As certain companies grow and experience significant increased value while remaining private, employees and other stockholders may seek liquidity by selling shares directly to a third party or to a third party via a secondary marketplace. Sales of shares in private companies are typically restricted by contractual transfer restrictions and may be further restricted by provisions in company charter documents, investor rights of first refusal and co-sale and company employment and trading policies, which may impose strict limits on transfer. We believe that the reputation of our investment professionals within the industry and established history of investing affords us a favorable position when seeking approval for a purchase of shares subject to such limitations.</w:t>
      </w:r>
    </w:p>
    <w:p>
      <w:pPr>
        <w:spacing w:after="0" w:line="205" w:lineRule="exact"/>
        <w:rPr>
          <w:sz w:val="20"/>
          <w:szCs w:val="20"/>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Create access to a varied investment portfolio. </w:t>
      </w:r>
      <w:r>
        <w:rPr>
          <w:rFonts w:ascii="Arial" w:cs="Arial" w:eastAsia="Arial" w:hAnsi="Arial"/>
          <w:sz w:val="18"/>
          <w:szCs w:val="18"/>
          <w:color w:val="auto"/>
        </w:rPr>
        <w:t>We seek to hold a varied portfolio of non-controlling equity investments, which we believe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the impact on our portfolio of a negative downturn at any one specific company. We believe that our relatively varied portfolio will provide a convenient means for accredited and non-accredited individual investors to obtain access to an asset class that has generally been limited to venture capital, private equity and similar large institutional investors.</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Starting in 2017, we began to focus our investment strategy to increase the size of our investments in individual portfolio companies. While this will likely have the effect of reducing the number of companies in which we hold investments, we believe that the shift towards larger positions will better allow our investment professionals to focus our investments in companies and industries that are more likely to result in beneficial returns to our stockholders.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23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believe that we benefit from the following competitive advantages in executing our investment strategy:</w:t>
      </w:r>
    </w:p>
    <w:p>
      <w:pPr>
        <w:spacing w:after="0" w:line="252" w:lineRule="exact"/>
        <w:rPr>
          <w:sz w:val="20"/>
          <w:szCs w:val="20"/>
          <w:color w:val="auto"/>
        </w:rPr>
      </w:pPr>
    </w:p>
    <w:p>
      <w:pPr>
        <w:jc w:val="both"/>
        <w:ind w:left="660" w:right="20" w:hanging="328"/>
        <w:spacing w:after="0" w:line="259"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Capable team of investment professionals. </w:t>
      </w:r>
      <w:r>
        <w:rPr>
          <w:rFonts w:ascii="Arial" w:cs="Arial" w:eastAsia="Arial" w:hAnsi="Arial"/>
          <w:sz w:val="18"/>
          <w:szCs w:val="18"/>
          <w:color w:val="auto"/>
        </w:rPr>
        <w:t>Our executive officers, investment professionals, and Board of Directors have significant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researching and investing in the types of high-growth venture-capital-backed companies we are targeting for investment. Through our proprietary company-evaluation process, including our identification of technology trends and themes and company research, we believe we have developed important insight into identifying and valuing emerging private companies.</w:t>
      </w:r>
    </w:p>
    <w:p>
      <w:pPr>
        <w:spacing w:after="0" w:line="213" w:lineRule="exact"/>
        <w:rPr>
          <w:rFonts w:ascii="Arial" w:cs="Arial" w:eastAsia="Arial" w:hAnsi="Arial"/>
          <w:sz w:val="18"/>
          <w:szCs w:val="18"/>
          <w:b w:val="1"/>
          <w:bCs w:val="1"/>
          <w:i w:val="1"/>
          <w:iCs w:val="1"/>
          <w:color w:val="auto"/>
        </w:rPr>
      </w:pPr>
    </w:p>
    <w:p>
      <w:pPr>
        <w:jc w:val="both"/>
        <w:ind w:left="660" w:hanging="328"/>
        <w:spacing w:after="0" w:line="287" w:lineRule="auto"/>
        <w:tabs>
          <w:tab w:leader="none" w:pos="655"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Disciplined and repeatable investment process. </w:t>
      </w:r>
      <w:r>
        <w:rPr>
          <w:rFonts w:ascii="Arial" w:cs="Arial" w:eastAsia="Arial" w:hAnsi="Arial"/>
          <w:sz w:val="16"/>
          <w:szCs w:val="16"/>
          <w:color w:val="auto"/>
        </w:rPr>
        <w:t>We have established a disciplined and repeatable process to locate and acquire available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attractive valuations by utilizing multiple sources. In contrast to industry “aggregators” that accumulate stock at market prices, we conduct valuation analysis and make acquisitions only when we can invest at valuations that we believe are attractive to our investors.</w:t>
      </w:r>
    </w:p>
    <w:p>
      <w:pPr>
        <w:spacing w:after="0" w:line="2" w:lineRule="exact"/>
        <w:rPr>
          <w:rFonts w:ascii="Arial" w:cs="Arial" w:eastAsia="Arial" w:hAnsi="Arial"/>
          <w:sz w:val="16"/>
          <w:szCs w:val="16"/>
          <w:b w:val="1"/>
          <w:bCs w:val="1"/>
          <w:i w:val="1"/>
          <w:iCs w:val="1"/>
          <w:color w:val="auto"/>
        </w:rPr>
      </w:pPr>
    </w:p>
    <w:p>
      <w:pPr>
        <w:jc w:val="both"/>
        <w:ind w:left="660" w:hanging="328"/>
        <w:spacing w:after="0" w:line="281" w:lineRule="auto"/>
        <w:tabs>
          <w:tab w:leader="none" w:pos="655"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Deep relationships with significant credibility to source and complete transactions. </w:t>
      </w:r>
      <w:r>
        <w:rPr>
          <w:rFonts w:ascii="Arial" w:cs="Arial" w:eastAsia="Arial" w:hAnsi="Arial"/>
          <w:sz w:val="16"/>
          <w:szCs w:val="16"/>
          <w:color w:val="auto"/>
        </w:rPr>
        <w:t>Our executive officers and investment professionals,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strategically located in San Francisco, California, allowing us to fully engage in the technology and innovation ecosystem. Our wide network of venture capital and technology professionals supports our sourcing efforts and helps provide access to promising investment opportunities. Our executive officers and investment professionals have also developed strong relationships in the financial, investing and technology-related sectors.</w:t>
      </w:r>
    </w:p>
    <w:p>
      <w:pPr>
        <w:spacing w:after="0" w:line="2" w:lineRule="exact"/>
        <w:rPr>
          <w:rFonts w:ascii="Arial" w:cs="Arial" w:eastAsia="Arial" w:hAnsi="Arial"/>
          <w:sz w:val="16"/>
          <w:szCs w:val="16"/>
          <w:b w:val="1"/>
          <w:bCs w:val="1"/>
          <w:i w:val="1"/>
          <w:iCs w:val="1"/>
          <w:color w:val="auto"/>
        </w:rPr>
      </w:pPr>
    </w:p>
    <w:p>
      <w:pPr>
        <w:jc w:val="both"/>
        <w:ind w:left="660" w:hanging="328"/>
        <w:spacing w:after="0" w:line="253" w:lineRule="auto"/>
        <w:tabs>
          <w:tab w:leader="none" w:pos="655"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Source of permanent investing capital. </w:t>
      </w:r>
      <w:r>
        <w:rPr>
          <w:rFonts w:ascii="Arial" w:cs="Arial" w:eastAsia="Arial" w:hAnsi="Arial"/>
          <w:sz w:val="18"/>
          <w:szCs w:val="18"/>
          <w:color w:val="auto"/>
        </w:rPr>
        <w:t>As a publicly traded corporation, we have access to a source of permanent equity capital that we can use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invest in portfolio companies. This permanent equity capital is a significant differentiator from other potential investors that may be required to return capital to stockholders on a defined schedule. We believe that our ability to invest on a long-term time horizon makes us attractive to companies looking for strong, stable owners of their equity.</w:t>
      </w:r>
    </w:p>
    <w:p>
      <w:pPr>
        <w:spacing w:after="0" w:line="219" w:lineRule="exact"/>
        <w:rPr>
          <w:rFonts w:ascii="Arial" w:cs="Arial" w:eastAsia="Arial" w:hAnsi="Arial"/>
          <w:sz w:val="18"/>
          <w:szCs w:val="18"/>
          <w:b w:val="1"/>
          <w:bCs w:val="1"/>
          <w:i w:val="1"/>
          <w:iCs w:val="1"/>
          <w:color w:val="auto"/>
        </w:rPr>
      </w:pPr>
    </w:p>
    <w:p>
      <w:pPr>
        <w:jc w:val="both"/>
        <w:ind w:left="660" w:hanging="328"/>
        <w:spacing w:after="0" w:line="272" w:lineRule="auto"/>
        <w:tabs>
          <w:tab w:leader="none" w:pos="655"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Early mover advantage. </w:t>
      </w:r>
      <w:r>
        <w:rPr>
          <w:rFonts w:ascii="Arial" w:cs="Arial" w:eastAsia="Arial" w:hAnsi="Arial"/>
          <w:sz w:val="17"/>
          <w:szCs w:val="17"/>
          <w:color w:val="auto"/>
        </w:rPr>
        <w:t>We believe we are one of the few publicly traded BDCs with a specific focus on investing in high-growth venture-backed companies. The transactions that we have executed to date since our IPO have helped to establish our reputation with the types of secondary sellers and emerging companies that we target for investment. We have leveraged a number of relationships and channels to acquire the equity of private companies. As we continue to grow our portfolio with attractive investments, we believe that our reputation as a committed partner will be further enhanced, allowing us to source and close investments that would otherwise be unavailable. We believe that these factors collectively differentiate us from other potential investors in private company securities and will serve our goal to complete equity transactions in compelling private companies at attractive valuations.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21" w:right="339" w:bottom="1440" w:gutter="0" w:footer="0" w:header="0"/>
        </w:sectPr>
      </w:pPr>
    </w:p>
    <w:bookmarkStart w:id="6" w:name="page7"/>
    <w:bookmarkEnd w:id="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Our primary competitors include specialty finance companies including late-stage venture capital funds, private equity funds, other crossover funds, public funds investing in private companies and public and private BDCs. Many of these entities have greater financial and managerial resources than we will have. In addition, some of our competitors may have higher risk tolerances or different risk assessments, which could allow them to consider more investments and establish more relationships than we do. Furthermore, many of our competitors are not subject to the regulatory restrictions the 1940 Act imposes on us as a BDC. For additional information concerning the competitive risks we face, see “Risk Factors—Risks Related to Our Business and Structure” in Part I, Item 1A of this Form 10-K.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Process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Concentrated Technology-related Focus</w:t>
      </w:r>
    </w:p>
    <w:p>
      <w:pPr>
        <w:spacing w:after="0" w:line="252"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Our executive officers and investment professionals have identified five key investment themes from which we have seen significant numbers of high-growth companies emerge: social and mobile, financial technology and services, big data and cloud, marketplaces, and education. However, the opportunity set of high-growth venture-backed technology companies extends beyond these key investment themes into much broader markets. These broad markets have the potential to produce disruptive technologies, reach a large addressable market, and provide significant commercial opportunities. Within these areas, we have identified trends that could create significant positive effects on growth such as globalization, consolidation, branding, convergence and network effects. Thus, while we remain focused on selecting market leaders within the key investment themes identified, our executive officers and investment professionals actively seek out promising investments across a diverse selection of new technology subsectors.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Targeting and Screening</w:t>
      </w:r>
    </w:p>
    <w:p>
      <w:pPr>
        <w:spacing w:after="0" w:line="252"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7"/>
          <w:szCs w:val="17"/>
          <w:color w:val="auto"/>
        </w:rPr>
        <w:t>We identify prospective portfolio companies through an extensive network of relationships developed by our executive officers and investment professionals, supplemented by the knowledge and relationships of our Board of Directors. Investment opportunities that fall within our identified themes are validated against the observed behavior of leading venture capitalists and institutional investors, as well as through our own internal and external research. We evaluate potential portfolio companies across a spectrum of criteria, including industry positioning and leadership, stage of growth, path to profitability, the uniqueness and defensibility of the portfolio company's strategy, investor sponsorship, and the portfolio company's potential access to capital to continue to fund its growth that collectively characterize our proprietary investment process. We typically seek to invest our assets under management in the equity of well-established and growth stage companies, and debt investments of emerging companies that fit within our targeted areas. Based on our initial screening, we identify a select set of companies that we evaluate in greater depth.</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Due Diligence Process</w:t>
      </w:r>
    </w:p>
    <w:p>
      <w:pPr>
        <w:spacing w:after="0" w:line="252"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Once we identify those companies that we believe warrant more in-depth analysis, we focus on their total addressable market, revenue growth and sustainability, and earnings growth, as well as other metrics that may be strongly correlated with higher valuations. We also focus on the company’s management team and any significant financial sponsor, their current business model, competitive positioning, regulatory and legal issues, the quality of any intellectual property and other investment-specific due diligence. Each prospective portfolio company that passes our initial due diligence review is given a qualitative ranking to allow us to evaluate it against others in our pipeline, and we review and update these companies on a regular basis.</w:t>
      </w:r>
    </w:p>
    <w:p>
      <w:pPr>
        <w:spacing w:after="0" w:line="188"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Our due diligence process will vary depending on whether we are investing through a private secondary transaction on a marketplace or with a selling stockholder or by direct equity investment. We access information on our potential investments through a variety of sources, including information made available on secondary marketplaces, publications by private company research firms, industry publications, commissioned analysis by third-party research firms, and, to a limited extent, directly from the company or financial sponsor. We utilize a combination of each of these sources to help us set a target value for the companies we ultimately select for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Construction and Sourcing</w:t>
      </w:r>
    </w:p>
    <w:p>
      <w:pPr>
        <w:spacing w:after="0" w:line="252"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Upon completion of our research and due diligence process, we select investments for inclusion in our portfolio based on their value proposition, addressable market, fundamentals and valuation. We seek to create a relatively varied portfolio that we expect will include investments in companies representing a broad range of investment themes. We generally choose to pursue specific investments based on the availability of shares and valuation expectations. We utilize a combination of secondary marketplaces, direct purchases from stockholders and direct equity investments in order to make investments in our portfolio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companies. Once we have established an initial position in a portfolio company, we may choose to increase our stake through subsequent purchases. Maintaining a balanced portfolio is a key to our success, and as a result we constantly evaluate the composition of our investments and our pipeline to ensure we are exposed to a diverse set of companies within our target segments.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Execution</w:t>
      </w:r>
    </w:p>
    <w:p>
      <w:pPr>
        <w:spacing w:after="0" w:line="252"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We enter into purchase agreements for substantially all of our private company portfolio investments. Private company securities are typically subject to contractual transfer limitations, which may, among other things, give the issuer, its assignees and/or its stockholders a particular period of time, often 30 days or more, in which to exercise a veto right, or a right of first refusal over, the sale of such securities. Accordingly, the purchase agreements we enter into for secondary transactions typically require the lapse or satisfaction of these rights as a condition to closing. Under these circumstances, we may be required to deposit the purchase price into escrow upon signing, with the funds released to the seller at closing or returned to us if the closing conditions are not met.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and Monitoring</w:t>
      </w:r>
    </w:p>
    <w:p>
      <w:pPr>
        <w:spacing w:after="0" w:line="252"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We monitor the financial trends of each portfolio company to assess our exposure to individual companies as well as to evaluate overall portfolio quality. We establish valuation targets at the portfolio level and for gross and net exposures with respect to specific companies and industries within our overall portfolio. In cases where we make a direct investment in a portfolio company, we may also obtain board positions, board observation rights and/or information rights from that portfolio company in connection with our equity investment. We regularly monitor our portfolio for compliance with the diversification requirements for purposes of maintaining our status as a BDC and a RIC for tax purposes.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w:t>
      </w:r>
    </w:p>
    <w:p>
      <w:pPr>
        <w:spacing w:after="0" w:line="256"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As a BDC we are required to offer, and in some cases may provide and be paid for, significant managerial assistance to portfolio companies. This assistance typically involves monitoring the operations of portfolio companies, participating in their board and management meetings, consulting with and advising their officers and providing other organizational and financial guidance. We will provide such managerial assistance on our behalf to portfolio companies that request assistance. We may receive fees for these services, subject to review by our Board of Directors, including our independent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Overview</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fair value of our portfolio of investments by asset class as of December 31, 2020 and 2019:</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 2020</w:t>
            </w:r>
          </w:p>
        </w:tc>
        <w:tc>
          <w:tcPr>
            <w:tcW w:w="280" w:type="dxa"/>
            <w:vAlign w:val="bottom"/>
          </w:tcPr>
          <w:p>
            <w:pPr>
              <w:spacing w:after="0"/>
              <w:rPr>
                <w:sz w:val="16"/>
                <w:szCs w:val="16"/>
                <w:color w:val="auto"/>
              </w:rPr>
            </w:pPr>
          </w:p>
        </w:tc>
        <w:tc>
          <w:tcPr>
            <w:tcW w:w="2700" w:type="dxa"/>
            <w:vAlign w:val="bottom"/>
            <w:gridSpan w:val="3"/>
          </w:tcPr>
          <w:p>
            <w:pPr>
              <w:jc w:val="right"/>
              <w:ind w:right="833"/>
              <w:spacing w:after="0"/>
              <w:rPr>
                <w:sz w:val="20"/>
                <w:szCs w:val="20"/>
                <w:color w:val="auto"/>
              </w:rPr>
            </w:pPr>
            <w:r>
              <w:rPr>
                <w:rFonts w:ascii="Arial" w:cs="Arial" w:eastAsia="Arial" w:hAnsi="Arial"/>
                <w:sz w:val="14"/>
                <w:szCs w:val="14"/>
                <w:b w:val="1"/>
                <w:bCs w:val="1"/>
                <w:color w:val="auto"/>
              </w:rPr>
              <w:t>December 31, 2019</w:t>
            </w:r>
          </w:p>
        </w:tc>
      </w:tr>
      <w:tr>
        <w:trPr>
          <w:trHeight w:val="134"/>
        </w:trPr>
        <w:tc>
          <w:tcPr>
            <w:tcW w:w="5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Fair</w:t>
            </w:r>
          </w:p>
        </w:tc>
        <w:tc>
          <w:tcPr>
            <w:tcW w:w="1460" w:type="dxa"/>
            <w:vAlign w:val="bottom"/>
            <w:tcBorders>
              <w:top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rPr>
              <w:t>Fair</w:t>
            </w:r>
          </w:p>
        </w:tc>
        <w:tc>
          <w:tcPr>
            <w:tcW w:w="1460" w:type="dxa"/>
            <w:vAlign w:val="bottom"/>
            <w:tcBorders>
              <w:top w:val="single" w:sz="8" w:color="auto"/>
            </w:tcBorders>
          </w:tcPr>
          <w:p>
            <w:pPr>
              <w:jc w:val="right"/>
              <w:ind w:right="233"/>
              <w:spacing w:after="0" w:line="135" w:lineRule="exact"/>
              <w:rPr>
                <w:sz w:val="20"/>
                <w:szCs w:val="20"/>
                <w:color w:val="auto"/>
              </w:rPr>
            </w:pPr>
            <w:r>
              <w:rPr>
                <w:rFonts w:ascii="Arial" w:cs="Arial" w:eastAsia="Arial" w:hAnsi="Arial"/>
                <w:sz w:val="14"/>
                <w:szCs w:val="14"/>
                <w:b w:val="1"/>
                <w:bCs w:val="1"/>
                <w:color w:val="auto"/>
              </w:rPr>
              <w:t>Percentage of</w:t>
            </w:r>
          </w:p>
        </w:tc>
      </w:tr>
      <w:tr>
        <w:trPr>
          <w:trHeight w:val="188"/>
        </w:trPr>
        <w:tc>
          <w:tcPr>
            <w:tcW w:w="5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Portfolio</w:t>
            </w: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460" w:type="dxa"/>
            <w:vAlign w:val="bottom"/>
          </w:tcPr>
          <w:p>
            <w:pPr>
              <w:jc w:val="right"/>
              <w:ind w:right="373"/>
              <w:spacing w:after="0"/>
              <w:rPr>
                <w:sz w:val="20"/>
                <w:szCs w:val="20"/>
                <w:color w:val="auto"/>
              </w:rPr>
            </w:pPr>
            <w:r>
              <w:rPr>
                <w:rFonts w:ascii="Arial" w:cs="Arial" w:eastAsia="Arial" w:hAnsi="Arial"/>
                <w:sz w:val="14"/>
                <w:szCs w:val="14"/>
                <w:b w:val="1"/>
                <w:bCs w:val="1"/>
                <w:color w:val="auto"/>
              </w:rPr>
              <w:t>Portfolio</w:t>
            </w:r>
          </w:p>
        </w:tc>
      </w:tr>
      <w:tr>
        <w:trPr>
          <w:trHeight w:val="224"/>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r>
      <w:tr>
        <w:trPr>
          <w:trHeight w:val="229"/>
        </w:trPr>
        <w:tc>
          <w:tcPr>
            <w:tcW w:w="512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34,190,839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7.9 %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59,209,559</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24.5 %</w:t>
            </w:r>
          </w:p>
        </w:tc>
      </w:tr>
      <w:tr>
        <w:trPr>
          <w:trHeight w:val="230"/>
        </w:trPr>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141,235,987</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125,448,358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51.9 %</w:t>
            </w: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Debt Investments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4,845,340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1,644,155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0.7 %</w:t>
            </w:r>
          </w:p>
        </w:tc>
      </w:tr>
      <w:tr>
        <w:trPr>
          <w:trHeight w:val="230"/>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5,872,210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5,283,506</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3"/>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191,585,578</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79.3 %</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512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94,635,398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280,779,774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65.2 %</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191,585,578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79.3 %</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U.S. Treasury Bills</w:t>
            </w: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34.8 %</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20.7 %</w:t>
            </w: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430,779,774</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241,585,578</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-642620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-642620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-642620</wp:posOffset>
            </wp:positionV>
            <wp:extent cx="4217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-942340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-942340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-942340</wp:posOffset>
            </wp:positionV>
            <wp:extent cx="42176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1767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-1833880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-1833880</wp:posOffset>
            </wp:positionV>
            <wp:extent cx="32486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24866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Net Asset Value</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We determine the net asset value of our investment portfolio after the conclusion of each fiscal quarter in connection with the preparation of our annual and quarterly reports filed under the Securities Exchange Act of 1934, as amended (the “Exchange Act”), or more frequently if required under the 1940 Act.</w:t>
      </w:r>
    </w:p>
    <w:p>
      <w:pPr>
        <w:spacing w:after="0" w:line="211"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7"/>
          <w:szCs w:val="17"/>
          <w:color w:val="auto"/>
        </w:rPr>
        <w:t>Securities that are publicly traded are generally valued at the close price on the valuation date; however, if they remain subject to lock-up restrictions they are discounted accordingly. Securities that are not publicly traded or for which there are no readily available market quotations, including securities that trade on secondary markets for private securities, are valued at fair value as determined in good faith by our Board of Directors. In connection with that determination, our executive officers and investment professionals will prepare portfolio company valuations using, when available, the most recent portfolio company financial statements and forecasts. We also engage an independent valuation firm to perform independent valuations of our investments that are not publicly traded or for which there are no readily available market quotations. We may also engage an independent valuation firm to perform independent valuations of any securities that trade on private secondary markets, but are not otherwise publicly traded, where there is a lack of appreciable trading or a wide disparity in recently reported trades.</w:t>
      </w:r>
    </w:p>
    <w:p>
      <w:pPr>
        <w:spacing w:after="0" w:line="205"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7"/>
          <w:szCs w:val="17"/>
          <w:color w:val="auto"/>
        </w:rPr>
        <w:t>For those securities that are not publicly traded or for which there are no readily available market quotations, our Board of Directors, with the assistance of its valuation committee (the “Valuation Committee”), will use the recommended valuations as prepared by our executive officers and investment professionals and the independent valuation firm, respectively, as a component of the foundation for its final fair value determination. Due to the uncertainty inherent in the valuation process, such estimates of fair value may differ significantly from the values that would have resulted had others made the determination using the same or different procedures or had a readily available market for the securities existed, and the differences could be material. Additionally, changes in the market environment and other events that may occur over the life of the investments may cause the gains or losses ultimately realized on these investments to be different than the gains or losses implied by the valuation currently assigned to such investments. For those investments that are publicly traded, we generally record unrealized appreciation or depreciation based on changes in the market value of the securities as of the valuation date. Publicly traded securities that remain subject to lock-up restrictions are discounted accordingly. For those investments that are not publicly traded and for which there are no readily available market quotations, we record unrealized depreciation on such investments when we believe that an investment has become impaired and record unrealized appreciation if we believe that the underlying portfolio company has appreciated in value and our equity security has also appreciated in value. Changes in fair value are recorded in the consolidated statement of operations as the net change in unrealized appreciation or depreciation.</w:t>
      </w: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generally determine the fair value of our investments by considering a number of factors. The following represent factors that, among others, could impact our fair value determinations:</w:t>
      </w:r>
    </w:p>
    <w:p>
      <w:pPr>
        <w:spacing w:after="0" w:line="19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trading of our portfolio securities, taking into consideration lock-up requirements and liquidity;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 trading of our portfolio securities on a private secondary market, where we have determined that there is meaningful volume and the transactions are considered arm’s length by sophisticated investors;</w:t>
      </w:r>
    </w:p>
    <w:p>
      <w:pPr>
        <w:ind w:left="660" w:right="2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Qualified funding rounds in the companies in which we invested, where there is meaningful and reputable information available on size, valuation and investors; and</w:t>
      </w:r>
    </w:p>
    <w:p>
      <w:pPr>
        <w:ind w:left="380" w:hanging="48"/>
        <w:spacing w:after="0" w:line="281" w:lineRule="auto"/>
        <w:tabs>
          <w:tab w:leader="none" w:pos="663"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Additional investments by us in current portfolio companies, where the price of the new investment differs materially from prior investments. There is inherent subjectivity in determining the fair value of our investments. We expect that most of our portfolio investments, other than those for</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which market quotations are readily available and that may be sold without restriction, will be valued at fair value as determined in good faith by our Board of Directors, with the assistance of our Valuation Committee. Furthermore, when calculating net asset value, we also consider our recognition of a deferred tax liability for unrealized gains on investments for those investments held in our taxable subsidiaries. See “Note 1—Nature of Operations” to our consolidated financial statements for the year ended December 31, 2020 for a list of our taxable subsidiaries.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as a Business Development Company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A BDC is regulated by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 A BDC provides stockholders the ability to retain the liquidity of a publicly traded stock while sharing in the possible benefits, if any, of investing in primarily privately owned companies.</w:t>
      </w:r>
    </w:p>
    <w:p>
      <w:pPr>
        <w:spacing w:after="0" w:line="214"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We may not change the nature of our business so as to cease to be, or withdraw our election as, a BDC unless authorized by vote of a majority of the outstanding voting securities, as required by the 1940 Act. A majority of the outstanding voting securities of a company is defined under the 1940 Act as the lesser of: (a) 67% or more of such company’s voting securities present at a meeting if more than 50% of the outstanding voting securities of such company are present or represented by proxy, or (b) more than 50% of the outstanding voting securities of such company. We do not anticipate any substantial change in the nature of our business.</w:t>
      </w:r>
    </w:p>
    <w:p>
      <w:pPr>
        <w:spacing w:after="0" w:line="215"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As with other companies regulated by the 1940 Act, a BDC must adhere to certain substantive regulatory requirements. A majority of our directors must be persons who are not “interested persons” as defined in the 1940 Act. Additionally, we are required to provide and maintain a bond issued by a reputable fidelity insurance company to protect the BDC.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21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As a BDC, we are generally required to meet an asset coverage ratio, defined under the 1940 Act as the ratio of our gross assets (less all liabilities and indebtedness not represented by senior securities) to our outstanding senior securities, of at least 200% after each issuance of senior securities. We may also be prohibited under the 1940 Act from knowingly participating in certain transactions with our affiliates without the prior approval of our directors who are not interested persons and, in some cases, prior approval by the SEC.</w:t>
      </w:r>
    </w:p>
    <w:p>
      <w:pPr>
        <w:spacing w:after="0" w:line="21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Small Business Credit Availability Act (the “SBCAA”) modifies the asset coverage percentage from 200% to 150%. Under the SBCAA, we are allowed to increase our leverage capacity if stockholders representing at least a majority of the votes cast, when a quorum is present, approve a proposal to do so. If we receive stockholder approval, we would be allowed to increase our leverage capacity on the first day after such approval. Alternatively, the SBCAA allows the majority of our independent directors to approve an increase in our leverage capacity, and such approval would become effective on the one-year anniversary of such approval. In either case, we would be required to make certain disclosures on our website and in SEC filings regarding, among other things, the receipt of approval to increase our leverage, our leverage capacity and usage, and risks related to leverage.</w:t>
      </w:r>
    </w:p>
    <w:p>
      <w:pPr>
        <w:spacing w:after="0" w:line="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SBCAA also instructs the SEC to issue rules or amendments to rules allowing BDCs to use the same securities offering and proxy rules that available to operating companies, including, among other things, allowing BDCs to incorporate by reference in registration statements filed with the SEC and allow certain BDCs to file shelf registration statements that are automatically effective and take advantage of other benefits available to Well-Known Seasoned Issuers; however, as of the date of this Form 10-K, we do not know when the rules relating to this legislation will become effective.</w:t>
      </w:r>
    </w:p>
    <w:p>
      <w:pPr>
        <w:spacing w:after="0" w:line="76"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indirect expenses. Our investment portfolio is also subject to diversification requirements by virtue of our election to be treated as a RIC for U.S. tax purposes and our intention to continue to operate in a manner so as to qualify for the tax treatment applicable to RICs. See “Risk Factors—Risks Related to Our Business and Structure” in Part I, Item 1A of this Form 10-K for more information.</w:t>
      </w:r>
    </w:p>
    <w:p>
      <w:pPr>
        <w:spacing w:after="0" w:line="20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comply with an exemption under the 1940 Act. As a result, certain of our investors may hold a smaller position in our shares than if they were not subject to these restrictions.</w:t>
      </w:r>
    </w:p>
    <w:p>
      <w:pPr>
        <w:spacing w:after="0" w:line="197"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We are generally not able to issue and sell our common stock at a price below net asset value per share. See “Risk Factors—Risks Related to Our Business and Structure—Regulations governing our operation as a business development company affect our ability to, and the way in which we, raise additional capital, which may expose us to risks, including the typical risks associated with leverage” in Part I, Item 1A of this Form 10-K. We may, however, sell our common stock, or warrants, options or rights to acquire our common stock, at a price below the then-current net asset value of our common stock if our Board of Directors determines that such sale is in our best interests and the best interests of our stockholders, and our stockholders approve such sale. In addition, we may generally issue new shares of our common stock at a price below net asset value in rights offerings to existing stockholders, in payment of dividends and in certain other limited circumstances.</w:t>
      </w:r>
    </w:p>
    <w:p>
      <w:pPr>
        <w:spacing w:after="0" w:line="20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a BDC, we are also prohibited under the 1940 Act from knowingly participating in certain transactions with our affiliates without the prior approval of our Board of Directors who are not interested persons and, in some cases, prior approval by the SEC. The affiliates with which we may be prohibited from transacting include our directors, officers and employees and any person controlling or under common control with us, subject to certain exceptions. For example, under the 1940 Act, absent receipt of exemptive relief from the SEC, we and certain of our affiliates are generally precluded from co-investing in negotiated private placements of securities. We, GSV Asset Management and certain of our affiliates submitted an exemptive application to the SEC to permit us to co-invest with other funds managed by GSV Asset Management or its affiliates in a manner consistent with our investment objective and the conditions to the application. As a result of our Internalization, we and GSV Asset Management withdrew such exemptive application on April 2, 2019 because the relief sought was no longer necessary.</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subject to periodic examination by the SEC for compliance with the 1940 Act.</w:t>
      </w:r>
    </w:p>
    <w:p>
      <w:pPr>
        <w:spacing w:after="0" w:line="252"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As a BDC, we are subject to certain risks and uncertainties. See “Risk Factors—Risks Related to Our Business and Structure” in Part I, Item 1A of this Form 10-K.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Assets</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gross assets. The principal categories of qualifying assets relevant to our business are the following:</w:t>
      </w:r>
    </w:p>
    <w:p>
      <w:pPr>
        <w:spacing w:after="0" w:line="211" w:lineRule="exact"/>
        <w:rPr>
          <w:sz w:val="20"/>
          <w:szCs w:val="20"/>
          <w:color w:val="auto"/>
        </w:rPr>
      </w:pPr>
    </w:p>
    <w:p>
      <w:pPr>
        <w:jc w:val="both"/>
        <w:ind w:left="660" w:hanging="328"/>
        <w:spacing w:after="0" w:line="25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2" w:lineRule="exact"/>
        <w:rPr>
          <w:rFonts w:ascii="Arial" w:cs="Arial" w:eastAsia="Arial" w:hAnsi="Arial"/>
          <w:sz w:val="18"/>
          <w:szCs w:val="18"/>
          <w:color w:val="auto"/>
        </w:rPr>
      </w:pPr>
    </w:p>
    <w:p>
      <w:pPr>
        <w:ind w:left="960" w:hanging="30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is not an investment company (other than a small business investment company wholly owned by the BDC) or a company that would be an investment company but for certain exclusions under the 1940 Act; and</w:t>
      </w:r>
    </w:p>
    <w:p>
      <w:pPr>
        <w:ind w:left="960" w:hanging="304"/>
        <w:spacing w:after="0"/>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2"/>
          <w:numId w:val="7"/>
        </w:numPr>
        <w:rPr>
          <w:rFonts w:ascii="Arial" w:cs="Arial" w:eastAsia="Arial" w:hAnsi="Arial"/>
          <w:sz w:val="18"/>
          <w:szCs w:val="18"/>
          <w:color w:val="auto"/>
        </w:rPr>
      </w:pPr>
      <w:r>
        <w:rPr>
          <w:rFonts w:ascii="Arial" w:cs="Arial" w:eastAsia="Arial" w:hAnsi="Arial"/>
          <w:sz w:val="18"/>
          <w:szCs w:val="18"/>
          <w:color w:val="auto"/>
        </w:rPr>
        <w:t>does not have any class of securities that is traded on a national securities exchange;</w:t>
      </w:r>
    </w:p>
    <w:p>
      <w:pPr>
        <w:spacing w:after="0" w:line="9" w:lineRule="exact"/>
        <w:rPr>
          <w:rFonts w:ascii="Arial" w:cs="Arial" w:eastAsia="Arial" w:hAnsi="Arial"/>
          <w:sz w:val="18"/>
          <w:szCs w:val="18"/>
          <w:color w:val="auto"/>
        </w:rPr>
      </w:pPr>
    </w:p>
    <w:p>
      <w:pPr>
        <w:ind w:left="1300" w:hanging="320"/>
        <w:spacing w:after="0" w:line="250" w:lineRule="auto"/>
        <w:tabs>
          <w:tab w:leader="none" w:pos="1296" w:val="left"/>
        </w:tabs>
        <w:numPr>
          <w:ilvl w:val="2"/>
          <w:numId w:val="7"/>
        </w:numPr>
        <w:rPr>
          <w:rFonts w:ascii="Arial" w:cs="Arial" w:eastAsia="Arial" w:hAnsi="Arial"/>
          <w:sz w:val="18"/>
          <w:szCs w:val="18"/>
          <w:color w:val="auto"/>
        </w:rPr>
      </w:pPr>
      <w:r>
        <w:rPr>
          <w:rFonts w:ascii="Arial" w:cs="Arial" w:eastAsia="Arial" w:hAnsi="Arial"/>
          <w:sz w:val="18"/>
          <w:szCs w:val="18"/>
          <w:color w:val="auto"/>
        </w:rPr>
        <w:t>has a class of securities listed on a national securities exchange, but has an aggregate market value of outstanding voting and non-voting common equity of less than $250.0 million;</w:t>
      </w:r>
    </w:p>
    <w:p>
      <w:pPr>
        <w:ind w:left="1300" w:hanging="320"/>
        <w:spacing w:after="0" w:line="250" w:lineRule="auto"/>
        <w:tabs>
          <w:tab w:leader="none" w:pos="1292" w:val="left"/>
        </w:tabs>
        <w:numPr>
          <w:ilvl w:val="2"/>
          <w:numId w:val="7"/>
        </w:numPr>
        <w:rPr>
          <w:rFonts w:ascii="Arial" w:cs="Arial" w:eastAsia="Arial" w:hAnsi="Arial"/>
          <w:sz w:val="18"/>
          <w:szCs w:val="18"/>
          <w:color w:val="auto"/>
        </w:rPr>
      </w:pPr>
      <w:r>
        <w:rPr>
          <w:rFonts w:ascii="Arial" w:cs="Arial" w:eastAsia="Arial" w:hAnsi="Arial"/>
          <w:sz w:val="18"/>
          <w:szCs w:val="18"/>
          <w:color w:val="auto"/>
        </w:rPr>
        <w:t>is controlled by a BDC or a group of companies including a BDC and the BDC has an affiliated person who is a director of the eligible portfolio company;</w:t>
      </w:r>
    </w:p>
    <w:p>
      <w:pPr>
        <w:ind w:left="1280" w:hanging="300"/>
        <w:spacing w:after="0"/>
        <w:tabs>
          <w:tab w:leader="none" w:pos="1280" w:val="left"/>
        </w:tabs>
        <w:numPr>
          <w:ilvl w:val="2"/>
          <w:numId w:val="7"/>
        </w:numPr>
        <w:rPr>
          <w:rFonts w:ascii="Arial" w:cs="Arial" w:eastAsia="Arial" w:hAnsi="Arial"/>
          <w:sz w:val="16"/>
          <w:szCs w:val="16"/>
          <w:color w:val="auto"/>
        </w:rPr>
      </w:pPr>
      <w:r>
        <w:rPr>
          <w:rFonts w:ascii="Arial" w:cs="Arial" w:eastAsia="Arial" w:hAnsi="Arial"/>
          <w:sz w:val="16"/>
          <w:szCs w:val="16"/>
          <w:color w:val="auto"/>
        </w:rPr>
        <w:t>is a small and solvent company having gross assets of not more than $4.0 million and capital and surplus of not less than $2.0 million; or</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meets such other criteria as may be established by the SEC.</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ind w:left="660" w:hanging="328"/>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options, warrants or rights relating to such securities.</w:t>
      </w:r>
    </w:p>
    <w:p>
      <w:pPr>
        <w:ind w:left="660" w:hanging="328"/>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Cash, cash equivalents, U.S. government securities or high-quality debt securities maturing in one year or less from the time of investment.</w:t>
      </w:r>
    </w:p>
    <w:p>
      <w:pPr>
        <w:spacing w:after="0" w:line="21"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other than office furniture and equipment, interests in real estate and leasehold improvements and facilities maintained to conduct the business operations of the BDC, deferred organization and operating expenses, and other noninvestment assets necessary and appropriate to its operations as a BDC, until such time as 70% of our then-current gross assets were comprised of qualifying assets. We would not be required, however, to dispose of any non-qualifying assets in such circumstances.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 to Portfolio Companies</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 BDC generally must offer to make available to the issuer of the securities it holds significant managerial assistance, except in circumstances where either (i) the BDC controls such issuer of securities or (ii) the BDC purchases such securities in conjunction with one or more other persons acting together and one of the other persons in the group makes available such managerial assistance. Making available managerial assistance means, among other things, any arrangement whereby the BDC, through its directors, officers or employees, offers to provide, and, if accepted, does so provide, significant guidance and counsel concerning the management, operations or business objectives and policies of a portfolio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Temporary Investments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so that 70% of our assets are qualifying assets. Typically, we will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gross assets constitute repurchase agreements from a single counterparty, we would not meet the diversification tests in order to qualify as a RIC for U.S. federal income tax purposes. Thus, we do not intend to enter into repurchase agreements with a single counterparty in excess of this limit. We will monitor the creditworthiness of the counterparties with which we enter into repurchase agreement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and Options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Under the 1940 Act, a BDC is subject to restrictions on the amount of warrants, options, restricted stock or rights to purchase shares of capital stock that it may have outstanding at any time. Under the 1940 Act, we may generally only offer warrants provided that (i) the warrants expire by their terms within ten years, (ii) the exercise or conversion price is not less than the current market value at the date of issuance, (iii) our stockholders authorize the proposal to issue such warrants, and our Board of Directors approves such issuance on the basis that the issuance is in the best interests of us and our stockholders and (iv)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In particular, the amount of capital stock that would result from the conversion or exercise of all outstanding warrants, options or rights to purchase capital stock cannot exceed 25% of the BDC’s total outstanding shares of capital stock. This amount is reduced to 20% of the BDC’s total outstanding shares of capital stock if the amount of warrants, options or rights issued pursuant to an executive compensation plan would exceed 15% of the BDC’s total outstanding shares of capital stock.</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Securities</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permitted, under specified conditions, to issue multiple classes of indebtedness and one class of stock senior to our common stock if our asset coverage, as defined in the 1940 Act, is at least equal to 200% (or 150% if certain requirements are met) immediately after each such issuance.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 of our gross assets for temporary or emergency purposes without regard to asset coverage. For a discussion of the risks associated with leverage, see “Risk Factors — Risks Related to Our Business and Structure — Borrowings, such as our 4.75% Convertible Senior Notes due 2023 (the "4.75% Convertible Senior Notes due 2023"), can magnify the potential for gain or loss on amounts invested and may increase the risk of investing in us.” in Part I, Item 1A of this Form 10-K.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We have adopted a code of ethics pursuant to Rule 17j-1 under the 1940 Act. This code establishes procedures for personal investments and restricts certain transactions by our personnel. Our code of ethics and our code of business conduct and ethics are available on the EDGAR Database on the SEC’s Internet site at </w:t>
      </w:r>
      <w:r>
        <w:rPr>
          <w:rFonts w:ascii="Arial" w:cs="Arial" w:eastAsia="Arial" w:hAnsi="Arial"/>
          <w:sz w:val="17"/>
          <w:szCs w:val="17"/>
          <w:i w:val="1"/>
          <w:iCs w:val="1"/>
          <w:color w:val="auto"/>
        </w:rPr>
        <w:t>http://www.sec.gov</w:t>
      </w:r>
      <w:r>
        <w:rPr>
          <w:rFonts w:ascii="Arial" w:cs="Arial" w:eastAsia="Arial" w:hAnsi="Arial"/>
          <w:sz w:val="17"/>
          <w:szCs w:val="17"/>
          <w:color w:val="auto"/>
        </w:rPr>
        <w:t>, and are available on our website. You may also obtain copies of our code of ethics and our code of business conduct and ethics, after paying a duplicating fee, by electronic request at the following email address: publicinfo@sec.gov.</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Policies and Procedures</w:t>
      </w:r>
    </w:p>
    <w:p>
      <w:pPr>
        <w:spacing w:after="0" w:line="256" w:lineRule="exact"/>
        <w:rPr>
          <w:sz w:val="20"/>
          <w:szCs w:val="20"/>
          <w:color w:val="auto"/>
        </w:rPr>
      </w:pPr>
    </w:p>
    <w:p>
      <w:pPr>
        <w:jc w:val="both"/>
        <w:ind w:right="20" w:firstLine="364"/>
        <w:spacing w:after="0" w:line="263" w:lineRule="auto"/>
        <w:rPr>
          <w:sz w:val="20"/>
          <w:szCs w:val="20"/>
          <w:color w:val="auto"/>
        </w:rPr>
      </w:pPr>
      <w:r>
        <w:rPr>
          <w:rFonts w:ascii="Arial" w:cs="Arial" w:eastAsia="Arial" w:hAnsi="Arial"/>
          <w:sz w:val="18"/>
          <w:szCs w:val="18"/>
          <w:color w:val="auto"/>
        </w:rPr>
        <w:t>We have adopted and implemented written policies and procedures reasonably designed to detect and prevent violation of the federal securities laws and review these compliance policies and procedures annually for their adequacy and the effectiveness of their implementation. Our Chief Compliance Officer is responsible for administering these policies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Corporate Governance Regulations</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Sarbanes-Oxley Act imposes a wide variety of regulatory requirements on publicly held companies and their insiders. Many of these requirements affect us. For example:</w:t>
      </w:r>
    </w:p>
    <w:p>
      <w:pPr>
        <w:spacing w:after="0" w:line="197" w:lineRule="exact"/>
        <w:rPr>
          <w:sz w:val="20"/>
          <w:szCs w:val="20"/>
          <w:color w:val="auto"/>
        </w:rPr>
      </w:pPr>
    </w:p>
    <w:p>
      <w:pPr>
        <w:ind w:left="660" w:hanging="328"/>
        <w:spacing w:after="0" w:line="258"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jc w:val="both"/>
        <w:ind w:left="660" w:hanging="328"/>
        <w:spacing w:after="0" w:line="255"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 over financial reporting and must obtain an audit of the effectiveness of internal control over financial reporting performed by our independent registered public accounting firm; and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9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 over financial reporting or in other factors that could significantly affect these controls subsequent to the date of</w:t>
      </w:r>
    </w:p>
    <w:p>
      <w:pPr>
        <w:ind w:left="660"/>
        <w:spacing w:after="0"/>
        <w:rPr>
          <w:sz w:val="20"/>
          <w:szCs w:val="20"/>
          <w:color w:val="auto"/>
        </w:rPr>
      </w:pPr>
      <w:r>
        <w:rPr>
          <w:rFonts w:ascii="Arial" w:cs="Arial" w:eastAsia="Arial" w:hAnsi="Arial"/>
          <w:sz w:val="18"/>
          <w:szCs w:val="18"/>
          <w:color w:val="auto"/>
        </w:rPr>
        <w:t>their evaluation, including any corrective actions with regard to significant deficiencies and material weaknesses.</w:t>
      </w:r>
    </w:p>
    <w:p>
      <w:pPr>
        <w:spacing w:after="0" w:line="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will continue to monitor our compliance with all regulations that are adopted under the Sarbanes-Oxley Act and will take actions necessary to ensure that we are in compliance therewith.</w:t>
      </w:r>
    </w:p>
    <w:p>
      <w:pPr>
        <w:spacing w:after="0" w:line="2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the Nasdaq Capital Market has adopted various corporate governance requirements as part of its listing standards. We believe we are in compliance with such corporate governance listing standards. We will continue to monitor our compliance with all future listing standards and will take actions necessary to ensure that we are in compliance therewith.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Policies</w:t>
      </w:r>
    </w:p>
    <w:p>
      <w:pPr>
        <w:spacing w:after="0" w:line="252"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We will vote proxies relating to our portfolio securities in what we perceive to be the best interests of our stockholders. We will review on a case-by-case basis each proposal submitted for a vote to determine its impact on the portfolio securities held by us. Although we will generally vote against proposals that may have a negative impact on our portfolio securities, we may vote for such a proposal if there are compelling long-term reasons to do so.</w:t>
      </w:r>
    </w:p>
    <w:p>
      <w:pPr>
        <w:spacing w:after="0" w:line="176"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Our proxy voting decisions are made by our executive officers and investment professionals who are responsible for monitoring the relevant investments. To ensure that our vote is not the product of a conflict of interest, we require that: (1) anyone involved in the decision-making process disclose to our Chief Compliance Officer any potential conflict that he or she is aware of and any contact that he or she has had with any interested party regarding a proxy vote; and (2) employees involved in the decision-making process or vote administration are prohibited from revealing how we intend to vote on a proposal without the prior approval of the Chief Compliance Officer and our senior management in order to reduce any attempted influence from interested parties.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Proxy Voting Records</w:t>
      </w:r>
    </w:p>
    <w:p>
      <w:pPr>
        <w:spacing w:after="0" w:line="252"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You may obtain information about how we voted proxies with respect to our portfolio securities by making a written request for proxy voting information to: Chief Compliance Officer, SuRo Capital Corp., One Sansome Street, Suite 730, San Francisco, CA 94104 or compliance@surocap.com.</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Principles</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211"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third-party administrator).</w:t>
      </w:r>
    </w:p>
    <w:p>
      <w:pPr>
        <w:spacing w:after="0" w:line="176" w:lineRule="exact"/>
        <w:rPr>
          <w:sz w:val="20"/>
          <w:szCs w:val="20"/>
          <w:color w:val="auto"/>
        </w:rPr>
      </w:pPr>
    </w:p>
    <w:p>
      <w:pPr>
        <w:jc w:val="both"/>
        <w:ind w:right="20" w:firstLine="364"/>
        <w:spacing w:after="0" w:line="342" w:lineRule="auto"/>
        <w:rPr>
          <w:sz w:val="20"/>
          <w:szCs w:val="20"/>
          <w:color w:val="auto"/>
        </w:rPr>
      </w:pPr>
      <w:r>
        <w:rPr>
          <w:rFonts w:ascii="Arial" w:cs="Arial" w:eastAsia="Arial" w:hAnsi="Arial"/>
          <w:sz w:val="16"/>
          <w:szCs w:val="16"/>
          <w:color w:val="auto"/>
        </w:rPr>
        <w:t>We restrict access to non-public personal information about our stockholders to our employees and affiliates with a legitimate business need for the information. We maintain physical, electronic and procedural safeguards designed to protect the non-public personal information of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 xml:space="preserve">The SEC maintains an Internet site that contains reports, proxy and information statements, and other information regarding issuers that file electronically with the SEC. The address of that 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www.surocap.com.</w:t>
      </w:r>
      <w:r>
        <w:rPr>
          <w:rFonts w:ascii="Arial" w:cs="Arial" w:eastAsia="Arial" w:hAnsi="Arial"/>
          <w:sz w:val="18"/>
          <w:szCs w:val="18"/>
          <w:color w:val="auto"/>
        </w:rPr>
        <w:t xml:space="preserve"> We make available free of charge on our website our annual report on Form 10-K, quarterly reports on Form 10-Q, current reports on Form 8-K and amendments to those reports as soon as reasonably practicable after we electronically file such material with, or furnish it to, the SEC. The information on our website is not incorporated by reference into this annual report on Form 10-K unless specifically so incorporated by reference herein.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256"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Included in our consolidated financial statements, the following wholly-owned subsidiaries are taxable subsidiaries (collectively, the “Taxable Subsidiaries”), regardless of whether we qualify for tax treatment as a RIC: GSVC AE Holdings, Inc., GSVC AV Holdings, Inc., GSVC NG Holdings, Inc., GSVC SW Holdings, Inc., GSVC WS Holdings, Inc., and GSVC SVDS Holdings, Inc. The Taxable Subsidiaries are C corporations for U.S. federal and state income tax purposes.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88"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We evaluate tax positions taken, or expected to be taken, in the course of preparing our consolidated financial statements to determine whether the tax positions are “more-likely-than-not” to be sustained by the applicable tax authority. We recognize the tax benefits of uncertain tax positions only when the position has met the “more-likely-than-not” threshold. We classify penalties and interest associated with income taxes, if any, as income tax expense. Conclusions regarding tax positions are subject to review and may be adjusted at a later date based on factors including, but not limited to, ongoing analyses of tax laws, regulations and interpretations thereof. We have identified our major tax jurisdictions as U.S. federal and California.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to be Taxed as a RIC</w:t>
      </w:r>
    </w:p>
    <w:p>
      <w:pPr>
        <w:spacing w:after="0" w:line="252" w:lineRule="exact"/>
        <w:rPr>
          <w:sz w:val="20"/>
          <w:szCs w:val="20"/>
          <w:color w:val="auto"/>
        </w:rPr>
      </w:pPr>
    </w:p>
    <w:p>
      <w:pPr>
        <w:jc w:val="both"/>
        <w:ind w:firstLine="364"/>
        <w:spacing w:after="0" w:line="274" w:lineRule="auto"/>
        <w:rPr>
          <w:sz w:val="20"/>
          <w:szCs w:val="20"/>
          <w:color w:val="auto"/>
        </w:rPr>
      </w:pPr>
      <w:r>
        <w:rPr>
          <w:rFonts w:ascii="Arial" w:cs="Arial" w:eastAsia="Arial" w:hAnsi="Arial"/>
          <w:sz w:val="16"/>
          <w:szCs w:val="16"/>
          <w:color w:val="auto"/>
        </w:rPr>
        <w:t>We elected to be taxed as a RIC under the Code beginning with our taxable year ended December 31, 2014, and qualified for taxation as a RIC for such taxable year and each of the subsequent taxable years. We intend to operate in a manner so as to qualify for taxation as a RIC. So long as we maintain our qualification for taxation a RIC, we generally will not be required to pay corporate-level U.S. federal income taxes on any ordinary income or capital gains that we timely distribute to our stockholders as dividends. To qualify for taxation as a RIC, we must, among other things, meet certain source-of-income and asset diversification requirements (as described below). In addition, in order to qualify for the special treatment accorded to RICs, we are required to distribute to our stockholders on a timely basis each year at least 90% of our “investment company taxable income,” which is generally our net ordinary income plus the excess of realized net short-term capital gains over realized net long-term capital losses (the “Annual Distribution Requirement”).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as a Regulated Investment Company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w:t>
      </w:r>
    </w:p>
    <w:p>
      <w:pPr>
        <w:spacing w:after="0" w:line="10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qualify as a RIC;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satisfy the Annual Distribution Requirement,</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then we will not be subject to U.S. federal income tax on the portion of our income and capital gains that we timely distribute (or are deemed to distribute) to stockholders. We will be subject to U.S. federal income tax at the regular corporate rates on any income, including capital gains not distributed (or deemed distributed) to our stockholders.</w:t>
      </w:r>
    </w:p>
    <w:p>
      <w:pPr>
        <w:spacing w:after="0" w:line="217"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We will be subject to a 4% nondeductible U.S. federal excise tax on certain undistributed income unless we distribute in a timely manner each calendar year an amount equal to at least the sum of (1) 98% of our net ordinary income for each calendar year, (2) 98.2% of our capital gains in excess of capital losses for the one-year period ending October 31 in that calendar year and (3) any ordinary income and net capital gains that we recognized for preceding years but were not distributed during such years and on which we paid no U.S. federal income tax (the “Excise Tax Avoidance Requirement”). While we intend to timely distribute our income and capital gains in order to avoid imposition of this 4% U.S. federal excise tax, we may not be successful in avoiding entirely the imposition of this tax. In that case, we will be liable for the tax only on the amount by which we do not meet the foregoing distribution requirement.</w:t>
      </w:r>
    </w:p>
    <w:p>
      <w:pPr>
        <w:spacing w:after="0" w:line="2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order to qualify as a RIC for U.S. federal income tax purposes, we must, among other things:</w:t>
      </w:r>
    </w:p>
    <w:p>
      <w:pPr>
        <w:spacing w:after="0" w:line="252"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qualify as a BDC under the 1940 Act at all times during each taxable year;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66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loans of certain securities, gains from the sale of stock or other securities or foreign currencies, other income derived with respect to our business of investing in such stock or securities and net income from “qualified publicly traded partnerships” (the “90% Income Test”); and</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diversify our holdings so that at the end of each quarter of the taxable year:</w:t>
      </w:r>
    </w:p>
    <w:p>
      <w:pPr>
        <w:spacing w:after="0" w:line="23"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do not represent more than 5% of the value of our assets or more than 10% of the outstanding voting securities of the issuer (the “50% Diversification Test”); and</w:t>
      </w:r>
    </w:p>
    <w:p>
      <w:pPr>
        <w:spacing w:after="0" w:line="1" w:lineRule="exact"/>
        <w:rPr>
          <w:rFonts w:ascii="Arial" w:cs="Arial" w:eastAsia="Arial" w:hAnsi="Arial"/>
          <w:sz w:val="18"/>
          <w:szCs w:val="18"/>
          <w:color w:val="auto"/>
        </w:rPr>
      </w:pPr>
    </w:p>
    <w:p>
      <w:pPr>
        <w:jc w:val="both"/>
        <w:ind w:left="980" w:hanging="324"/>
        <w:spacing w:after="0" w:line="281" w:lineRule="auto"/>
        <w:tabs>
          <w:tab w:leader="none" w:pos="975"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 more than 25% of the value of our assets is invested in the securities, other than U.S. government securities or securities of other RICs, of one issuer, of two or more issuers that are controlled, as determined under applicable Code rules, by us and that are engaged in the same or similar or related trades or businesses, or of certain “qualified publicly traded partnerships” (the “25% Diversification Test,” and together with</w:t>
      </w:r>
    </w:p>
    <w:p>
      <w:pPr>
        <w:spacing w:after="0" w:line="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50% Diversification Test, the “Diversification Tests”).</w:t>
      </w:r>
    </w:p>
    <w:p>
      <w:pPr>
        <w:spacing w:after="0" w:line="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satisfy the Diversification Tests as of the close of any quarter, we will not fail the Diversification Tests as of the close of a subsequent quarter as a consequence of a discrepancy between the value of our assets and the requirements of the Diversification Tests that is attributable solely to fluctuations in the value of our assets. Rather, we will fail the Diversification Tests as of the end of a subsequent quarter only if such a discrepancy existed immediately after our acquisition of any asset and such discrepancy is wholly or partly the result of that acquisition. In addition, if we fail the Diversification Tests as of the end of any quarter, we will not lose our status as a RIC if we eliminate the discrepancy within thirty days of the end of such quarter and, if we eliminate the discrepancy within that thirty-day period, we will be treated as having satisfied the Diversification Tests as of the end of such quarter for purposes of applying the rule described in the preceding sentence.</w:t>
      </w:r>
    </w:p>
    <w:p>
      <w:pPr>
        <w:spacing w:after="0" w:line="20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may be required to recognize taxable income in circumstances in which we do not receive cash. For example, if we hold debt obligations that are treated under applicable tax rules as having original issue discount (which may arise if we receive warrants in connection with the origination of a loan or possibly in other circumstances), we must include in income each year a portion of the original issue discount that accrues over the life of the obligation, regardless of whether cash representing such income is received by us in the same taxable year. We may also have to include in income other amounts that we have not yet received in cash, such as contractual payment-in-kind, or PIK, interest (which represents contractual interest added to the loan balance and due at the end of the loan term) or dividends and deferred loan origination fees that are paid after origination of the loan or are paid in non-cash compensation such as warrants or stock. Because any original issue discount or other amounts accrued will be included in our investment company taxable income for the year of accrual, we may be required to make a distribution to our stockholders in order to satisfy the Annual Distribution Requirement and the Excise Tax Avoidance Requirement, even though we will not have received any corresponding cash amount.</w:t>
      </w:r>
    </w:p>
    <w:p>
      <w:pPr>
        <w:spacing w:after="0" w:line="19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will be subject to certain asset coverage ratio requirements under the 1940 Act and financial covenants under loan and credit agreements that could, under certain circumstances, restrict us from making distributions necessary to satisfy the Annual Distribution Requirement. See “—Regulation as a Business Development Company—Senior Securities.” Moreover, our ability to dispose of assets to meet our distribution requirements may be limited by</w:t>
      </w:r>
    </w:p>
    <w:p>
      <w:pPr>
        <w:spacing w:after="0" w:line="2" w:lineRule="exact"/>
        <w:rPr>
          <w:sz w:val="20"/>
          <w:szCs w:val="20"/>
          <w:color w:val="auto"/>
        </w:rPr>
      </w:pPr>
    </w:p>
    <w:p>
      <w:pPr>
        <w:jc w:val="both"/>
        <w:ind w:firstLine="8"/>
        <w:spacing w:after="0" w:line="255"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2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be required to sell assets in order to satisfy the Diversification Tests. However, our ability to dispose of assets to meet the Diversification Tests may be limited by the illiquid nature of our portfolio. If we dispose of assets in order to meet the Diversification Tests, we may make such dispositions at times that, from an investment standpoint, are not advantageous and may result in substantial losses.</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may invest in partnerships, including qualified publicly traded partnerships, which may result in our being subject to state, local or foreign income taxes, franchise taxes, or withholding liabilities. To the extent that we invest in entities treated as partnerships for U.S. federal income tax purposes (other than a “qualified publicly-traded partnership”), we generally must include the items of gross income derived by the partnerships for purposes of the 90% Income Test, and the income that is derived from a partnership (other than a “qualified publicly-traded partnership”) will be treated as qualifying income for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purposes of the 90% Income Test only to the extent that such income is attributable to items of income of the partnership which would be qualifying income if realized by us directly.</w:t>
      </w:r>
    </w:p>
    <w:p>
      <w:pPr>
        <w:spacing w:after="0" w:line="19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In order to meet the 90% Income Test, we may establish one or more special purpose corporations to hold assets from which we do not anticipate earning dividend, interest or other qualifying income under the 90% Income Test. Any investments held through a special purpose corporation would generally be subject to U.S. federal income and other taxes, and therefore we can expect to achieve a reduced after-tax yield on such investments.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Certain of our investment practices may be subject to special and complex U.S. federal income tax provisions that may, among other things:</w:t>
      </w:r>
    </w:p>
    <w:p>
      <w:pPr>
        <w:spacing w:after="0" w:line="35" w:lineRule="exact"/>
        <w:rPr>
          <w:sz w:val="20"/>
          <w:szCs w:val="20"/>
          <w:color w:val="auto"/>
        </w:rPr>
      </w:pPr>
    </w:p>
    <w:p>
      <w:pPr>
        <w:jc w:val="both"/>
        <w:ind w:firstLine="8"/>
        <w:spacing w:after="0" w:line="252"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disallow, suspend or otherwise limit the allowance of certain losses or deductions; (ii) convert lower taxed long-term capital gain into higher taxed short-term capital gain or ordinary income; (iii) convert an ordinary loss or a deduction into a capital loss (the deductibility of which is more limited); (iv) cause us to recognize income or gain without a corresponding receipt of cash; (v) adversely affect the time as to when a purchase or sale of securities is deemed to occur; (vi) adversely alter the characterization of certain complex financial transactions; and (vii) produce income that will not be qualifying income for purposes of the 90% Income Test described above. We will monitor our transactions and may make certain tax elections in order to mitigate the potential adverse effect of these provisions.</w:t>
      </w:r>
    </w:p>
    <w:p>
      <w:pPr>
        <w:spacing w:after="0" w:line="2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portfolio company may face financial difficulty that requires us to work-out, modify or otherwise restructure our investment in the portfolio company. Any such restructuring may result in unusable capital losses and future non-cash income. Any restructuring may also result in our recognition of a substantial amount of non-qualifying income for purposes of the 90% Income Test.</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Gain or loss realized by us from the sale or exchange of warrants acquired by us as well as any loss attributable to the lapse of such warrants generally will be treated as capital gain or loss. The treatment of such gain or loss as long-term or short-term will depend on how long we held a particular warrant. Upon the exercise of a warrant acquired by us, our tax basis in the stock purchased under the warrant will equal the sum of the amount paid for the warrant plus the strike price paid on the exercise of the warrant.</w:t>
      </w:r>
    </w:p>
    <w:p>
      <w:pPr>
        <w:spacing w:after="0" w:line="21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RIC, we are generally limited in our ability to deduct expenses in excess of our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or net capital gains for several years that we are required to distribute and that is taxable to our stockholders even if such income or net capital gains is greater than the aggregate net income we actually earned during those years. Such required distributions may be made from the Company’s cash assets or by liquidation of investments, if necessary. We may realize gains or losses from such liquidations. In the event we realize net capital gains from such transactions, a stockholder may receive a larger capital gain distribution than it would have received in the absence of such transactions.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U.S. federal income tax law generally permits RICs to carry forward net capital losses indefinitely. However, future Company transactions may limit its ability to use any capital loss carryforwards, and unrealized losses once realized, under Section 382 of the Code.</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investment in non-U.S. securities may be subject to non-U.S. income, withholding and other taxes. In that case, our yield on those securities would be decreased. Stockholders will generally not be entitled to claim a credit or deduction with respect to non-U.S. taxes paid by us.</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If we purchase shares in a “passive foreign investment company” (a “PFIC”), we may be subject to U.S. federal income tax on our allocable share of a portion of any “excess distribution” received on, or any gain from the disposition of, such shares even if our allocable share of such income is distributed to our stockholder as a taxable dividend. Additional charges in the nature of interest generally will be imposed on us in respect of deferred taxes arising from any such excess distribution or gain. If we invest in a PFIC and elect to treat the PFIC as a “qualified electing fund” under the Code (a “QEF”), in lieu of the foregoing requirements, we will be required to include in income each year our proportionate share of the ordinary earnings and net capital gain of the QEF, even if such income is not distributed by the QEF. Alternatively, we may be able to elect to mark-to-market at the end of each taxable year its shares in a PFIC; in this case, we will recognize as ordinary income our allocable share of any increase in the value of such shares, and as ordinary loss our allocable share of any decrease in such value to the extent that any such decrease does not exceed prior increases included in our income. Under either election, we may be required to recognize in a year income in excess of distributions from PFICs and proceeds from dispositions of PFIC stock during that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year, and such income will nevertheless be subject to the Annual Distribution Requirement and will be taken into account for purposes of the 4%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federal excise tax.</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our Qualification as a RIC</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If we fail to satisfy the 90% Income Test or the Diversification Tests for any taxable year, we may nevertheless continue to qualify as a RIC for such year if certain relief provisions are applicable (which may, among other things, require us to pay certain corporate-level U.S. federal income taxes or to dispose of certain assets).</w:t>
      </w:r>
    </w:p>
    <w:p>
      <w:pPr>
        <w:spacing w:after="0" w:line="211" w:lineRule="exact"/>
        <w:rPr>
          <w:sz w:val="20"/>
          <w:szCs w:val="20"/>
          <w:color w:val="auto"/>
        </w:rPr>
      </w:pPr>
    </w:p>
    <w:p>
      <w:pPr>
        <w:jc w:val="both"/>
        <w:ind w:firstLine="364"/>
        <w:spacing w:after="0" w:line="268" w:lineRule="auto"/>
        <w:rPr>
          <w:sz w:val="20"/>
          <w:szCs w:val="20"/>
          <w:color w:val="auto"/>
        </w:rPr>
      </w:pPr>
      <w:r>
        <w:rPr>
          <w:rFonts w:ascii="Arial" w:cs="Arial" w:eastAsia="Arial" w:hAnsi="Arial"/>
          <w:sz w:val="17"/>
          <w:szCs w:val="17"/>
          <w:color w:val="auto"/>
        </w:rPr>
        <w:t>If we were unable to qualify for treatment as a RIC and the foregoing relief provisions are not applicable, we would be subject to tax on all of our taxable income at regular corporate rates, regardless of whether we make any distributions to our stockholders. Distributions would not be required, and any distributions would be taxable to our stockholders as ordinary dividend income that, subject to certain limitations, may be eligible for the 20% maximum rate to the extent of our current and accumulated earnings and profits provided certain holding period and other requirements were met. Subject to certain limitations under the Code, corporate distributees would be eligible for the dividends-received deduction. Distributions in excess of our current and accumulated earnings and profits would be treated first as a return of capital that would reduce the stockholder's adjusted tax basis in its common stock (and correspondingly increase such stockholder's gain, or reduce such stockholder's loss, on disposition of such common stock), and any remaining distributions would be treated as a capital gain. To requalify as a RIC in a subsequent taxable year, we would be required to satisfy the RIC qualification requirements for that year and dispose of any earnings and profits from any year in which we failed to qualify as a RIC. Subject to a limited exception applicable to RICs that qualified as such under Subchapter M of the Code for at least one year prior to disqualification and that requalify as a RIC no later than the second year following the nonqualifying year, we could be subject to tax on any unrealized net built-in gains in the assets held by us during the period in which we failed to qualify as a RIC that are recognized within the subsequent five years, unless we made a special election to pay corporate-level U.S. federal income tax on such built-in gain at the time of our requalification as a RIC.</w:t>
      </w:r>
    </w:p>
    <w:p>
      <w:pPr>
        <w:spacing w:after="0" w:line="213"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Tax matters are complicated and the tax consequences to an investor of an investment in our common stock will depend on the facts of his, her or its particular situation. We encourage investors to consult their own tax advisers regarding the specific consequences of such an investment, including tax reporting requirements, the applicability of U.S. federal, state, local and foreign tax laws, eligibility for the benefits of any applicable tax treaty and the effect of any possible changes in the tax laws.</w:t>
      </w:r>
    </w:p>
    <w:p>
      <w:pPr>
        <w:spacing w:after="0" w:line="21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See “Risk Factors—Risks Related to Our Business and Structure” in Part I, Item 1A of this Form 10-K and “Note 2—Significant Accounting Policies —</w:t>
      </w:r>
      <w:r>
        <w:rPr>
          <w:rFonts w:ascii="Arial" w:cs="Arial" w:eastAsia="Arial" w:hAnsi="Arial"/>
          <w:sz w:val="18"/>
          <w:szCs w:val="18"/>
          <w:i w:val="1"/>
          <w:iCs w:val="1"/>
          <w:color w:val="auto"/>
        </w:rPr>
        <w:t>U.S. Federal and State Income Taxes</w:t>
      </w:r>
      <w:r>
        <w:rPr>
          <w:rFonts w:ascii="Arial" w:cs="Arial" w:eastAsia="Arial" w:hAnsi="Arial"/>
          <w:sz w:val="18"/>
          <w:szCs w:val="18"/>
          <w:color w:val="auto"/>
        </w:rPr>
        <w:t>” and “Note 9—Income Taxes” to our consolidated financial statements for the year ended December 31, 2020 for further detail.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Investing in our securities involves a number of significant risks. In addition to the other information contained in this annual report on Form 10-K, you should consider carefully the following information before making an investment in our securities. Although the risks described below represent the principal risks associated with an investment in us, they are not the only risks we face. Additional risks and uncertainties not presently known to us might also impair our operations and performance. If any of the following events occur, our business, financial condition and results of operations could be materially and adversely affected. In such case, our net asset value and the trading price of our common stock could decline, and you may lose all or part of your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Risk Factors</w:t>
      </w:r>
    </w:p>
    <w:p>
      <w:pPr>
        <w:spacing w:after="0" w:line="243"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The following is a summary of the principal risks that you should carefully consider before investing in our securities and is followed by a more detailed discussion of the material risks related to us and an investment in our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investments, including but not limited to the following:</w:t>
      </w:r>
    </w:p>
    <w:p>
      <w:pPr>
        <w:spacing w:after="0" w:line="239" w:lineRule="exact"/>
        <w:rPr>
          <w:sz w:val="20"/>
          <w:szCs w:val="20"/>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investments in the rapidly growing venture-capital-backed emerging companies that we target may be extremely risky and we could lose all or part of our investments.</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event that we make an investment in a sponsor of a SPAC and the underlying SPAC does not consummate a business combination, we will lose the entirety of our investment.</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our investments are generally not in publicly traded securities, there will be uncertainty regarding the value of our investments, which could adversely affect the determination of our net asset value.</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lack of liquidity in, and potentially extended holding period of, our many investments may adversely affect our business and will delay any distributions of gains, if any.</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our business and structure, including but not limited to the following:</w:t>
      </w:r>
    </w:p>
    <w:p>
      <w:pPr>
        <w:spacing w:after="0" w:line="239" w:lineRule="exact"/>
        <w:rPr>
          <w:sz w:val="20"/>
          <w:szCs w:val="20"/>
          <w:color w:val="auto"/>
        </w:rPr>
      </w:pPr>
    </w:p>
    <w:p>
      <w:pPr>
        <w:ind w:left="660" w:right="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an internally managed BDC, we are subject to certain restrictions that may adversely affect our business and are dependent upon our management team and investment professionals for our future success.</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model depends upon the development and maintenance of strong referral relationships with private equity, venture capital funds and investment banking firms.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financial condition and results of operations will depend on our ability to achieve our investment objective.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laws or regulations governing our operations may adversely affect our business or cause us to alter our business strategy.</w:t>
      </w:r>
    </w:p>
    <w:p>
      <w:pPr>
        <w:spacing w:after="0" w:line="250" w:lineRule="exact"/>
        <w:rPr>
          <w:rFonts w:ascii="Arial" w:cs="Arial" w:eastAsia="Arial" w:hAnsi="Arial"/>
          <w:sz w:val="17"/>
          <w:szCs w:val="17"/>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Economic, political and market conditions may adversely affect our business, results of operations and financial condition.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exposed to risks associated with changes in interest rates.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operate in a highly competitive market for direct equity investment opportunities.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use of borrowed funds to make investments exposes us to risks typically associated with leverage.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Ineffective internal controls could impact our business and operating results.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face cyber-security risks.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securities, include but are not limited to the following:</w:t>
      </w:r>
    </w:p>
    <w:p>
      <w:pPr>
        <w:spacing w:after="0" w:line="23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Investing in our securities may involve an above average degree of risk.</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common stock price may be volatile and may decrease substantially.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pay distributions to our stockholders and our distributions may not grow over time.</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stockholders may experience dilution upon the issuance of additional shares of our common stock.</w:t>
      </w:r>
    </w:p>
    <w:p>
      <w:pPr>
        <w:spacing w:after="0" w:line="238"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default under any future credit facility or any other future indebtedness, we may not be able to make payments on the 4.75% Convertible Senior Notes due 2023.</w:t>
      </w:r>
    </w:p>
    <w:p>
      <w:pPr>
        <w:spacing w:after="0" w:line="197" w:lineRule="exact"/>
        <w:rPr>
          <w:rFonts w:ascii="Arial" w:cs="Arial" w:eastAsia="Arial" w:hAnsi="Arial"/>
          <w:sz w:val="18"/>
          <w:szCs w:val="18"/>
          <w:color w:val="auto"/>
        </w:rPr>
      </w:pPr>
    </w:p>
    <w:p>
      <w:pPr>
        <w:jc w:val="both"/>
        <w:ind w:left="660" w:hanging="328"/>
        <w:spacing w:after="0" w:line="24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have, or have the ability to raise, the funds necessary to repurchase the 4.75% Convertible Senior Notes due 2023 upon a fundamental change, and our debt may contain limitations on our ability to deliver shares of our common stock upon conversion or pay cash upon repurchase of the 4.75% Convertible Senior Notes due 2023.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will be subject to corporate-level U.S. federal income tax if we are profitable and are unable to qualify as a RIC, which could have a material adverse effect on us and our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investments in the rapidly growing venture-capital-backed emerging companies that we target may be extremely risky and we could lose all or part of our investments.</w:t>
      </w:r>
    </w:p>
    <w:p>
      <w:pPr>
        <w:spacing w:after="0" w:line="197"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Investment in the rapidly growing venture-capital-backed emerging companies that we target involves a number of significant risks, including the following:</w:t>
      </w:r>
    </w:p>
    <w:p>
      <w:pPr>
        <w:spacing w:after="0" w:line="197" w:lineRule="exact"/>
        <w:rPr>
          <w:sz w:val="20"/>
          <w:szCs w:val="20"/>
          <w:color w:val="auto"/>
        </w:rPr>
      </w:pPr>
    </w:p>
    <w:p>
      <w:pPr>
        <w:jc w:val="both"/>
        <w:ind w:left="660" w:hanging="328"/>
        <w:spacing w:after="0" w:line="255"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these companies may have limited financial resources and may be unable to meet their obligations under their existing debt, which may lead to equity financings, possibly at discounted valuations, in which we could be substantially diluted if we do not or cannot participate, bankruptcy or liquidation and the reduction or loss of our equity investment;</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typically have limited operating histories, narrower, less established product lines and smaller market shares than larger businesses, which tend to render them more vulnerable to competitors’ actions, market conditions and consumer sentiment in respect of their products or services, as well as general economic downturns;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 obsolescence, and may require substantial additional capital to support their operations, finance expansion or maintain their competitive position;</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because they are privately owned, there is generally little publicly available information about these businesses; therefore, although we will perform due diligence investigations on these portfolio companies, their operations and their prospects, we may not learn all of the material information we need to know regarding these businesses and, in the case of investments we acquire on private secondary transactions, we may be unable to obtain financial or other information regarding the companies with respect to which we invest. Furthermore, there can be no assurance that the information that we do obtain with respect to any investment is reliable;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termination of one or more of these persons could have a material adverse impact on the portfolio company and, in turn, on us.</w:t>
      </w:r>
    </w:p>
    <w:p>
      <w:pPr>
        <w:spacing w:after="0" w:line="9" w:lineRule="exact"/>
        <w:rPr>
          <w:sz w:val="20"/>
          <w:szCs w:val="20"/>
          <w:color w:val="auto"/>
        </w:rPr>
      </w:pPr>
    </w:p>
    <w:p>
      <w:pPr>
        <w:jc w:val="both"/>
        <w:ind w:firstLine="364"/>
        <w:spacing w:after="0" w:line="253" w:lineRule="auto"/>
        <w:rPr>
          <w:sz w:val="20"/>
          <w:szCs w:val="20"/>
          <w:color w:val="auto"/>
        </w:rPr>
      </w:pPr>
      <w:r>
        <w:rPr>
          <w:rFonts w:ascii="Arial" w:cs="Arial" w:eastAsia="Arial" w:hAnsi="Arial"/>
          <w:sz w:val="18"/>
          <w:szCs w:val="18"/>
          <w:color w:val="auto"/>
        </w:rPr>
        <w:t>A portfolio company’s failure to satisfy financial or operating covenants imposed by its lenders could lead to defaults and, potentially, termination of its loans and foreclosure on its assets, which could trigger cross-defaults under other agreements and jeopardize our equity investment in such portfolio company. We may incur expenses to the extent necessary to seek recovery of our equity investment or to negotiate new terms with a financially distressed portfolio company.</w:t>
      </w:r>
    </w:p>
    <w:p>
      <w:pPr>
        <w:spacing w:after="0" w:line="22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our investments are generally not in publicly traded securities, there will be uncertainty regarding the value of our investments, which could adversely affect the determination of our net asset value.</w:t>
      </w:r>
    </w:p>
    <w:p>
      <w:pPr>
        <w:spacing w:after="0" w:line="197"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6"/>
          <w:szCs w:val="16"/>
          <w:color w:val="auto"/>
        </w:rPr>
        <w:t>Our portfolio investments will generally not be in publicly traded securities. As a result, although we expect that some of our equity investments may trade on private secondary marketplaces, the fair value of our direct investments in portfolio companies will often not be readily determinable. Under the 1940 Act, for our investments for which there are no readily available market quotations, including securities that, while listed on a private securities exchange, have not actively traded, we will value such securities at fair value quarterly as determined in good faith by our Board of Directors based upon the recommendation of the Valuation Committee in accordance with our written valuation policy. In connection with that determination, our executive officers and investment professionals will prepare portfolio company valuations using, where available, the most recent portfolio company financial statements and forecasts. The Valuation Committee utilizes the services of an independent valuation firm, which prepares valuations for each of our portfolio investments that are not publicly traded or for which we do not have readily available market quotations, including securities that while listed on a private securities exchange, have not actively traded. However, the Board of Directors retains ultimate authority as to the appropriate valuation of each such investment. The types of factors that the Valuation Committee takes into account in providing its fair value recommendation to the Board of Directors with respect to such non-traded investments include, as relevant and, to the extent available, the portfolio company’s earnings, the markets in which the portfolio company does business, comparison to valuations of publicly traded companies, comparisons to recent sales of comparable companies, the discounted value of the cash flows of the portfolio company and other relevant factors. This information may not be available because it is difficult to obtain financial and other information with respect to private companies, and even when we are able to obtain such information, there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can be no assurance that it is complete or accurate. Because such valuations are inherently uncertain and may be based on estimates, our determinations of fair value may differ materially from the values that would be assessed if a readily available market for these securities existed. Due to this uncertainty, our fair value determinations with respect to any non-traded investments we hold may cause our net asset value on a given date to materially understate or overstate the value that we may ultimately realize on one or more of our investments. As a result, investors purchasing our securities based on an overstated net asset value would pay a higher price than the value of our investments might warrant. Conversely, investors selling securities during a period in which the net asset value understates the value of our investments would receive a lower price for their securities than the value of our investments might warrant.</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securities of our private portfolio companies are illiquid, and the inability of these portfolio companies to complete an IPO or consummate another liquidity event within our targeted time frame will extend the holding period of our investments, may adversely affect the value of these investments, and will delay the distribution of gains, if any.</w:t>
      </w:r>
    </w:p>
    <w:p>
      <w:pPr>
        <w:spacing w:after="0" w:line="211"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7"/>
          <w:szCs w:val="17"/>
          <w:color w:val="auto"/>
        </w:rPr>
        <w:t>The IPO market is, by its very nature, unpredictable. A lack of IPO opportunities for venture capital-backed companies could lead to companies staying longer in our portfolio as private entities still requiring funding. This situation may adversely affect the amount of available venture capital funding to late-stage companies that cannot complete an IPO. Such stagnation could dampen returns or could lead to unrealized depreciation and realized losses as some companies run short of cash and have to accept lower valuations in private fundings or are not able to access additional capital at all. A lack of IPO opportunities for venture capital-backed companies may also cause some venture capital firms to change their strategies, leading some of them to reduce funding of their portfolio companies and making it more difficult for such companies to access capital. This might result in unrealized depreciation and realized losses in such companies by other investment funds, like us, who are co-investors in such companies. There can be no assurance that we will be able to achieve our targeted return on our portfolio company investments if, as and when they go public.</w:t>
      </w:r>
    </w:p>
    <w:p>
      <w:pPr>
        <w:spacing w:after="0" w:line="205"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7"/>
          <w:szCs w:val="17"/>
          <w:color w:val="auto"/>
        </w:rPr>
        <w:t>The equity securities we acquire in a private company are generally subject to contractual transfer limitations imposed on the company’s stockholders as well as other contractual obligations, such as rights of first refusal and co-sale rights. These obligations generally expire only upon an IPO by the company or the occurrence of another liquidity/exit event. As a result, prior to an IPO or other liquidity/exit event, our ability to liquidate our private portfolio company positions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 rights to participate in the sale, thereby reducing the number of shares available to sell by us. Furthermore, prospective buyers may be deterred from entering into purchase transactions with us due to the delay and uncertainty that these transfer and other limitations create.</w:t>
      </w:r>
    </w:p>
    <w:p>
      <w:pPr>
        <w:spacing w:after="0" w:line="20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If the private companies in which we invest do not perform as planned, they may be unable to successfully complete an IPO or consummate another liquidity event within our targeted time frame, or they may decide to abandon their plans for an IPO. In such cases, we will likely exceed our targeted holding period and the value of these investments may decline substantially if an IPO or other exit is no longer viable. We may also be forced to take other steps to exit these investments.</w:t>
      </w:r>
    </w:p>
    <w:p>
      <w:pPr>
        <w:spacing w:after="0" w:line="214"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The illiquidity of our private portfolio company investments, including those that are traded on the trading platforms of private secondary marketplaces, may make it difficult for us to sell such investments should the need arise. Also, if we were required to liquidate all or a portion of our portfolio quickly, we may realize significantly less than the value at which we have previously recorded our investments. We will have no limitation on the portion of our portfolio that may be invested in illiquid securities, and we anticipate that all or a substantial portion of our portfolio may be invested in such illiquid securities at all times. Due to the inherent uncertainty in determining the fair value of investments that do not have a readily available market value, the fair value of our investments determined in good faith by our Board of Directors may differ significantly from the value that would have been used had a ready market existed for such investments, and the differences could be material.</w:t>
      </w:r>
    </w:p>
    <w:p>
      <w:pPr>
        <w:spacing w:after="0" w:line="20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 addition, even if a portfolio company completes an IPO, we will typically not be able to sell our position until any applicable post-IPO lockup restriction expires. As a result of lockup restrictions, the market price of securities that we hold may decline substantially before we are able to sell them following an IPO. There is also no assurance that a meaningful trading market will develop for our publicly traded portfolio companies following an IPO to allow us to liquidate our position when we desire.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may not realize gains from our equity investments and, because certain of our portfolio companies may incur substantial debt to finance their operations, we may experience a complete loss on our equity investments in the event of a bankruptcy or liquidation of any of our portfolio companies.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invest principally in the equity and equity-related securities of what we believe to be rapidly growing venture-capital-backed emerging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However, the equity interests we acquire may not appreciate in value and, in fact, may decline in value.</w:t>
      </w:r>
    </w:p>
    <w:p>
      <w:pPr>
        <w:spacing w:after="0" w:line="238"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In addition, the private company securities we acquire may be subject to drag-along rights, which could permit other stockholders, under certain circumstances, to force us to liquidate our position in a subject company at a specified price, which could be, in our opinion, inadequate or undesirable or even below our cost basis. In this event, we could realize a loss or fail to realize gain in an amount that we deem appropriate on our investment. Further, capital market volatility and the overall market environment may preclude our portfolio companies from realizing liquidity events and impede our exit from these investments. Accordingly, we may not be able to realize gains from our equity interests, and any gains that we do realize on the disposition of any equity interests may not be sufficient to offset any other losses we experience. We will generally have little, if any, control over the timing of any gains we may realize from our equity investments unless and until the portfolio companies in which we invest become publicly traded. In addition, the companies in which we invest may have substantial debt loads. In such cases, we would typically be last in line behind any creditors in a bankruptcy or liquidation and would likely experience a complete loss on our investment.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of our portfolio companies are currently experiencing operating losses, which may be substantial, and there can be no assurance when or if such companies will operate at a profit.</w:t>
      </w:r>
    </w:p>
    <w:p>
      <w:pPr>
        <w:spacing w:after="0" w:line="197"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We have limited information about the financial performance and profitability of some of our portfolio companies. While certain of our portfolio companies have earned net income in recent periods, we believe that many of our portfolio companies are currently experiencing operating losses. There can be no assurance when or if such companies will operate at a profit.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lack of liquidity in, and potentially extended holding period of, our many investments may adversely affect our business and will delay any distributions of gains, if any.</w:t>
      </w:r>
    </w:p>
    <w:p>
      <w:pPr>
        <w:spacing w:after="0" w:line="197"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7"/>
          <w:szCs w:val="17"/>
          <w:color w:val="auto"/>
        </w:rPr>
        <w:t>Our investments will generally not be in publicly traded securities. Although we expect that some of our equity investments will trade on private secondary marketplaces, certain of the securities we hold will be subject to legal and other restrictions on resale or will otherwise be less liquid than publicly traded securities. In addition, while some portfolio companies may trade on private secondary marketplaces, we can provide no assurance that such a trading market will continue or remain active, or that we will be able to sell our position in any portfolio company at the time we desire to do so and at the price we anticipate. The illiquidity of our investments, including those that are traded on private secondary marketplaces, will make it difficult for us to sell such investments if the need arises. Also, if we are required to liquidate all or a portion of our portfolio quickly, we may realize significantly less than the value at which we have previously recorded our investments. We have no limitation on the portion of our portfolio that may be invested in illiquid securities, and a substantial portion or all of our portfolio may be invested in such illiquid securities from time to time.</w:t>
      </w:r>
    </w:p>
    <w:p>
      <w:pPr>
        <w:spacing w:after="0" w:line="205"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In addition, because we generally invest in equity and equity-related securities, with respect to the majority of our portfolio companies, we do not expect regular realization events, if any, to occur in the near term. We expect that our holdings of equity securities may require several years to appreciate in value, and we can offer no assurance that such appreciation will occur. Even if such appreciation does occur, it is likely that initial purchasers of our shares could wait for an extended period of time before any appreciation or sale of our investments, and any attendant distributions of gains, may be realized.</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portfolio is concentrated in a limited number of portfolio companies or market sectors, which subjects us to a risk of significant loss if the business or market position of these companies deteriorates or market sectors experiences a market downturn.</w:t>
      </w:r>
    </w:p>
    <w:p>
      <w:pPr>
        <w:spacing w:after="0" w:line="173"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A consequence of our limited number of investments is that the aggregate returns we realize may be significantly adversely affected if a small number of investments perform poorly or if we need to write down the value of any one investment. For example, as of December 31, 2020, 82.8% of our net asset value was comprised of investments in ten portfolio companies. Beyond the asset diversification requirements necessary to qualify as a RIC, we have general guidelines for diversification, however our investments could be concentrated in relatively few issuers. In addition, our investments may be concentrated in a limited number of market sectors, including in technology-related sectors. As a result, a downturn in any market sector in which a significant number of our portfolio companies operate or the deterioration of the market position of any portfolio company in which we have a material position could materially adversely affect us.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Technology-related sectors in which we invest are subject to many risks, including volatility, intense competition, decreasing life cycles, product obsolescence, changing consumer preferences, periodic downturns, regulatory concerns and litigation risks.</w:t>
      </w:r>
    </w:p>
    <w:p>
      <w:pPr>
        <w:spacing w:after="0" w:line="197"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Given the experience of our executive officers and investment professionals within the technology space, a number of the companies in which we have invested and intend to invest operate in technology-related sectors. Investments in such companies are subject to substantial risks. The revenue, income (or losses) and valuations of technology-related companies can and often do fluctuate suddenly and dramatically. In addition, because of rapid technological change, the average selling prices of products and some services provided by companies in technology-related sectors have historically decreased over their productive lives.</w:t>
      </w:r>
    </w:p>
    <w:p>
      <w:pPr>
        <w:spacing w:after="0" w:line="215"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7"/>
          <w:szCs w:val="17"/>
          <w:color w:val="auto"/>
        </w:rPr>
        <w:t>In addition, our portfolio companies face intense competition since their businesses are rapidly evolving, intensely competitive and subject to changing technology, shifting user needs and frequent introductions of new products and services. Potential competitors to our portfolio companies in the technology industry range from large and established companies to emerging start-ups. Further, such companies are subject to laws that were adopted prior to the advent of the Internet and related technologies and, as a result, may not contemplate or address the unique issues of the Internet and related technologies. The laws that do reference the Internet are being interpreted by the courts, but their applicability and scope remain uncertain. Claims have been threatened and filed under both U.S. and foreign laws for defamation, invasion of privacy and other tort claims, unlawful activity, copyright and trademark infringement, or other theories based on the nature and content of the materials searched and the ads posted by a company’s users, a company’s products and services, or content generated by a company’s users. Further, the growth of technology-related companies into a variety of new fields implicate a variety of new regulatory issues and may subject such companies to increased regulatory scrutiny, particularly in the U.S. and Europe. Any of these factors could materially and adversely affect the business and operations of a portfolio company in the technology industry and, in turn, adversely affect the value of these portfolio companies and the value of any securities that we may hold.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could be negatively affected if a significant portfolio company fails to perform as expected.</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Our total investment in companies may be significant individually or in the aggregate. As a result, if a significant investment in one or more companies fails to perform as expected, our financial results could be more negatively affected and the magnitude of the loss could be more significant than if we had made smaller investments in more companies. The following table shows the cost and fair value of our ten largest portfolio company positions as of December 31, 2020:</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Fair</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 of Net</w:t>
            </w:r>
          </w:p>
        </w:tc>
        <w:tc>
          <w:tcPr>
            <w:tcW w:w="0" w:type="dxa"/>
            <w:vAlign w:val="bottom"/>
          </w:tcPr>
          <w:p>
            <w:pPr>
              <w:spacing w:after="0"/>
              <w:rPr>
                <w:sz w:val="1"/>
                <w:szCs w:val="1"/>
                <w:color w:val="auto"/>
              </w:rPr>
            </w:pPr>
          </w:p>
        </w:tc>
      </w:tr>
      <w:tr>
        <w:trPr>
          <w:trHeight w:val="135"/>
        </w:trPr>
        <w:tc>
          <w:tcPr>
            <w:tcW w:w="5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Portfolio Company</w:t>
            </w:r>
          </w:p>
        </w:tc>
        <w:tc>
          <w:tcPr>
            <w:tcW w:w="440" w:type="dxa"/>
            <w:vAlign w:val="bottom"/>
          </w:tcPr>
          <w:p>
            <w:pPr>
              <w:spacing w:after="0"/>
              <w:rPr>
                <w:sz w:val="11"/>
                <w:szCs w:val="11"/>
                <w:color w:val="auto"/>
              </w:rPr>
            </w:pPr>
          </w:p>
        </w:tc>
        <w:tc>
          <w:tcPr>
            <w:tcW w:w="15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5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Asset</w:t>
            </w:r>
          </w:p>
        </w:tc>
        <w:tc>
          <w:tcPr>
            <w:tcW w:w="0" w:type="dxa"/>
            <w:vAlign w:val="bottom"/>
          </w:tcPr>
          <w:p>
            <w:pPr>
              <w:spacing w:after="0"/>
              <w:rPr>
                <w:sz w:val="1"/>
                <w:szCs w:val="1"/>
                <w:color w:val="auto"/>
              </w:rPr>
            </w:pPr>
          </w:p>
        </w:tc>
      </w:tr>
      <w:tr>
        <w:trPr>
          <w:trHeight w:val="188"/>
        </w:trPr>
        <w:tc>
          <w:tcPr>
            <w:tcW w:w="580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5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Palantir Technologies, Inc.</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12,875,126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94,635,398</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31.4%</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Coursera, Inc.</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17,359,536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53,182,137</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17.6%</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Course Hero, Inc.</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35,079,072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11.6%</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Nextdoor.com, Inc.</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10,002,666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12,832,208</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4.3%</w:t>
            </w: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Ozy Media, Inc.</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10,945,024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10,098,381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Blink Health, Inc.</w:t>
            </w:r>
          </w:p>
        </w:tc>
        <w:tc>
          <w:tcPr>
            <w:tcW w:w="4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10,003,355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9,999,982</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Forge Global, Inc.</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2,383,703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9,897,059</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3.3%</w:t>
            </w:r>
          </w:p>
        </w:tc>
        <w:tc>
          <w:tcPr>
            <w:tcW w:w="0" w:type="dxa"/>
            <w:vAlign w:val="bottom"/>
          </w:tcPr>
          <w:p>
            <w:pPr>
              <w:spacing w:after="0"/>
              <w:rPr>
                <w:sz w:val="1"/>
                <w:szCs w:val="1"/>
                <w:color w:val="auto"/>
              </w:rPr>
            </w:pPr>
          </w:p>
        </w:tc>
      </w:tr>
      <w:tr>
        <w:trPr>
          <w:trHeight w:val="243"/>
        </w:trPr>
        <w:tc>
          <w:tcPr>
            <w:tcW w:w="5800" w:type="dxa"/>
            <w:vAlign w:val="bottom"/>
            <w:gridSpan w:val="2"/>
          </w:tcPr>
          <w:p>
            <w:pPr>
              <w:spacing w:after="0"/>
              <w:rPr>
                <w:sz w:val="20"/>
                <w:szCs w:val="20"/>
                <w:color w:val="auto"/>
              </w:rPr>
            </w:pPr>
            <w:r>
              <w:rPr>
                <w:rFonts w:ascii="Arial" w:cs="Arial" w:eastAsia="Arial" w:hAnsi="Arial"/>
                <w:sz w:val="18"/>
                <w:szCs w:val="18"/>
                <w:color w:val="auto"/>
              </w:rPr>
              <w:t>GreenAcreage Real Estate Corp.</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8,509,633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8,937,690</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3.0%</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Stormwind, LLC.</w:t>
            </w:r>
          </w:p>
        </w:tc>
        <w:tc>
          <w:tcPr>
            <w:tcW w:w="4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6,387,741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7,958,346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2.6%</w:t>
            </w:r>
          </w:p>
        </w:tc>
        <w:tc>
          <w:tcPr>
            <w:tcW w:w="0" w:type="dxa"/>
            <w:vAlign w:val="bottom"/>
          </w:tcPr>
          <w:p>
            <w:pPr>
              <w:spacing w:after="0"/>
              <w:rPr>
                <w:sz w:val="1"/>
                <w:szCs w:val="1"/>
                <w:color w:val="auto"/>
              </w:rPr>
            </w:pPr>
          </w:p>
        </w:tc>
      </w:tr>
      <w:tr>
        <w:trPr>
          <w:trHeight w:val="230"/>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Enjoy Technology, Inc.</w:t>
            </w: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5,526,777</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7,090,816</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2.4%</w:t>
            </w:r>
          </w:p>
        </w:tc>
        <w:tc>
          <w:tcPr>
            <w:tcW w:w="0" w:type="dxa"/>
            <w:vAlign w:val="bottom"/>
          </w:tcPr>
          <w:p>
            <w:pPr>
              <w:spacing w:after="0"/>
              <w:rPr>
                <w:sz w:val="1"/>
                <w:szCs w:val="1"/>
                <w:color w:val="auto"/>
              </w:rPr>
            </w:pPr>
          </w:p>
        </w:tc>
      </w:tr>
      <w:tr>
        <w:trPr>
          <w:trHeight w:val="248"/>
        </w:trPr>
        <w:tc>
          <w:tcPr>
            <w:tcW w:w="5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88,993,562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249,711,089</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82.8%</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-187960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-187960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-1662430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-1662430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limited in our ability to make follow-on investments, and our failure to make follow-on investments in our portfolio companies could impair the value of our portfolio.</w:t>
      </w:r>
    </w:p>
    <w:p>
      <w:pPr>
        <w:spacing w:after="0" w:line="197"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Following an initial investment in a portfolio company, we may make additional investments in that portfolio company as “follow-on” investments, in order to: (1) increase or maintain in whole or in part our equity ownership percentage; (2) exercise warrants, options or convertible securities that were acquired in the original or subsequent financing; or (3) attempt to preserve or enhance the value of our investment.</w:t>
      </w:r>
    </w:p>
    <w:p>
      <w:pPr>
        <w:spacing w:after="0" w:line="192"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We may elect not to make follow-on investments, or may otherwise lack sufficient funds to make those investments or lack access to desired follow-on investment opportunities. We have the discretion to make any follow-on investments, subject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availability of capital resources and of the investment opportunity. 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qualify to maintain our status as a RIC, or we lack access to the desired follow-on investment opportunity.</w:t>
      </w:r>
    </w:p>
    <w:p>
      <w:pPr>
        <w:spacing w:after="0" w:line="2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we may be unable to complete follow-on investments in our portfolio companies that have conducted an IPO as a result of regulatory or financial restrictions.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we will generally not hold controlling equity interests in our portfolio companies, we will likely not be in a position to exercise control over our portfolio companies or to prevent decisions by substantial stockholders or management of our portfolio companies that could decrease the value of our investments.</w:t>
      </w:r>
    </w:p>
    <w:p>
      <w:pPr>
        <w:spacing w:after="0" w:line="211"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Generally, we will not take controlling equity positions in our portfolio companies. As a result, we will be subject to the risk that a portfolio company may make business decisions with which we disagree, and the stockholders and management of a portfolio company may take risks or otherwise act in ways that are adverse to our interests. In addition, other stockholders, such as venture capital and private equity sponsors, that have substantial investments in our portfolio companies may have interests that differ from that of the portfolio company or its minority stockholders, which may lead them to take actions that could materially and adversely affect the value of our investment in the portfolio company. Due to the lack of liquidity for the equity and equity-related investments that we will typically hold in our portfolio companies, we may not be able to dispose of our investments in the event we disagree with the actions of a portfolio company or its substantial stockholders, and may therefore suffer a decrease in the value of our investments.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the event that we make an investment in a sponsor of a SPAC and the SPAC does not consummate a business combination, we will lose the entirety of our investment.</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lose the entirety of our investment in a sponsor of a SPAC if the underlying SPAC fails to consummate a business combination. Any investment by us in a sponsor of a SPAC will not have the same redemption rights that a direct investment in a SPAC may have. As such, there is a unique risk of experiencing a complete loss on our investment when we invest in a sponsor of a SPAC.</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number of founder shares allocated to us in respect of any investment in a sponsor of a SPAC may be reduced or otherwise subjected to forfeiture/dilution in the event that the sponsor of a SPAC raises additional capital.</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certain circumstances, the managing member of the sponsor of a SPAC in which we invest may determine that the underlying SPAC requires additional working capital following the IPO of the underlying SPAC but prior to a business combination, as contemplated by the underlying SPAC’s registration statement. Typically, the managing member of the sponsor of a SPAC, in his or her sole and absolute discretion, may permit existing or new members in the sponsor of a SPAC, including us, to make loans to the underlying SPAC or to make additional equity investments in the sponsor of the SPAC as needed. Accordingly, we typically will have no right to participate in any such loans or equity investments unless the managing member, in his or her sole discretion, offers us the opportunity to invest in any such loans or equity investments. In connection with such new loans or equity investments, the managing member may reallocate founder shares from members not participating in any such loans or equity to any such lenders/investors at a ratio calculated in accordance with the formula used to derive the ratio for the initial allocation of founder shares to us and the other members and so long as any reallocation would not affect our or any group of members’ membership interests disproportionately to all members in the aggregate. In such a case, our interest in the founder shares will be reduced or diluted. In the event any such reallocation would affect our or any group of members’ membership interests disproportionately to all members in the aggregate, we will have a limited right to participate in loan or equity investment at issue. If, however, we choose not to participate, our interest in the founder shares would be reduced or diluted as a result. Finally, the managing member may determine in his or her sole and absolute discretion that one or more strategic investors in the sponsor of a SPAC will not be subject to a reallocation of founder shares in the event a loan or equity investment is needed, and if so our interest in the founder shares will be further diluted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 that a SPAC complete a business combination within a specified completion window may give potential target businesses leverage over the SPAC in negotiating a business combination and may limit the time the SPAC has in which to conduct due diligence on potential business combination targets, in particular as it approaches its dissolution deadline, which could undermine its ability to complete a business combination on terms that would produce value for us.</w:t>
      </w:r>
    </w:p>
    <w:p>
      <w:pPr>
        <w:spacing w:after="0" w:line="21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Any potential target business that enters into negotiations concerning a business combination with a SPAC in which we invest will be aware that the SPAC must complete a business combination within a specified completion window, which is usually between 18-24 months following the SPAC’s IPO. Consequently, such target business may obtain leverage over the SPAC in negotiating a business combination, knowing that if the SPAC does not complete a business combination with that particular target business, it may be unable to complete a business combination with any target business. This risk will increase as the SPAC gets closer to the timeframe described above. In addition, the SPAC may have limited time to conduct due diligence and may enter into a business combination on terms that it would have rejected upon a more comprehensive investigation. The foregoing could undermine the SPAC’s ability to complete a business combination on terms that would produce value for us.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foreign companies may involve significant risks in addition to the risks inherent in U.S. investments.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While we invest primarily in U.S. companies, we may invest on an opportunistic basis in certain non-U.S. companies, including those located in emerging markets, that otherwise meet our investment criteria. In regards to the regulatory requirements for BDCs, non-U.S. investments do not qualify as investments in “eligible portfolio companies,” and thus may not be considered “qualifying assets.” In addition, investing in foreign companies, and particularly those in emerging markets, may expose us to additional risks not typically associated with investing in U.S. issues.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Further, we may have difficulty enforcing our rights as equity holders in foreign jurisdictions. In addition, to the extent we invest in non-U.S. companies, we may face greater exposure to foreign economic developments.</w:t>
      </w:r>
    </w:p>
    <w:p>
      <w:pPr>
        <w:spacing w:after="0" w:line="20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Although we expect that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expose ourselves to risks if we engage in hedging transactions.</w:t>
      </w:r>
    </w:p>
    <w:p>
      <w:pPr>
        <w:spacing w:after="0" w:line="252" w:lineRule="exact"/>
        <w:rPr>
          <w:sz w:val="20"/>
          <w:szCs w:val="20"/>
          <w:color w:val="auto"/>
        </w:rPr>
      </w:pPr>
    </w:p>
    <w:p>
      <w:pPr>
        <w:jc w:val="both"/>
        <w:ind w:firstLine="364"/>
        <w:spacing w:after="0" w:line="287"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utilize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should increase. It may not be possible to hedge against an exchange rate or interest rate fluctuation that is so generally anticipated that we are not able to enter into a hedging transaction at an acceptable price.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enter into transactions involving derivatives and financial commitment transactions may be limited.</w:t>
      </w:r>
    </w:p>
    <w:p>
      <w:pPr>
        <w:spacing w:after="0" w:line="252"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6"/>
          <w:szCs w:val="16"/>
          <w:color w:val="auto"/>
        </w:rPr>
        <w:t>In November 2020, the SEC adopted a rulemaking regarding the ability of a BDC (or a registered investment company) to use derivatives and other transactions that create future payment or delivery obligations. Under the newly adopted rules, BDCs that use derivatives will be subject to a value-at-risk leverage limit, a derivatives risk management program and testing requirements and requirements related to board reporting. These new requirements will apply unless the BDC qualifies as a “limited derivatives user,” as defined under the adopted rules. Under the new rule, a BDC may enter into an unfunded commitment agreement that is not a derivatives transaction, such as an agreement to provide financing to a portfolio company,</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if the BDC has, among other things, a reasonable belief, at the time it enters into such an agreement, that it will have sufficient cash and cash equivalents to meet its obligations with respect to all of its unfunded commitment agreements, in each case as it becomes due. Collectively, these requirements may limit our ability to use derivatives and/or enter into certain other financial contracts.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Structure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on our part to maintain our status as a BDC would reduce our operating flexibility.</w:t>
      </w:r>
    </w:p>
    <w:p>
      <w:pPr>
        <w:spacing w:after="0" w:line="252"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The 1940 Act imposes numerous constraints on the operations of BDCs. For example, BDCs are required to invest at least 70% of their gross assets in specified types of securities, primarily in private companies or thinly-traded U.S. public companies, cash, cash equivalents, U.S. government securities and other high quality debt investments that mature in one year or less. Furthermore, any failure to comply with the requirements imposed on BDCs by the 1940 Act could cause the SEC to bring an enforcement action against us and/or expose us to claims of private litigants. In addition, upon approval of a majority of our stockholders, we may elect to withdraw our status as a BDC. If we decide to withdraw our election, or if we otherwise fail to maintain our qualification, to be regulated as a BDC, we may be subject to substantially greater regulation under the 1940 Act as a closed-end investment company. Compliance with such regulations would significantly decrease our operating flexibility and could significantly increase our costs of doing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an internally managed BDC, we are subject to certain restrictions that may adversely affect our business.</w:t>
      </w:r>
    </w:p>
    <w:p>
      <w:pPr>
        <w:spacing w:after="0" w:line="252" w:lineRule="exact"/>
        <w:rPr>
          <w:sz w:val="20"/>
          <w:szCs w:val="20"/>
          <w:color w:val="auto"/>
        </w:rPr>
      </w:pPr>
    </w:p>
    <w:p>
      <w:pPr>
        <w:jc w:val="both"/>
        <w:ind w:right="20" w:firstLine="364"/>
        <w:spacing w:after="0" w:line="263" w:lineRule="auto"/>
        <w:rPr>
          <w:sz w:val="20"/>
          <w:szCs w:val="20"/>
          <w:color w:val="auto"/>
        </w:rPr>
      </w:pPr>
      <w:r>
        <w:rPr>
          <w:rFonts w:ascii="Arial" w:cs="Arial" w:eastAsia="Arial" w:hAnsi="Arial"/>
          <w:sz w:val="18"/>
          <w:szCs w:val="18"/>
          <w:color w:val="auto"/>
        </w:rPr>
        <w:t>As an internally managed BDC, the size and categories of our assets under management is limited, and we are unable to offer as wide a variety of financial products to prospective portfolio companies and sponsors (potentially limiting the size and diversification of our asset base). We therefore may not achieve efficiencies of scale and greater management resources available to externally managed BDCs.</w:t>
      </w:r>
    </w:p>
    <w:p>
      <w:pPr>
        <w:spacing w:after="0" w:line="211"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Additionally, as an internally managed BDC, our ability to offer more competitive and flexible compensation structures, such as offering both a profit-sharing plan and an equity incentive plan, is subject to the limitations imposed by the 1940 Act, which limits our ability to attract and retain talented investment management professionals. As such, these limitations could inhibit our ability to grow, pursue our business plan and attract and retain professional talent, any or all of which may have a negative impact on our business, financial condition and results of operations.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an internally managed BDC, we are dependent upon our management team and investment professionals for their time availability and for our future success, and if we are not able to hire and retain qualified personnel, or if we lose key members of our senior management team, our ability to implement our business strategy could be significantly harmed.</w:t>
      </w:r>
    </w:p>
    <w:p>
      <w:pPr>
        <w:spacing w:after="0" w:line="21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an internally managed BDC, our ability to achieve our investment objectives and to make distributions to our stockholders depends upon the performance of our management team and investment professionals. We depend upon the members of our management and our investment professionals for the identification, final selection, structuring, closing and monitoring of our investments. These employees have critical industry experience and relationships on which we rely to implement our business plan. If we lose the services of key members of our senior management team, we may not be able to operate the business as we expect, and our ability to compete could be harmed, which could cause our operating results to suffer. We believe our future success will depend, in part, on our ability to identify, attract and retain sufficient numbers of highly skilled employees. If we do not succeed in identifying, attracting and retaining such personnel, we may not be able to operate our business as we expect.</w:t>
      </w:r>
    </w:p>
    <w:p>
      <w:pPr>
        <w:spacing w:after="0" w:line="204"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As an internally managed BDC, our compensation structure is determined and set by our Board of Directors and its Compensation Committee. This structure currently includes salary, bonus and incentive compensation. We are not generally permitted by the 1940 Act to employ an incentive compensation structure that directly ties performance of our investment portfolio and results of operations to incentive compensation.</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Members of our senior management team may receive offers of more flexible and attractive compensation arrangements from other companies, particularly from investment advisers to externally managed BDCs that are not subject to the same limitations on incentive-based compensation that we are subject to as an internally managed BDC. A departure by one or more members of our senior management team could have a negative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condition and results of operations will depend on our ability to achieve our investment objective.</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achieve our investment objective will depend on our management team’s and investment professional’s ability to identify, analyze and invest in companies that meet our investment criteria. Accomplishing this result on a cost-effective basis is largely a function of our management team’s and investment professional’s structuring of the investment process and its ability to provide competent, attentive and efficient services to us. We seek a specified number of investments in rapidly growing venture-capital-backed emerging companies, which may be extremely risky. There can be no assurance that our management team and investment professionals will be successful in identifying and investing in companies that meet our investment criteria, or that we will achieve our investment objective. Even if we are able to grow and build upon our investment operations, any failure to manage our growth effectively could have a material adverse effect on our business, financial condition, results of operations and prospects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results of our operations will depend on many factors, including the availability of opportunities for investment, readily accessible short and long-term funding alternatives in the financial markets and economic conditions. Furthermore, any inability to successfully operate our business or implement our investment policies and strategies as described herein, could adversely impact our ability to pay dividends.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model depends upon the development and maintenance of strong referral relationships with private equity, venture capital funds and investment banking firms.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expect that members of our management team and our investment professionals will maintain key informal relationships, which we use to help identify and gain access to investment opportunities. If our management team and investment professionals fail to maintain relationships with key firms, or if they fail to establish strong referral relationships with other firms or other sources of investment opportunities, we will not be able to grow our portfolio of equity investments and achieve our investment objective. In addition, persons with whom our management team and investment professionals have informal relationships are not obligated to inform them or us of investment opportunities, and therefore such relationships may not lead to the origination of equity or other investments. Any loss or diminishment of such relationships could effectively reduce the ability to identify attractive portfolio companies that meet our investment criteria, either for direct equity investments or for investments through private secondary market transactions or other secondary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risks related to investing in securities traded on private secondary marketplaces.</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have utilized and expect to continue to utilize private secondary marketplaces, such as SharesPost, Inc., to acquire investments for our portfolio. When we purchase secondary shares, we may have little or no direct access to financial or other information from these portfolio companies. As a result, we are dependent upon the relationships of our management team and investment professionals and our Board of Directors to obtain the information necessary to perform research and due diligence, and to monitor our investments after they are made. There can be no assurance that our management team and investment professionals will be able to acquire adequate information on which to make its investment decision with respect to any private secondary marketplace purchases, or that the information it is able to obtain is accurate or complete. Any failure to obtain full and complete information regarding the portfolio companies with respect to which we invest through private secondary marketplaces could cause us to lose part or all of our investment in such companies, which would have a material and adverse effect on our net asset value and results of operations.</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addition, while we believe the ability to trade on private secondary marketplaces provides valuable opportunities for liquidity, there can be no assurance that the portfolio companies with respect to which we invest through private secondary marketplaces will have or maintain active trading markets, and the prices of those securities may be subject to irregular trading activity, wide bid/ask spreads and extended trade settlement periods, which may result in an inability for us to realize full value on our investment. In addition, wide swings in market prices, which are typical of irregularly traded securities, could cause significant and unexpected declines in the value of our portfolio investments. Further, prices in private secondary marketplaces, where limited information is available, may not accurately reflect the true value of a portfolio company, and may overstate a portfolio company’s actual value, which may cause us to realize future capital losses on our investment in that portfolio company. If any of the foregoing were to occur, it would likely have a material and adverse effect on our net asset value and results of operations.</w:t>
      </w:r>
    </w:p>
    <w:p>
      <w:pPr>
        <w:spacing w:after="0" w:line="20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Investments in private companies, including through private secondary marketplaces, also entail additional legal and regulatory risks which expose participants to the risk of liability due to the imbalance of information among participants and participant qualification and other transactional requirements applicable to private securities transactions, the non-compliance with which could result in rescission rights and monetary and other sanctions. The application of these laws within the context of private secondary marketplaces and related market practices are still evolving, and, despite our efforts to comply with</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applicable laws, we could be exposed to liability. The regulation of private secondary marketplaces is also evolving. Additional state or federal regulation of these markets could result in limits on the operation of or activity on those markets. Conversely, deregulation of these markets could make it easier for investors to invest directly in private companies and affect the attractiveness of our Company as an access vehicle for investment in private shares. Private companies may also increasingly seek to limit secondary trading in their stock, such as through contractual transfer restrictions, and provisions in company charter documents, investor rights of first refusal and co-sale and/or employment and trading policies further restricting trading. To the extent that these or other developments result in reduced trading activity and/or availability of private company shares, our ability to find investment opportunities and to liquidate our investments could be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Due to transfer restrictions and the illiquid nature of our investments, we may not be able to purchase or sell our investments when we wish to do so.</w:t>
      </w:r>
    </w:p>
    <w:p>
      <w:pPr>
        <w:spacing w:after="0" w:line="2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Most of our investments are or will be in equity or equity-related securities of privately held companies. The securities we acquire in private companies are typically subject to contractual transfer limitations, which may include prohibitions on transfer without the company’s consent, may require that shares owned by us be held in escrow and may include provisions in company charter documents, and may include investor rights of first refusal and co-sale and/or employment or trading policies further restricting trading. In order to complete a purchase of shares we may need to, among other things, give the issuer, its assignees or its stockholders a particular period of time, often 30 days or more, in which to exercise a veto right, or a right of first refusal over, the sale of such securities. We may be unable to complete a purchase transaction if the subject company or its stockholders chooses to exercise a veto right or right of first refusal. When we complete an investment, we generally become bound to the contractual transfer limitations imposed on the subject company’s stockholders as well as other contractual obligations, such as co-sale or tag- along rights. These obligations generally expire only upon an IPO by the subject company. As a result, prior to an IPO, our ability to liquidate may be constrained. Transfer restrictions could limit our ability to liquidate our positions in these securities if we are unable to find buyers acceptable to our portfolio companies, or where applicable, their stockholders. Such buyers may not be willing to purchase our investments at adequate prices or in volumes sufficient to liquidate our position, and even where they are willing, other stockholders could exercise their co-sales or tag-along rights to participate in the sale, thereby reducing the number of shares sellable by us. Furthermore, prospective buyers may be deterred from entering into purchase transactions with us due to the delay and uncertainty that these transfer and other limitations create.</w:t>
      </w:r>
    </w:p>
    <w:p>
      <w:pPr>
        <w:spacing w:after="0" w:line="21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believe that secondary marketplaces may offer an opportunity to liquidate our private company investments, there can be no assurance that a trading market will develop for the securities that we wish to liquidate or that the subject companies will permit their shares to be sold through such marketplaces. Even if some of our portfolio companies complete IPOs, we are typically subject to lock-up provisions that prohibit us from selling our investments into the public market for specified periods of time after IPOs. As a result, the market price of securities that we hold may decline substantially before we are able to sell these securities following an IPO.</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illiquid nature of most of our investments, we may not be able to sell these securities at times when we deem it advantageous to do so, or at all. Because our net asset value is only determined on a quarterly basis, and due to the difficulty in assessing this value, our net asset value may not fully reflect the illiquidity of our portfolio, which may change on a daily basis, depending on many factors, including the status of the private secondary markets and our particular portfolio at any given time.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significant potential risks associated with investing in venture capital companies with complex capital structures.</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invest primarily in what we believe to be rapidly growing, venture-capital-backed emerging companies, either through private secondary transactions, other secondary transactions or direct investments in companies. Such private companies frequently have much more complex capital structures than traditional publicly traded companies, and may have multiple classes of equity securities with differing rights, including with respect to voting and distributions. In addition, it is often difficult to obtain financial and other information with respect to private companies, and even where we are able to obtain such information, there can be no assurance that it is complete or accurate. In certain cases, such private companies may also have senior or pari passu preferred stock or senior debt outstanding, which may heighten the risk of investing in the underlying equity of such private companies, particularly in circumstances when we have limited information with respect to such capital structures. Although we believe that our management team and investment professionals and our Board of Directors have extensive experience evaluating and investing in private companies with such complex capital structures, there can be no assurance that we will be able to adequately evaluate the relative risks and benefits of investing in a particular class of a portfolio company’s equity securities. Any failure on our part to properly evaluate the relative rights and value of a class of securities in which we invest could cause us to lose part or all of our investment, which in turn could have a material and adverse effect on our net asset value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increasingly complex corporate governance, public disclosure and accounting requirements that are costly and could adversely affect our business and financial results.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subject to changing rules and regulations of federal and state government as well as the stock exchange on which our common stock is listed. These entities, including the Public Company Accounting Oversight Board, the SEC and the Nasdaq Capital Market, have issued a significant number of new and increasingly complex requirements and regulations over the course of the last several years and continue to develop additional regulations and requirements in response to laws enacted by Congress. In addition, there are significant corporate governance and executive compensation-related provisions in the Dodd-Frank Act, and the SEC has adopted, and may continue to adopt, additional rules and regulations that may impact us. Our efforts to comply with these requirements have resulted in, and are likely to continue to result in, an increase in expenses and a diversion of management’s time from other business activities.</w:t>
      </w:r>
    </w:p>
    <w:p>
      <w:pPr>
        <w:spacing w:after="0" w:line="22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any failure to keep pace with such rules, or for our management to appropriately address compliance with such rules fully and in a timely manner, would expose us to an increasing risk of inadvertent non-compliance. While our management team takes reasonable efforts to ensure that we are in full compliance with all laws applicable to our operations, the increasing rate and extent of regulatory change increases the risk of a failure to comply, which may limit our ability to operate our business in the ordinary course or may subject us to potential fines, regulatory findings or other matters that may materially impact our business.</w:t>
      </w:r>
    </w:p>
    <w:p>
      <w:pPr>
        <w:spacing w:after="0" w:line="21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Over the last several years, there has also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operating results or financial condition, impose additional costs on us, intensify the regulatory supervision of us or otherwise adversely affect our business.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Capital markets may experience periods of disruption and instability. These market conditions may materially and adversely affect debt and equity capital markets in the United States and abroad, which may in the future have a negative impact on our business and operations.</w:t>
      </w:r>
    </w:p>
    <w:p>
      <w:pPr>
        <w:spacing w:after="0" w:line="15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BDC, we must maintain our ability to raise additional capital for investment purposes. Without sufficient access to the capital markets or credit markets, we may be forced to curtail our business operations, or we may not be able to pursue new business opportunities.</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From time to time, capital markets may experience periods of disruption and instability. During such periods of market disruption and instability, we and other companies in the financial services sector may have limited access, if available, to alternative markets for debt and equity capital. Equity capital may be difficult to raise because, subject to some limited exceptions which will apply to us as a BDC, we will generally not be able to issue additional shares of our common stock at a price less than net asset value without first obtaining approval for such issuance from our stockholders and our independent directors. In addition, our ability to incur indebtedness (including by issuing preferred stock) is limited by applicable regulations such that our asset coverage, as defined in the 1940 Act, must equal at least 200% (or 150% if certain requirements are met) immediately after each time we incur indebtedness. The debt capital that will be available, if at all, may be at a higher cost and on less favorable terms and conditions in the future. Any inability to raise capital could have a negative effect on our business, financial condition and results of operations.</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Given the volatility and dislocation in the capital markets over the past several years, many BDCs have faced, and may in the future face, a challenging environment in which to raise or access capital. In addition, this volatility and disruption, has had, and in the future may have, a negative effect on the valuations of our investments and on the potential for liquidity events involving these investments. While most of our investments are not publicly traded, applicable accounting standards require us to assume, as part of our valuation process, that our investments are sold in orderly market-to-market transactions between market participants. As a result, volatility in the capital markets can adversely affect our investment valuations. Further, the illiquidity of our investments may make it difficult for us to sell such investments if required and to value such investments. As a result, we may realize significantly less than the value at which we will have recorded our investments. An inability to raise capital, and any required sale of our investments for liquidity purposes, could have a material adverse impact on our business, financial condition or results of operations. In addition, a prolonged period of market illiquidity may cause us to reduce the volume of investments we may make and adversely affect the value of our portfolio investments, which could have a material and adverse effect on our business,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may adversely affect our business, results of operations and financial condition, including our revenue growth and profitability.</w:t>
      </w:r>
    </w:p>
    <w:p>
      <w:pPr>
        <w:spacing w:after="0" w:line="19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6"/>
          <w:szCs w:val="16"/>
          <w:color w:val="auto"/>
        </w:rPr>
        <w:t>The current worldwide financial market situation, as well as various social and political tensions in the United States and around the world, may contribute to increased market volatility, may have long-term effects on the U.S. and worldwide financial markets, and may cause economic uncertainties or deterioration in the United States and worldwide. The U.S. and global capital markets experienced extreme volatility and disruption during the economic downturn that began in mid-2007, and the U.S. economy was in a recession for several consecutive calendar quarters during the same period. In 2010, a financial crisis emerged in Europe, triggered by high budget deficits and rising direct and contingent sovereign debt, which created concerns about the ability of certain nations to continue to service their sovereign debt obligations. Risks resulting from such debt crisis, including any austerity measures taken in exchange for bailout of certain nations, and any future debt crisis in Europe or any similar crisis elsewhere could have a detrimental impact on the global economic recovery, sovereign and non-sovereign debt in certain countries and the financial condition of financial institutions generally. In June 2016, the United Kingdom held a referendum in which voters approved an exit from the European Union (“Brexit”). Brexit created political and economic uncertainty and instability in the global markets (including currency and credit markets), and especially in the United Kingdom and the European Union. The United Kingdom formally left the European Union on January 31, 2020 and on December 24, 2020, the United Kingdom and European Union signed a trade deal that became provisionally effective on January 1, 2021 and that now governs the relationship between the United Kingdom and the European Union (the “Trade Agreement”). The Trade Agreement implements significant regulation around trade, transport of goods and travel restrictions between the United Kingdom and the European Union. There is continued concern about national-level support for the Euro and the accompanying coordination of fiscal and wage policy among European Economic and Monetary Union member countries. In addition, the fiscal and monetary policies of foreign nations, such as Russia and China, may have a severe impact on the worldwide and U.S. financial markets.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Chinese capital markets have also experienced periods of instability over the past several years. The current political climate has also intensified concerns about a potential trade war between the U.S. and China in connection with each country’s recent or proposed tariffs on the other country’s products. These market and economic disruptions and the potential trade war with China have affected, and may in the future affect, the U.S. capital markets, which could adversely affect our business, financial condition or results of operations.</w:t>
      </w:r>
    </w:p>
    <w:p>
      <w:pPr>
        <w:spacing w:after="0" w:line="2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current global financial market situation, as well as various social and political circumstances in the United States and around the world (including wars and other forms of conflict, terrorist acts, security operations and catastrophic events such as fires, floods, earthquakes, tornadoes, hurricanes and global health epidemics), may contribute to increased market volatility and economic uncertainties or deterioration in the United States and worldwide. For example, the global outbreak of COVID-19 continues to adversely impact global commercial activity, and has contributed to significant volatility in financial markets. The outbreak of COVID-19 may have a material adverse impact on the ability of our portfolio companies to fulfill their end customers’ orders due to supply chain delays, limited access to key commodities or technologies or other events that impact their manufacturers or their suppliers. Such events have affected, and may in the future affect, the global and U.S. capital markets, and our business, financial condition or results of operations.</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the U.S. government’s credit and deficit concerns, the European sovereign debt crisis, and the potential trade war with China could cause interest rates to be volatile, which may negatively impact our ability to access the debt markets on favorable terms.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Democratic Party currently controls the executive branch and the legislative branch of government, which increases the likelihood that legislation may be adopted that could significantly affect the regulation of U.S. financial markets. The United States may also potentially withdraw from or renegotiate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 We cannot predict the effects of these or similar events in the future on the U.S. economy and securities markets or on our investments. We monitor developments and seek to manage our investments in a manner consistent with achieving our investment objective, but there can be no assurance that we will be successful in doing so.</w:t>
      </w:r>
    </w:p>
    <w:p>
      <w:pPr>
        <w:spacing w:after="0" w:line="204"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On May 24, 2018, President Trump signed into law the Economic Growth, Regulatory Relief, and Consumer Protection Act, which increased from $50 billion to $250 billion the asset threshold for designation of “systemically important financial institutions” or “SIFIs” subject to enhanced prudential standards set by the Federal Reserve Board, staggering application of this change based on the size and risk of the covered bank holding company. On May 30, 2018, the Federal Reserve Board voted to consider changes to the Volcker Rule that would loosen compliance requirements for all banks. The effect of this change and any further rules or regulations are and could be complex and far-reaching, and the change and any future laws or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regulations or changes thereto could negatively impact our operations, cash flows or financial condition, impose additional costs on us, intensify the regulatory supervision of us or otherwise adversely affect our business,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Events outside of our control, including public health crises, may negatively affect our results of operations and financial performance.</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Periods of market volatility may occur in response to pandemics or other events outside of our control. These types of events could adversely affect our results of operations and financial performance. For example, in December 2019, the global outbreak of COVID-19 has resulted in the temporary closure of many corporate offices, retail stores, and manufacturing facilities and factories across the world. As the potential impact on global markets from the coronavirus is difficult to predict, the extent to which the coronavirus may negatively affect our results of operation and financial performance or the duration of any potential business disruption is uncertain. Any potential impact to our results of operations and financial performance will depend to a large extent on future developments and new information that may emerge regarding the duration and severity of the coronavirus and the actions taken by authorities and other entities to contain the coronavirus or treat its impact, all of which are beyond our control. These potential impacts, while uncertain, could adversely affect our results of operations and financial performance.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risks associated with changes in interest rates.</w:t>
      </w:r>
    </w:p>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Because we may borrow money to make investments, our net investment income may depend, in part, upon the difference between the rate at which we borrow funds and the rate at which we invest those funds. As a result, we can offer no assurance that a significant change in market interest rates will not have a material adverse effect on our net investment income. A reduction in the interest rates on new investments relative to interest rates on current investments could have an adverse impact on our net investment income. However, an increase in interest rates could decrease the value of any investments we hold which earn fixed interest rates and also could increase our interest expense, thereby decreasing our net income. Also, an increase in interest rates available to investors could make an investment in our common stock less attractive if we are not able to increase our distribution rate, which could reduce the value of our common stock. Further, rising interest rates could also adversely affect our performance if such increases cause our borrowing costs to rise at a rate in excess of the rate that our investments yield.</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periods of rising interest rates, to the extent we borrow money subject to a floating interest rate, our cost of funds would increase, which could reduce our net investment income. Further, rising interest rates could also adversely affect our performance if we hold investments with floating interest rates, subject to specified minimum interest rates (such as a LIBOR floor), while at the same time engaging in borrowings subject to floating interest rates not subject to such minimums. In such a scenario, rising interest rates may increase our interest expense, even though our interest income from investments is not increasing in a corresponding manner as a result of such minimum interest rates.</w:t>
      </w:r>
    </w:p>
    <w:p>
      <w:pPr>
        <w:spacing w:after="0" w:line="20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general interest rates rise, there is a risk that the portfolio companies in which we may hold floating rate securities will be unable to pay escalating interest amounts, which could result in a default under their loan documents with us (if any). Rising interest rates could also cause portfolio companies to shift cash from other productive uses to the payment of interest, which may have a material adverse effect on their business and operations and could, over time, lead to increased defaults. In addition, rising interest rates may increase pressure on us to provide fixed rate loans to our portfolio companies, which could adversely affect our net investment income, as increases in our cost of borrowed funds would not be accompanied by increased interest income from such fixed-rate investments.</w:t>
      </w:r>
    </w:p>
    <w:p>
      <w:pPr>
        <w:spacing w:after="0" w:line="2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July 27, 2017, the United Kingdom’s Financial Conduct Authority (the "FCA"), which regulates LIBOR, announced that it intends to phase out LIBOR by the end of 2021. It is unclear if at that time whether LIBOR will cease to exist or if new methods of calculating LIBOR will be established such that it continues to exist after 2021. The U.S. Federal Reserve, in conjunction with the Alternative Reference Rates Committee, a steering committee comprised of large U.S. financial institutions, is considering replacing U.S. dollar LIBOR with a new index calculated by short term repurchase agreements, backed by Treasury securities called the Secured Overnight Financing Rate (“SOFR”). The first publication of SOFR was released in April 2018. Whether or not SOFR attains market traction as a LIBOR replacement remains a question and the future of LIBOR at this time is uncertain. In addition, on March 25, 2020, the FCA stated that although the central assumption that firms cannot rely on LIBOR being published after the end of 2021 has not changed, the outbreak of COVID-19 has delayed the timing of many firms’ transition planning, and the FCA will continue to assess the impact of the COVID-19 outbreak on transition timelines and update the marketplace as soon as possible. Furthermore, on November 30, 2020, Intercontinental Exchange, Inc. (“ICE”) announced that the ICE Benchmark Administration Limited, a wholly-owned subsidiary of ICE and the administrator of LIBOR, will consider extending the LIBOR transition deadline to June 30, 2023. The announcement was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supported by the FCA and the U.S. Federal Reserve. Despite the announcement, regulators continue to emphasize the importance of LIBOR transition planning. Although SOFR appears to be the preferred replacement rate for U.S. dollar LIBOR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credit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credit agreements may bear interest a lower interest rate, which could have an adverse impact on our results of operations. Moreover, if LIBOR ceases to exist, we may need to renegotiate certain terms of our credit facilities, if any. If we are unable to do so, amounts drawn under our credit facilities (if any) may bear interest at a higher rate, which would increase the cost of our borrowings and, in turn, affect our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recessions or downturns could impair our portfolio companies and harm our operating results.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Many of the portfolio companies in which we make investments may be susceptible to economic slowdowns or recessions and may be unable to repay any loans made to them during these periods and, thus, jeopardize our equity investment in such portfolio companies. Therefore, the value of our portfolio may decrease during these periods as we are required to record our investments at their current fair value. Adverse economic conditions also may decrease the value of our equity investments and the value of any collateral securing our loans, if any. Economic slowdowns or recessions could lead to financial losses in our portfolio and a decrease in revenues, net income and assets. Unfavorable economic conditions could also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9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 portfolio company’s failure to satisfy financial or operating covenants imposed by us or other lenders could lead to defaults and, potentially, acceleration of the time when the loans are due and foreclosure on its secured assets, which could trigger cross- defaults under other agreements and jeopardize our equity investment in such portfolio company. We may incur additional expenses to the extent necessary to seek recovery upon default or to negotiate new terms with a financially distressed or defaulting portfolio company. In addition, if one of our portfolio companies were to go bankrupt, depending on the facts and circumstances, we would typically be last in line behind any creditors and would likely experience a complete loss on our investment.</w:t>
      </w:r>
    </w:p>
    <w:p>
      <w:pPr>
        <w:spacing w:after="0" w:line="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Any disruptive conditions in the financial industry and the impact of new legislation in response to those conditions could restrict our business operations and could adversely impact our results of operations and financial condition. In addition, the BDC market may be more sensitive to changes in interest rates or other factors and to the extent the BDC market trades down, our shares might likewise be affected. If the fair value of our assets declines substantially, we may fail to maintain the asset coverage ratios imposed upon us by the 1940 Act. Any such failure would affect our ability to issue securities, including borrowings, and pay dividends, which could materially impair our business operations. Our liquidity could be impaired further by an inability to access the capital markets or to consummate new borrowing facilities to provide capital for normal operations, including new originations. In recent years, reflecting concern about the stability of the financial markets, many lenders and institutional investors have reduced or ceased providing funding to borrowers.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Economic sanction laws in the United States and other jurisdictions may prohibit us from transacting with certain countries, individuals and companies. Economic sanction laws in the United States and other jurisdictions may prohibit us from transacting with certain countries, individuals and companies. In the United States, the U.S. Department of the Treasury’s Office of Foreign Assets Control administers and enforces laws, executive orders and regulations establishing U.S. economic and trade sanctions, which prohibit, among other things, transactions with, and the provision of services to, certain non-U.S. countries, territories, entities and individuals. These types of sanctions may significantly restrict or completely prohibit investment activities in certain jurisdictions, and if we, our portfolio companies or other issuers in which we invest were to violate any such laws or regulations, we may face significant legal and monetary penalties. The Foreign Corrupt Practices Act, or FCPA, and other anti-corruption laws and regulations, as well as antiboycott regulations, may also apply to and restrict our activities, our portfolio companies and other issuers of our investments. If an issuer or we were to violate any such laws or regulations, such issuer or we may face significant legal and monetary penalties.</w:t>
      </w:r>
    </w:p>
    <w:p>
      <w:pPr>
        <w:spacing w:after="0" w:line="1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U.S. government has indicated that it is particularly focused on FCPA enforcement, which may increase the risk that an issuer or us becomes the subject of such actual or threatened enforcement. In addition, certain commentators have suggested that private investment firms and the funds that they manage may face increased scrutiny and/or liability with respect to the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activities of their underlying portfolio companies. As such, a violation of the FCPA or other applicable regulations by us or an issuer of our portfolio investments could have a material adverse effect on us. We are committed to complying with the FCPA and other anti-corruption laws and regulations, as well as anti-boycott regulations, to which it is subject. As a result, we may be adversely affected because of our unwillingness to enter into transactions that violate any such laws or regulations.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business and operations could be negatively affected if we become subject to any securities litigation or stockholder activism, which could cause us to incur significant expense, hinder execution of investment strategy and impact our stock price.</w:t>
      </w:r>
    </w:p>
    <w:p>
      <w:pPr>
        <w:spacing w:after="0" w:line="19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the past, following periods of volatility in the market price of a company’s securities, securities class-action litigation has often been brought against that company. Stockholder activism, which could take many forms or arise in a variety of situations, has been increasing in the BDC space recently. While we are currently not subject to any securities litigation or stockholder activism, due to the potential volatility of our stock price and for a variety of other reasons, we may in the future become the target of securities litigation or stockholder activism. Securities litigation and stockholder activism, including potential proxy contests, could result in substantial costs and divert management’s and our Board of Directors’ attention and resources from our business. Additionally, such securities litigation and stockholder activism could give rise to perceived uncertainties as to our future, adversely affect our relationships with service providers and make it more difficult to attract and retain qualified personnel. Also, we may be required to incur significant legal fees and other expenses related to any securities litigation and activist stockholder matters. Further, our stock price could be subject to significant fluctuation or otherwise be adversely affected by the events, risks and uncertainties of any securities litigation and stockholder activism.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competitive market for direct equity investment opportunities.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A large number of entities compete with us to make the types of direct equity investments that we target as part of our business strategy. We compete for such investments with a large number of private equity and venture capital funds, other equity and non- equity based investment funds, investment banks and other sources of financing, including traditional financial services companies such as commercial banks and specialty finance companies. Many of our competitors are substantially larger than us and have considerably greater financial, technical and marketing resources than we do. For example, some competitors may have a lower cost of funds and access to funding sources that are not available to us. In addition, some of our competitors may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There can be no assurance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direct equity investments that are consistent with our investment objective.</w:t>
      </w:r>
    </w:p>
    <w:p>
      <w:pPr>
        <w:spacing w:after="0" w:line="19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Borrowings, such as the 4.75% Convertible Senior Notes due 2023, can magnify the potential for gain or loss on amounts invested and may increase the risk of investing in us.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Borrowings, also known as leverage, magnify the potential for gain or loss on amounts invested and, therefore, increase the risks associated with investing in our securities. In addition to the 4.75% Convertible Senior Notes due 2023, we may borrow from and issue senior debt securities to banks, insurance companies and other lenders. Lenders of such senior securities would have fixed dollar claims on our assets that are superior to the claims of our common stockholders.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Leverage is generally considered a speculative investment technique. Our ability to service the 4.75% Convertible Senior Notes due 2023, borrowings under any other future debt that we incur will depend largely on our financial performance and will be subject to prevailing economic conditions and competitive pressures. As a result of our use of leverage, we have experienced a substantial increase in operating expenses and may continue to do so in the future.</w:t>
      </w:r>
    </w:p>
    <w:p>
      <w:pPr>
        <w:spacing w:after="0" w:line="209" w:lineRule="exact"/>
        <w:rPr>
          <w:sz w:val="20"/>
          <w:szCs w:val="20"/>
          <w:color w:val="auto"/>
        </w:rPr>
      </w:pPr>
    </w:p>
    <w:p>
      <w:pPr>
        <w:jc w:val="both"/>
        <w:ind w:firstLine="324"/>
        <w:spacing w:after="0" w:line="243" w:lineRule="auto"/>
        <w:rPr>
          <w:sz w:val="20"/>
          <w:szCs w:val="20"/>
          <w:color w:val="auto"/>
        </w:rPr>
      </w:pPr>
      <w:r>
        <w:rPr>
          <w:rFonts w:ascii="Arial" w:cs="Arial" w:eastAsia="Arial" w:hAnsi="Arial"/>
          <w:sz w:val="18"/>
          <w:szCs w:val="18"/>
          <w:color w:val="auto"/>
        </w:rPr>
        <w:t xml:space="preserve">The following </w:t>
      </w:r>
      <w:r>
        <w:rPr>
          <w:rFonts w:ascii="Arial" w:cs="Arial" w:eastAsia="Arial" w:hAnsi="Arial"/>
          <w:sz w:val="18"/>
          <w:szCs w:val="18"/>
          <w:color w:val="231F20"/>
        </w:rPr>
        <w:t>table illustrates the effect of leverage on returns from an investment in our common stock assuming various annual returns on our</w:t>
      </w:r>
      <w:r>
        <w:rPr>
          <w:rFonts w:ascii="Arial" w:cs="Arial" w:eastAsia="Arial" w:hAnsi="Arial"/>
          <w:sz w:val="18"/>
          <w:szCs w:val="18"/>
          <w:color w:val="auto"/>
        </w:rPr>
        <w:t xml:space="preserve"> </w:t>
      </w:r>
      <w:r>
        <w:rPr>
          <w:rFonts w:ascii="Arial" w:cs="Arial" w:eastAsia="Arial" w:hAnsi="Arial"/>
          <w:sz w:val="18"/>
          <w:szCs w:val="18"/>
          <w:color w:val="231F20"/>
        </w:rPr>
        <w:t>portfolio, net of expenses. Leverage generally magnifies the return of stockholders when the portfolio return is positive and magnifies their losses when the portfolio return is negative. The calculations in the table below are hypothetical, and actual returns may be higher or lower than those appearing in the table below.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320" w:type="dxa"/>
            <w:vAlign w:val="bottom"/>
            <w:gridSpan w:val="2"/>
          </w:tcPr>
          <w:p>
            <w:pPr>
              <w:jc w:val="center"/>
              <w:ind w:right="370"/>
              <w:spacing w:after="0"/>
              <w:rPr>
                <w:sz w:val="20"/>
                <w:szCs w:val="20"/>
                <w:color w:val="auto"/>
              </w:rPr>
            </w:pPr>
            <w:r>
              <w:rPr>
                <w:rFonts w:ascii="Arial" w:cs="Arial" w:eastAsia="Arial" w:hAnsi="Arial"/>
                <w:sz w:val="18"/>
                <w:szCs w:val="18"/>
                <w:b w:val="1"/>
                <w:bCs w:val="1"/>
                <w:color w:val="auto"/>
                <w:w w:val="91"/>
              </w:rPr>
              <w:t>Assumed Return on Our Portfolio</w:t>
            </w:r>
          </w:p>
        </w:tc>
        <w:tc>
          <w:tcPr>
            <w:tcW w:w="1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180" w:type="dxa"/>
            <w:vAlign w:val="bottom"/>
          </w:tcPr>
          <w:p>
            <w:pPr>
              <w:jc w:val="center"/>
              <w:ind w:left="590"/>
              <w:spacing w:after="0"/>
              <w:rPr>
                <w:sz w:val="20"/>
                <w:szCs w:val="20"/>
                <w:color w:val="auto"/>
              </w:rPr>
            </w:pPr>
            <w:r>
              <w:rPr>
                <w:rFonts w:ascii="Arial" w:cs="Arial" w:eastAsia="Arial" w:hAnsi="Arial"/>
                <w:sz w:val="18"/>
                <w:szCs w:val="18"/>
                <w:b w:val="1"/>
                <w:bCs w:val="1"/>
                <w:color w:val="auto"/>
                <w:w w:val="88"/>
              </w:rPr>
              <w:t>(Net of Expenses)</w:t>
            </w:r>
          </w:p>
        </w:tc>
        <w:tc>
          <w:tcPr>
            <w:tcW w:w="1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(10.0)%</w:t>
            </w:r>
          </w:p>
        </w:tc>
        <w:tc>
          <w:tcPr>
            <w:tcW w:w="21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(5.0)%</w:t>
            </w: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0.0%</w:t>
            </w: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5.0%</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156"/>
        </w:trPr>
        <w:tc>
          <w:tcPr>
            <w:tcW w:w="2220" w:type="dxa"/>
            <w:vAlign w:val="bottom"/>
            <w:shd w:val="clear" w:color="auto" w:fill="CCEEFF"/>
          </w:tcPr>
          <w:p>
            <w:pPr>
              <w:jc w:val="center"/>
              <w:spacing w:after="0" w:line="156" w:lineRule="exact"/>
              <w:rPr>
                <w:sz w:val="20"/>
                <w:szCs w:val="20"/>
                <w:color w:val="auto"/>
              </w:rPr>
            </w:pPr>
            <w:r>
              <w:rPr>
                <w:rFonts w:ascii="Arial" w:cs="Arial" w:eastAsia="Arial" w:hAnsi="Arial"/>
                <w:sz w:val="18"/>
                <w:szCs w:val="18"/>
                <w:color w:val="auto"/>
                <w:w w:val="90"/>
              </w:rPr>
              <w:t>Corresponding return to</w:t>
            </w:r>
          </w:p>
        </w:tc>
        <w:tc>
          <w:tcPr>
            <w:tcW w:w="1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(10.02)%</w:t>
            </w:r>
          </w:p>
        </w:tc>
        <w:tc>
          <w:tcPr>
            <w:tcW w:w="2180" w:type="dxa"/>
            <w:vAlign w:val="bottom"/>
            <w:vMerge w:val="restart"/>
            <w:shd w:val="clear" w:color="auto" w:fill="CCEEFF"/>
          </w:tcPr>
          <w:p>
            <w:pPr>
              <w:jc w:val="right"/>
              <w:ind w:right="770"/>
              <w:spacing w:after="0"/>
              <w:rPr>
                <w:sz w:val="20"/>
                <w:szCs w:val="20"/>
                <w:color w:val="auto"/>
              </w:rPr>
            </w:pPr>
            <w:r>
              <w:rPr>
                <w:rFonts w:ascii="Arial" w:cs="Arial" w:eastAsia="Arial" w:hAnsi="Arial"/>
                <w:sz w:val="18"/>
                <w:szCs w:val="18"/>
                <w:color w:val="auto"/>
              </w:rPr>
              <w:t>(5.36)%</w:t>
            </w:r>
          </w:p>
        </w:tc>
        <w:tc>
          <w:tcPr>
            <w:tcW w:w="1140" w:type="dxa"/>
            <w:vAlign w:val="bottom"/>
            <w:vMerge w:val="restart"/>
            <w:shd w:val="clear" w:color="auto" w:fill="CCEEFF"/>
          </w:tcPr>
          <w:p>
            <w:pPr>
              <w:jc w:val="right"/>
              <w:ind w:right="390"/>
              <w:spacing w:after="0"/>
              <w:rPr>
                <w:sz w:val="20"/>
                <w:szCs w:val="20"/>
                <w:color w:val="auto"/>
              </w:rPr>
            </w:pPr>
            <w:r>
              <w:rPr>
                <w:rFonts w:ascii="Arial" w:cs="Arial" w:eastAsia="Arial" w:hAnsi="Arial"/>
                <w:sz w:val="18"/>
                <w:szCs w:val="18"/>
                <w:color w:val="auto"/>
              </w:rPr>
              <w:t>(0.71)%</w:t>
            </w:r>
          </w:p>
        </w:tc>
        <w:tc>
          <w:tcPr>
            <w:tcW w:w="148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3.95%</w:t>
            </w:r>
          </w:p>
        </w:tc>
        <w:tc>
          <w:tcPr>
            <w:tcW w:w="1520" w:type="dxa"/>
            <w:vAlign w:val="bottom"/>
            <w:vMerge w:val="restart"/>
            <w:shd w:val="clear" w:color="auto" w:fill="CCEEFF"/>
          </w:tcPr>
          <w:p>
            <w:pPr>
              <w:jc w:val="right"/>
              <w:ind w:right="43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29"/>
        </w:trPr>
        <w:tc>
          <w:tcPr>
            <w:tcW w:w="222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9"/>
              </w:rPr>
              <w:t>common stockholder</w:t>
            </w:r>
            <w:r>
              <w:rPr>
                <w:rFonts w:ascii="Arial" w:cs="Arial" w:eastAsia="Arial" w:hAnsi="Arial"/>
                <w:sz w:val="23"/>
                <w:szCs w:val="23"/>
                <w:color w:val="auto"/>
                <w:w w:val="89"/>
                <w:vertAlign w:val="superscript"/>
              </w:rPr>
              <w:t>(1)</w:t>
            </w:r>
          </w:p>
        </w:tc>
        <w:tc>
          <w:tcPr>
            <w:tcW w:w="1240" w:type="dxa"/>
            <w:vAlign w:val="bottom"/>
            <w:vMerge w:val="continue"/>
            <w:shd w:val="clear" w:color="auto" w:fill="CCEEFF"/>
          </w:tcPr>
          <w:p>
            <w:pPr>
              <w:spacing w:after="0"/>
              <w:rPr>
                <w:sz w:val="19"/>
                <w:szCs w:val="19"/>
                <w:color w:val="auto"/>
              </w:rPr>
            </w:pPr>
          </w:p>
        </w:tc>
        <w:tc>
          <w:tcPr>
            <w:tcW w:w="2180" w:type="dxa"/>
            <w:vAlign w:val="bottom"/>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w:t>
      </w:r>
    </w:p>
    <w:p>
      <w:pPr>
        <w:spacing w:after="0" w:line="14" w:lineRule="exact"/>
        <w:rPr>
          <w:sz w:val="20"/>
          <w:szCs w:val="20"/>
          <w:color w:val="auto"/>
        </w:rPr>
      </w:pPr>
    </w:p>
    <w:p>
      <w:pPr>
        <w:ind w:left="500" w:right="240" w:hanging="492"/>
        <w:spacing w:after="0" w:line="239" w:lineRule="auto"/>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Assumes $280.8 million in total portfolio assets excluding U.S. Treasuries, $38,215,000 in outstanding 4.75% Convertible Senior Notes due March 28, 2023 as of December 31, 2020.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borrowed funds to make investments exposes us to risks typically associated with leverage.</w:t>
      </w: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borrow money and may issue additional debt securities or preferred stock to leverage our capital structure. As a result:</w:t>
      </w:r>
    </w:p>
    <w:p>
      <w:pPr>
        <w:spacing w:after="0" w:line="104" w:lineRule="exact"/>
        <w:rPr>
          <w:sz w:val="20"/>
          <w:szCs w:val="20"/>
          <w:color w:val="auto"/>
        </w:rPr>
      </w:pPr>
    </w:p>
    <w:p>
      <w:pPr>
        <w:ind w:left="660" w:hanging="328"/>
        <w:spacing w:after="0" w:line="277" w:lineRule="auto"/>
        <w:tabs>
          <w:tab w:leader="none" w:pos="6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of our common stock would be exposed to incremental risk of loss; therefore, a decrease in the value of our investments would have a greater negative impact on the value of our common shares than if we did not use leverage;</w:t>
      </w:r>
    </w:p>
    <w:p>
      <w:pPr>
        <w:spacing w:after="0" w:line="35"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depreciation in the value of our assets may magnify losses associated with an investment and could totally eliminate the value of an asset to us;</w:t>
      </w:r>
    </w:p>
    <w:p>
      <w:pPr>
        <w:spacing w:after="0" w:line="126" w:lineRule="exact"/>
        <w:rPr>
          <w:rFonts w:ascii="Arial" w:cs="Arial" w:eastAsia="Arial" w:hAnsi="Arial"/>
          <w:sz w:val="16"/>
          <w:szCs w:val="16"/>
          <w:color w:val="auto"/>
        </w:rPr>
      </w:pPr>
    </w:p>
    <w:p>
      <w:pPr>
        <w:ind w:left="660" w:hanging="328"/>
        <w:spacing w:after="0" w:line="277" w:lineRule="auto"/>
        <w:tabs>
          <w:tab w:leader="none" w:pos="66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do not appropriately match the assets and liabilities of our business and interest or dividend rates on such assets and liabilities, adverse changes in interest rates could reduce or eliminate the incremental income we make with the proceeds of any leverage;</w:t>
      </w:r>
    </w:p>
    <w:p>
      <w:pPr>
        <w:spacing w:after="0" w:line="48" w:lineRule="exact"/>
        <w:rPr>
          <w:rFonts w:ascii="Arial" w:cs="Arial" w:eastAsia="Arial" w:hAnsi="Arial"/>
          <w:sz w:val="18"/>
          <w:szCs w:val="18"/>
          <w:color w:val="auto"/>
        </w:rPr>
      </w:pPr>
    </w:p>
    <w:p>
      <w:pPr>
        <w:jc w:val="right"/>
        <w:ind w:left="660" w:right="20" w:hanging="328"/>
        <w:spacing w:after="0" w:line="334" w:lineRule="auto"/>
        <w:tabs>
          <w:tab w:leader="none" w:pos="584"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ability to pay dividends on our common stock may be restricted if our asset coverage ratio, as provided in the 1940 Act, is not at least 200% (or 150% if certain requirements are met), and any amounts used to service indebtedness or preferred stock would not be available for such dividends;</w:t>
      </w:r>
    </w:p>
    <w:p>
      <w:pPr>
        <w:ind w:left="560" w:hanging="228"/>
        <w:spacing w:after="0"/>
        <w:tabs>
          <w:tab w:leader="none" w:pos="5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future credit facility we may enter would be, subject to periodic renewal by our lenders, whose continued participation cannot be guaranteed;</w:t>
      </w:r>
    </w:p>
    <w:p>
      <w:pPr>
        <w:spacing w:after="0" w:line="126" w:lineRule="exact"/>
        <w:rPr>
          <w:rFonts w:ascii="Arial" w:cs="Arial" w:eastAsia="Arial" w:hAnsi="Arial"/>
          <w:sz w:val="16"/>
          <w:szCs w:val="16"/>
          <w:color w:val="auto"/>
        </w:rPr>
      </w:pPr>
    </w:p>
    <w:p>
      <w:pPr>
        <w:ind w:left="660" w:hanging="328"/>
        <w:spacing w:after="0" w:line="277" w:lineRule="auto"/>
        <w:tabs>
          <w:tab w:leader="none" w:pos="6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securities would be governed by an indenture or other instrument containing covenants restricting our operating flexibility or affecting our investment or operating policies, and may require us to pledge assets or provide other security for such indebtedness;</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and indirectly our common stockholders, bear the entire cost of issuing and paying interest or dividends on such securities;</w:t>
      </w:r>
    </w:p>
    <w:p>
      <w:pPr>
        <w:spacing w:after="0" w:line="90" w:lineRule="exact"/>
        <w:rPr>
          <w:rFonts w:ascii="Arial" w:cs="Arial" w:eastAsia="Arial" w:hAnsi="Arial"/>
          <w:sz w:val="18"/>
          <w:szCs w:val="18"/>
          <w:color w:val="auto"/>
        </w:rPr>
      </w:pPr>
    </w:p>
    <w:p>
      <w:pPr>
        <w:ind w:left="660" w:hanging="328"/>
        <w:spacing w:after="0" w:line="263" w:lineRule="auto"/>
        <w:tabs>
          <w:tab w:leader="none" w:pos="5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we issue preferred stock, the special voting rights and preferences of preferred stockholders may result in such stockholders’ having interests that are not aligned with the interests of our common stockholders, and the rights of our preferred stockholders to dividends and liquidation preferences will be senior to the rights of our common stockholders;</w:t>
      </w:r>
    </w:p>
    <w:p>
      <w:pPr>
        <w:spacing w:after="0" w:line="62" w:lineRule="exact"/>
        <w:rPr>
          <w:rFonts w:ascii="Arial" w:cs="Arial" w:eastAsia="Arial" w:hAnsi="Arial"/>
          <w:sz w:val="18"/>
          <w:szCs w:val="18"/>
          <w:color w:val="auto"/>
        </w:rPr>
      </w:pPr>
    </w:p>
    <w:p>
      <w:pPr>
        <w:ind w:left="660" w:hanging="328"/>
        <w:spacing w:after="0" w:line="277" w:lineRule="auto"/>
        <w:tabs>
          <w:tab w:leader="none" w:pos="642"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convertible or exchangeable securities that we issue may have rights, preferences and privileges more favorable than those of our common shares; and</w:t>
      </w:r>
    </w:p>
    <w:p>
      <w:pPr>
        <w:spacing w:after="0" w:line="48" w:lineRule="exact"/>
        <w:rPr>
          <w:rFonts w:ascii="Arial" w:cs="Arial" w:eastAsia="Arial" w:hAnsi="Arial"/>
          <w:sz w:val="18"/>
          <w:szCs w:val="18"/>
          <w:color w:val="auto"/>
        </w:rPr>
      </w:pPr>
    </w:p>
    <w:p>
      <w:pPr>
        <w:ind w:left="660" w:hanging="328"/>
        <w:spacing w:after="0" w:line="270" w:lineRule="auto"/>
        <w:tabs>
          <w:tab w:leader="none" w:pos="579"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custodial relationships associated with our use of leverage would conform to the requirements of the 1940 Act, and no creditor would have veto power over our investment policies, strategies, objectives or decisions except in an event of default or if our asset coverage was less than 200% (or 150% if certain requirements are met.</w:t>
      </w:r>
      <w:r>
        <w:rPr>
          <w:rFonts w:ascii="Arial" w:cs="Arial" w:eastAsia="Arial" w:hAnsi="Arial"/>
          <w:sz w:val="21"/>
          <w:szCs w:val="21"/>
          <w:color w:val="auto"/>
        </w:rPr>
        <w:t>)</w:t>
      </w:r>
    </w:p>
    <w:p>
      <w:pPr>
        <w:spacing w:after="0" w:line="1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provisions of the 1940 Act, we are permitted, as a BDC, to issue senior securities only in amounts such that our asset coverage ratio equals at least 200% after each issuance of senior securities. If the value of our assets declines, we may be unable to satisfy this test and we may be required to sell a portion of our investments and, depending on the nature of our leverage, repay a portion of our senior securities at a time when such sales may be disadvantageous.</w:t>
      </w:r>
    </w:p>
    <w:p>
      <w:pPr>
        <w:spacing w:after="0" w:line="21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default under any future credit facility or any other future indebtedness, we may not be able to make payments on the 4.75% Convertible Senior Notes due 2023.</w:t>
      </w:r>
    </w:p>
    <w:p>
      <w:pPr>
        <w:spacing w:after="0" w:line="19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Any default under any future credit facility or any other future indebtedness to which we may be a party that is not waived by the required lenders or holders, and the remedies sought by the holders of such indebtedness, could make us unable to pay principal, premium, if any, and interest on the 4.75% Convertible Senior Notes due 2023 and substantially decrease the market value of the 4.75% Convertible Senior Notes due 2023.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in the instruments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governing our indebtedness, we could be in default under the terms of the agreements governing such indebtedness. In the event of such default, the holders of such indebtedness may have the ability to elect to declare all the funds borrowed thereunder due and payable, together with accrued and unpaid interest, the lenders under any credit future facility or other future debt we may incur in the future may elect to terminate their commitments, cease making further loans and institute foreclosure proceedings against our assets, and we could be forced into bankruptcy or liquidation. If our operating performance declines, we may in the future need to seek to obtain waivers from the required lenders under any future credit facility or other future debt that we may incur in the future to avoid being in default. If we breach our covenants under any future credit facility or other future debt and seek a waiver, we may not be able to obtain a waiver from the required lenders or holders. If this occurs, we may be in default under the relevant credit facility or other debt, the lenders or holders could exercise their rights as described above, and we could be forced into bankruptcy or liquidation. If we are unable to repay debt, lenders having secured obligations, including the lenders under any future credit facility or other future indebtedness, could proceed against the collateral securing the debt. Because any future credit facilities will likely have, customary cross-default provisions, if the indebtedness under the 4.75% Convertible Senior Notes due 2023, or under any future credit facility is accelerated, we may be unable to repay or finance the amounts due.</w:t>
      </w:r>
    </w:p>
    <w:p>
      <w:pPr>
        <w:spacing w:after="0" w:line="19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If we default under any future borrowing facility we enter into or are unable to amend, repay or refinance any such facility on commercially reasonable terms, or at all, we may suffer material adverse effects on our business, financial condition, results of operations and cash flows.</w:t>
      </w:r>
    </w:p>
    <w:p>
      <w:pPr>
        <w:spacing w:after="0" w:line="15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Substantially all of our assets may be pledged as collateral under any future borrowing facility. In the event that we default under any future borrowing facility, our business could be adversely affected as we may be forced to sell all or a portion of our investments quickly and prematurely at what may be disadvantageous prices to us in order to meet our outstanding payment obligations and/or support covenants and working capital requirements under any future borrowing facility, any of which would have a material adverse effect on our business, financial condition, results of operations and cash flows.</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any such default, the agent for the lenders under any future borrowing facility could assume control of the disposition of any or all of our assets, including the selection of such assets to be disposed and the timing of such disposition, which would have a material adverse effect on our business, financial condition, results of operations and cash flows. In addition, if the lender exercises its right to sell the assets pledged under any future borrowing facility, such sales may be completed at distressed sale prices, thereby diminishing or potentially eliminating the amount of cash available to us after repayment of our outstanding borrowings. Moreover, such deleveraging of our Company could significantly impair our ability to effectively operate our business in the manner in which we have historically operated. As a result, we could be forced to curtail or cease new investment activities and lower or eliminate any dividends that we may pay to our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paying our required distributions if we recognize income before or without receiving cash representing such income.</w:t>
      </w:r>
    </w:p>
    <w:p>
      <w:pPr>
        <w:spacing w:after="0" w:line="2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focus on achieving capital gains from our investments, in certain cases we may receive current income, such as interest or dividends, on our investments. Because in certain cases we may recognize such current income before or without receiving cash representing such income, we may have difficulty satisfying the annual distribution requirement applicable to RICs. Accordingly, in order to maintain our qualification as a RIC, we may have to sell some of our investments at times we would not consider advantageous, raise additional debt or equity capital or reduce new investments to meet these distribution requirements. If we are not able to obtain cash from other sources, we may fail to qualify for RIC tax treatment and thus would be subject to corporate-level U.S. federal income tax.</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Regulations governing our operation as a BDC affect our ability to, and the way in which we, raise additional capital, which may expose us to risks, including the typical risks associated with leverage.</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in the future issue additional debt securities or preferred stock and/or borrow money from banks or other financial institutions, which we refer to collectively (along with the 4.75% Convertible Senior Notes due 2023) as “senior securities,” up to the maximum amount permitted by the 1940 Act. Under the provisions of the 1940 Act, we are permitted, as a BDC, to issue senior securities in amounts such that our asset coverage ratio, as defined in the 1940 Act, equals at least 200% (or 150% if certain requirements are met) of gross assets less all liabilities and indebtedness not represented by senior securities, after each issuance of senior securities. If the value of our assets declines, we may be unable to satisfy this test. If that happens, we may be required to sell a portion of our investments and, depending on the nature of our leverage, repay a portion of our indebtedness at a time when such sales may be disadvantageous. Furthermore, any amounts that we use to service our indebtedness would not be available for distributions to our common stockholders.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All of the costs of offering and servicing the 4.75% Convertible Senior Notes due 2023 and any additional debt or preferred stock we may issue in the future, including interest or preferential dividend payments thereon, will be borne by our common stockholders. The interests of the holders of the 4.75% Convertible Senior Notes due 2023, any additional debt or preferred stock we may issue will not necessarily be aligned with the interests of our common stockholders. In particular, the rights of holders of the 4.75% Convertible Senior Notes due 2023 and our debt or preferred stock to receive interest, dividends or principal repayment will be senior to those of our common stockholders. Also, in the event we issue preferred stock, the holders of such preferred stock will have the ability to elect two members of our Board of Directors. In addition, we may grant a lender a security interest in a significant portion or all of our assets, even if the total amount we may borrow from such lender is less than the amount of such lender’s security interest in our assets. In no event, however, will any lender to us have any veto power over, or any vote with respect to, any change in our, or approval of any new, investment objective or investment policies or strategies.</w:t>
      </w:r>
    </w:p>
    <w:p>
      <w:pPr>
        <w:spacing w:after="0" w:line="22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not generally able to issue and sell our common stock at a price below net asset value per share. We may, however, sell our common stock, or warrants, options or rights to acquire our common stock, at a price below the then-current net asset value of our common stock if our Board of Directors determines that such sale is in the best interests of SuRo Capital and its stockholders, and our stockholders approve such sale. In any such case, the price at which our securities are to be issued and sold may not be less than a price which, in the determination of our Board of Directors, closely approximates the market value of such securities (less any distributing commission or discount). We are also generally prohibited under the 1940 Act from issuing securities convertible into voting securities without obtaining the approval of our existing stockholders.</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addition to regulatory requirements that restrict our ability to raise capital, the loan agreement governing any future credit facility may contain various covenants which, if not complied with, could materially and adversely affecting our liquidity, financial condition, results of operations and ability to pay dividends.</w:t>
      </w:r>
    </w:p>
    <w:p>
      <w:pPr>
        <w:spacing w:after="0" w:line="211"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Under the loan agreement governing any future credit facility, we may take certain customary representations and warranties and may be required to comply with various affirmative and negative covenants, reporting requirements, and other customary requirements for similar credit facilities, including, without limitation, restrictions on incurring additional indebtedness, compliance with the asset coverage requirements under the 1940 Act, a minimum net asset value requirement, a limitation on the reduction of our net asset value, and maintenance of RIC and BDC status. Such loan agreement may include usual and customary events of default for credit facilities of similar nature, including, without limitation, nonpayment, misrepresentation of representations and warranties in a material respect, breach of covenant, cross-default to certain other indebtedness, bankruptcy, and the occurrence of a material adverse effect.</w:t>
      </w:r>
    </w:p>
    <w:p>
      <w:pPr>
        <w:spacing w:after="0" w:line="22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Our ability to continue to comply with these covenants in the future depends on many factors, some of which are beyond our control. There are no assurances that we will be able to comply with these covenants. Failure to comply with these covenants would result in a default which, if we were unable to obtain a waiver under any such loan agreement, would have a material adverse impact on our liquidity, financial condition, results of operations and ability to pay dividends.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be subject to corporate-level U.S. federal income tax if we are profitable and are unable to qualify as a RIC, which could have a material adverse effect on us and our stockholders.</w:t>
      </w:r>
    </w:p>
    <w:p>
      <w:pPr>
        <w:spacing w:after="0" w:line="19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elected to be treated as a RIC under the Code beginning with our taxable year ended December 31, 2014, have qualified to be treated as a RIC for subsequent taxable years and expect to continue to operate in a manner so as to qualify for the tax treatment applicable to RICs. See “Business—Material U.S. Federal Income Tax Considerations” and “Note 2—Significant Accounting Policies—</w:t>
      </w:r>
      <w:r>
        <w:rPr>
          <w:rFonts w:ascii="Arial" w:cs="Arial" w:eastAsia="Arial" w:hAnsi="Arial"/>
          <w:sz w:val="17"/>
          <w:szCs w:val="17"/>
          <w:i w:val="1"/>
          <w:iCs w:val="1"/>
          <w:color w:val="auto"/>
        </w:rPr>
        <w:t>U.S. Federal and State Income Taxes</w:t>
      </w:r>
      <w:r>
        <w:rPr>
          <w:rFonts w:ascii="Arial" w:cs="Arial" w:eastAsia="Arial" w:hAnsi="Arial"/>
          <w:sz w:val="17"/>
          <w:szCs w:val="17"/>
          <w:color w:val="auto"/>
        </w:rPr>
        <w:t>” and “Note 9—Income Taxes” to our consolidated financial statements for the year ended December 31, 2020 for more information.</w:t>
      </w:r>
    </w:p>
    <w:p>
      <w:pPr>
        <w:spacing w:after="0" w:line="19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Management generally believes that it will be in our best interest to be treated as a RIC in any year in which we are profitable. If we fail to qualify for tax treatment as a RIC for any year in which we are profitable and such profits exceed certain loss carryforwards that we are entitled to utilize, we will be subject to corporate-level U.S. federal income tax, which could substantially reduce our net assets, the amount of income available for distribution or reinvestment and the amount of our distributions. Such a failure could have a material adverse effect on us and our stockholders.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In any year in which we intend to be treated as a RIC, we may be forced to dispose of investments at times when our management team would not otherwise do so or raise additional capital at times when we would not otherwise do so, in each case in order to qualify for the special tax treatment accorded to RICs.</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qualify for the special treatment accorded to RICs, we must meet certain income source, asset diversification and annual distribution requirements. In order to satisfy the income source requirement, we must derive in each taxable year at least 90%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gross income from dividends, interest, payments with respect to certain securities loans, gains from the sale of stock or other securities or foreign currencies, other income derived with respect to our business of investing in such stock or securities or income from “qualified publicly traded partnerships.” To qualify as a RIC, we must also meet certain asset diversification requirements at the end of each quarter of our taxable year. Failure to meet these tests in any year in which we intend to be treated as a RIC may result in our having to dispose of certain investments quickly in order to prevent the loss of RIC status. Because most of our investments are in private companies, any such dispositions could be made at disadvantageous prices and could result in substantial losses. In addition, in order to satisfy the Annual Distribution Requirement for a RIC, we must distribute at least 90% of our ordinary income and realized net short-term capital gains in excess of realized net long-term capital losses, if any, to our stockholders on an annual basis. We will be subject to certain asset coverage ratio requirements under the 1940 Act and financial covenants under the terms of our indebtedness that could, under certain circumstances, restrict us from making distributions necessary to satisfy the annual distribution requirement. If we are unable to dispose of investments quickly enough to meet the asset diversification requirements at the end of a quarter or obtain cash from other sources in order to meet the annual distribution requirement, we may fail to qualify for special tax treatment accorded to RICs and, thus, be subject to corporate-level U.S. federal income tax.</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comprehensive tax reform bill could adversely affect our business and financial condition.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December 22, 2017, the Tax Cuts and Jobs Act of 2017 (the “Tax Act”) was signed into law and significantly changed the Code. The Tax Act, among other things,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or net operating losses to 80% of current year taxable income and elimination of net operating loss carrybacks, one time taxation of offshore earnings at reduced rates regardless of whether they are repatriated, immediate deductions for certain new investments instead of deductions for depreciation expense over time, and modifying or repealing many business deductions and credits. Our U.S. federal net operating loss carryovers created in 2018 and thereafter will be carried forward indefinitely pursuant to the Tax Act. We continue to examine the impact this tax legislation may have on our business. Notwithstanding the reduction in the corporate income tax rate, the overall impact of the Tax Act is uncertain and our business and financial condition could be adversely affected. The impact of this Tax Act on holders of the 4.75% Convertible Senior Notes due 2023 or our common stock is also uncertain and could be adverse. We urge such holders to consult with their legal and tax advisors with respect to such legislation and the potential tax consequences of investing in our convertible notes and common stock.</w:t>
      </w:r>
    </w:p>
    <w:p>
      <w:pPr>
        <w:spacing w:after="0" w:line="20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expect to distribute substantially all of our net investment income and net realized capital gains to our stockholders, we will need additional capital to finance our growth and such capital may not be available on favorable terms or at all.</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elected to be taxed for U.S. federal income tax purposes as a RIC under Subchapter M of the Code. If we meet certain requirements, including source of income, asset diversification and distribution requirements, and if we continue to qualify as a BDC, we will continue to qualify for tax treatment as a RIC under the Code and will not have to pay corporate-level income taxes on income we distribute to our stockholders as dividends, allowing us to substantially reduce or eliminate our U.S. federal corporate-level income tax liability. As a BDC, we are generally required to meet a coverage ratio of total assets to total senior securities, which includes all of our borrowings and any preferred stock we may issue in the future, of at least 200% (or 150% if certain requirements are met) at the time we issue any debt or preferred stock. This requirement limits the amount that we may borrow. Because we will continue to need capital to grow our investment portfolio, this limitation may prevent us from incurring debt or preferred stock and require us to raise additional equity at a time when it may be disadvantageous to do so. We cannot assure you that debt and equity financing will be available to us on favorable terms, or at all, and debt financings may be restricted by the terms of any of our outstanding borrowings. In addition, as a BDC, we are generally not permitted to issue common stock priced below net asset value without stockholder approval. If additional funds are not available to us, we could be forced to curtail or cease new lending and investment activities, and our net asset value could decline.</w:t>
      </w:r>
    </w:p>
    <w:p>
      <w:pPr>
        <w:spacing w:after="0" w:line="1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continue to choose to pay dividends in our common stock, in which case you may be required to pay tax in excess of the cash you receive.</w:t>
      </w:r>
    </w:p>
    <w:p>
      <w:pPr>
        <w:spacing w:after="0" w:line="2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in the past, and may continue to, distribute taxable dividends that are payable in part in shares of our common stock. For example, on November 4, 2015, our Board of Directors declared a dividend of $2.76 per share to stockholders, paid partially in cash and partially in shares of our common stock on December 31, 2015. In accordance with certain applicable U.S. Treasury regulations and published guidance issued by the Internal Revenue Service (“IRS”), a RIC may treat a distribution of its own common stock as fulfilling the RIC distribution requirements if each stockholder may elect to receive his or her entire distribution in either cash or common stock of the RIC, subject to a limitation that the aggregate amount of cash to be distributed to all stockholders must be at least 20% of the aggregate declared distribution. If too many stockholders elect to</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receive cash, the cash available for distribution must be allocated among the stockholders electing to receive cash (with the balance of the distribution paid in stock). In no event will any stockholder electing to receive cash, receive less than the lesser of (a) 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common stock will be equal to the amount of cash that could have been received instead of common stock. Taxable stockholders receiving such dividends will be required to include the full amount of the dividend as ordinary income (or as long-term capital gain to the extent such distribution is properly reported as a capital gain dividend) to the extent of our current and accumulated earnings and profits for U.S. federal income tax purposes. As a result, a U.S. stockholder may be required to pay tax with respect to such dividends in excess of any cash received. If a U.S. stockholder sells the stock it receives as a dividend in order to pay this tax, the sales proceeds may be less than the amount included in income with respect to the dividend, depending on the market price of our common stock at the time of the sale. Furthermore, with respect to Non-U.S. stockholders, we may be required to withhold U.S. tax with respect to such dividends, including in respect of all or a portion of such dividend that is payable in common stock. In addition, if a significant number of our stockholders determine to sell shares of our common stock in order to pay taxes owed on dividends, it may put downward pressure on the trading price of our common stock.</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Changes in laws or regulations governing our business or the businesses of our portfolio companies, changes in the interpretation thereof or newly enacted laws or regulations, and any failure by us or our portfolio companies to comply with these laws or regulations may adversely affect our business and the businesses of our portfolio companies.</w:t>
      </w:r>
    </w:p>
    <w:p>
      <w:pPr>
        <w:spacing w:after="0" w:line="21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and our portfolio companies are subject to laws and regulations at the U.S. federal, state and local levels and, in some cases, foreign levels. These laws and regulations, as well as their interpretation, may change from time to time, and new laws, regulations and interpretations may also come into effect, potentially with retroactive effect. Any such new or changed laws or regulations could have a material adverse effect on our business or the business of our portfolio companies. The legal, tax and regulatory environment for BDCs, investment advisers and the instruments that they utilize (including derivative instruments) is continuously evolving. In addition, there is significant uncertainty regarding enacted legislation (including the Dodd-Frank Act and the regulations adopted thereunder and future regulations that may or may not be adopted pursuant to such legislation) and, consequently, the full impact that such legislation will ultimately have on us and the markets in which we trade and invest is not fully known. Such uncertainty and any resulting confusion may itself be detrimental to the efficient functioning of the markets and the success of certain investment strategies.</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as private equity firms become more influential participants in the U.S. and global financial markets and economy generally, there recently has been pressure for greater governmental scrutiny and/or regulation of the private equity industry. It is uncertain as to what form and in what jurisdictions such enhanced scrutiny and/or regulation, if any, on the private equity industry may ultimately take. Therefore, there can be no assurance as to whether any such scrutiny or initiatives will have an adverse impact on the private equity industry, including our ability to effect operating improvements or restructurings of our portfolio companies or otherwise achieve our objectives.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 subject to new regulation. While it cannot be known at this time whether any regulation will be implemented or what form it will take, increased regulation of non-bank credit extension could negatively impact our or our portfolio companies’ operating results or financial condition, impose additional costs on us or our portfolio companies, intensify the regulatory supervision of us or otherwise adversely affect our business.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any changes to the laws and regulations governing our operations may cause us to alter our investment strategy in order to avail ourselves of new or different opportunities. Such changes could result in material differences to the strategies and plans set forth herein and may result in our investment focus shifting from the areas of expertise of our management team and investment professionals to other types of investments in which the investment team may have less expertise or little or no experience. Thus, any such changes, if they occur, could have a material adverse effect on our results of operations and the value of your investment.</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Small Business Credit Availability Act allows us to incur additional leverage, which could increase the risk of investing in the Company.</w:t>
      </w:r>
    </w:p>
    <w:p>
      <w:pPr>
        <w:spacing w:after="0" w:line="2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1940 Act had generally prohibited us from incurring indebtedness unless immediately after such borrowing we had an asset coverage for total borrowings of at least 200% (i.e., the amount of debt may not exceed 50% of the value of our total assets). However, the Small Business Credit Availability Act (the “SBCA") modified the 1940 Act to allow BDCs to decrease their asset coverage requirement from 200% to 150% (i.e. the amount of debt may not exceed 66.7% of the value of our total</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assets), if certain requirements are met. Under the SBCA, we are allowed to reduce our asset coverage requirement to 150%, and thereby increase our leverage capacity, if shareholders representing at least a majority of the votes cast, when a quorum is present, approve a proposal to do so. If we receive shareholder approval, we would be allowed to reduce our asset coverage requirement to 150% on the first day after such approval. Alternatively, the SBCA allows the majority of our independent directors to approve the reduction in our asset coverage requirement to 150%, and such approval would become effective after one year. In either case, we would be required to make certain disclosures on our website and in SEC filings regarding, among other things, the receipt of approval to reduce our asset coverage requirement to 150%, our leverage capacity and usage, and risks related to leverage.</w:t>
      </w:r>
    </w:p>
    <w:p>
      <w:pPr>
        <w:spacing w:after="0" w:line="19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a result of the SBCA, if we obtain the necessary approval, we may be able to increase our leverage up to an amount that reduces our asset coverage ratio from 200% to 150%. Leverage magnifies the potential for loss on investments in our indebtedness and on invested equity capital. As we use leverage to partially finance our investments, you will experience increased risks of investing in our securities. If the value of our assets increases, then leveraging would cause the net asset value attributable to our common stock to increase more sharply than it would have had we not leveraged. Conversely, if the value of our assets decreases, leveraging would cause net asset value to decline more sharply than it otherwise would have had we not leveraged our business. Similarly, any increase in our income in excess of interest payable on the borrowed funds would cause our net investment income to increase more than it would without the leverage, while any decrease in our income would cause net investment income to decline more sharply than it would have had we not borrowed. Such a decline could negatively affect our ability to pay common stock dividends, scheduled debt payments or other payments related to our securities. Leverage is generally considered a speculative investment technique.</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predict how tax reform legislation will affect us, our investments, or our stockholders, and any such legislation could adversely affect our business.</w:t>
      </w:r>
    </w:p>
    <w:p>
      <w:pPr>
        <w:spacing w:after="0" w:line="19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Legislative or other actions relating to taxes could have a negative effect on us. In December 2017, the U.S. House of Representatives and U.S. Senate passed tax reform legislation, which was signed into law. Such legislation significantly changed the Code, including significant changes to the taxation of business entities, the deductibility of interest expense, and the tax treatment of capital investment. We cannot predict with certainty how any changes in the tax laws might affect us, our stockholders, or our portfolio investments. New legislation and any U.S. Treasury regulations, administrative interpretations or court decisions interpreting such legislation could significantly and negatively affect our ability to qualify for tax treatment as a RIC or the U.S. federal income tax consequences to us and our stockholders of such qualification or could have other adverse consequences. Stockholders are urged to consult with their tax advisor regarding tax legislative, regulatory, or administrative developments and proposals and their potential effect on an investment in our securities.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investors are limited in their ability to make significant investments in us.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Private funds that are excluded from the definition of “investment company” either pursuant to Section 3(c)(1) or 3(c)(7) of the 1940 Act are restricted from acquiring directly or through a controlled entity more than 3% of our total outstanding voting stock (measured at the time of the acquisition). Investment companies registered under the 1940 Act and BDCs, such as us, are also subject to this restriction as well as other limitations under the 1940 Act that would restrict the amount that they are able to invest in our securities. As a result, certain investors will be limited in their ability to make significant investments in us at a time that they might desire to do so.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Ineffective internal controls could impact our business and operating results.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determine to fund a portion of our investments with preferred stock, which would magnify the potential for gain or loss and the risks of investing in us in the same way as our borrowings.</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Preferred stock, which is another form of leverage, has the same risks to our common stockholders as borrowings because the dividends on any preferred stock we issue must be cumulative. Payment of such dividends and repayment of the liquidation preference of such preferred stock must take preference over any dividends or other payments to our common stockholders, and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preferred stockholders are not subject to any of our expenses or losses and are not entitled to participate in any income or appreciation in excess of their stated preference.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is authorized to reclassify any unissued shares of stock into one or more classes of preferred stock, which could convey special rights and privileges to its owners.</w:t>
      </w:r>
    </w:p>
    <w:p>
      <w:pPr>
        <w:spacing w:after="0" w:line="19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charter permits our Board of Directors to reclassify any authorized but unissued shares of stock into one or more classes of preferred stock. Our Board of Directors will generally have broad discretion over the size and timing of any such reclassification, subject to a finding that the reclassification and issuance of such preferred stock is in the best interests of SuRo Capital and our existing common stockholders. Any issuance of preferred stock would be subject to certain limitations imposed under the 1940 Act, including the requirement that such preferred stock have equal voting rights with our outstanding common stock. We are authorized to issue up to 100,000,000 shares of common stock. In the event our Board of Directors opts to reclassify a portion of our unissued shares of common stock into a class of preferred stock, those preferred shares would have a preference over our common stock with respect to dividends and liquidation. The cost of any such reclassification would be borne by our existing common stockholders. In addition, the 1940 Act provides that holders of preferred stock are entitled to vote separately from holders of common stock to elect two directors. As a result, our preferred stockholders will have the ability to reject a director that would otherwise be elected by our common stockholders. In addition, while Maryland law generally requires directors to act in the best interests of all of a corporation’s stockholders, there can be no assurance that a director elected by our preferred stockholders will not choose to act in a manner that tends to favors our preferred stockholders, particularly where there is a conflict between the interests of our preferred stockholders and our common stockholders. The class voting rights of any preferred shares we may issue could make it more difficult for us to take some actions that may, in the future, be proposed by the Board of Directors and/or the holders of our common stock, such as a merger, exchange of securities, liquidation, or alteration of the rights of a class of our securities, if these actions were perceived by the holders of preferred shares as not in their best interests. The issuance of preferred shares convertible into shares of common stock might also reduce the net income and net asset value per share of our common stock upon conversion. These effects, among others, could have an adverse effect on your investment in our common stock.</w:t>
      </w:r>
    </w:p>
    <w:p>
      <w:pPr>
        <w:spacing w:after="0" w:line="21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our investment objective, operating policies and strategies without prior notice or stockholder approval, the effects of which may be adverse.</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Board of Directors has the authority to modify or waive our investment objective, current operating policies, investment criteria and strategies without prior notice and without stockholder approval. We cannot predict the effect any changes to our current operating policies, investment criteria and strategies would have on our business, net asset value, operating results and value of our stock. However, the effects might be adverse, which could negatively impact our ability to pay you dividends and cause you to lose all or part of your investment.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of the Maryland General Corporation Law and of our charter and bylaws could deter takeover attempts and have an adverse impact on the price of our common stock.</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Maryland General Corporation Law and our charter and bylaws contain provisions that may discourage, delay or make more difficult a change in control of us or the removal of our directors. We are subject to the Maryland Business Combination Act (“MBCA”), subject to any applicable requirements of the 1940 Act. Our Board of Directors has adopted a resolution exempting from the MBCA any business combination between us and any other person, subject to prior approval of such business combination by our Board of Directors, including approval by a majority of our directors who are not “interest persons” as defined in the 1940 Act. If the resolution exempting business combinations is repealed or our Board of Directors does not approve a business combination, the MBCA may discourage third parties from trying to acquire control of us and increase the difficulty of consummating such an offer. Our bylaws exempt from the Maryland Control Share Acquisition Act (“Control Share Act”) acquisitions of our stock by any person. If we amend our bylaws to repeal the exemption from the Control Share Act, the Control Share Act also may make it more difficult for a third party to obtain control of us and increase the difficulty of consummating such a transaction.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w:t>
      </w:r>
    </w:p>
    <w:p>
      <w:pPr>
        <w:spacing w:after="0" w:line="20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also adopted measures that may make it difficult for a third party to obtain control of us, including provisions of our charter classifying our Board of Directors in three classes serving staggered three-year terms, and authorizing our Board of Directors, without stockholder action, to classify or reclassify shares of our stock in one or more classes or series, including preferred stock, to cause the issuance of additional shares of our stock, to amend our charter without stockholder approval to increase or decrease the aggregate number of shares of stock or the number of shares of stock of any class or series that we have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authority to issue. These provisions, as well as other provisions of our charter and bylaws, may delay, defer or prevent a transaction or a change in control that might otherwise be in the best interests of our stockholders.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highly dependent on information systems and systems failures could significantly disrupt our business, which may, in turn, negatively affect the market price of our common stock and our ability make distributions.</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Our business is highly dependent on our and third parties’ communications and information systems. Any failure or interruption of those systems, including as a result of the termination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may adversely affect our business. There could be:</w:t>
      </w:r>
    </w:p>
    <w:p>
      <w:pPr>
        <w:spacing w:after="0" w:line="36"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sudden electrical or telecommunications outages;</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such as earthquakes, tornadoes and hurricanes;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disease pandemics (including the recent coronavirus outbreak);</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events arising from local or larger scale political or social matters, including terrorist acts; and</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cyber-attacks.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These events, in turn, could have a material adverse effect on our operating results and negatively affect the market price of our common stock and our ability to pay dividends to our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4.75% Convertible Senior Notes due 2023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stockholders may experience dilution upon the conversion of the 4.75% Convertible Senior Notes due 2023.</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4.75% Convertible Senior Notes due 2023 are convertible into shares of our common stock. Upon conversion, we must deliver shares of our common stock. The current conversion rate of the 4.75% Convertible Senior Notes due 2023 is 108.0505 shares of common stock per $1,000 principal amount of the 4.75% Convertible Senior Notes due 2023, which is equivalent to a conversion price of approximately $9.25 per share of common stock. Based on the current conversion rate, as of March 11, 2021, the maximum number of shares of common stock that would be issued upon conversion of the $37,215,000 of 4.75% Convertible Senior Notes due 2023 currently outstanding is approximately 4,021,099. If we deliver shares of common stock upon a conversion at the time our net asset value per share exceeds the conversion price in effect at such time, our stockholders will incur dilution. In addition, our stockholders will experience dilution in their ownership percentage of our common stock upon our issuance of common stock in connection with the conversion of the 4.75% Convertible Senior Notes due 2023 and any dividends paid on our common stock will also be paid on shares issued in connection with such conversion after such issuance.</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have, or have the ability to raise, the funds necessary to repurchase the 4.75% Convertible Senior Notes due 2023 upon a fundamental change, and our debt may contain limitations on our ability to deliver shares of our common stock upon conversion or pay cash upon repurchase of the 4.75% Convertible Senior Notes due 2023.</w:t>
      </w:r>
    </w:p>
    <w:p>
      <w:pPr>
        <w:spacing w:after="0" w:line="21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Holders of the 4.75% Convertible Senior Notes due 2023 will have the right to require us to repurchase their notes upon the occurrence of certain significant corporate events involving us, including if our common stock ceases to trade on any national securities exchange or we consolidate or merge into another entity in certain circumstances, at a repurchase price equal to 100% of their principal amount, plus accrued and unpaid interest, if any. We refer to such a corporate event as a “fundamental change.” However, we may not have enough available cash or be able to obtain financing at the time we are required to make repurchases of the 4.75% Convertible Senior Notes due 2023 surrendered therefor. In addition, our ability to repurchase the 4.75% Convertible Senior Notes due 2023 or deliver shares of our common stock upon conversions of the 4.75% Convertible Senior Notes due 2023 may be limited by law, by regulatory authority or by agreements governing our indebtedness. For example, any future credit facility may generally prohibit us from prepaying indebtedness other than borrowings under any such credit facility. As a result, before making any such repurchase of the 4.75% Convertible Senior Notes due 2023, we would have to obtain consent from the lender under any such credit facility to the extent such requirement is in effect at such time. Our failure to repurchase the 4.75% Convertible Senior Notes due 2023 at a time when the repurchase is required by the indenture relating to the 4.75% Convertible Senior Notes due 2023 or to deliver any shares of our common stock deliverable on future conversions of such 4.75% Convertible Senior Notes due 2023 as required by such indenture would constitute a default under such indenture. A default under the indenture relating to the 4.75% Convertible Senior Notes due 2023 or the occurrence of a fundamental change itself could also lead to a default under agreements governing any future credit facility or our future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indebtedness. If the repayment of the related indebtedness were to be accelerated after any applicable notice or grace periods, we may not have sufficient funds to repay the indebtedness and repurchase the 4.75% Convertible Senior Notes due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of the 4.75% Convertible Senior Notes due 2023 could discourage an acquisition of us by a third party.</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provisions of the 4.75% Convertible Senior Notes due 2023 could make it more difficult or more expensive for a third party to acquire us. Upon the occurrence of certain transactions constituting a fundamental change, the holders of the 4.75% Convertible Senior Notes due 2023 will have the right, at their option, to require us to repurchase all or a portion of their 4.75% Convertible Senior Notes due 2023, plus accrued and unpaid interest. We may also be required to increase the conversion rate of the 4.75% Convertible Senior Notes due 2023 in certain other circumstances, including in the event of certain transactions constituting fundamental changes or a make-whole adjustment event. These provisions could discourage an acquisition of us by a third party.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Servicing our debt requires a significant amount of cash, and we may not have sufficient cash flow from our business to pay our debt.</w:t>
      </w:r>
    </w:p>
    <w:p>
      <w:pPr>
        <w:spacing w:after="0" w:line="26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the 4.75% Convertible Senior Notes due 2023,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(including interests in our portfolio companies if permitted pursuant to the terms of our investment) under terms that may be disadvantageous for us,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Any adverse rating of the 4.75% Convertible Senior Notes due 2023 may negatively affect the trading price and liquidity of the 4.75% Convertible Senior Notes due 2023 and the price of our common stock.</w:t>
      </w:r>
    </w:p>
    <w:p>
      <w:pPr>
        <w:spacing w:after="0" w:line="19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do not intend to seek a rating on the 4.75% Convertible Senior Notes due 2023. However, if a rating service were to rate the 4.75% Convertible Senior Notes due 2023, and if such rating service were to assign the 4.75% Convertible Senior Notes due 2023 a rating lower than the rating expected by investors or were to lower its rating on the 4.75% Convertible Senior Notes due 2023 below the rating initially assigned to the 4.75% Convertible Senior Notes due 2023 or otherwise announce its intention to put the 4.75% Convertible Senior Notes due 2023 on credit watch, the trading price or liquidity of the 4.75% Convertible Senior Notes due 2023 and the price of our common stock could decline.</w:t>
      </w:r>
    </w:p>
    <w:p>
      <w:pPr>
        <w:spacing w:after="0" w:line="20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Holders of the 4.75% Convertible Senior Notes due 2023 may be subject to tax if we make or fail to make certain adjustments to the conversion rate of the 4.75% Convertible Senior Notes due 2023, even though such holders do not receive a corresponding cash distribution.</w:t>
      </w:r>
    </w:p>
    <w:p>
      <w:pPr>
        <w:spacing w:after="0" w:line="15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conversion rate of the 4.75% Convertible Senior Notes due 2023 is subject to adjustment in certain circumstances, including the payment of cash dividends. If the conversion rate is adjusted as a result of a distribution that is taxable to our common stockholders, holders of the 4.75% Convertible Senior Notes due 2023 may be deemed to have received a dividend subject to U.S. federal income tax without the receipt of any cash. In addition, a failure to adjust (or to adjust adequately) the conversion rate after an event that increases a noteholder’s proportionate interest in us could be treated as a deemed taxable dividend to such holder. If a make-whole adjustment event occurs on or prior to the business day immediately preceding the stated maturity date of the 4.75% Convertible Senior Notes due 2023, under some circumstances, we will increase the conversion rate for the 4.75% Convertible Senior Notes due 2023 converted in connection with the make-whole adjustment event. Such increase may also be treated as a distribution subject to U.S. federal income tax as a dividend. In addition, if a holder is a Non-U.S. Holder, such holder may be subject to U.S. federal withholding tax in connection with such a deemed distribution. If withholding tax is paid on a noteholder’s behalf as a result of an adjustment to the conversion rate of the 4.75% Convertible Senior Notes due 2023, the withholding agent may offset such payments against payments of cash and common stock on the 4.75% Convertible Senior Notes due 2023. Refer to the prospectus supplement related to the offering of the 4.75% Convertible Senior Notes due 2023, dated March 22, 2018,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Certain adverse consequences could result if the 4.75% Convertible Senior Notes due 2023 are treated as equity interests in us for purposes of regulations under the Employee Retirement Income Security Act of 1974.</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Pursuant to regulations under the Employee Retirement Income Security Act of 1974 (“ERISA”), it is possible that, due to their convertibility feature, the 4.75% Convertible Senior Notes due 2023 could be treated as equity interests in us. In that event, if employee benefit plans subject to Title I of ERISA, plans that are not subject to ERISA but that are subject to Section 4975 of the Code, such as individual retirement accounts, and entities that are deemed to hold the assets of such plans or accounts (such plans, accounts, and entities, “Benefit Plan Investors”) were to acquire 25% or more of the aggregate value of the 4.75% Convertible Senior Notes due 2023, among other consequences, we and our management would be subject to ERISA fiduciary duties, and certain transactions we might enter into, or may have entered into, in the ordinary course of our business might constitute non-exempt “prohibited transactions” under Section 406 of ERISA or Section 4975 of the Code and might have to be rescinded at significant cost to us. Moreover, if our underlying assets were deemed to be assets constituting plan assets, (i) our assets could be subject to ERISA’s reporting and disclosure requirements, (ii) a fiduciary causing a Benefit Plan Investor to make an investment in our equity interests could be deemed to have delegated its responsibility to manage the assets of the Benefit Plan Investor, and (iii) various providers of fiduciary or other services to us, and any other parties with authority or control with respect to our assets, could be deemed to be plan fiduciaries or otherwise parties in interest or disqualified persons by virtue of their provision of such services.</w:t>
      </w:r>
    </w:p>
    <w:p>
      <w:pPr>
        <w:spacing w:after="0" w:line="19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do not believe that the 4.75% Convertible Senior Notes due 2023 should be treated as equity interests in us for purposes of ERISA in light of the relevant regulations. No assurance can be given, however, that the 4.75% Convertible Senior Notes due 2023 will not be so treated.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accounting for convertible debt securities is complex and subject to uncertainty.</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accounting for convertible debt securities is complex and subject to frequent scrutiny by the accounting regulatory bodies and is subject to change. The issuance of the 4.75% Convertible Senior Notes due 2023 may affect our earnings per share on a fully diluted basis in certain periods. Further, we cannot predict if or when changes in the accounting for convertible debt securities could be made and whether any such change could have an adverse impact on our reported or future financial results. Any such impacts could adversely affect the market price or value of our common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Investment in Our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our securities may involve an above average degree of risk.</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investments we make in accordance with our investment objective may result in a higher amount of risk than alternative investment options and a higher risk of volatility or loss of principal. Our investments in portfolio companies may be highly speculative, and therefore, an investment in our shares may not be suitable for someone with lower risk tolerance.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price may be volatile and may decrease substantially.</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trading price of our common stock may fluctuate substantially. The price of our common stock that will prevail in the market after any future offering may be higher or lower than the price you pay, depending on many factors, some of which are beyond our control and may not be directly related to our operating performance. These factors include, but are not limited to, the following:</w:t>
      </w:r>
    </w:p>
    <w:p>
      <w:pPr>
        <w:spacing w:after="0" w:line="62" w:lineRule="exact"/>
        <w:rPr>
          <w:sz w:val="20"/>
          <w:szCs w:val="20"/>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investor demand for our shares;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RICs, BDCs or other financial services companies;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policies or tax guidelines with respect to RICs or BDCs;</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to qualify as a RIC for a particular taxable year, or the loss of RIC status;</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actual or anticipated changes in our earnings or fluctuations in our operating results or changes in the expectations of securities analysts;</w:t>
      </w:r>
    </w:p>
    <w:p>
      <w:pPr>
        <w:spacing w:after="0" w:line="115" w:lineRule="exact"/>
        <w:rPr>
          <w:rFonts w:ascii="Arial" w:cs="Arial" w:eastAsia="Arial" w:hAnsi="Arial"/>
          <w:sz w:val="17"/>
          <w:szCs w:val="17"/>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fluctuations in the valuation of our portfolio investments;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market sentiment against technology-related companies; or</w:t>
      </w:r>
    </w:p>
    <w:p>
      <w:pPr>
        <w:spacing w:after="0" w:line="103"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departures of any of the senior members of our management team.</w:t>
      </w:r>
    </w:p>
    <w:p>
      <w:pPr>
        <w:spacing w:after="0" w:line="1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Due to the potential volatility of our stock price, we may therefore be the target of securities litigation in the future. Securities litigation could result in substantial costs and divert management’s attention and resources from our business.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Shares of our common stock have recently traded, and may in the future trade, at discounts from net asset value or at premiums that may prove to be unsustainable.</w:t>
      </w:r>
    </w:p>
    <w:p>
      <w:pPr>
        <w:spacing w:after="0" w:line="197"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Shares of BDCs like us may, during some periods, trade at prices higher than their net asset value per share and, during other periods, as frequently occurs with closed-end investment companies, trade at prices lower than their net asset value per share. The perceived value of our investment portfolio may be affected by a number of factors including perceived prospects for individual companies we invest in, market conditions for common stock generally, for IPOs and other exit events for venture-capital-backed companies, and the mix of companies in our investment portfolio over time. Negative or unforeseen developments affecting the perceived value of companies in our investment portfolio could result in a decline in the trading price of our common stock relative to our net asset value per share.</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possibility that our shares will trade at a discount from net asset value or at premiums that are unsustainable are risks separate and distinct from the risk that our net asset value per share will decrease. The risk of purchasing shares of a BDC that might trade at a discount or unsustainable premium is more pronounced for investors who wish to sell their shares in a relatively short period of time because, for those investors, realization of a gain or loss on their investments is likely to be more dependent upon changes in premium or discount levels than upon increases or decreases in net asset value per share. As of March 11, 2021, the closing price of our common stock on the Nasdaq Capital Market was $13.58 per share, which represented an approximately 10.3% discount to our net asset value of $15.14 per share as of December 31, 2020.</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not be able to pay distributions to our stockholders and our distributions may not grow over time, particularly since we invest primarily in securities that do not produce current income, and a portion of distributions paid to our stockholders may be a return of capital, which is a distribution of the stockholders’ invested capital.</w:t>
      </w:r>
    </w:p>
    <w:p>
      <w:pPr>
        <w:spacing w:after="0" w:line="211"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We cannot assure you that we will achieve investment results or maintain a tax treatment that will allow or require any specified level of cash distributions or year-to-year increases in cash distributions. Our ability to pay distributions might be adversely affected by, among other things, the impact of one or more of the risk factors described herein. In addition, the inability to satisfy the asset coverage test applicable to us as a BDC could limit our ability to pay distributions. All distributions will be paid at the discretion of our Board of Directors and will depend on our earnings, our financial condition, maintenance of our tax treatment as a RIC, compliance with applicable BDC regulations, compliance with our debt covenants and such other factors as our Board of Directors may deem relevant from time to time. We cannot assure you that we will pay distributions to our stockholders in the future.</w:t>
      </w:r>
    </w:p>
    <w:p>
      <w:pPr>
        <w:spacing w:after="0" w:line="21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we intend to focus on making primarily capital gains-based investments in equity securities, which generally will not be income producing, we do not anticipate that we will pay dividends on a quarterly basis or become a predictable issuer of dividends, and we expect that our dividends, if any, will be less consistent than other BDCs that primarily make debt investments. When we make distributions, we will be required to determine the extent to which such distributions are paid out of current or accumulated taxable earnings, recognized capital gains or capital. To the extent there is a return of capital, investors will be required to reduce their basis in our stock for federal tax purposes, which may result in higher tax liability when the shares are sold, even if they have not increased in value or have lost value. In addition, any return of capital will be net of any sales load and offering expenses associated with sales of shares of our common stock. Our distributions have included a return of capital in the past, and our future distributions may include a return of capital.</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broad discretion over the use of proceeds from our offerings, to the extent they are successful, and will use proceeds in part to satisfy operating expenses.</w:t>
      </w:r>
    </w:p>
    <w:p>
      <w:pPr>
        <w:spacing w:after="0" w:line="197"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We have significant flexibility in applying the proceeds of our offerings and may use the net proceeds from such offerings in ways with which you may not agree, or for purposes other than those contemplated at the time of the offering. We cannot assure you that we will be able to successfully utilize the proceeds within the time frame contemplated. We will also pay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2" w:right="339" w:bottom="1440" w:gutter="0" w:footer="0" w:header="0"/>
        </w:sectPr>
      </w:pPr>
    </w:p>
    <w:bookmarkStart w:id="44" w:name="page45"/>
    <w:bookmarkEnd w:id="4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and may pay other expenses such as due diligence expenses of potential new investments, from the net proceeds of any offering. Our ability to achieve our investment objective may be limited to the extent that the net proceeds of an offering, pending full investment, are used to pay operating expenses. In addition, we can provide you no assurance that any such offerings will be successful, or that by increasing the size of our available equity capital our aggregate expenses, and correspondingly, our expense ratio, will be lowered.</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internalized our operating structure, including our management and investment functions; as a result, we may incur significant costs and face significant risks associated with being self-managed, including adverse effects on our business and financial condition.</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12, 2019, our Board of Directors approved internalizing our operating structure, including our management and investment functions. There can be no assurances that internalizing our operating structure will be beneficial to us and our stockholders, as we may incur the costs and risks discussed below and may not be able to effectively replicate the services previously provided to us by our former investment adviser, GSV Asset Management, and our former administrator, GSV Capital Service Company.</w:t>
      </w:r>
    </w:p>
    <w:p>
      <w:pPr>
        <w:spacing w:after="0" w:line="21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While we will no longer bear the costs of the various fees and expenses we previously paid to GSV Asset Management under the Investment Advisory Agreement, our direct expenses will generally include general and administrative costs, including legal, accounting, and other expenses related to corporate governance, SEC reporting and compliance, as well as costs and expenses related to making and managing our investments. We will also now incur the compensation and benefits costs of our officers and other employees and consultants, and we may issue equity awards to our officers, employees and consultants, which awards may decrease net income and funds from our operations and may dilute our stockholders. We may also be subject to potential liabilities commonly faced by employers, such as workers disability and compensation claims, potential labor disputes and other employee-related liabilities and grievances.</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if the expenses we assume as a result of our internalization are higher than the expenses we would have paid to GSV Asset Management and/or reimbursed to GSV Capital Service Company, our earnings per share may be lower as a result of our internalization than they otherwise would have been, potentially decreasing the amount of funds available to distribute to our stockholders and the value of our shares.</w:t>
      </w:r>
    </w:p>
    <w:p>
      <w:pPr>
        <w:spacing w:after="0" w:line="19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Further, in connection with internalizing our operating structure, we may experience difficulty integrating these functions as a stand-alone entity, and we could have difficulty retaining our personnel, including those performing management, investment and general and administrative functions. These personnel have a great deal of know-how and experience. We may also fail to properly identify the appropriate mix of personnel and capital needs to operate successfully as a stand-alone entity. An inability to effectively manage our internalization could result in our incurring excess costs and operating inefficiencies, and may divert our management’s attention from managing our investments.</w:t>
      </w:r>
    </w:p>
    <w:p>
      <w:pPr>
        <w:spacing w:after="0" w:line="20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Internalization transactions have also, in some cases, been the subject of litigation. Even if these claims are without merit, we could be forced to spend significant amounts of time and money defending claims, which would reduce the amount of funds available for us to make investments and to pay distributions, and may divert our management’s attention from managing our investments.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of these factors could have a material adverse effect on our results of operations, financial condition, and ability to pay distributions.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likely experience fluctuations in our quarterly results and we may be unable to replicate past investment opportunities or make the types of investments we have made to date in future periods.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will likely experience fluctuations in our quarterly operating results due to a number of factors, including the rate at which we make new investments, the level of our expenses, changes in the valuation of our portfolio investments, variations in and the timing of the recognition of realized and unrealized gains or losses, the degree to which we encounter competition in our markets and general economic conditions. For example, since inception through December 31, 2020, we have experienced substantial cumulative negative cash flows from operations. These fluctuations may in certain cases be exaggerated as a result of our focus on realizing capital gains rather than current income from our investments. In addition, there can be no assurance that we will be able to locate or acquire investments that are of a similar nature to those currently in our portfolio. As a result of these factors, results for any period should not be relied upon as being indicative of performance in future periods.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Certain historical data regarding our business properties, results of operations, financial condition and liquidity does not reflect the impact of the COVID-19 pandemic and related containment measures and therefore does not purport to be representative of our future performance.</w:t>
      </w:r>
    </w:p>
    <w:p>
      <w:pPr>
        <w:spacing w:after="0" w:line="15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information included in this Annual Report and our other reports filed with the SEC includes information regarding our business, properties, results of operations, financial condition and liquidity as of dates and for periods before the impact of COVID-19 related containment measures (including quarantines and government orders requiring the closure of certain businesses, limiting travel, requiring that individuals stay at home or shelter in place and closing borders. This historical information therefore does not reflect the adverse impacts of the COVID-19 pandemic and the related containment measures. Accordingly, investors are cautioned not to unduly rely on historical information regarding our businesses, properties, results of operations, financial condition or liquidity, as that data does not reflect the adverse impact of COVID-19 and therefore does not purport to be representative of the future results of operations, financial condition, liquidity or other financial or operating results of us, our properties or our business.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uncertainty surrounding potential legal, regulatory and policy changes by new presidential administrations in the United States that may directly affect financial institutions and the global economy.</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a result of the United States presidential election, which occurred on November 3, 2020, the Democratic Party gained control of the executive branch and the legislative branch of government. Changes in federal policy, including tax policies, and at regulatory agencies occur over time through policy and personnel changes following elections, which lead to changes involving the level of oversight and focus on the financial services industry or the tax rates paid by corporate entities. The nature, timing and economic and political effects of potential changes to the current legal and regulatory framework affecting financial institutions remain highly uncertain. Uncertainty surrounding future changes may adversely affect our operating environment and therefore our business, financial condition, results of operations and growth prospects.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Uncertainty about presidential administration initiatives could negatively impact our business, financial condition and results of operations.</w:t>
      </w:r>
    </w:p>
    <w:p>
      <w:pPr>
        <w:spacing w:after="0" w:line="275" w:lineRule="exact"/>
        <w:rPr>
          <w:sz w:val="20"/>
          <w:szCs w:val="20"/>
          <w:color w:val="auto"/>
        </w:rPr>
      </w:pPr>
    </w:p>
    <w:p>
      <w:pPr>
        <w:jc w:val="both"/>
        <w:ind w:firstLine="364"/>
        <w:spacing w:after="0" w:line="267" w:lineRule="auto"/>
        <w:rPr>
          <w:sz w:val="20"/>
          <w:szCs w:val="20"/>
          <w:color w:val="auto"/>
        </w:rPr>
      </w:pPr>
      <w:r>
        <w:rPr>
          <w:rFonts w:ascii="Arial" w:cs="Arial" w:eastAsia="Arial" w:hAnsi="Arial"/>
          <w:sz w:val="17"/>
          <w:szCs w:val="17"/>
          <w:color w:val="auto"/>
        </w:rPr>
        <w:t>The current administration has called for significant changes to U.S. trade, healthcare, immigration, foreign and government regulatory policy. In this regard, there is significant uncertainty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To the extent the U.S. Congress or the current administration implements changes to U.S. policy, those changes may impact, among other things, the U.S. and global economy, international trade and relations, unemployment, immigration, corporate taxes, healthcare, the U.S. regulatory environment, inflation and other areas.</w:t>
      </w:r>
    </w:p>
    <w:p>
      <w:pPr>
        <w:spacing w:after="0" w:line="4"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6"/>
          <w:szCs w:val="16"/>
          <w:color w:val="auto"/>
        </w:rPr>
        <w:t>A particular area identified as subject to potential change, amendment or repeal includes the Dodd-Frank Wall Street Reform and Consumer Protection Act, or the “Dodd-Frank Act,” including the Volcker Rule and various swaps and derivatives regulations, credit risk retention requirements and the authorities of the Federal Reserve, the Financial Stability Oversight Council and the SEC. Given the uncertainty associated with the manner in which and whether the provisions of the Dodd-Frank Act will be implemented, repealed, amended, or replaced, the full impact such requirements will have on our business, results of operations or financial condition is unclear. The changes resulting from the Dodd-Frank Act or any changes to the regulations already implemented thereunder may require us to invest significant management attention and resources to evaluate and make necessary changes in order to comply with new statutory and regulatory requirements. Failure to comply with any such laws, regulations or principles, or changes thereto, may negatively impact our business, results of operations or financial condition. While we cannot predict what effect any changes in the laws or regulations or their interpretations would have on us as a result of recent financial reform legislation, these changes could be materially adverse to us and our stockholders.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United States tariff and import/export regulations may have a negative effect on our portfolio companies and, in turn, harm us.</w:t>
      </w:r>
    </w:p>
    <w:p>
      <w:pPr>
        <w:spacing w:after="0" w:line="26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2020 U.S. election, the Democratic Party currently controls the executive and legislative branches of government. Significant changes to U.S. trade policy may occur as a result of the administration change, including the United States re-entering, withdrawing from or renegotiate various trade agreements or other actions that would change current trade policies of the United States. We cannot predict which, if any, of these actions will be taken or, if taken, their effect on the</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financial stability of the United States. Such actions could have a significant adverse effect on our business, financial condition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significant costs as a result of being a publicly traded company.</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Exchange Act as well as additional corporate governance requirements, including requirements under the Sarbanes-Oxley Act, and other rules implemented by the SEC.</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Terrorist attacks, acts of war or natural disasters may affect any market for our securities, impact the businesses in which we invest and harm our business, operating results and financial condition.</w:t>
      </w:r>
    </w:p>
    <w:p>
      <w:pPr>
        <w:spacing w:after="0" w:line="197"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Terrorist acts, acts of war or natural disasters may disrupt our operations, as well as the operations of the businesses in which we invest. Such acts have created, and continue to create, economic and political uncertainties and have contributed to global economic instability. Future terrorist activities, military or security operations, or natural disasters could further weaken the domestic/global economies and create additional uncertainties, which may negatively impact the businesses in which we invest directly or indirectly and, in turn, could have a material adverse impact on our business, operating results and financial condition. Losses from terrorist attacks and natural disasters are generally uninsurable.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cyber-security risks.</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Our business operations rely upon secure information technology systems for data processing, storage and reporting. Despite careful security and controls design, implementation and updating, our information technology systems could become subject to cyber-attacks. Network, system, application and data breaches could result in operational disruptions or information misappropriation, which could have a material adverse effect on our business, results of operations and financial condition.</w:t>
      </w:r>
    </w:p>
    <w:p>
      <w:pPr>
        <w:spacing w:after="0" w:line="214" w:lineRule="exact"/>
        <w:rPr>
          <w:sz w:val="20"/>
          <w:szCs w:val="20"/>
          <w:color w:val="auto"/>
        </w:rPr>
      </w:pPr>
    </w:p>
    <w:p>
      <w:pPr>
        <w:jc w:val="both"/>
        <w:ind w:firstLine="364"/>
        <w:spacing w:after="0" w:line="294" w:lineRule="auto"/>
        <w:rPr>
          <w:sz w:val="20"/>
          <w:szCs w:val="20"/>
          <w:color w:val="auto"/>
        </w:rPr>
      </w:pPr>
      <w:r>
        <w:rPr>
          <w:rFonts w:ascii="Arial" w:cs="Arial" w:eastAsia="Arial" w:hAnsi="Arial"/>
          <w:sz w:val="16"/>
          <w:szCs w:val="16"/>
          <w:color w:val="auto"/>
        </w:rPr>
        <w:t>We and our service providers are currently impacted by quarantines and similar measures being enacted by governments in response to COVID-19, which are obstructing the regular functioning of business workforces (including requiring employees to work from external locations and their homes). In response to the outbreak, we instituted a work from home policy until it is deemed safe to return to the office. Policies of extended periods of remote working, whether by us or our service providers, could strain technology resources, introduce operational risks and otherwise heighten the risks described</w:t>
      </w:r>
    </w:p>
    <w:p>
      <w:pPr>
        <w:spacing w:after="0" w:line="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above. Remote working environments may be less secure and more susceptible to hacking attacks, including phishing and social engineering attempts that seek to exploit the COVID-19 pandemic. Accordingly, the risks described above, are heightened under the current conditions.</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failure in cyber-security systems, as well as the occurrence of events unanticipated in our disaster recovery systems and management continuity planning could impair our ability to conduct business effectively.</w:t>
      </w:r>
    </w:p>
    <w:p>
      <w:pPr>
        <w:spacing w:after="0" w:line="197"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occurrence of a disaster such as a cyber-attack, a natural catastrophe, an industrial accident, a terrorist attack or war, events unanticipated in our disaster recovery systems, or a support failure from external providers, could have an adverse effect on our ability to conduct business and on our results of operations and financial condition, particularly if those events affect our computer-based data processing, transmission, storage, and retrieval systems or destroy data. If a significant number of the members of our management team are unavailable in the event of a disaster, our ability to effectively conduct our business could be severely compromised.</w:t>
      </w:r>
    </w:p>
    <w:p>
      <w:pPr>
        <w:spacing w:after="0" w:line="215"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auto"/>
        </w:rPr>
        <w:t>We depend heavily upon computer systems to perform necessary business functions. Despite our implementation of a variety of security measures, our computer systems could be subject to cyber-attacks and unauthorized access, such as physical and electronic break-ins or unauthorized tampering. Like other companies, we may experience threats to our data and systems, including malware and computer virus attacks, unauthorized access, system failures and disruptions. If one or more of these events occurs, it could potentially jeopardize the confidential, proprietary and other information processed and stored in, and transmitted through, our computer systems and networks, or otherwise cause interruptions or malfunctions in our operations, which could result in damage to our reputation, financial losses, litigation, increased costs, regulatory penalties and/or customer dissatisfaction or loss, reputational damage, and increased costs associated with mitigation of damages and remediation. If unauthorized parties gain access to such information and technology systems, they may be able to steal, publish, delete or modify private and sensitive information, including nonpublic personal information related to stockholders (and their beneficial owners) and material nonpublic information. The systems we have implemented to manage risks relating to these types of events could prove to be inadequate and, if compromised, could become inoperable for extended periods of time, cease to</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function properly or fail to adequately secure private information. Breaches such as those involving covertly introduced malware, impersonation of authorized users and industrial or other espionage may not be identified even with sophisticated prevention and detection systems, potentially resulting in further harm and preventing them from being addressed appropriately. The failure of these systems or of disaster recovery plans for any reason could cause significant interruptions in our operations and result in a failure to maintain the security, confidentiality or privacy of sensitive data, including personal information relating to stockholders, material nonpublic information and other sensitive information in our possession.</w:t>
      </w:r>
    </w:p>
    <w:p>
      <w:pPr>
        <w:spacing w:after="0" w:line="203"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A disaster or a disruption in the infrastructure that supports our business, including a disruption involving electronic communications or other services used by us or third parties with whom we conduct business, or directly affecting our headquarters, could have a material adverse impact on our ability to continue to operate our business without interruption. Our disaster recovery programs may not be sufficient to mitigate the harm that may result from such a disaster or disruption. In addition, insurance and other safeguards might only partially reimburse us for our losses, if at all.</w:t>
      </w:r>
    </w:p>
    <w:p>
      <w:pPr>
        <w:spacing w:after="0" w:line="198"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Third parties with which we do business may also be sources of cybersecurity or other technological risk. We outsource certain functions and these relationships allow for the storage and processing of our information, as well as client, counterparty, employee, and borrower information. While we engage in actions to reduce our exposure resulting from outsourcing, ongoing threats may result in unauthorized access, loss, exposure, destruction, or other cybersecurity incident that affects our data, resulting in increased costs and other consequences as described above.</w:t>
      </w:r>
    </w:p>
    <w:p>
      <w:pPr>
        <w:spacing w:after="0" w:line="198"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businesses, liability to investors, regulatory intervention or reputational damage.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related to corporate social responsibility.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business faces increasing public scrutiny related to environmental, social and governance (“ESG”) activities. We risk damage to our brand and reputation if we fail to act responsibly in a number of areas, such as environmental stewardship, corporate governance and transparency and considering ESG factors in our investment processes. Adverse incidents with respect to ESG activities could impact the value of our brand, the cost of our operations and relationships with investors, all of which could adversely affect our business and results of operations. Additionally, new regulatory initiatives related to ESG could adversely affect our business.</w:t>
      </w:r>
    </w:p>
    <w:p>
      <w:pPr>
        <w:spacing w:after="0" w:line="21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jc w:val="center"/>
        <w:ind w:right="948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We do not own any real estate or other physical properties materially important to our operations. We have entered into a 5-year operating lease for primary office space at One Sansome Street, Suite 730, San Francisco, CA 94104. We believe that our office facilities are suitable and adequate for our business as it is presently conducted.</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firstLine="364"/>
        <w:spacing w:after="0"/>
        <w:rPr>
          <w:sz w:val="20"/>
          <w:szCs w:val="20"/>
          <w:color w:val="auto"/>
        </w:rPr>
      </w:pPr>
      <w:r>
        <w:rPr>
          <w:rFonts w:ascii="Arial" w:cs="Arial" w:eastAsia="Arial" w:hAnsi="Arial"/>
          <w:sz w:val="18"/>
          <w:szCs w:val="18"/>
          <w:color w:val="auto"/>
        </w:rPr>
        <w:t>We are not currently subject to any material legal proceedings, nor, to our knowledge, are any material legal proceedings threatened against us. From time to time, we may be a party to certain legal proceedings in the ordinary course of business, including proceedings relating to the enforcement of our rights under contracts with our portfolio companies. Furthermore, third parties may seek to impose liability on us in connection with the activities of our portfolio companies. Our business is also subject to extensive regulation, which may result in regulatory proceedings against us. While the outcome of any future legal or regulatory proceedings cannot be predicted with certainty, we do not expect that any such future proceedings will have a material effect upon our financial condition or results of operations.</w:t>
      </w:r>
    </w:p>
    <w:p>
      <w:pPr>
        <w:spacing w:after="0" w:line="2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9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7"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7"/>
          <w:szCs w:val="17"/>
          <w:color w:val="auto"/>
        </w:rPr>
        <w:t>Our common stock is traded on the Nasdaq Capital Market under the symbol “SSSS.” Our common stock has historically traded at prices both above and below our net asset value per share. It is not possible to predict whether our common stock will trade at, above or below net asset value. See "Risk Factors." The following table sets forth, for each fiscal quarter for the fiscal years ended December 31, 2020, 2019 and 2018, the net asset value per share of our common stock, the range of high and low closing sales prices for our common stock, and such closing sales price as a percentage (premium and discount) to our net asset value per share. The closing market prices reported below have been adjusted to give retroactive effect to material changes resulting from stock dividends. The reported closing market price of our common stock on March 11, 2021 was $13.58 per share, which represented an approximately 10.3% discount to our net asset value of $15.14 per share as of December 31, 2020.</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Price Range</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High Close Price as a</w:t>
            </w:r>
          </w:p>
        </w:tc>
        <w:tc>
          <w:tcPr>
            <w:tcW w:w="1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Low Close Price as a</w:t>
            </w:r>
          </w:p>
        </w:tc>
        <w:tc>
          <w:tcPr>
            <w:tcW w:w="0" w:type="dxa"/>
            <w:vAlign w:val="bottom"/>
          </w:tcPr>
          <w:p>
            <w:pPr>
              <w:spacing w:after="0"/>
              <w:rPr>
                <w:sz w:val="1"/>
                <w:szCs w:val="1"/>
                <w:color w:val="auto"/>
              </w:rPr>
            </w:pPr>
          </w:p>
        </w:tc>
      </w:tr>
      <w:tr>
        <w:trPr>
          <w:trHeight w:val="101"/>
        </w:trPr>
        <w:tc>
          <w:tcPr>
            <w:tcW w:w="3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6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rPr>
              <w:t>Premium/(Discount) to</w:t>
            </w:r>
          </w:p>
        </w:tc>
        <w:tc>
          <w:tcPr>
            <w:tcW w:w="1680" w:type="dxa"/>
            <w:vAlign w:val="bottom"/>
            <w:gridSpan w:val="2"/>
          </w:tcPr>
          <w:p>
            <w:pPr>
              <w:jc w:val="center"/>
              <w:ind w:right="80"/>
              <w:spacing w:after="0" w:line="102" w:lineRule="exact"/>
              <w:rPr>
                <w:sz w:val="20"/>
                <w:szCs w:val="20"/>
                <w:color w:val="auto"/>
              </w:rPr>
            </w:pPr>
            <w:r>
              <w:rPr>
                <w:rFonts w:ascii="Arial" w:cs="Arial" w:eastAsia="Arial" w:hAnsi="Arial"/>
                <w:sz w:val="11"/>
                <w:szCs w:val="11"/>
                <w:b w:val="1"/>
                <w:bCs w:val="1"/>
                <w:color w:val="auto"/>
              </w:rPr>
              <w:t>Premium/(Discount) to</w:t>
            </w:r>
          </w:p>
        </w:tc>
        <w:tc>
          <w:tcPr>
            <w:tcW w:w="0" w:type="dxa"/>
            <w:vAlign w:val="bottom"/>
          </w:tcPr>
          <w:p>
            <w:pPr>
              <w:spacing w:after="0"/>
              <w:rPr>
                <w:sz w:val="1"/>
                <w:szCs w:val="1"/>
                <w:color w:val="auto"/>
              </w:rPr>
            </w:pPr>
          </w:p>
        </w:tc>
      </w:tr>
      <w:tr>
        <w:trPr>
          <w:trHeight w:val="203"/>
        </w:trPr>
        <w:tc>
          <w:tcPr>
            <w:tcW w:w="3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ind w:left="140"/>
              <w:spacing w:after="0" w:line="202" w:lineRule="exact"/>
              <w:rPr>
                <w:sz w:val="20"/>
                <w:szCs w:val="20"/>
                <w:color w:val="auto"/>
              </w:rPr>
            </w:pPr>
            <w:r>
              <w:rPr>
                <w:rFonts w:ascii="Arial" w:cs="Arial" w:eastAsia="Arial" w:hAnsi="Arial"/>
                <w:sz w:val="23"/>
                <w:szCs w:val="23"/>
                <w:b w:val="1"/>
                <w:bCs w:val="1"/>
                <w:color w:val="auto"/>
                <w:vertAlign w:val="subscript"/>
              </w:rPr>
              <w:t>NAV</w:t>
            </w:r>
            <w:r>
              <w:rPr>
                <w:rFonts w:ascii="Arial" w:cs="Arial" w:eastAsia="Arial" w:hAnsi="Arial"/>
                <w:sz w:val="8"/>
                <w:szCs w:val="8"/>
                <w:b w:val="1"/>
                <w:bCs w:val="1"/>
                <w:color w:val="auto"/>
              </w:rPr>
              <w:t>(1)</w:t>
            </w:r>
          </w:p>
        </w:tc>
        <w:tc>
          <w:tcPr>
            <w:tcW w:w="2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High</w:t>
            </w:r>
          </w:p>
        </w:tc>
        <w:tc>
          <w:tcPr>
            <w:tcW w:w="360" w:type="dxa"/>
            <w:vAlign w:val="bottom"/>
          </w:tcPr>
          <w:p>
            <w:pPr>
              <w:spacing w:after="0"/>
              <w:rPr>
                <w:sz w:val="17"/>
                <w:szCs w:val="17"/>
                <w:color w:val="auto"/>
              </w:rPr>
            </w:pPr>
          </w:p>
        </w:tc>
        <w:tc>
          <w:tcPr>
            <w:tcW w:w="780" w:type="dxa"/>
            <w:vAlign w:val="bottom"/>
          </w:tcPr>
          <w:p>
            <w:pPr>
              <w:jc w:val="right"/>
              <w:ind w:right="351"/>
              <w:spacing w:after="0"/>
              <w:rPr>
                <w:sz w:val="20"/>
                <w:szCs w:val="20"/>
                <w:color w:val="auto"/>
              </w:rPr>
            </w:pPr>
            <w:r>
              <w:rPr>
                <w:rFonts w:ascii="Arial" w:cs="Arial" w:eastAsia="Arial" w:hAnsi="Arial"/>
                <w:sz w:val="14"/>
                <w:szCs w:val="14"/>
                <w:b w:val="1"/>
                <w:bCs w:val="1"/>
                <w:color w:val="auto"/>
              </w:rPr>
              <w:t>Low</w:t>
            </w:r>
          </w:p>
        </w:tc>
        <w:tc>
          <w:tcPr>
            <w:tcW w:w="100" w:type="dxa"/>
            <w:vAlign w:val="bottom"/>
          </w:tcPr>
          <w:p>
            <w:pPr>
              <w:spacing w:after="0"/>
              <w:rPr>
                <w:sz w:val="17"/>
                <w:szCs w:val="17"/>
                <w:color w:val="auto"/>
              </w:rPr>
            </w:pPr>
          </w:p>
        </w:tc>
        <w:tc>
          <w:tcPr>
            <w:tcW w:w="1660" w:type="dxa"/>
            <w:vAlign w:val="bottom"/>
            <w:gridSpan w:val="2"/>
          </w:tcPr>
          <w:p>
            <w:pPr>
              <w:jc w:val="center"/>
              <w:ind w:right="100"/>
              <w:spacing w:after="0" w:line="202" w:lineRule="exact"/>
              <w:rPr>
                <w:sz w:val="20"/>
                <w:szCs w:val="20"/>
                <w:color w:val="auto"/>
              </w:rPr>
            </w:pPr>
            <w:r>
              <w:rPr>
                <w:rFonts w:ascii="Arial" w:cs="Arial" w:eastAsia="Arial" w:hAnsi="Arial"/>
                <w:sz w:val="23"/>
                <w:szCs w:val="23"/>
                <w:b w:val="1"/>
                <w:bCs w:val="1"/>
                <w:color w:val="auto"/>
                <w:w w:val="94"/>
                <w:vertAlign w:val="subscript"/>
              </w:rPr>
              <w:t>NAV</w:t>
            </w:r>
            <w:r>
              <w:rPr>
                <w:rFonts w:ascii="Arial" w:cs="Arial" w:eastAsia="Arial" w:hAnsi="Arial"/>
                <w:sz w:val="8"/>
                <w:szCs w:val="8"/>
                <w:b w:val="1"/>
                <w:bCs w:val="1"/>
                <w:color w:val="auto"/>
                <w:w w:val="94"/>
              </w:rPr>
              <w:t>(2)</w:t>
            </w:r>
          </w:p>
        </w:tc>
        <w:tc>
          <w:tcPr>
            <w:tcW w:w="1680" w:type="dxa"/>
            <w:vAlign w:val="bottom"/>
            <w:gridSpan w:val="2"/>
          </w:tcPr>
          <w:p>
            <w:pPr>
              <w:jc w:val="center"/>
              <w:ind w:right="80"/>
              <w:spacing w:after="0" w:line="202" w:lineRule="exact"/>
              <w:rPr>
                <w:sz w:val="20"/>
                <w:szCs w:val="20"/>
                <w:color w:val="auto"/>
              </w:rPr>
            </w:pPr>
            <w:r>
              <w:rPr>
                <w:rFonts w:ascii="Arial" w:cs="Arial" w:eastAsia="Arial" w:hAnsi="Arial"/>
                <w:sz w:val="23"/>
                <w:szCs w:val="23"/>
                <w:b w:val="1"/>
                <w:bCs w:val="1"/>
                <w:color w:val="auto"/>
                <w:w w:val="94"/>
                <w:vertAlign w:val="subscript"/>
              </w:rPr>
              <w:t>NAV</w:t>
            </w:r>
            <w:r>
              <w:rPr>
                <w:rFonts w:ascii="Arial" w:cs="Arial" w:eastAsia="Arial" w:hAnsi="Arial"/>
                <w:sz w:val="8"/>
                <w:szCs w:val="8"/>
                <w:b w:val="1"/>
                <w:bCs w:val="1"/>
                <w:color w:val="auto"/>
                <w:w w:val="94"/>
              </w:rPr>
              <w:t>(2)</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2020</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15.14</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1580" w:type="dxa"/>
            <w:vAlign w:val="bottom"/>
          </w:tcPr>
          <w:p>
            <w:pPr>
              <w:ind w:left="980"/>
              <w:spacing w:after="0"/>
              <w:rPr>
                <w:sz w:val="20"/>
                <w:szCs w:val="20"/>
                <w:color w:val="auto"/>
              </w:rPr>
            </w:pPr>
            <w:r>
              <w:rPr>
                <w:rFonts w:ascii="Arial" w:cs="Arial" w:eastAsia="Arial" w:hAnsi="Arial"/>
                <w:sz w:val="18"/>
                <w:szCs w:val="18"/>
                <w:color w:val="auto"/>
                <w:w w:val="91"/>
              </w:rPr>
              <w:t>(46.1)%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680" w:type="dxa"/>
            <w:vAlign w:val="bottom"/>
            <w:gridSpan w:val="2"/>
            <w:shd w:val="clear" w:color="auto" w:fill="CCEEFF"/>
          </w:tcPr>
          <w:p>
            <w:pPr>
              <w:jc w:val="right"/>
              <w:ind w:right="163"/>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(30.7)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5.31</w:t>
            </w:r>
          </w:p>
        </w:tc>
        <w:tc>
          <w:tcPr>
            <w:tcW w:w="1680" w:type="dxa"/>
            <w:vAlign w:val="bottom"/>
            <w:gridSpan w:val="2"/>
          </w:tcPr>
          <w:p>
            <w:pPr>
              <w:jc w:val="right"/>
              <w:ind w:right="123"/>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9"/>
                <w:szCs w:val="19"/>
                <w:color w:val="auto"/>
              </w:rPr>
            </w:pPr>
          </w:p>
        </w:tc>
        <w:tc>
          <w:tcPr>
            <w:tcW w:w="1580" w:type="dxa"/>
            <w:vAlign w:val="bottom"/>
          </w:tcPr>
          <w:p>
            <w:pPr>
              <w:ind w:left="980"/>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6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(31.5)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b w:val="1"/>
                <w:bCs w:val="1"/>
                <w:color w:val="auto"/>
              </w:rPr>
              <w:t>Fiscal 2019</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Fourth Quarter</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980"/>
              <w:spacing w:after="0"/>
              <w:rPr>
                <w:sz w:val="20"/>
                <w:szCs w:val="20"/>
                <w:color w:val="auto"/>
              </w:rPr>
            </w:pPr>
            <w:r>
              <w:rPr>
                <w:rFonts w:ascii="Arial" w:cs="Arial" w:eastAsia="Arial" w:hAnsi="Arial"/>
                <w:sz w:val="18"/>
                <w:szCs w:val="18"/>
                <w:color w:val="auto"/>
                <w:w w:val="91"/>
              </w:rPr>
              <w:t>(49.5)%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Third Quarter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6.13</w:t>
            </w:r>
          </w:p>
        </w:tc>
        <w:tc>
          <w:tcPr>
            <w:tcW w:w="1680" w:type="dxa"/>
            <w:vAlign w:val="bottom"/>
            <w:gridSpan w:val="2"/>
          </w:tcPr>
          <w:p>
            <w:pPr>
              <w:jc w:val="right"/>
              <w:ind w:right="123"/>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9"/>
                <w:szCs w:val="19"/>
                <w:color w:val="auto"/>
              </w:rPr>
            </w:pPr>
          </w:p>
        </w:tc>
        <w:tc>
          <w:tcPr>
            <w:tcW w:w="1580" w:type="dxa"/>
            <w:vAlign w:val="bottom"/>
          </w:tcPr>
          <w:p>
            <w:pPr>
              <w:ind w:left="980"/>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Second Quarter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6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First Quarter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5.20</w:t>
            </w:r>
          </w:p>
        </w:tc>
        <w:tc>
          <w:tcPr>
            <w:tcW w:w="1680" w:type="dxa"/>
            <w:vAlign w:val="bottom"/>
            <w:gridSpan w:val="2"/>
          </w:tcPr>
          <w:p>
            <w:pPr>
              <w:jc w:val="right"/>
              <w:ind w:right="123"/>
              <w:spacing w:after="0"/>
              <w:rPr>
                <w:sz w:val="20"/>
                <w:szCs w:val="20"/>
                <w:color w:val="auto"/>
              </w:rPr>
            </w:pPr>
            <w:r>
              <w:rPr>
                <w:rFonts w:ascii="Arial" w:cs="Arial" w:eastAsia="Arial" w:hAnsi="Arial"/>
                <w:sz w:val="18"/>
                <w:szCs w:val="18"/>
                <w:color w:val="auto"/>
              </w:rPr>
              <w:t>(22.1)</w:t>
            </w:r>
          </w:p>
        </w:tc>
        <w:tc>
          <w:tcPr>
            <w:tcW w:w="80" w:type="dxa"/>
            <w:vAlign w:val="bottom"/>
          </w:tcPr>
          <w:p>
            <w:pPr>
              <w:spacing w:after="0"/>
              <w:rPr>
                <w:sz w:val="19"/>
                <w:szCs w:val="19"/>
                <w:color w:val="auto"/>
              </w:rPr>
            </w:pPr>
          </w:p>
        </w:tc>
        <w:tc>
          <w:tcPr>
            <w:tcW w:w="1580" w:type="dxa"/>
            <w:vAlign w:val="bottom"/>
          </w:tcPr>
          <w:p>
            <w:pPr>
              <w:ind w:left="98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Fiscal 2018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9.89</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5.12</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9"/>
                <w:szCs w:val="19"/>
                <w:color w:val="auto"/>
              </w:rPr>
            </w:pPr>
          </w:p>
        </w:tc>
        <w:tc>
          <w:tcPr>
            <w:tcW w:w="1580" w:type="dxa"/>
            <w:vAlign w:val="bottom"/>
          </w:tcPr>
          <w:p>
            <w:pPr>
              <w:ind w:left="980"/>
              <w:spacing w:after="0"/>
              <w:rPr>
                <w:sz w:val="20"/>
                <w:szCs w:val="20"/>
                <w:color w:val="auto"/>
              </w:rPr>
            </w:pPr>
            <w:r>
              <w:rPr>
                <w:rFonts w:ascii="Arial" w:cs="Arial" w:eastAsia="Arial" w:hAnsi="Arial"/>
                <w:sz w:val="18"/>
                <w:szCs w:val="18"/>
                <w:color w:val="auto"/>
                <w:w w:val="91"/>
              </w:rPr>
              <w:t>(48.2)%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6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6.68</w:t>
            </w:r>
          </w:p>
        </w:tc>
        <w:tc>
          <w:tcPr>
            <w:tcW w:w="1680" w:type="dxa"/>
            <w:vAlign w:val="bottom"/>
            <w:gridSpan w:val="2"/>
          </w:tcPr>
          <w:p>
            <w:pPr>
              <w:jc w:val="right"/>
              <w:ind w:right="123"/>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19"/>
                <w:szCs w:val="19"/>
                <w:color w:val="auto"/>
              </w:rPr>
            </w:pPr>
          </w:p>
        </w:tc>
        <w:tc>
          <w:tcPr>
            <w:tcW w:w="1580" w:type="dxa"/>
            <w:vAlign w:val="bottom"/>
          </w:tcPr>
          <w:p>
            <w:pPr>
              <w:ind w:left="980"/>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80" w:type="dxa"/>
            <w:vAlign w:val="bottom"/>
            <w:gridSpan w:val="2"/>
            <w:shd w:val="clear" w:color="auto" w:fill="CCEEFF"/>
          </w:tcPr>
          <w:p>
            <w:pPr>
              <w:jc w:val="right"/>
              <w:ind w:right="123"/>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920" w:type="dxa"/>
            <w:vAlign w:val="bottom"/>
          </w:tcPr>
          <w:p>
            <w:pPr>
              <w:spacing w:after="0"/>
              <w:rPr>
                <w:sz w:val="20"/>
                <w:szCs w:val="20"/>
                <w:color w:val="auto"/>
              </w:rPr>
            </w:pPr>
            <w:r>
              <w:rPr>
                <w:rFonts w:ascii="Arial" w:cs="Arial" w:eastAsia="Arial" w:hAnsi="Arial"/>
                <w:sz w:val="16"/>
                <w:szCs w:val="16"/>
                <w:color w:val="auto"/>
              </w:rPr>
              <w:t>___________________</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340" w:hanging="332"/>
        <w:spacing w:after="0" w:line="255" w:lineRule="auto"/>
        <w:tabs>
          <w:tab w:leader="none" w:pos="409" w:val="left"/>
        </w:tabs>
        <w:numPr>
          <w:ilvl w:val="0"/>
          <w:numId w:val="28"/>
        </w:numPr>
        <w:rPr>
          <w:rFonts w:ascii="Arial" w:cs="Arial" w:eastAsia="Arial" w:hAnsi="Arial"/>
          <w:sz w:val="16"/>
          <w:szCs w:val="16"/>
          <w:color w:val="auto"/>
        </w:rPr>
      </w:pPr>
      <w:r>
        <w:rPr>
          <w:rFonts w:ascii="Arial" w:cs="Arial" w:eastAsia="Arial" w:hAnsi="Arial"/>
          <w:sz w:val="16"/>
          <w:szCs w:val="16"/>
          <w:color w:val="auto"/>
        </w:rPr>
        <w:t>NAV per share is determined as of the last day in the relevant quarter and therefore may not reflect the NAV per share on the date of the high and low close prices. The NAV per share figures shown are based on outstanding shares at the end of each period.</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Calculated as the respective high or low close sales price divided by net asset value and subtracting 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March 11, 2021, there were 3 holders of record of our common stock (including Cede &amp; Co.).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jc w:val="both"/>
        <w:ind w:firstLine="364"/>
        <w:spacing w:after="0" w:line="287" w:lineRule="auto"/>
        <w:rPr>
          <w:sz w:val="20"/>
          <w:szCs w:val="20"/>
          <w:color w:val="auto"/>
        </w:rPr>
      </w:pPr>
      <w:r>
        <w:rPr>
          <w:rFonts w:ascii="Arial" w:cs="Arial" w:eastAsia="Arial" w:hAnsi="Arial"/>
          <w:sz w:val="16"/>
          <w:szCs w:val="16"/>
          <w:color w:val="auto"/>
        </w:rPr>
        <w:t>We have elected to be treated as a RIC under Subchapter M of the Code and expect to continue to operate in a manner so as to qualify for the tax treatment applicable to RICs. To maintain RIC tax treatment, we must, among other things, distribute at least 90% of our ordinary income and realized net short-term capital gains in excess of realized net long-term capital losses, if any. Further, undistributed taxable income (subject to a 4% excise tax) pertaining to a given fiscal year may be distributed up to 12 months subsequent to the end of that fiscal year, provided such dividends are declared prior to the later of (1) the fifteenth day of the ninth month following the close of that fiscal year or (2) the extended due date for filing the U.S. federal income tax return for that fiscal year. In order to avoid certain excise taxes imposed on RICs, we currently intend to distribute during each calendar year an amount at least equal to the sum of (1) 98% of our ordinary income for the calendar year, (2) 98.2% of our capital gains in excess of capital losses for the one-year period ending on October 31 of the calendar year and (3) any ordinary income and net capital gains for preceding years that were not distributed during such years. In addition, although we currently intend to distribute realized net capital gains (i.e., net long-term capital gains in excess of net short-term capital losses), if any, at least annually, we may in the future decide to retain such capital gains for investment. If this happens, our stockholders will be treated as if they received an actual distribution of the capital gains we retain and reinvested the net after-tax proceeds in us.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Stockholders may be eligible to claim a tax credit (or, in certain circumstances, a tax refund) equal to the allocable share of the tax we paid on the capital gains deemed distributed to them. We can offer no assurance that we will achieve results that will permit the payment of any cash distributions and, to the extent that we issue senior securities, we will be prohibited from making distributions if doing so causes us to fail to maintain the asset coverage ratios stipulated by the 1940 Act or if distributions are limited by the terms of any of our borrowings.</w:t>
      </w:r>
    </w:p>
    <w:p>
      <w:pPr>
        <w:spacing w:after="0" w:line="214"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lists the distributions, including dividends and returns of capital, if any, per share that we have declared since our formation through December 31, 2020. The table is divided by fiscal year according to record date: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gridSpan w:val="2"/>
          </w:tcPr>
          <w:p>
            <w:pPr>
              <w:ind w:left="20"/>
              <w:spacing w:after="0"/>
              <w:rPr>
                <w:sz w:val="20"/>
                <w:szCs w:val="20"/>
                <w:color w:val="auto"/>
              </w:rPr>
            </w:pPr>
            <w:r>
              <w:rPr>
                <w:rFonts w:ascii="Arial" w:cs="Arial" w:eastAsia="Arial" w:hAnsi="Arial"/>
                <w:sz w:val="14"/>
                <w:szCs w:val="14"/>
                <w:b w:val="1"/>
                <w:bCs w:val="1"/>
                <w:color w:val="auto"/>
              </w:rPr>
              <w:t>Date Declared</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Record Date</w:t>
            </w:r>
          </w:p>
        </w:tc>
        <w:tc>
          <w:tcPr>
            <w:tcW w:w="2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Payment Date</w:t>
            </w:r>
          </w:p>
        </w:tc>
        <w:tc>
          <w:tcPr>
            <w:tcW w:w="220" w:type="dxa"/>
            <w:vAlign w:val="bottom"/>
          </w:tcPr>
          <w:p>
            <w:pPr>
              <w:spacing w:after="0"/>
              <w:rPr>
                <w:sz w:val="16"/>
                <w:szCs w:val="16"/>
                <w:color w:val="auto"/>
              </w:rPr>
            </w:pPr>
          </w:p>
        </w:tc>
        <w:tc>
          <w:tcPr>
            <w:tcW w:w="1560" w:type="dxa"/>
            <w:vAlign w:val="bottom"/>
          </w:tcPr>
          <w:p>
            <w:pPr>
              <w:jc w:val="right"/>
              <w:ind w:right="232"/>
              <w:spacing w:after="0"/>
              <w:rPr>
                <w:sz w:val="20"/>
                <w:szCs w:val="20"/>
                <w:color w:val="auto"/>
              </w:rPr>
            </w:pPr>
            <w:r>
              <w:rPr>
                <w:rFonts w:ascii="Arial" w:cs="Arial" w:eastAsia="Arial" w:hAnsi="Arial"/>
                <w:sz w:val="14"/>
                <w:szCs w:val="14"/>
                <w:b w:val="1"/>
                <w:bCs w:val="1"/>
                <w:color w:val="auto"/>
              </w:rPr>
              <w:t>Amount per Share</w:t>
            </w:r>
          </w:p>
        </w:tc>
        <w:tc>
          <w:tcPr>
            <w:tcW w:w="0" w:type="dxa"/>
            <w:vAlign w:val="bottom"/>
          </w:tcPr>
          <w:p>
            <w:pPr>
              <w:spacing w:after="0"/>
              <w:rPr>
                <w:sz w:val="1"/>
                <w:szCs w:val="1"/>
                <w:color w:val="auto"/>
              </w:rPr>
            </w:pPr>
          </w:p>
        </w:tc>
      </w:tr>
      <w:tr>
        <w:trPr>
          <w:trHeight w:val="229"/>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Fiscal 2015:</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November 4, 2015</w:t>
            </w:r>
            <w:r>
              <w:rPr>
                <w:rFonts w:ascii="Arial" w:cs="Arial" w:eastAsia="Arial" w:hAnsi="Arial"/>
                <w:sz w:val="23"/>
                <w:szCs w:val="23"/>
                <w:color w:val="auto"/>
                <w:vertAlign w:val="superscript"/>
              </w:rPr>
              <w:t>(1)</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16, 2015</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31, 2015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Fiscal 2016:</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August 3, 2016</w:t>
            </w:r>
            <w:r>
              <w:rPr>
                <w:rFonts w:ascii="Arial" w:cs="Arial" w:eastAsia="Arial" w:hAnsi="Arial"/>
                <w:sz w:val="23"/>
                <w:szCs w:val="23"/>
                <w:color w:val="auto"/>
                <w:vertAlign w:val="superscript"/>
              </w:rPr>
              <w:t>(2)</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16, 2016</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24, 2016</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Fiscal 2019:</w:t>
            </w:r>
          </w:p>
        </w:tc>
        <w:tc>
          <w:tcPr>
            <w:tcW w:w="2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November 5, 2019</w:t>
            </w:r>
            <w:r>
              <w:rPr>
                <w:rFonts w:ascii="Arial" w:cs="Arial" w:eastAsia="Arial" w:hAnsi="Arial"/>
                <w:sz w:val="23"/>
                <w:szCs w:val="23"/>
                <w:color w:val="auto"/>
                <w:vertAlign w:val="superscript"/>
              </w:rPr>
              <w:t>(3)</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December 2, 2019</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December 12, 2019</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December 20, 2019</w:t>
            </w:r>
            <w:r>
              <w:rPr>
                <w:rFonts w:ascii="Arial" w:cs="Arial" w:eastAsia="Arial" w:hAnsi="Arial"/>
                <w:sz w:val="23"/>
                <w:szCs w:val="23"/>
                <w:color w:val="auto"/>
                <w:vertAlign w:val="superscript"/>
              </w:rPr>
              <w:t>(4)</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December 31, 2019</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January 15, 2020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29"/>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Fiscal 2020:</w:t>
            </w:r>
          </w:p>
        </w:tc>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July 29, 2020</w:t>
            </w:r>
            <w:r>
              <w:rPr>
                <w:rFonts w:ascii="Arial" w:cs="Arial" w:eastAsia="Arial" w:hAnsi="Arial"/>
                <w:sz w:val="23"/>
                <w:szCs w:val="23"/>
                <w:color w:val="auto"/>
                <w:vertAlign w:val="superscript"/>
              </w:rPr>
              <w:t>(5)</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11, 2020</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25, 2020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29"/>
        </w:trPr>
        <w:tc>
          <w:tcPr>
            <w:tcW w:w="48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September 28, 2020</w:t>
            </w:r>
            <w:r>
              <w:rPr>
                <w:rFonts w:ascii="Arial" w:cs="Arial" w:eastAsia="Arial" w:hAnsi="Arial"/>
                <w:sz w:val="23"/>
                <w:szCs w:val="23"/>
                <w:color w:val="auto"/>
                <w:vertAlign w:val="superscript"/>
              </w:rPr>
              <w:t>(6)</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5, 2020</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October 20, 2020</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48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October 28, 2020</w:t>
            </w:r>
            <w:r>
              <w:rPr>
                <w:rFonts w:ascii="Arial" w:cs="Arial" w:eastAsia="Arial" w:hAnsi="Arial"/>
                <w:sz w:val="23"/>
                <w:szCs w:val="23"/>
                <w:color w:val="auto"/>
                <w:vertAlign w:val="superscript"/>
              </w:rPr>
              <w:t>(7)</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10, 2020</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30, 2020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gridSpan w:val="2"/>
          </w:tcPr>
          <w:p>
            <w:pPr>
              <w:ind w:left="180"/>
              <w:spacing w:after="0" w:line="230" w:lineRule="exact"/>
              <w:rPr>
                <w:sz w:val="20"/>
                <w:szCs w:val="20"/>
                <w:color w:val="auto"/>
              </w:rPr>
            </w:pPr>
            <w:r>
              <w:rPr>
                <w:rFonts w:ascii="Arial" w:cs="Arial" w:eastAsia="Arial" w:hAnsi="Arial"/>
                <w:sz w:val="18"/>
                <w:szCs w:val="18"/>
                <w:color w:val="auto"/>
              </w:rPr>
              <w:t>December 16, 2020</w:t>
            </w:r>
            <w:r>
              <w:rPr>
                <w:rFonts w:ascii="Arial" w:cs="Arial" w:eastAsia="Arial" w:hAnsi="Arial"/>
                <w:sz w:val="23"/>
                <w:szCs w:val="23"/>
                <w:color w:val="auto"/>
                <w:vertAlign w:val="superscript"/>
              </w:rPr>
              <w:t>(8)</w:t>
            </w:r>
          </w:p>
        </w:tc>
        <w:tc>
          <w:tcPr>
            <w:tcW w:w="23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8"/>
              </w:rPr>
              <w:t>December 30, 2020</w:t>
            </w:r>
          </w:p>
        </w:tc>
        <w:tc>
          <w:tcPr>
            <w:tcW w:w="226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9"/>
              </w:rPr>
              <w:t>January 15, 2021</w:t>
            </w: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w:t>
            </w: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jc w:val="both"/>
        <w:ind w:left="340" w:hanging="332"/>
        <w:spacing w:after="0" w:line="285" w:lineRule="auto"/>
        <w:tabs>
          <w:tab w:leader="none" w:pos="43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distribution was paid in cash or shares of our common stock at the election of stockholders, although the total amount of cash distributed to all stockholders was limited to approximately 50% of the total distribution to be paid to all stockholders. As a result of stockholder elections, the distribution consisted of 2,860,903 shares of common stock issued in lieu of cash, or approximately 14.8% of our outstanding shares prior to the distribution, as well as cash of $26,358,885. The number of shares of common stock comprising the stock portion was calculated based on a price of $9.425 per share, which equaled the average of the volume weighted-average trading price per share of our common stock on December 28, 29 and 30, 2015. None of the $2.76 per share distribution represented a return of capital.</w:t>
      </w:r>
    </w:p>
    <w:p>
      <w:pPr>
        <w:spacing w:after="0" w:line="3" w:lineRule="exact"/>
        <w:rPr>
          <w:rFonts w:ascii="Arial" w:cs="Arial" w:eastAsia="Arial" w:hAnsi="Arial"/>
          <w:sz w:val="14"/>
          <w:szCs w:val="14"/>
          <w:color w:val="auto"/>
        </w:rPr>
      </w:pPr>
    </w:p>
    <w:p>
      <w:pPr>
        <w:ind w:left="360" w:hanging="352"/>
        <w:spacing w:after="0"/>
        <w:tabs>
          <w:tab w:leader="none" w:pos="3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Of the total distribution of $887,240 on August 24, 2016, $820,753 represented a distribution from realized gains, and $66,487 represented a return of capital.</w:t>
      </w:r>
    </w:p>
    <w:p>
      <w:pPr>
        <w:spacing w:after="0" w:line="16" w:lineRule="exact"/>
        <w:rPr>
          <w:rFonts w:ascii="Arial" w:cs="Arial" w:eastAsia="Arial" w:hAnsi="Arial"/>
          <w:sz w:val="15"/>
          <w:szCs w:val="15"/>
          <w:color w:val="auto"/>
        </w:rPr>
      </w:pPr>
    </w:p>
    <w:p>
      <w:pPr>
        <w:ind w:left="360" w:hanging="352"/>
        <w:spacing w:after="0"/>
        <w:tabs>
          <w:tab w:leader="none" w:pos="3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of the $3,512,849 distribution paid on December 12, 2019 represented a distribution from realized gains. None of the distribution represented a return of capital.</w:t>
      </w:r>
    </w:p>
    <w:p>
      <w:pPr>
        <w:spacing w:after="0" w:line="16" w:lineRule="exact"/>
        <w:rPr>
          <w:rFonts w:ascii="Arial" w:cs="Arial" w:eastAsia="Arial" w:hAnsi="Arial"/>
          <w:sz w:val="15"/>
          <w:szCs w:val="15"/>
          <w:color w:val="auto"/>
        </w:rPr>
      </w:pPr>
    </w:p>
    <w:p>
      <w:pPr>
        <w:ind w:left="240" w:hanging="232"/>
        <w:spacing w:after="0"/>
        <w:tabs>
          <w:tab w:leader="none" w:pos="2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of the $2,107,709 distribution paid on January 15, 2020 represented a distribution from realized gains. None of the distribution represented a return of capital.</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of the $2,516,452 distribution paid on August 25, 2020 represented a distribution from realized gains. None of the distribution represented a return of capital.</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of the $5,071,326 distribution paid on October 20, 2020 represented a distribution from realized gains. None of the distribution represented a return of capital.</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of the $4,978,504 distribution paid on November 30, 2020 represented a distribution from realized gains. None of the distribution represented a return of capital.</w:t>
      </w:r>
    </w:p>
    <w:p>
      <w:pPr>
        <w:spacing w:after="0" w:line="3" w:lineRule="exact"/>
        <w:rPr>
          <w:rFonts w:ascii="Arial" w:cs="Arial" w:eastAsia="Arial" w:hAnsi="Arial"/>
          <w:sz w:val="15"/>
          <w:szCs w:val="15"/>
          <w:color w:val="auto"/>
        </w:rPr>
      </w:pPr>
    </w:p>
    <w:p>
      <w:pPr>
        <w:ind w:left="240" w:hanging="232"/>
        <w:spacing w:after="0"/>
        <w:tabs>
          <w:tab w:leader="none" w:pos="2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All of the $4,381,084 distribution paid on January 15, 2021 represented a distribution from realized gains. None of the distribution represented a return of capital.</w:t>
      </w:r>
    </w:p>
    <w:p>
      <w:pPr>
        <w:spacing w:after="0" w:line="24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We intend to focus on making capital gains-based investments from which we will derive primarily capital gains. As a consequence, we do not anticipate that we will pay distributions on a quarterly basis or become a predictable distributor of distributions, and we expect that our distributions, if any, will be much less consistent than the distributions of other BDCs that primarily make debt investments. If there are earnings or realized capital gains to be distributed, we intend to declare and pay a distribution at least annually. The amount of realized capital gains available for distribution to stockholders will be impacted by our tax status.</w:t>
      </w:r>
    </w:p>
    <w:p>
      <w:pPr>
        <w:spacing w:after="0" w:line="215"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Our current intention is to make any future distributions out of assets legally available therefrom in the form of additional shares of our common stock under our dividend reinvestment plan, except in the case of stockholders who elect to receive dividends and/or long-term capital gains distributions in cash. Under the dividend reinvestment plan, if a stockholder owns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shares of common stock registered in its own name, the stockholder will have all cash distributions (net of any applicable withholding) automatically reinvested in additional shares of common stock unless the stockholder opts out of our dividend reinvestment plan by delivering a written notice to our dividend paying agent prior to the record date of the next dividend or distribution. Any distributions reinvested under the plan will nevertheless be treated as received by the U.S. stockholder for U.S. federal income tax purposes, although no cash distribution has been made. As a result, if a stockholder does not elect to opt out of the dividend reinvestment plan, it will be required to pay applicable federal, state and local taxes on any reinvested dividends even though such stockholder will not receive a corresponding cash distribution. Stockholders that hold shares in the name of a broker or financial intermediary should contact the broker or financial intermediary regarding any election to receive distributions in cash.</w:t>
      </w:r>
    </w:p>
    <w:p>
      <w:pPr>
        <w:spacing w:after="0" w:line="204"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So long as we qualify and maintain our tax treatment as a RIC, we generally will not pay corporate-level U.S. federal and state income taxes on any ordinary income or capital gains that we distribute at least annually to our stockholders as dividends. Rather, any tax liability related to income earned by the RIC will represent obligations of our investors and will not be reflected in our consolidated financial statements. See “Note 2—Significant Accounting Policies—</w:t>
      </w:r>
      <w:r>
        <w:rPr>
          <w:rFonts w:ascii="Arial" w:cs="Arial" w:eastAsia="Arial" w:hAnsi="Arial"/>
          <w:sz w:val="16"/>
          <w:szCs w:val="16"/>
          <w:i w:val="1"/>
          <w:iCs w:val="1"/>
          <w:color w:val="auto"/>
        </w:rPr>
        <w:t>U.S. Federal and State Income Taxes</w:t>
      </w:r>
      <w:r>
        <w:rPr>
          <w:rFonts w:ascii="Arial" w:cs="Arial" w:eastAsia="Arial" w:hAnsi="Arial"/>
          <w:sz w:val="16"/>
          <w:szCs w:val="16"/>
          <w:color w:val="auto"/>
        </w:rPr>
        <w:t>” and “Note 9—Income Taxes” to our consolidated financial statements for the year ended December 31, 2020 for more information. The Taxable Subsidiaries included in our consolidated financial statements are taxable subsidiaries, regardless of whether we are taxed as a RIC. These taxable subsidiaries are not consolidated for income tax purposes and may generate income tax expenses as a result of their ownership of the portfolio companies. Such income tax expenses and deferred taxes, if any, will be reflected in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4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See “Item 10. Executive Compensation” and “Item 12. Security Ownership of Certain Beneficial Owners and Management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The following graph compares the cumulative total return on our common stock with that of the Standard &amp; Poor’s 500 Stock Index and the Nasdaq Stock Index, as we do not believe there is an appropriate index of companies with an investment strategy similar to our own with which to compare the return on our common stock, for the five years ended December 31, 2020. The graph assumes that, on December 31, 2015, a person invested $100.00 in our common stock, at the closing price of our common stock on December 31, 2015, and in the Standard &amp; Poor’s 500 Stock Index and the Nasdaq Stock Index. The graph measures total stockholder return, which takes into account both changes in stock price and dividends. It assumes that dividends are reinvested in like securities on the respective dividend dates without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5863590" cy="3043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6359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315"/>
              <w:spacing w:after="0"/>
              <w:rPr>
                <w:sz w:val="20"/>
                <w:szCs w:val="20"/>
                <w:color w:val="auto"/>
              </w:rPr>
            </w:pPr>
            <w:r>
              <w:rPr>
                <w:rFonts w:ascii="Arial" w:cs="Arial" w:eastAsia="Arial" w:hAnsi="Arial"/>
                <w:sz w:val="14"/>
                <w:szCs w:val="14"/>
                <w:b w:val="1"/>
                <w:bCs w:val="1"/>
                <w:color w:val="auto"/>
              </w:rPr>
              <w:t>12/31/15</w:t>
            </w:r>
          </w:p>
        </w:tc>
        <w:tc>
          <w:tcPr>
            <w:tcW w:w="320" w:type="dxa"/>
            <w:vAlign w:val="bottom"/>
          </w:tcPr>
          <w:p>
            <w:pPr>
              <w:spacing w:after="0"/>
              <w:rPr>
                <w:sz w:val="16"/>
                <w:szCs w:val="16"/>
                <w:color w:val="auto"/>
              </w:rPr>
            </w:pPr>
          </w:p>
        </w:tc>
        <w:tc>
          <w:tcPr>
            <w:tcW w:w="1040" w:type="dxa"/>
            <w:vAlign w:val="bottom"/>
          </w:tcPr>
          <w:p>
            <w:pPr>
              <w:jc w:val="right"/>
              <w:ind w:right="315"/>
              <w:spacing w:after="0"/>
              <w:rPr>
                <w:sz w:val="20"/>
                <w:szCs w:val="20"/>
                <w:color w:val="auto"/>
              </w:rPr>
            </w:pPr>
            <w:r>
              <w:rPr>
                <w:rFonts w:ascii="Arial" w:cs="Arial" w:eastAsia="Arial" w:hAnsi="Arial"/>
                <w:sz w:val="14"/>
                <w:szCs w:val="14"/>
                <w:b w:val="1"/>
                <w:bCs w:val="1"/>
                <w:color w:val="auto"/>
              </w:rPr>
              <w:t>12/31/16</w:t>
            </w:r>
          </w:p>
        </w:tc>
        <w:tc>
          <w:tcPr>
            <w:tcW w:w="320" w:type="dxa"/>
            <w:vAlign w:val="bottom"/>
          </w:tcPr>
          <w:p>
            <w:pPr>
              <w:spacing w:after="0"/>
              <w:rPr>
                <w:sz w:val="16"/>
                <w:szCs w:val="16"/>
                <w:color w:val="auto"/>
              </w:rPr>
            </w:pPr>
          </w:p>
        </w:tc>
        <w:tc>
          <w:tcPr>
            <w:tcW w:w="1040" w:type="dxa"/>
            <w:vAlign w:val="bottom"/>
          </w:tcPr>
          <w:p>
            <w:pPr>
              <w:jc w:val="right"/>
              <w:ind w:right="315"/>
              <w:spacing w:after="0"/>
              <w:rPr>
                <w:sz w:val="20"/>
                <w:szCs w:val="20"/>
                <w:color w:val="auto"/>
              </w:rPr>
            </w:pPr>
            <w:r>
              <w:rPr>
                <w:rFonts w:ascii="Arial" w:cs="Arial" w:eastAsia="Arial" w:hAnsi="Arial"/>
                <w:sz w:val="14"/>
                <w:szCs w:val="14"/>
                <w:b w:val="1"/>
                <w:bCs w:val="1"/>
                <w:color w:val="auto"/>
              </w:rPr>
              <w:t>12/31/17</w:t>
            </w:r>
          </w:p>
        </w:tc>
        <w:tc>
          <w:tcPr>
            <w:tcW w:w="320" w:type="dxa"/>
            <w:vAlign w:val="bottom"/>
          </w:tcPr>
          <w:p>
            <w:pPr>
              <w:spacing w:after="0"/>
              <w:rPr>
                <w:sz w:val="16"/>
                <w:szCs w:val="16"/>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12/31/18</w:t>
            </w:r>
          </w:p>
        </w:tc>
        <w:tc>
          <w:tcPr>
            <w:tcW w:w="320" w:type="dxa"/>
            <w:vAlign w:val="bottom"/>
          </w:tcPr>
          <w:p>
            <w:pPr>
              <w:spacing w:after="0"/>
              <w:rPr>
                <w:sz w:val="16"/>
                <w:szCs w:val="16"/>
                <w:color w:val="auto"/>
              </w:rPr>
            </w:pPr>
          </w:p>
        </w:tc>
        <w:tc>
          <w:tcPr>
            <w:tcW w:w="1020" w:type="dxa"/>
            <w:vAlign w:val="bottom"/>
          </w:tcPr>
          <w:p>
            <w:pPr>
              <w:jc w:val="right"/>
              <w:ind w:right="295"/>
              <w:spacing w:after="0"/>
              <w:rPr>
                <w:sz w:val="20"/>
                <w:szCs w:val="20"/>
                <w:color w:val="auto"/>
              </w:rPr>
            </w:pPr>
            <w:r>
              <w:rPr>
                <w:rFonts w:ascii="Arial" w:cs="Arial" w:eastAsia="Arial" w:hAnsi="Arial"/>
                <w:sz w:val="14"/>
                <w:szCs w:val="14"/>
                <w:b w:val="1"/>
                <w:bCs w:val="1"/>
                <w:color w:val="auto"/>
              </w:rPr>
              <w:t>12/31/19</w:t>
            </w:r>
          </w:p>
        </w:tc>
        <w:tc>
          <w:tcPr>
            <w:tcW w:w="320" w:type="dxa"/>
            <w:vAlign w:val="bottom"/>
          </w:tcPr>
          <w:p>
            <w:pPr>
              <w:spacing w:after="0"/>
              <w:rPr>
                <w:sz w:val="16"/>
                <w:szCs w:val="16"/>
                <w:color w:val="auto"/>
              </w:rPr>
            </w:pPr>
          </w:p>
        </w:tc>
        <w:tc>
          <w:tcPr>
            <w:tcW w:w="1020" w:type="dxa"/>
            <w:vAlign w:val="bottom"/>
          </w:tcPr>
          <w:p>
            <w:pPr>
              <w:jc w:val="right"/>
              <w:ind w:right="295"/>
              <w:spacing w:after="0"/>
              <w:rPr>
                <w:sz w:val="20"/>
                <w:szCs w:val="20"/>
                <w:color w:val="auto"/>
              </w:rPr>
            </w:pPr>
            <w:r>
              <w:rPr>
                <w:rFonts w:ascii="Arial" w:cs="Arial" w:eastAsia="Arial" w:hAnsi="Arial"/>
                <w:sz w:val="14"/>
                <w:szCs w:val="14"/>
                <w:b w:val="1"/>
                <w:bCs w:val="1"/>
                <w:color w:val="auto"/>
              </w:rPr>
              <w:t>12/31/20</w:t>
            </w:r>
          </w:p>
        </w:tc>
      </w:tr>
      <w:tr>
        <w:trPr>
          <w:trHeight w:val="235"/>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SSSS</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76.65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83.05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79.55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226.70</w:t>
            </w: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100.00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109.54</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130.81</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122.66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158.07</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183.77</w:t>
            </w:r>
          </w:p>
        </w:tc>
      </w:tr>
      <w:tr>
        <w:trPr>
          <w:trHeight w:val="230"/>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Stock Index</w:t>
            </w:r>
          </w:p>
        </w:tc>
        <w:tc>
          <w:tcPr>
            <w:tcW w:w="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100.00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107.50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137.86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132.51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257.38</w:t>
            </w:r>
          </w:p>
        </w:tc>
      </w:tr>
    </w:tbl>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graph and other information furnished under this Part II, Item 5 of this annual report on Form 10-K shall not be deemed to be “soliciting material” or to be “filed” with the SEC or subject to Regulation 14A or 14C, or to the liabilities of Section 18 of the Exchange Act. The stock price performance included in the above graph is not necessarily indicative of future stock price performance.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Equity Securities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did not sell any equity securities during the period covered in this report that were not registered under the Securities Act of 1933, as amended.</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r>
        <w:rPr>
          <w:rFonts w:ascii="Arial" w:cs="Arial" w:eastAsia="Arial" w:hAnsi="Arial"/>
          <w:sz w:val="23"/>
          <w:szCs w:val="23"/>
          <w:b w:val="1"/>
          <w:bCs w:val="1"/>
          <w:color w:val="auto"/>
          <w:vertAlign w:val="superscript"/>
        </w:rPr>
        <w:t>(1)</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Information relating to the Company’s purchases of its common stock during the year ended December 31, 2020 is as follows: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5"/>
              </w:rPr>
              <w:t>Total Number</w:t>
            </w:r>
          </w:p>
        </w:tc>
        <w:tc>
          <w:tcPr>
            <w:tcW w:w="138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vMerge w:val="continue"/>
          </w:tcPr>
          <w:p>
            <w:pPr>
              <w:spacing w:after="0"/>
              <w:rPr>
                <w:sz w:val="11"/>
                <w:szCs w:val="11"/>
                <w:color w:val="auto"/>
              </w:rPr>
            </w:pPr>
          </w:p>
        </w:tc>
        <w:tc>
          <w:tcPr>
            <w:tcW w:w="13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0"/>
              </w:rPr>
              <w:t>of Shares</w:t>
            </w:r>
          </w:p>
        </w:tc>
        <w:tc>
          <w:tcPr>
            <w:tcW w:w="13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0"/>
              </w:rPr>
              <w:t>Purchased as</w:t>
            </w:r>
          </w:p>
        </w:tc>
        <w:tc>
          <w:tcPr>
            <w:tcW w:w="13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4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9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6"/>
              </w:rPr>
              <w:t>Part of Publicly</w:t>
            </w:r>
          </w:p>
        </w:tc>
        <w:tc>
          <w:tcPr>
            <w:tcW w:w="13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92"/>
              </w:rPr>
              <w:t>Under the Share</w:t>
            </w:r>
          </w:p>
        </w:tc>
        <w:tc>
          <w:tcPr>
            <w:tcW w:w="0" w:type="dxa"/>
            <w:vAlign w:val="bottom"/>
          </w:tcPr>
          <w:p>
            <w:pPr>
              <w:spacing w:after="0"/>
              <w:rPr>
                <w:sz w:val="1"/>
                <w:szCs w:val="1"/>
                <w:color w:val="auto"/>
              </w:rPr>
            </w:pPr>
          </w:p>
        </w:tc>
      </w:tr>
      <w:tr>
        <w:trPr>
          <w:trHeight w:val="135"/>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8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1"/>
              </w:rPr>
              <w:t>Price Paid</w:t>
            </w:r>
          </w:p>
        </w:tc>
        <w:tc>
          <w:tcPr>
            <w:tcW w:w="1920" w:type="dxa"/>
            <w:vAlign w:val="bottom"/>
            <w:gridSpan w:val="3"/>
          </w:tcPr>
          <w:p>
            <w:pPr>
              <w:jc w:val="center"/>
              <w:ind w:right="210"/>
              <w:spacing w:after="0" w:line="135" w:lineRule="exact"/>
              <w:rPr>
                <w:sz w:val="20"/>
                <w:szCs w:val="20"/>
                <w:color w:val="auto"/>
              </w:rPr>
            </w:pPr>
            <w:r>
              <w:rPr>
                <w:rFonts w:ascii="Arial" w:cs="Arial" w:eastAsia="Arial" w:hAnsi="Arial"/>
                <w:sz w:val="14"/>
                <w:szCs w:val="14"/>
                <w:b w:val="1"/>
                <w:bCs w:val="1"/>
                <w:color w:val="auto"/>
                <w:w w:val="90"/>
              </w:rPr>
              <w:t>Announced</w:t>
            </w:r>
          </w:p>
        </w:tc>
        <w:tc>
          <w:tcPr>
            <w:tcW w:w="1380" w:type="dxa"/>
            <w:vAlign w:val="bottom"/>
          </w:tcPr>
          <w:p>
            <w:pPr>
              <w:jc w:val="center"/>
              <w:ind w:right="97"/>
              <w:spacing w:after="0" w:line="135"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89"/>
        </w:trPr>
        <w:tc>
          <w:tcPr>
            <w:tcW w:w="4600" w:type="dxa"/>
            <w:vAlign w:val="bottom"/>
            <w:gridSpan w:val="2"/>
            <w:vMerge w:val="continue"/>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5"/>
              </w:rPr>
              <w:t>Purchased</w:t>
            </w:r>
            <w:r>
              <w:rPr>
                <w:rFonts w:ascii="Arial" w:cs="Arial" w:eastAsia="Arial" w:hAnsi="Arial"/>
                <w:sz w:val="18"/>
                <w:szCs w:val="18"/>
                <w:b w:val="1"/>
                <w:bCs w:val="1"/>
                <w:color w:val="auto"/>
                <w:w w:val="85"/>
                <w:vertAlign w:val="superscript"/>
              </w:rPr>
              <w:t>(2)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Per Share</w:t>
            </w:r>
          </w:p>
        </w:tc>
        <w:tc>
          <w:tcPr>
            <w:tcW w:w="19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1"/>
              </w:rPr>
              <w:t>Plans or Programs</w:t>
            </w:r>
          </w:p>
        </w:tc>
        <w:tc>
          <w:tcPr>
            <w:tcW w:w="1380" w:type="dxa"/>
            <w:vAlign w:val="bottom"/>
          </w:tcPr>
          <w:p>
            <w:pPr>
              <w:jc w:val="center"/>
              <w:ind w:right="97"/>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223"/>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January 1 through January 31, 2020</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4,997,307</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February 1 through February 29, 2020</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4,997,307</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through March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6,288,063</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April 1 through April 30, 2020</w:t>
            </w:r>
          </w:p>
        </w:tc>
        <w:tc>
          <w:tcPr>
            <w:tcW w:w="1520" w:type="dxa"/>
            <w:vAlign w:val="bottom"/>
          </w:tcPr>
          <w:p>
            <w:pPr>
              <w:jc w:val="right"/>
              <w:spacing w:after="0"/>
              <w:rPr>
                <w:sz w:val="20"/>
                <w:szCs w:val="20"/>
                <w:color w:val="auto"/>
              </w:rPr>
            </w:pPr>
            <w:r>
              <w:rPr>
                <w:rFonts w:ascii="Arial" w:cs="Arial" w:eastAsia="Arial" w:hAnsi="Arial"/>
                <w:sz w:val="18"/>
                <w:szCs w:val="18"/>
                <w:color w:val="auto"/>
              </w:rPr>
              <w:t>567,437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567,437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2,846,049</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1 through May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2,671,455</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June 1 through June 30, 2020</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2,671,455</w:t>
            </w: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through July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2,671,455</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August 1 through August 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2,671,455</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through September 30,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2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2,671,455</w:t>
            </w:r>
          </w:p>
        </w:tc>
        <w:tc>
          <w:tcPr>
            <w:tcW w:w="0" w:type="dxa"/>
            <w:vAlign w:val="bottom"/>
          </w:tcPr>
          <w:p>
            <w:pPr>
              <w:spacing w:after="0"/>
              <w:rPr>
                <w:sz w:val="1"/>
                <w:szCs w:val="1"/>
                <w:color w:val="auto"/>
              </w:rPr>
            </w:pP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October 1 through October 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353,837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353,837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9,761,013</w:t>
            </w:r>
          </w:p>
        </w:tc>
        <w:tc>
          <w:tcPr>
            <w:tcW w:w="0" w:type="dxa"/>
            <w:vAlign w:val="bottom"/>
          </w:tcPr>
          <w:p>
            <w:pPr>
              <w:spacing w:after="0"/>
              <w:rPr>
                <w:sz w:val="1"/>
                <w:szCs w:val="1"/>
                <w:color w:val="auto"/>
              </w:rPr>
            </w:pPr>
          </w:p>
        </w:tc>
      </w:tr>
      <w:tr>
        <w:trPr>
          <w:trHeight w:val="229"/>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through November 30,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9,617,312</w:t>
            </w:r>
          </w:p>
        </w:tc>
        <w:tc>
          <w:tcPr>
            <w:tcW w:w="0" w:type="dxa"/>
            <w:vAlign w:val="bottom"/>
          </w:tcPr>
          <w:p>
            <w:pPr>
              <w:spacing w:after="0"/>
              <w:rPr>
                <w:sz w:val="1"/>
                <w:szCs w:val="1"/>
                <w:color w:val="auto"/>
              </w:rPr>
            </w:pPr>
          </w:p>
        </w:tc>
      </w:tr>
      <w:tr>
        <w:trPr>
          <w:trHeight w:val="229"/>
        </w:trPr>
        <w:tc>
          <w:tcPr>
            <w:tcW w:w="4600" w:type="dxa"/>
            <w:vAlign w:val="bottom"/>
            <w:gridSpan w:val="2"/>
          </w:tcPr>
          <w:p>
            <w:pPr>
              <w:spacing w:after="0"/>
              <w:rPr>
                <w:sz w:val="20"/>
                <w:szCs w:val="20"/>
                <w:color w:val="auto"/>
              </w:rPr>
            </w:pPr>
            <w:r>
              <w:rPr>
                <w:rFonts w:ascii="Arial" w:cs="Arial" w:eastAsia="Arial" w:hAnsi="Arial"/>
                <w:sz w:val="18"/>
                <w:szCs w:val="18"/>
                <w:color w:val="auto"/>
              </w:rPr>
              <w:t>December 1 through December 31, 2020</w:t>
            </w:r>
          </w:p>
        </w:tc>
        <w:tc>
          <w:tcPr>
            <w:tcW w:w="1520" w:type="dxa"/>
            <w:vAlign w:val="bottom"/>
          </w:tcPr>
          <w:p>
            <w:pPr>
              <w:jc w:val="right"/>
              <w:spacing w:after="0"/>
              <w:rPr>
                <w:sz w:val="20"/>
                <w:szCs w:val="20"/>
                <w:color w:val="auto"/>
              </w:rPr>
            </w:pPr>
            <w:r>
              <w:rPr>
                <w:rFonts w:ascii="Arial" w:cs="Arial" w:eastAsia="Arial" w:hAnsi="Arial"/>
                <w:sz w:val="18"/>
                <w:szCs w:val="18"/>
                <w:color w:val="auto"/>
              </w:rPr>
              <w:t>2,575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1920" w:type="dxa"/>
            <w:vAlign w:val="bottom"/>
            <w:gridSpan w:val="3"/>
          </w:tcPr>
          <w:p>
            <w:pPr>
              <w:jc w:val="right"/>
              <w:ind w:right="27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9,617,312</w:t>
            </w:r>
          </w:p>
        </w:tc>
        <w:tc>
          <w:tcPr>
            <w:tcW w:w="0" w:type="dxa"/>
            <w:vAlign w:val="bottom"/>
          </w:tcPr>
          <w:p>
            <w:pPr>
              <w:spacing w:after="0"/>
              <w:rPr>
                <w:sz w:val="1"/>
                <w:szCs w:val="1"/>
                <w:color w:val="auto"/>
              </w:rPr>
            </w:pPr>
          </w:p>
        </w:tc>
      </w:tr>
      <w:tr>
        <w:trPr>
          <w:trHeight w:val="248"/>
        </w:trPr>
        <w:tc>
          <w:tcPr>
            <w:tcW w:w="46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1,811,091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1,655,848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During the year ended December 31, 2020, we repurchased 1,655,848 shares of our common stock pursuant to the Share Repurchase Program.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4" w:lineRule="exact"/>
        <w:rPr>
          <w:sz w:val="20"/>
          <w:szCs w:val="20"/>
          <w:color w:val="auto"/>
        </w:rPr>
      </w:pPr>
    </w:p>
    <w:p>
      <w:pPr>
        <w:jc w:val="both"/>
        <w:ind w:left="500" w:hanging="492"/>
        <w:spacing w:after="0" w:line="264"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On August 8, 2017, we announced the $5.0 million discretionary open-market Share Repurchase Program under which our Board of Directors authorized the repurchase of shares of our common stock in the open market until the earlier of (i) August 6, 2018 or (ii) the repurchase of $5.0 million in aggregate amount of our common stock. On November 7, 2017, our Board of Directors authorized an extension of, and an increase in the amount of shares of our common stock that may be repurchased under, the discretionary Share Repurchase Program until the earlier of (i) November 6, 2018 or (ii) the repurchase of $10.0 million in aggregate amount of our common stock. On May 3, 2018, the Company’s Board of Directors authorized an additional $5.0 million increase in the amount of shares of our common stock that may be repurchased under the discretionary Share Repurchase Program until the earlier of (i) November 6, 2018 or (ii) the repurchase of $15.0 million in aggregate amount of our common stock. On November 1, 2018, the Company’s Board of Directors authorized a $5.0 million increase in the amount of shares of the Company’s common stock that may be repurchased under the discretionary Share Repurchase Program until the earlier of (i) October 31, 2019 or (ii) the repurchase of $20.0 million in aggregate amount of the Company’s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 The timing and number of shares to be repurchased will depend on a number of factors, including market conditions and alternative investment opportunities. The Share Repurchase Program may be suspended, terminated or modified at any time for any reason and does not obligate us to acquire any specific number of shares of our common stock. During the year ended December 31, 2020, the Company repurchased 1,655,848 shares of the Company’s common stock pursuant to the Share Repurchase Program. As of December 31, 2020, the dollar value of shares that remained available to be purchased by the Company under the Share Repurchase Program was approximately $9.6 million.</w:t>
      </w:r>
    </w:p>
    <w:p>
      <w:pPr>
        <w:spacing w:after="0" w:line="160" w:lineRule="exact"/>
        <w:rPr>
          <w:rFonts w:ascii="Arial" w:cs="Arial" w:eastAsia="Arial" w:hAnsi="Arial"/>
          <w:sz w:val="14"/>
          <w:szCs w:val="14"/>
          <w:color w:val="auto"/>
        </w:rPr>
      </w:pPr>
    </w:p>
    <w:p>
      <w:pPr>
        <w:ind w:left="500" w:hanging="492"/>
        <w:spacing w:after="0" w:line="257"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purchases of our common stock made on the open market by or on behalf of any “affiliated purchaser,” as defined in Exchange Act Rule 10b-18(a)(3),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25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Information about our senior securities is shown in the following table as of the end of each fiscal year since our IPO. There were no senior securities outstanding as of December 31, 2012 and 2011. The report of our independent registered public accounting firm, Marcum LLP, on the senior securities table, as of December 31, 2020 and 2019, is attached as an exhibit to this annual report on Form 10-K. The report of our former independent registered public accounting firm, Deloitte &amp; Touche LLP, on the senior securities table, as of December 31, 2018, 2017, 2016 and 2015, is attached as an exhibit to this annual report on Form 10-K.</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Total Amount</w:t>
            </w: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Involuntary</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80" w:type="dxa"/>
            <w:vAlign w:val="bottom"/>
            <w:gridSpan w:val="2"/>
          </w:tcPr>
          <w:p>
            <w:pPr>
              <w:jc w:val="center"/>
              <w:ind w:right="34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6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6"/>
              </w:rPr>
              <w:t>Asset Coverage Ratio</w:t>
            </w:r>
          </w:p>
        </w:tc>
        <w:tc>
          <w:tcPr>
            <w:tcW w:w="1700" w:type="dxa"/>
            <w:vAlign w:val="bottom"/>
            <w:gridSpan w:val="2"/>
            <w:vMerge w:val="continue"/>
          </w:tcPr>
          <w:p>
            <w:pPr>
              <w:spacing w:after="0"/>
              <w:rPr>
                <w:sz w:val="14"/>
                <w:szCs w:val="14"/>
                <w:color w:val="auto"/>
              </w:rPr>
            </w:pPr>
          </w:p>
        </w:tc>
        <w:tc>
          <w:tcPr>
            <w:tcW w:w="1580" w:type="dxa"/>
            <w:vAlign w:val="bottom"/>
            <w:vMerge w:val="restart"/>
          </w:tcPr>
          <w:p>
            <w:pPr>
              <w:ind w:left="220"/>
              <w:spacing w:after="0"/>
              <w:rPr>
                <w:sz w:val="20"/>
                <w:szCs w:val="20"/>
                <w:color w:val="auto"/>
              </w:rPr>
            </w:pPr>
            <w:r>
              <w:rPr>
                <w:rFonts w:ascii="Arial" w:cs="Arial" w:eastAsia="Arial" w:hAnsi="Arial"/>
                <w:sz w:val="16"/>
                <w:szCs w:val="16"/>
                <w:b w:val="1"/>
                <w:bCs w:val="1"/>
                <w:color w:val="auto"/>
              </w:rPr>
              <w:t>Average Market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54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Class and Year</w:t>
            </w:r>
          </w:p>
        </w:tc>
        <w:tc>
          <w:tcPr>
            <w:tcW w:w="2460" w:type="dxa"/>
            <w:vAlign w:val="bottom"/>
            <w:gridSpan w:val="3"/>
          </w:tcPr>
          <w:p>
            <w:pPr>
              <w:jc w:val="center"/>
              <w:ind w:left="559"/>
              <w:spacing w:after="0" w:line="162" w:lineRule="exact"/>
              <w:rPr>
                <w:sz w:val="20"/>
                <w:szCs w:val="20"/>
                <w:color w:val="auto"/>
              </w:rPr>
            </w:pPr>
            <w:r>
              <w:rPr>
                <w:rFonts w:ascii="Arial" w:cs="Arial" w:eastAsia="Arial" w:hAnsi="Arial"/>
                <w:sz w:val="16"/>
                <w:szCs w:val="16"/>
                <w:b w:val="1"/>
                <w:bCs w:val="1"/>
                <w:color w:val="auto"/>
                <w:w w:val="90"/>
              </w:rPr>
              <w:t>Exclusive of Treasury</w:t>
            </w:r>
          </w:p>
        </w:tc>
        <w:tc>
          <w:tcPr>
            <w:tcW w:w="1660" w:type="dxa"/>
            <w:vAlign w:val="bottom"/>
            <w:gridSpan w:val="3"/>
            <w:vMerge w:val="continue"/>
          </w:tcPr>
          <w:p>
            <w:pPr>
              <w:spacing w:after="0"/>
              <w:rPr>
                <w:sz w:val="14"/>
                <w:szCs w:val="14"/>
                <w:color w:val="auto"/>
              </w:rPr>
            </w:pPr>
          </w:p>
        </w:tc>
        <w:tc>
          <w:tcPr>
            <w:tcW w:w="170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Liquidation</w:t>
            </w:r>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vMerge w:val="continue"/>
          </w:tcPr>
          <w:p>
            <w:pPr>
              <w:spacing w:after="0"/>
              <w:rPr>
                <w:sz w:val="18"/>
                <w:szCs w:val="18"/>
                <w:color w:val="auto"/>
              </w:rPr>
            </w:pPr>
          </w:p>
        </w:tc>
        <w:tc>
          <w:tcPr>
            <w:tcW w:w="980" w:type="dxa"/>
            <w:vAlign w:val="bottom"/>
          </w:tcPr>
          <w:p>
            <w:pPr>
              <w:spacing w:after="0"/>
              <w:rPr>
                <w:sz w:val="18"/>
                <w:szCs w:val="18"/>
                <w:color w:val="auto"/>
              </w:rPr>
            </w:pPr>
          </w:p>
        </w:tc>
        <w:tc>
          <w:tcPr>
            <w:tcW w:w="1480" w:type="dxa"/>
            <w:vAlign w:val="bottom"/>
            <w:gridSpan w:val="2"/>
          </w:tcPr>
          <w:p>
            <w:pPr>
              <w:jc w:val="center"/>
              <w:ind w:right="320"/>
              <w:spacing w:after="0" w:line="216" w:lineRule="exact"/>
              <w:rPr>
                <w:sz w:val="20"/>
                <w:szCs w:val="20"/>
                <w:color w:val="auto"/>
              </w:rPr>
            </w:pPr>
            <w:r>
              <w:rPr>
                <w:rFonts w:ascii="Arial" w:cs="Arial" w:eastAsia="Arial" w:hAnsi="Arial"/>
                <w:sz w:val="16"/>
                <w:szCs w:val="16"/>
                <w:b w:val="1"/>
                <w:bCs w:val="1"/>
                <w:color w:val="auto"/>
                <w:w w:val="85"/>
              </w:rPr>
              <w:t>Securities</w:t>
            </w:r>
            <w:r>
              <w:rPr>
                <w:rFonts w:ascii="Arial" w:cs="Arial" w:eastAsia="Arial" w:hAnsi="Arial"/>
                <w:sz w:val="21"/>
                <w:szCs w:val="21"/>
                <w:b w:val="1"/>
                <w:bCs w:val="1"/>
                <w:color w:val="auto"/>
                <w:w w:val="85"/>
                <w:vertAlign w:val="superscript"/>
              </w:rPr>
              <w:t>(1)</w:t>
            </w:r>
          </w:p>
        </w:tc>
        <w:tc>
          <w:tcPr>
            <w:tcW w:w="260" w:type="dxa"/>
            <w:vAlign w:val="bottom"/>
          </w:tcPr>
          <w:p>
            <w:pPr>
              <w:spacing w:after="0"/>
              <w:rPr>
                <w:sz w:val="18"/>
                <w:szCs w:val="18"/>
                <w:color w:val="auto"/>
              </w:rPr>
            </w:pPr>
          </w:p>
        </w:tc>
        <w:tc>
          <w:tcPr>
            <w:tcW w:w="1400" w:type="dxa"/>
            <w:vAlign w:val="bottom"/>
            <w:gridSpan w:val="2"/>
          </w:tcPr>
          <w:p>
            <w:pPr>
              <w:ind w:left="160"/>
              <w:spacing w:after="0" w:line="216" w:lineRule="exact"/>
              <w:rPr>
                <w:sz w:val="20"/>
                <w:szCs w:val="20"/>
                <w:color w:val="auto"/>
              </w:rPr>
            </w:pPr>
            <w:r>
              <w:rPr>
                <w:rFonts w:ascii="Arial" w:cs="Arial" w:eastAsia="Arial" w:hAnsi="Arial"/>
                <w:sz w:val="16"/>
                <w:szCs w:val="16"/>
                <w:b w:val="1"/>
                <w:bCs w:val="1"/>
                <w:color w:val="auto"/>
              </w:rPr>
              <w:t>Per Unit</w:t>
            </w:r>
            <w:r>
              <w:rPr>
                <w:rFonts w:ascii="Arial" w:cs="Arial" w:eastAsia="Arial" w:hAnsi="Arial"/>
                <w:sz w:val="21"/>
                <w:szCs w:val="21"/>
                <w:b w:val="1"/>
                <w:bCs w:val="1"/>
                <w:color w:val="auto"/>
                <w:vertAlign w:val="superscript"/>
              </w:rPr>
              <w:t>(2)</w:t>
            </w:r>
          </w:p>
        </w:tc>
        <w:tc>
          <w:tcPr>
            <w:tcW w:w="170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9"/>
              </w:rPr>
              <w:t>Preference Per Unit</w:t>
            </w:r>
            <w:r>
              <w:rPr>
                <w:rFonts w:ascii="Arial" w:cs="Arial" w:eastAsia="Arial" w:hAnsi="Arial"/>
                <w:sz w:val="21"/>
                <w:szCs w:val="21"/>
                <w:b w:val="1"/>
                <w:bCs w:val="1"/>
                <w:color w:val="auto"/>
                <w:w w:val="89"/>
                <w:vertAlign w:val="superscript"/>
              </w:rPr>
              <w:t>(3)</w:t>
            </w:r>
          </w:p>
        </w:tc>
        <w:tc>
          <w:tcPr>
            <w:tcW w:w="1580" w:type="dxa"/>
            <w:vAlign w:val="bottom"/>
          </w:tcPr>
          <w:p>
            <w:pPr>
              <w:ind w:left="220"/>
              <w:spacing w:after="0" w:line="216" w:lineRule="exact"/>
              <w:rPr>
                <w:sz w:val="20"/>
                <w:szCs w:val="20"/>
                <w:color w:val="auto"/>
              </w:rPr>
            </w:pPr>
            <w:r>
              <w:rPr>
                <w:rFonts w:ascii="Arial" w:cs="Arial" w:eastAsia="Arial" w:hAnsi="Arial"/>
                <w:sz w:val="16"/>
                <w:szCs w:val="16"/>
                <w:b w:val="1"/>
                <w:bCs w:val="1"/>
                <w:color w:val="auto"/>
              </w:rPr>
              <w:t>Value Per Unit</w:t>
            </w:r>
            <w:r>
              <w:rPr>
                <w:rFonts w:ascii="Arial" w:cs="Arial" w:eastAsia="Arial" w:hAnsi="Arial"/>
                <w:sz w:val="21"/>
                <w:szCs w:val="21"/>
                <w:b w:val="1"/>
                <w:bCs w:val="1"/>
                <w:color w:val="auto"/>
                <w:vertAlign w:val="superscript"/>
              </w:rPr>
              <w:t>(4)</w:t>
            </w:r>
          </w:p>
        </w:tc>
        <w:tc>
          <w:tcPr>
            <w:tcW w:w="0" w:type="dxa"/>
            <w:vAlign w:val="bottom"/>
          </w:tcPr>
          <w:p>
            <w:pPr>
              <w:spacing w:after="0"/>
              <w:rPr>
                <w:sz w:val="1"/>
                <w:szCs w:val="1"/>
                <w:color w:val="auto"/>
              </w:rPr>
            </w:pPr>
          </w:p>
        </w:tc>
      </w:tr>
      <w:tr>
        <w:trPr>
          <w:trHeight w:val="189"/>
        </w:trPr>
        <w:tc>
          <w:tcPr>
            <w:tcW w:w="20" w:type="dxa"/>
            <w:vAlign w:val="bottom"/>
            <w:tcBorders>
              <w:top w:val="single" w:sz="8" w:color="auto"/>
              <w:bottom w:val="single" w:sz="8" w:color="CCEEFF"/>
            </w:tcBorders>
            <w:shd w:val="clear" w:color="auto" w:fill="CCEEFF"/>
          </w:tcPr>
          <w:p>
            <w:pPr>
              <w:spacing w:after="0"/>
              <w:rPr>
                <w:sz w:val="16"/>
                <w:szCs w:val="16"/>
                <w:color w:val="auto"/>
              </w:rPr>
            </w:pPr>
          </w:p>
        </w:tc>
        <w:tc>
          <w:tcPr>
            <w:tcW w:w="2760" w:type="dxa"/>
            <w:vAlign w:val="bottom"/>
            <w:tcBorders>
              <w:top w:val="single" w:sz="8" w:color="auto"/>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6"/>
                <w:szCs w:val="16"/>
                <w:color w:val="auto"/>
                <w:w w:val="91"/>
              </w:rPr>
              <w:t>4.</w:t>
            </w:r>
            <w:r>
              <w:rPr>
                <w:rFonts w:ascii="Arial" w:cs="Arial" w:eastAsia="Arial" w:hAnsi="Arial"/>
                <w:sz w:val="16"/>
                <w:szCs w:val="16"/>
                <w:u w:val="single" w:color="auto"/>
                <w:color w:val="auto"/>
                <w:w w:val="91"/>
              </w:rPr>
              <w:t>75%</w:t>
            </w:r>
            <w:r>
              <w:rPr>
                <w:rFonts w:ascii="Arial" w:cs="Arial" w:eastAsia="Arial" w:hAnsi="Arial"/>
                <w:sz w:val="16"/>
                <w:szCs w:val="16"/>
                <w:color w:val="auto"/>
                <w:w w:val="91"/>
              </w:rPr>
              <w:t xml:space="preserve"> Convertible Senior Notes due 2023</w:t>
            </w: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36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3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line="216" w:lineRule="exact"/>
              <w:rPr>
                <w:sz w:val="20"/>
                <w:szCs w:val="20"/>
                <w:color w:val="auto"/>
              </w:rPr>
            </w:pPr>
            <w:r>
              <w:rPr>
                <w:rFonts w:ascii="Arial" w:cs="Arial" w:eastAsia="Arial" w:hAnsi="Arial"/>
                <w:sz w:val="16"/>
                <w:szCs w:val="16"/>
                <w:color w:val="auto"/>
              </w:rPr>
              <w:t>Fiscal 2020</w:t>
            </w:r>
            <w:r>
              <w:rPr>
                <w:rFonts w:ascii="Arial" w:cs="Arial" w:eastAsia="Arial" w:hAnsi="Arial"/>
                <w:sz w:val="21"/>
                <w:szCs w:val="21"/>
                <w:color w:val="auto"/>
                <w:vertAlign w:val="superscript"/>
              </w:rPr>
              <w:t>(5)</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38,215,000</w:t>
            </w: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8,892</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2019</w:t>
            </w:r>
          </w:p>
        </w:tc>
        <w:tc>
          <w:tcPr>
            <w:tcW w:w="9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5,998</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2018</w:t>
            </w:r>
          </w:p>
        </w:tc>
        <w:tc>
          <w:tcPr>
            <w:tcW w:w="9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40,000,000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5,884</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2017</w:t>
            </w:r>
          </w:p>
        </w:tc>
        <w:tc>
          <w:tcPr>
            <w:tcW w:w="9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2016</w:t>
            </w:r>
          </w:p>
        </w:tc>
        <w:tc>
          <w:tcPr>
            <w:tcW w:w="9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3,784</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2015</w:t>
            </w:r>
          </w:p>
        </w:tc>
        <w:tc>
          <w:tcPr>
            <w:tcW w:w="9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2014</w:t>
            </w:r>
          </w:p>
        </w:tc>
        <w:tc>
          <w:tcPr>
            <w:tcW w:w="9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4,286</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2013</w:t>
            </w:r>
          </w:p>
        </w:tc>
        <w:tc>
          <w:tcPr>
            <w:tcW w:w="9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2012</w:t>
            </w:r>
          </w:p>
        </w:tc>
        <w:tc>
          <w:tcPr>
            <w:tcW w:w="9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2011</w:t>
            </w:r>
          </w:p>
        </w:tc>
        <w:tc>
          <w:tcPr>
            <w:tcW w:w="9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40" w:type="dxa"/>
            <w:vAlign w:val="bottom"/>
            <w:gridSpan w:val="3"/>
          </w:tcPr>
          <w:p>
            <w:pPr>
              <w:spacing w:after="0" w:line="175" w:lineRule="exact"/>
              <w:rPr>
                <w:sz w:val="20"/>
                <w:szCs w:val="20"/>
                <w:color w:val="auto"/>
              </w:rPr>
            </w:pPr>
            <w:r>
              <w:rPr>
                <w:rFonts w:ascii="Arial" w:cs="Arial" w:eastAsia="Arial" w:hAnsi="Arial"/>
                <w:sz w:val="16"/>
                <w:szCs w:val="16"/>
                <w:color w:val="auto"/>
              </w:rPr>
              <w:t>5.</w:t>
            </w:r>
            <w:r>
              <w:rPr>
                <w:rFonts w:ascii="Arial" w:cs="Arial" w:eastAsia="Arial" w:hAnsi="Arial"/>
                <w:sz w:val="16"/>
                <w:szCs w:val="16"/>
                <w:u w:val="single" w:color="auto"/>
                <w:color w:val="auto"/>
              </w:rPr>
              <w:t>25%</w:t>
            </w:r>
            <w:r>
              <w:rPr>
                <w:rFonts w:ascii="Arial" w:cs="Arial" w:eastAsia="Arial" w:hAnsi="Arial"/>
                <w:sz w:val="16"/>
                <w:szCs w:val="16"/>
                <w:color w:val="auto"/>
              </w:rPr>
              <w:t xml:space="preserve"> Convertible Senior Notes due 2018</w:t>
            </w:r>
          </w:p>
        </w:tc>
        <w:tc>
          <w:tcPr>
            <w:tcW w:w="9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Fiscal 2020</w:t>
            </w:r>
            <w:r>
              <w:rPr>
                <w:rFonts w:ascii="Arial" w:cs="Arial" w:eastAsia="Arial" w:hAnsi="Arial"/>
                <w:sz w:val="21"/>
                <w:szCs w:val="21"/>
                <w:color w:val="auto"/>
                <w:vertAlign w:val="superscript"/>
              </w:rPr>
              <w:t>(6)</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8,892</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line="216" w:lineRule="exact"/>
              <w:rPr>
                <w:sz w:val="20"/>
                <w:szCs w:val="20"/>
                <w:color w:val="auto"/>
              </w:rPr>
            </w:pPr>
            <w:r>
              <w:rPr>
                <w:rFonts w:ascii="Arial" w:cs="Arial" w:eastAsia="Arial" w:hAnsi="Arial"/>
                <w:sz w:val="16"/>
                <w:szCs w:val="16"/>
                <w:color w:val="auto"/>
              </w:rPr>
              <w:t>Fiscal 2019</w:t>
            </w:r>
            <w:r>
              <w:rPr>
                <w:rFonts w:ascii="Arial" w:cs="Arial" w:eastAsia="Arial" w:hAnsi="Arial"/>
                <w:sz w:val="21"/>
                <w:szCs w:val="21"/>
                <w:color w:val="auto"/>
                <w:vertAlign w:val="superscript"/>
              </w:rPr>
              <w:t>(6)</w:t>
            </w:r>
          </w:p>
        </w:tc>
        <w:tc>
          <w:tcPr>
            <w:tcW w:w="9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5,998</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Fiscal 2018</w:t>
            </w:r>
            <w:r>
              <w:rPr>
                <w:rFonts w:ascii="Arial" w:cs="Arial" w:eastAsia="Arial" w:hAnsi="Arial"/>
                <w:sz w:val="21"/>
                <w:szCs w:val="21"/>
                <w:color w:val="auto"/>
                <w:vertAlign w:val="superscript"/>
              </w:rPr>
              <w:t>(6)</w:t>
            </w:r>
          </w:p>
        </w:tc>
        <w:tc>
          <w:tcPr>
            <w:tcW w:w="9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5,884</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2017</w:t>
            </w:r>
          </w:p>
        </w:tc>
        <w:tc>
          <w:tcPr>
            <w:tcW w:w="9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69,000,000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3,968</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2016</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2015</w:t>
            </w:r>
          </w:p>
        </w:tc>
        <w:tc>
          <w:tcPr>
            <w:tcW w:w="9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69,000,000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4,884</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2014</w:t>
            </w:r>
          </w:p>
        </w:tc>
        <w:tc>
          <w:tcPr>
            <w:tcW w:w="9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4,286</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2013</w:t>
            </w:r>
          </w:p>
        </w:tc>
        <w:tc>
          <w:tcPr>
            <w:tcW w:w="9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69,000,000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5,173</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2012</w:t>
            </w:r>
          </w:p>
        </w:tc>
        <w:tc>
          <w:tcPr>
            <w:tcW w:w="9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2011</w:t>
            </w:r>
          </w:p>
        </w:tc>
        <w:tc>
          <w:tcPr>
            <w:tcW w:w="9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spacing w:after="0" w:line="178" w:lineRule="exact"/>
              <w:rPr>
                <w:sz w:val="20"/>
                <w:szCs w:val="20"/>
                <w:color w:val="auto"/>
              </w:rPr>
            </w:pPr>
            <w:r>
              <w:rPr>
                <w:rFonts w:ascii="Arial" w:cs="Arial" w:eastAsia="Arial" w:hAnsi="Arial"/>
                <w:sz w:val="16"/>
                <w:szCs w:val="16"/>
                <w:color w:val="auto"/>
              </w:rPr>
              <w:t>Credit Facility</w:t>
            </w:r>
          </w:p>
        </w:tc>
        <w:tc>
          <w:tcPr>
            <w:tcW w:w="9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Fiscal 2020</w:t>
            </w:r>
          </w:p>
        </w:tc>
        <w:tc>
          <w:tcPr>
            <w:tcW w:w="2600" w:type="dxa"/>
            <w:vAlign w:val="bottom"/>
            <w:tcBorders>
              <w:top w:val="single" w:sz="8" w:color="CCEEFF"/>
            </w:tcBorders>
            <w:gridSpan w:val="2"/>
          </w:tcPr>
          <w:p>
            <w:pPr>
              <w:spacing w:after="0"/>
              <w:rPr>
                <w:sz w:val="18"/>
                <w:szCs w:val="18"/>
                <w:color w:val="auto"/>
              </w:rPr>
            </w:pPr>
          </w:p>
        </w:tc>
        <w:tc>
          <w:tcPr>
            <w:tcW w:w="980" w:type="dxa"/>
            <w:vAlign w:val="bottom"/>
            <w:tcBorders>
              <w:top w:val="single" w:sz="8" w:color="CCEEFF"/>
            </w:tcBorders>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8,892</w:t>
            </w: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Borders>
              <w:top w:val="single" w:sz="8" w:color="CCEEFF"/>
            </w:tcBorders>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line="219" w:lineRule="exact"/>
              <w:rPr>
                <w:sz w:val="20"/>
                <w:szCs w:val="20"/>
                <w:color w:val="auto"/>
              </w:rPr>
            </w:pPr>
            <w:r>
              <w:rPr>
                <w:rFonts w:ascii="Arial" w:cs="Arial" w:eastAsia="Arial" w:hAnsi="Arial"/>
                <w:sz w:val="16"/>
                <w:szCs w:val="16"/>
                <w:color w:val="auto"/>
              </w:rPr>
              <w:t>Fiscal 2019</w:t>
            </w:r>
            <w:r>
              <w:rPr>
                <w:rFonts w:ascii="Arial" w:cs="Arial" w:eastAsia="Arial" w:hAnsi="Arial"/>
                <w:sz w:val="21"/>
                <w:szCs w:val="21"/>
                <w:color w:val="auto"/>
                <w:vertAlign w:val="superscript"/>
              </w:rPr>
              <w:t>(7)</w:t>
            </w:r>
          </w:p>
        </w:tc>
        <w:tc>
          <w:tcPr>
            <w:tcW w:w="9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5,998</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line="216" w:lineRule="exact"/>
              <w:rPr>
                <w:sz w:val="20"/>
                <w:szCs w:val="20"/>
                <w:color w:val="auto"/>
              </w:rPr>
            </w:pPr>
            <w:r>
              <w:rPr>
                <w:rFonts w:ascii="Arial" w:cs="Arial" w:eastAsia="Arial" w:hAnsi="Arial"/>
                <w:sz w:val="16"/>
                <w:szCs w:val="16"/>
                <w:color w:val="auto"/>
              </w:rPr>
              <w:t>Fiscal 2018</w:t>
            </w:r>
            <w:r>
              <w:rPr>
                <w:rFonts w:ascii="Arial" w:cs="Arial" w:eastAsia="Arial" w:hAnsi="Arial"/>
                <w:sz w:val="21"/>
                <w:szCs w:val="21"/>
                <w:color w:val="auto"/>
                <w:vertAlign w:val="superscript"/>
              </w:rPr>
              <w:t>(7)</w:t>
            </w:r>
          </w:p>
        </w:tc>
        <w:tc>
          <w:tcPr>
            <w:tcW w:w="9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5,884</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Fiscal 2017</w:t>
            </w:r>
            <w:r>
              <w:rPr>
                <w:rFonts w:ascii="Arial" w:cs="Arial" w:eastAsia="Arial" w:hAnsi="Arial"/>
                <w:sz w:val="21"/>
                <w:szCs w:val="21"/>
                <w:color w:val="auto"/>
                <w:vertAlign w:val="superscript"/>
              </w:rPr>
              <w:t>(7)</w:t>
            </w:r>
          </w:p>
        </w:tc>
        <w:tc>
          <w:tcPr>
            <w:tcW w:w="9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3,968</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line="216" w:lineRule="exact"/>
              <w:rPr>
                <w:sz w:val="20"/>
                <w:szCs w:val="20"/>
                <w:color w:val="auto"/>
              </w:rPr>
            </w:pPr>
            <w:r>
              <w:rPr>
                <w:rFonts w:ascii="Arial" w:cs="Arial" w:eastAsia="Arial" w:hAnsi="Arial"/>
                <w:sz w:val="16"/>
                <w:szCs w:val="16"/>
                <w:color w:val="auto"/>
              </w:rPr>
              <w:t>Fiscal 2016</w:t>
            </w:r>
            <w:r>
              <w:rPr>
                <w:rFonts w:ascii="Arial" w:cs="Arial" w:eastAsia="Arial" w:hAnsi="Arial"/>
                <w:sz w:val="21"/>
                <w:szCs w:val="21"/>
                <w:color w:val="auto"/>
                <w:vertAlign w:val="superscript"/>
              </w:rPr>
              <w:t>(8)</w:t>
            </w:r>
          </w:p>
        </w:tc>
        <w:tc>
          <w:tcPr>
            <w:tcW w:w="9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3,784</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line="216" w:lineRule="exact"/>
              <w:rPr>
                <w:sz w:val="20"/>
                <w:szCs w:val="20"/>
                <w:color w:val="auto"/>
              </w:rPr>
            </w:pPr>
            <w:r>
              <w:rPr>
                <w:rFonts w:ascii="Arial" w:cs="Arial" w:eastAsia="Arial" w:hAnsi="Arial"/>
                <w:sz w:val="16"/>
                <w:szCs w:val="16"/>
                <w:color w:val="auto"/>
              </w:rPr>
              <w:t>Fiscal 2015</w:t>
            </w:r>
            <w:r>
              <w:rPr>
                <w:rFonts w:ascii="Arial" w:cs="Arial" w:eastAsia="Arial" w:hAnsi="Arial"/>
                <w:sz w:val="21"/>
                <w:szCs w:val="21"/>
                <w:color w:val="auto"/>
                <w:vertAlign w:val="superscript"/>
              </w:rPr>
              <w:t>(8)</w:t>
            </w:r>
          </w:p>
        </w:tc>
        <w:tc>
          <w:tcPr>
            <w:tcW w:w="9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3"/>
          </w:tcPr>
          <w:p>
            <w:pPr>
              <w:spacing w:after="0" w:line="216" w:lineRule="exact"/>
              <w:rPr>
                <w:sz w:val="20"/>
                <w:szCs w:val="20"/>
                <w:color w:val="auto"/>
              </w:rPr>
            </w:pPr>
            <w:r>
              <w:rPr>
                <w:rFonts w:ascii="Arial" w:cs="Arial" w:eastAsia="Arial" w:hAnsi="Arial"/>
                <w:sz w:val="16"/>
                <w:szCs w:val="16"/>
                <w:color w:val="auto"/>
              </w:rPr>
              <w:t>Fiscal 2014</w:t>
            </w:r>
            <w:r>
              <w:rPr>
                <w:rFonts w:ascii="Arial" w:cs="Arial" w:eastAsia="Arial" w:hAnsi="Arial"/>
                <w:sz w:val="21"/>
                <w:szCs w:val="21"/>
                <w:color w:val="auto"/>
                <w:vertAlign w:val="superscript"/>
              </w:rPr>
              <w:t>(8)</w:t>
            </w:r>
          </w:p>
        </w:tc>
        <w:tc>
          <w:tcPr>
            <w:tcW w:w="9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18,000,000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4,286</w:t>
            </w:r>
          </w:p>
        </w:tc>
        <w:tc>
          <w:tcPr>
            <w:tcW w:w="100" w:type="dxa"/>
            <w:vAlign w:val="bottom"/>
          </w:tcPr>
          <w:p>
            <w:pPr>
              <w:spacing w:after="0"/>
              <w:rPr>
                <w:sz w:val="18"/>
                <w:szCs w:val="18"/>
                <w:color w:val="auto"/>
              </w:rPr>
            </w:pP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2013</w:t>
            </w:r>
          </w:p>
        </w:tc>
        <w:tc>
          <w:tcPr>
            <w:tcW w:w="9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5,173</w:t>
            </w: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6"/>
                <w:szCs w:val="16"/>
                <w:color w:val="auto"/>
              </w:rPr>
              <w:t>Fiscal 2012</w:t>
            </w:r>
          </w:p>
        </w:tc>
        <w:tc>
          <w:tcPr>
            <w:tcW w:w="9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tcPr>
          <w:p>
            <w:pPr>
              <w:ind w:left="1360"/>
              <w:spacing w:after="0"/>
              <w:rPr>
                <w:sz w:val="20"/>
                <w:szCs w:val="20"/>
                <w:color w:val="auto"/>
              </w:rPr>
            </w:pPr>
            <w:r>
              <w:rPr>
                <w:rFonts w:ascii="Arial" w:cs="Arial" w:eastAsia="Arial" w:hAnsi="Arial"/>
                <w:sz w:val="16"/>
                <w:szCs w:val="16"/>
                <w:color w:val="auto"/>
              </w:rPr>
              <w:t>—</w:t>
            </w:r>
          </w:p>
        </w:tc>
        <w:tc>
          <w:tcPr>
            <w:tcW w:w="1580" w:type="dxa"/>
            <w:vAlign w:val="bottom"/>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Fiscal 2011</w:t>
            </w:r>
          </w:p>
        </w:tc>
        <w:tc>
          <w:tcPr>
            <w:tcW w:w="9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00" w:type="dxa"/>
            <w:vAlign w:val="bottom"/>
            <w:gridSpan w:val="2"/>
            <w:shd w:val="clear" w:color="auto" w:fill="CCEEFF"/>
          </w:tcPr>
          <w:p>
            <w:pPr>
              <w:ind w:left="136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ind w:left="12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Total gross amount of each class of senior securities outstanding at the end of the period presented, before deduction of discount and debt issuance costs.</w:t>
      </w:r>
    </w:p>
    <w:p>
      <w:pPr>
        <w:spacing w:after="0" w:line="3" w:lineRule="exact"/>
        <w:rPr>
          <w:rFonts w:ascii="Arial" w:cs="Arial" w:eastAsia="Arial" w:hAnsi="Arial"/>
          <w:sz w:val="15"/>
          <w:szCs w:val="15"/>
          <w:color w:val="auto"/>
        </w:rPr>
      </w:pPr>
    </w:p>
    <w:p>
      <w:pPr>
        <w:jc w:val="both"/>
        <w:ind w:left="500" w:hanging="492"/>
        <w:spacing w:after="0" w:line="228"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Asset coverage per unit for a class of senior securities is the ratio of the carrying value of our total consolidated assets, less all liabilities and indebtedness not represented by senior securities, to the aggregate amount of senior securities representing indebtedness. Asset coverage per unit is expressed in terms of dollar amounts per $1,000 of indebtedness.</w:t>
      </w:r>
    </w:p>
    <w:p>
      <w:pPr>
        <w:spacing w:after="0" w:line="2" w:lineRule="exact"/>
        <w:rPr>
          <w:rFonts w:ascii="Arial" w:cs="Arial" w:eastAsia="Arial" w:hAnsi="Arial"/>
          <w:sz w:val="16"/>
          <w:szCs w:val="16"/>
          <w:color w:val="auto"/>
        </w:rPr>
      </w:pPr>
    </w:p>
    <w:p>
      <w:pPr>
        <w:jc w:val="both"/>
        <w:ind w:left="500" w:hanging="492"/>
        <w:spacing w:after="0" w:line="228"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 to which such class of senior security would be entitled upon the voluntary liquidation of the issuer in preference to any security junior to it. The “—” in this column indicates that the SEC expressly does not require this information to be disclosed for the types of senior securities representing indebtedness issued by the Company as of the stated time periods.</w:t>
      </w:r>
    </w:p>
    <w:p>
      <w:pPr>
        <w:spacing w:after="0" w:line="2" w:lineRule="exact"/>
        <w:rPr>
          <w:rFonts w:ascii="Arial" w:cs="Arial" w:eastAsia="Arial" w:hAnsi="Arial"/>
          <w:sz w:val="16"/>
          <w:szCs w:val="16"/>
          <w:color w:val="auto"/>
        </w:rPr>
      </w:pPr>
    </w:p>
    <w:p>
      <w:pPr>
        <w:ind w:left="500" w:hanging="492"/>
        <w:spacing w:after="0" w:line="228"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 applicable for any of the senior securities because they are not registered for public trading.</w:t>
      </w:r>
    </w:p>
    <w:p>
      <w:pPr>
        <w:ind w:left="500" w:right="20" w:hanging="492"/>
        <w:spacing w:after="0" w:line="239" w:lineRule="auto"/>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the year ended December 31, 2020, the Company issued 174,888 shares of its common stock and cash for fractional shares upon the conversion of $1,785,000 in aggregate principal amount of the 4.75% Convertible Senior Notes due 2023.</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5.25% Convertible Senior Notes due 2018 were repaid in full with interest on September 15, 2018.</w:t>
      </w:r>
    </w:p>
    <w:p>
      <w:pPr>
        <w:spacing w:after="0" w:line="5" w:lineRule="exact"/>
        <w:rPr>
          <w:rFonts w:ascii="Arial" w:cs="Arial" w:eastAsia="Arial" w:hAnsi="Arial"/>
          <w:sz w:val="16"/>
          <w:szCs w:val="16"/>
          <w:color w:val="auto"/>
        </w:rPr>
      </w:pPr>
    </w:p>
    <w:p>
      <w:pPr>
        <w:ind w:left="500" w:hanging="492"/>
        <w:spacing w:after="0" w:line="228" w:lineRule="auto"/>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amounts under the $12.0 million senior secured revolving Credit Facility with Western Alliance Bank which matured on May 31, 2019.</w:t>
      </w: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amounts under the $18.0 million Credit Facility with SVB which matured on December 31, 2016.</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The following table is intended to assist you in understanding the costs and expenses that an investor will bear directly or indirectly.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Annual Report on Form 10-K contains a reference to fees or expenses paid by “us” or “SuRo Capital,” or that “we” will pay fees or expenses, you will indirectly bear such fees or expenses as an investor in SuRo Capital Corp., however, your responsibility for such fees or expenses is limited to your investment in SuRo Capital Corp. The fee table and example below include all fees and expenses of our consolidated subsidiaries.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 transaction expenses:</w:t>
            </w:r>
          </w:p>
        </w:tc>
        <w:tc>
          <w:tcPr>
            <w:tcW w:w="1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Sales load (as a percentage of offering price)</w:t>
            </w:r>
          </w:p>
        </w:tc>
        <w:tc>
          <w:tcPr>
            <w:tcW w:w="2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219"/>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 expenses (as a percentage of offering price)</w:t>
            </w: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(2)</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Dividend reinvestment plan expenses</w:t>
            </w:r>
          </w:p>
        </w:tc>
        <w:tc>
          <w:tcPr>
            <w:tcW w:w="20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(3)</w:t>
            </w:r>
          </w:p>
        </w:tc>
        <w:tc>
          <w:tcPr>
            <w:tcW w:w="0" w:type="dxa"/>
            <w:vAlign w:val="bottom"/>
          </w:tcPr>
          <w:p>
            <w:pPr>
              <w:spacing w:after="0"/>
              <w:rPr>
                <w:sz w:val="1"/>
                <w:szCs w:val="1"/>
                <w:color w:val="auto"/>
              </w:rPr>
            </w:pPr>
          </w:p>
        </w:tc>
      </w:tr>
      <w:tr>
        <w:trPr>
          <w:trHeight w:val="20"/>
        </w:trPr>
        <w:tc>
          <w:tcPr>
            <w:tcW w:w="70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Total stockholder transaction expenses (as a percentage of offering price)</w:t>
            </w:r>
          </w:p>
        </w:tc>
        <w:tc>
          <w:tcPr>
            <w:tcW w:w="14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020" w:type="dxa"/>
            <w:vAlign w:val="bottom"/>
            <w:vMerge w:val="continue"/>
            <w:shd w:val="clear" w:color="auto" w:fill="CCEEFF"/>
          </w:tcPr>
          <w:p>
            <w:pPr>
              <w:spacing w:after="0"/>
              <w:rPr>
                <w:sz w:val="18"/>
                <w:szCs w:val="18"/>
                <w:color w:val="auto"/>
              </w:rPr>
            </w:pP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16"/>
        </w:trPr>
        <w:tc>
          <w:tcPr>
            <w:tcW w:w="702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Annual expenses (as a percentage of net assets attributable to common stock)</w:t>
            </w:r>
            <w:r>
              <w:rPr>
                <w:rFonts w:ascii="Arial" w:cs="Arial" w:eastAsia="Arial" w:hAnsi="Arial"/>
                <w:sz w:val="21"/>
                <w:szCs w:val="21"/>
                <w:b w:val="1"/>
                <w:bCs w:val="1"/>
                <w:color w:val="auto"/>
                <w:vertAlign w:val="superscript"/>
              </w:rPr>
              <w:t>(8)</w:t>
            </w:r>
            <w:r>
              <w:rPr>
                <w:rFonts w:ascii="Arial" w:cs="Arial" w:eastAsia="Arial" w:hAnsi="Arial"/>
                <w:sz w:val="16"/>
                <w:szCs w:val="16"/>
                <w:b w:val="1"/>
                <w:bCs w:val="1"/>
                <w:color w:val="auto"/>
              </w:rPr>
              <w:t>:</w:t>
            </w:r>
          </w:p>
        </w:tc>
        <w:tc>
          <w:tcPr>
            <w:tcW w:w="1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 xml:space="preserve">3.98 % </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13"/>
        </w:trPr>
        <w:tc>
          <w:tcPr>
            <w:tcW w:w="7020" w:type="dxa"/>
            <w:vAlign w:val="bottom"/>
          </w:tcPr>
          <w:p>
            <w:pPr>
              <w:ind w:left="20"/>
              <w:spacing w:after="0"/>
              <w:rPr>
                <w:sz w:val="20"/>
                <w:szCs w:val="20"/>
                <w:color w:val="auto"/>
              </w:rPr>
            </w:pPr>
            <w:r>
              <w:rPr>
                <w:rFonts w:ascii="Arial" w:cs="Arial" w:eastAsia="Arial" w:hAnsi="Arial"/>
                <w:sz w:val="16"/>
                <w:szCs w:val="16"/>
                <w:color w:val="auto"/>
              </w:rPr>
              <w:t>Interest payments on borrowed funds</w:t>
            </w:r>
          </w:p>
        </w:tc>
        <w:tc>
          <w:tcPr>
            <w:tcW w:w="2000" w:type="dxa"/>
            <w:vAlign w:val="bottom"/>
            <w:gridSpan w:val="2"/>
          </w:tcPr>
          <w:p>
            <w:pPr>
              <w:jc w:val="right"/>
              <w:ind w:right="380"/>
              <w:spacing w:after="0"/>
              <w:rPr>
                <w:sz w:val="20"/>
                <w:szCs w:val="20"/>
                <w:color w:val="auto"/>
              </w:rPr>
            </w:pPr>
            <w:r>
              <w:rPr>
                <w:rFonts w:ascii="Arial" w:cs="Arial" w:eastAsia="Arial" w:hAnsi="Arial"/>
                <w:sz w:val="16"/>
                <w:szCs w:val="16"/>
                <w:color w:val="auto"/>
              </w:rPr>
              <w:t xml:space="preserve">0.18 % </w:t>
            </w:r>
            <w:r>
              <w:rPr>
                <w:rFonts w:ascii="Arial" w:cs="Arial" w:eastAsia="Arial" w:hAnsi="Arial"/>
                <w:sz w:val="10"/>
                <w:szCs w:val="10"/>
                <w:color w:val="auto"/>
              </w:rPr>
              <w:t>(6)</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2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 xml:space="preserve">0.61 % </w:t>
            </w:r>
            <w:r>
              <w:rPr>
                <w:rFonts w:ascii="Arial" w:cs="Arial" w:eastAsia="Arial" w:hAnsi="Arial"/>
                <w:sz w:val="10"/>
                <w:szCs w:val="10"/>
                <w:color w:val="auto"/>
              </w:rPr>
              <w:t>(7)</w:t>
            </w:r>
          </w:p>
        </w:tc>
        <w:tc>
          <w:tcPr>
            <w:tcW w:w="0" w:type="dxa"/>
            <w:vAlign w:val="bottom"/>
          </w:tcPr>
          <w:p>
            <w:pPr>
              <w:spacing w:after="0"/>
              <w:rPr>
                <w:sz w:val="1"/>
                <w:szCs w:val="1"/>
                <w:color w:val="auto"/>
              </w:rPr>
            </w:pPr>
          </w:p>
        </w:tc>
      </w:tr>
      <w:tr>
        <w:trPr>
          <w:trHeight w:val="212"/>
        </w:trPr>
        <w:tc>
          <w:tcPr>
            <w:tcW w:w="7020" w:type="dxa"/>
            <w:vAlign w:val="bottom"/>
          </w:tcPr>
          <w:p>
            <w:pPr>
              <w:ind w:left="20"/>
              <w:spacing w:after="0"/>
              <w:rPr>
                <w:sz w:val="20"/>
                <w:szCs w:val="20"/>
                <w:color w:val="auto"/>
              </w:rPr>
            </w:pPr>
            <w:r>
              <w:rPr>
                <w:rFonts w:ascii="Arial" w:cs="Arial" w:eastAsia="Arial" w:hAnsi="Arial"/>
                <w:sz w:val="16"/>
                <w:szCs w:val="16"/>
                <w:b w:val="1"/>
                <w:bCs w:val="1"/>
                <w:color w:val="auto"/>
              </w:rPr>
              <w:t>Total annual expenses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4.77 %</w:t>
            </w: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 w:lineRule="exact"/>
        <w:rPr>
          <w:sz w:val="20"/>
          <w:szCs w:val="20"/>
          <w:color w:val="auto"/>
        </w:rPr>
      </w:pPr>
    </w:p>
    <w:p>
      <w:pPr>
        <w:ind w:left="500" w:hanging="492"/>
        <w:spacing w:after="0"/>
        <w:tabs>
          <w:tab w:leader="none" w:pos="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In the event that our securities are sold to or through underwriters, a corresponding prospectus or prospectus supplement will disclose the applicable sales load.</w:t>
      </w:r>
    </w:p>
    <w:p>
      <w:pPr>
        <w:spacing w:after="0" w:line="3" w:lineRule="exact"/>
        <w:rPr>
          <w:rFonts w:ascii="Arial" w:cs="Arial" w:eastAsia="Arial" w:hAnsi="Arial"/>
          <w:sz w:val="15"/>
          <w:szCs w:val="15"/>
          <w:color w:val="auto"/>
        </w:rPr>
      </w:pPr>
    </w:p>
    <w:p>
      <w:pPr>
        <w:ind w:left="500" w:hanging="492"/>
        <w:spacing w:after="0" w:line="228"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the event that we conduct an offering of our securities, a corresponding prospectus or prospectus supplement will disclose the estimated offering expenses. Our common stockholders will bear, directly or indirectly, the expenses of any offering of our securities, including debt securities.</w:t>
      </w:r>
    </w:p>
    <w:p>
      <w:pPr>
        <w:spacing w:after="0" w:line="1" w:lineRule="exact"/>
        <w:rPr>
          <w:rFonts w:ascii="Arial" w:cs="Arial" w:eastAsia="Arial" w:hAnsi="Arial"/>
          <w:sz w:val="16"/>
          <w:szCs w:val="16"/>
          <w:color w:val="auto"/>
        </w:rPr>
      </w:pPr>
    </w:p>
    <w:p>
      <w:pPr>
        <w:jc w:val="both"/>
        <w:ind w:left="500" w:hanging="492"/>
        <w:spacing w:after="0" w:line="244" w:lineRule="auto"/>
        <w:tabs>
          <w:tab w:leader="none" w:pos="5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Under our distribution reinvestment plan (the "DRIP"), the plan administrator’s fees will be paid by us. There will be no brokerage charges or other charges to stockholders who participate in the plan except that, if a participant elects by his or its written or telephonic notice to the plan administrator in advance of termination to have the plan administrator sell part or all of his or its shares and remit the proceeds to the participant, the plan administrator is authorized to deduct a $15 transaction fee plus brokerage commission from the proceeds. The expenses of our DRIP are included in “Other Expenses.”</w:t>
      </w:r>
    </w:p>
    <w:p>
      <w:pPr>
        <w:ind w:left="500" w:hanging="492"/>
        <w:spacing w:after="0" w:line="228"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total stockholder transaction expenses may include sales load and will be disclosed in a future prospectus or prospectus supplement, if any.</w:t>
      </w:r>
    </w:p>
    <w:p>
      <w:pPr>
        <w:jc w:val="both"/>
        <w:ind w:left="500" w:hanging="492"/>
        <w:spacing w:after="0" w:line="228"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Operating expenses in this table represent estimated annual operating expenses based upon the actual annual operating expenses of SuRo Capital Corp. and its consolidated subsidiaries for the twelve months ended December 31, 2020. We do not have an investment adviser and are internally managed by our executive officers under the supervision of our Board of Directors. As a result, we do not pay investment advisory fees, but instead we pay the operating costs associated with employing investment management professionals including, without limitation, compensation expenses related to salaries, discretionary bonuses and restricted stock grants.</w:t>
      </w:r>
    </w:p>
    <w:p>
      <w:pPr>
        <w:spacing w:after="0" w:line="3" w:lineRule="exact"/>
        <w:rPr>
          <w:rFonts w:ascii="Arial" w:cs="Arial" w:eastAsia="Arial" w:hAnsi="Arial"/>
          <w:sz w:val="16"/>
          <w:szCs w:val="16"/>
          <w:color w:val="auto"/>
        </w:rPr>
      </w:pPr>
    </w:p>
    <w:p>
      <w:pPr>
        <w:jc w:val="both"/>
        <w:ind w:left="500" w:hanging="492"/>
        <w:spacing w:after="0" w:line="228"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are exposed to the risks of leverage, which may be considered a speculative investment technique. The use of leverage magnifies the potential for gain and loss on amounts invested and, therefore, increases the risks associated with an investment in us. Interest payments on borrowed funds represents our estimated annual interest payments based on actual interest rate terms under our outstanding 4.75% Convertible Senior Notes due 2023 (the “4.75% Convertible Senior Notes due 2023”) as of December 31, 2020.</w:t>
      </w:r>
    </w:p>
    <w:p>
      <w:pPr>
        <w:spacing w:after="0" w:line="2" w:lineRule="exact"/>
        <w:rPr>
          <w:rFonts w:ascii="Arial" w:cs="Arial" w:eastAsia="Arial" w:hAnsi="Arial"/>
          <w:sz w:val="16"/>
          <w:szCs w:val="16"/>
          <w:color w:val="auto"/>
        </w:rPr>
      </w:pPr>
    </w:p>
    <w:p>
      <w:pPr>
        <w:ind w:left="500" w:hanging="492"/>
        <w:spacing w:after="0" w:line="228"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"Other expenses," which we calculate to equal approximately $1.8 million, are estimated based upon actual "Other expenses" for the twelve months ended December 31, 2020.</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"Net assets attributable to common stock," which we calculate to equal approximately $301.6 million, reflect our net assets for the year ended December 31, 2020.</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2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example demonstrates the projected dollar amount of total cumulative expenses that would be incurred over various periods with respect to a hypothetical investment in our common stock. In calculating the following expense amounts, we have assumed that our annual operating expenses would remain at the levels set forth in the table above. See footnote 6 above for additional information regarding certain assumptions regarding our level of leverage.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1"/>
              </w:rPr>
              <w:t>1 Year</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3 Years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7"/>
              </w:rPr>
              <w:t>5 Years</w:t>
            </w: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8"/>
              </w:rPr>
              <w:t>10 Years</w:t>
            </w:r>
          </w:p>
        </w:tc>
        <w:tc>
          <w:tcPr>
            <w:tcW w:w="0" w:type="dxa"/>
            <w:vAlign w:val="bottom"/>
          </w:tcPr>
          <w:p>
            <w:pPr>
              <w:spacing w:after="0"/>
              <w:rPr>
                <w:sz w:val="1"/>
                <w:szCs w:val="1"/>
                <w:color w:val="auto"/>
              </w:rPr>
            </w:pPr>
          </w:p>
        </w:tc>
      </w:tr>
      <w:tr>
        <w:trPr>
          <w:trHeight w:val="169"/>
        </w:trPr>
        <w:tc>
          <w:tcPr>
            <w:tcW w:w="56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You would pay the following expenses on a $1,000 investment, assuming a 5%</w:t>
            </w:r>
          </w:p>
        </w:tc>
        <w:tc>
          <w:tcPr>
            <w:tcW w:w="1360" w:type="dxa"/>
            <w:vAlign w:val="bottom"/>
            <w:vMerge w:val="restart"/>
            <w:shd w:val="clear" w:color="auto" w:fill="CCEEFF"/>
          </w:tcPr>
          <w:p>
            <w:pPr>
              <w:jc w:val="right"/>
              <w:ind w:right="479"/>
              <w:spacing w:after="0"/>
              <w:rPr>
                <w:sz w:val="20"/>
                <w:szCs w:val="20"/>
                <w:color w:val="auto"/>
              </w:rPr>
            </w:pPr>
            <w:r>
              <w:rPr>
                <w:rFonts w:ascii="Arial" w:cs="Arial" w:eastAsia="Arial" w:hAnsi="Arial"/>
                <w:sz w:val="16"/>
                <w:szCs w:val="16"/>
                <w:color w:val="auto"/>
              </w:rPr>
              <w:t>$48</w:t>
            </w:r>
          </w:p>
        </w:tc>
        <w:tc>
          <w:tcPr>
            <w:tcW w:w="1420" w:type="dxa"/>
            <w:vAlign w:val="bottom"/>
            <w:vMerge w:val="restart"/>
            <w:shd w:val="clear" w:color="auto" w:fill="CCEEFF"/>
          </w:tcPr>
          <w:p>
            <w:pPr>
              <w:jc w:val="right"/>
              <w:ind w:right="459"/>
              <w:spacing w:after="0"/>
              <w:rPr>
                <w:sz w:val="20"/>
                <w:szCs w:val="20"/>
                <w:color w:val="auto"/>
              </w:rPr>
            </w:pPr>
            <w:r>
              <w:rPr>
                <w:rFonts w:ascii="Arial" w:cs="Arial" w:eastAsia="Arial" w:hAnsi="Arial"/>
                <w:sz w:val="16"/>
                <w:szCs w:val="16"/>
                <w:color w:val="auto"/>
              </w:rPr>
              <w:t>$144</w:t>
            </w:r>
          </w:p>
        </w:tc>
        <w:tc>
          <w:tcPr>
            <w:tcW w:w="1380" w:type="dxa"/>
            <w:vAlign w:val="bottom"/>
            <w:vMerge w:val="restart"/>
            <w:shd w:val="clear" w:color="auto" w:fill="CCEEFF"/>
          </w:tcPr>
          <w:p>
            <w:pPr>
              <w:jc w:val="right"/>
              <w:ind w:right="439"/>
              <w:spacing w:after="0"/>
              <w:rPr>
                <w:sz w:val="20"/>
                <w:szCs w:val="20"/>
                <w:color w:val="auto"/>
              </w:rPr>
            </w:pPr>
            <w:r>
              <w:rPr>
                <w:rFonts w:ascii="Arial" w:cs="Arial" w:eastAsia="Arial" w:hAnsi="Arial"/>
                <w:sz w:val="16"/>
                <w:szCs w:val="16"/>
                <w:color w:val="auto"/>
              </w:rPr>
              <w:t>$241</w:t>
            </w:r>
          </w:p>
        </w:tc>
        <w:tc>
          <w:tcPr>
            <w:tcW w:w="1440" w:type="dxa"/>
            <w:vAlign w:val="bottom"/>
            <w:vMerge w:val="restart"/>
            <w:shd w:val="clear" w:color="auto" w:fill="CCEEFF"/>
          </w:tcPr>
          <w:p>
            <w:pPr>
              <w:jc w:val="right"/>
              <w:ind w:right="459"/>
              <w:spacing w:after="0"/>
              <w:rPr>
                <w:sz w:val="20"/>
                <w:szCs w:val="20"/>
                <w:color w:val="auto"/>
              </w:rPr>
            </w:pPr>
            <w:r>
              <w:rPr>
                <w:rFonts w:ascii="Arial" w:cs="Arial" w:eastAsia="Arial" w:hAnsi="Arial"/>
                <w:sz w:val="16"/>
                <w:szCs w:val="16"/>
                <w:color w:val="auto"/>
              </w:rPr>
              <w:t>$486</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annual return</w:t>
            </w:r>
          </w:p>
        </w:tc>
        <w:tc>
          <w:tcPr>
            <w:tcW w:w="136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example and the expenses in the tables above should not be considered a representation of our future expenses, and actual expenses may be greater or less than those shown. While the example assumes, as required by the SEC, a 5.0% annual return, our performance will vary and may result in a return greater or less than 5.0%. In addition, while the example assumes reinvestment of all dividends at net asset value participants in our DRIP will receive a number of shares of our common stock, determined by dividing the total dollar amount of the dividend payable to a participant by the market price per share of our common stock at the close of trading on the dividend payment date, which may be at, above or below net asset value. See "Market for Registrant's Common Equity, Related Stockholder Matters and Issuer Purchases of Equity Securities - Distributions" for additional information regarding our DRIP.</w:t>
      </w:r>
    </w:p>
    <w:p>
      <w:pPr>
        <w:spacing w:after="0" w:line="21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5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following selected financial and other data for the fiscal years ended December 31, 2020, 2019, 2018, 2017, and 2016, respectively, have been derived from our audited financial statements. The data should be read in conjunction with “Management’s Discussion and Analysis of Financial Condition and Results of Operations” in Part II, Item 7 of this Form 10-K and consolidated financial statements and notes thereto contained in this report.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right"/>
              <w:ind w:right="139"/>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7"/>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Total Investment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1,824,127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1,495,724</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1,617,836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852,768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736,283</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Operating Expenses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16,338,543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10,946,792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15,144,834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22,439,855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1,999,646</w:t>
            </w:r>
          </w:p>
        </w:tc>
        <w:tc>
          <w:tcPr>
            <w:tcW w:w="0" w:type="dxa"/>
            <w:vAlign w:val="bottom"/>
          </w:tcPr>
          <w:p>
            <w:pPr>
              <w:spacing w:after="0"/>
              <w:rPr>
                <w:sz w:val="1"/>
                <w:szCs w:val="1"/>
                <w:color w:val="auto"/>
              </w:rPr>
            </w:pPr>
          </w:p>
        </w:tc>
      </w:tr>
      <w:tr>
        <w:trPr>
          <w:trHeight w:val="213"/>
        </w:trPr>
        <w:tc>
          <w:tcPr>
            <w:tcW w:w="4300" w:type="dxa"/>
            <w:vAlign w:val="bottom"/>
          </w:tcPr>
          <w:p>
            <w:pPr>
              <w:ind w:left="360"/>
              <w:spacing w:after="0"/>
              <w:rPr>
                <w:sz w:val="20"/>
                <w:szCs w:val="20"/>
                <w:color w:val="auto"/>
              </w:rPr>
            </w:pPr>
            <w:r>
              <w:rPr>
                <w:rFonts w:ascii="Arial" w:cs="Arial" w:eastAsia="Arial" w:hAnsi="Arial"/>
                <w:sz w:val="16"/>
                <w:szCs w:val="16"/>
                <w:color w:val="auto"/>
              </w:rPr>
              <w:t>Management fee waiver</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(892,421)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(708,272)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Incentive fee waiver</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Net Operating Expenses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16,338,543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10,946,792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9,252,413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21,731,583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1,999,646</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Investment Loss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(14,514,416)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w w:val="92"/>
              </w:rPr>
              <w:t>(9,451,068)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(7,634,577)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(20,878,815)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(1,263,363)</w:t>
            </w:r>
          </w:p>
        </w:tc>
        <w:tc>
          <w:tcPr>
            <w:tcW w:w="0" w:type="dxa"/>
            <w:vAlign w:val="bottom"/>
          </w:tcPr>
          <w:p>
            <w:pPr>
              <w:spacing w:after="0"/>
              <w:rPr>
                <w:sz w:val="1"/>
                <w:szCs w:val="1"/>
                <w:color w:val="auto"/>
              </w:rPr>
            </w:pPr>
          </w:p>
        </w:tc>
      </w:tr>
      <w:tr>
        <w:trPr>
          <w:trHeight w:val="213"/>
        </w:trPr>
        <w:tc>
          <w:tcPr>
            <w:tcW w:w="4300" w:type="dxa"/>
            <w:vAlign w:val="bottom"/>
          </w:tcPr>
          <w:p>
            <w:pPr>
              <w:ind w:left="180"/>
              <w:spacing w:after="0"/>
              <w:rPr>
                <w:sz w:val="20"/>
                <w:szCs w:val="20"/>
                <w:color w:val="auto"/>
              </w:rPr>
            </w:pPr>
            <w:r>
              <w:rPr>
                <w:rFonts w:ascii="Arial" w:cs="Arial" w:eastAsia="Arial" w:hAnsi="Arial"/>
                <w:sz w:val="16"/>
                <w:szCs w:val="16"/>
                <w:color w:val="auto"/>
              </w:rPr>
              <w:t>Net realized gain/(loss) on investments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16,441,223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19,179,340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(7,433,619)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913,982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(2,634,471)</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Realized loss on extinguishment of debt</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4300" w:type="dxa"/>
            <w:vAlign w:val="bottom"/>
          </w:tcPr>
          <w:p>
            <w:pPr>
              <w:ind w:left="180"/>
              <w:spacing w:after="0" w:line="166" w:lineRule="exact"/>
              <w:rPr>
                <w:sz w:val="20"/>
                <w:szCs w:val="20"/>
                <w:color w:val="auto"/>
              </w:rPr>
            </w:pPr>
            <w:r>
              <w:rPr>
                <w:rFonts w:ascii="Arial" w:cs="Arial" w:eastAsia="Arial" w:hAnsi="Arial"/>
                <w:sz w:val="16"/>
                <w:szCs w:val="16"/>
                <w:color w:val="auto"/>
              </w:rPr>
              <w:t>Net change in unrealized appreciation/</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73,410,631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13,339,859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9,641,050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34,775,696</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(73,213,845)</w:t>
            </w:r>
          </w:p>
        </w:tc>
        <w:tc>
          <w:tcPr>
            <w:tcW w:w="0" w:type="dxa"/>
            <w:vAlign w:val="bottom"/>
          </w:tcPr>
          <w:p>
            <w:pPr>
              <w:spacing w:after="0"/>
              <w:rPr>
                <w:sz w:val="1"/>
                <w:szCs w:val="1"/>
                <w:color w:val="auto"/>
              </w:rPr>
            </w:pPr>
          </w:p>
        </w:tc>
      </w:tr>
      <w:tr>
        <w:trPr>
          <w:trHeight w:val="209"/>
        </w:trPr>
        <w:tc>
          <w:tcPr>
            <w:tcW w:w="4300" w:type="dxa"/>
            <w:vAlign w:val="bottom"/>
          </w:tcPr>
          <w:p>
            <w:pPr>
              <w:ind w:left="20"/>
              <w:spacing w:after="0"/>
              <w:rPr>
                <w:sz w:val="20"/>
                <w:szCs w:val="20"/>
                <w:color w:val="auto"/>
              </w:rPr>
            </w:pPr>
            <w:r>
              <w:rPr>
                <w:rFonts w:ascii="Arial" w:cs="Arial" w:eastAsia="Arial" w:hAnsi="Arial"/>
                <w:sz w:val="16"/>
                <w:szCs w:val="16"/>
                <w:color w:val="auto"/>
              </w:rPr>
              <w:t>(depreciation) of investments</w:t>
            </w: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300" w:type="dxa"/>
            <w:vAlign w:val="bottom"/>
            <w:shd w:val="clear" w:color="auto" w:fill="CCEEFF"/>
          </w:tcPr>
          <w:p>
            <w:pPr>
              <w:ind w:left="180"/>
              <w:spacing w:after="0" w:line="165" w:lineRule="exact"/>
              <w:rPr>
                <w:sz w:val="20"/>
                <w:szCs w:val="20"/>
                <w:color w:val="auto"/>
              </w:rPr>
            </w:pPr>
            <w:r>
              <w:rPr>
                <w:rFonts w:ascii="Arial" w:cs="Arial" w:eastAsia="Arial" w:hAnsi="Arial"/>
                <w:sz w:val="16"/>
                <w:szCs w:val="16"/>
                <w:color w:val="auto"/>
              </w:rPr>
              <w:t>Benefit from taxes on</w:t>
            </w:r>
          </w:p>
        </w:tc>
        <w:tc>
          <w:tcPr>
            <w:tcW w:w="260" w:type="dxa"/>
            <w:vAlign w:val="bottom"/>
            <w:shd w:val="clear" w:color="auto" w:fill="CCEEFF"/>
          </w:tcPr>
          <w:p>
            <w:pPr>
              <w:spacing w:after="0"/>
              <w:rPr>
                <w:sz w:val="14"/>
                <w:szCs w:val="14"/>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885,566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6,716,735</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2,757,070</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2,116,784</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unrealized depreciation of investments</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w w:val="95"/>
              </w:rPr>
              <w:t>Net increase/(decrease) in net assets resulting from operations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75,337,438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23,953,697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891,743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17,567,933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(74,994,895)</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Common Share Data</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Weighted-Average Common Shares: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17,910,353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19,328,414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20,617,890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21,924,490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22,181,003</w:t>
            </w: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21,790,898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23,069,622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20,617,890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21,924,490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22,181,003</w:t>
            </w:r>
          </w:p>
        </w:tc>
        <w:tc>
          <w:tcPr>
            <w:tcW w:w="0" w:type="dxa"/>
            <w:vAlign w:val="bottom"/>
          </w:tcPr>
          <w:p>
            <w:pPr>
              <w:spacing w:after="0"/>
              <w:rPr>
                <w:sz w:val="1"/>
                <w:szCs w:val="1"/>
                <w:color w:val="auto"/>
              </w:rPr>
            </w:pPr>
          </w:p>
        </w:tc>
      </w:tr>
      <w:tr>
        <w:trPr>
          <w:trHeight w:val="169"/>
        </w:trPr>
        <w:tc>
          <w:tcPr>
            <w:tcW w:w="43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b w:val="1"/>
                <w:bCs w:val="1"/>
                <w:i w:val="1"/>
                <w:iCs w:val="1"/>
                <w:color w:val="auto"/>
                <w:w w:val="88"/>
              </w:rPr>
              <w:t>Net increase/(decrease) in net assets resulting from operations</w:t>
            </w: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per average share: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4.21</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0.80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line="216" w:lineRule="exact"/>
              <w:rPr>
                <w:sz w:val="20"/>
                <w:szCs w:val="20"/>
                <w:color w:val="auto"/>
              </w:rPr>
            </w:pPr>
            <w:r>
              <w:rPr>
                <w:rFonts w:ascii="Arial" w:cs="Arial" w:eastAsia="Arial" w:hAnsi="Arial"/>
                <w:sz w:val="16"/>
                <w:szCs w:val="16"/>
                <w:color w:val="auto"/>
              </w:rPr>
              <w:t>Net asset value per share</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 price at year-end</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color w:val="auto"/>
              </w:rPr>
              <w:t>Distributions declared</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0.87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Outstanding at Year-End</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19,914,023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17,564,244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19,762,647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21,246,345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22,181,003</w:t>
            </w:r>
          </w:p>
        </w:tc>
        <w:tc>
          <w:tcPr>
            <w:tcW w:w="0" w:type="dxa"/>
            <w:vAlign w:val="bottom"/>
          </w:tcPr>
          <w:p>
            <w:pPr>
              <w:spacing w:after="0"/>
              <w:rPr>
                <w:sz w:val="1"/>
                <w:szCs w:val="1"/>
                <w:color w:val="auto"/>
              </w:rPr>
            </w:pPr>
          </w:p>
        </w:tc>
      </w:tr>
      <w:tr>
        <w:trPr>
          <w:trHeight w:val="213"/>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Total Assets</w:t>
            </w:r>
            <w:r>
              <w:rPr>
                <w:rFonts w:ascii="Arial" w:cs="Arial" w:eastAsia="Arial" w:hAnsi="Arial"/>
                <w:sz w:val="21"/>
                <w:szCs w:val="21"/>
                <w:color w:val="auto"/>
                <w:vertAlign w:val="superscript"/>
              </w:rPr>
              <w:t>(2)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478,875,704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288,564,089</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330,219,554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381,682,536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300,964,426</w:t>
            </w: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5.25% Convertible Senior Notes due 2018</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68,382,549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67,512,798</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4.75% Convertible Senior Notes due 2023</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37,395,437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38,803,635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38,434,511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300" w:type="dxa"/>
            <w:vAlign w:val="bottom"/>
          </w:tcPr>
          <w:p>
            <w:pPr>
              <w:ind w:left="140"/>
              <w:spacing w:after="0"/>
              <w:rPr>
                <w:sz w:val="20"/>
                <w:szCs w:val="20"/>
                <w:color w:val="auto"/>
              </w:rPr>
            </w:pPr>
            <w:r>
              <w:rPr>
                <w:rFonts w:ascii="Arial" w:cs="Arial" w:eastAsia="Arial" w:hAnsi="Arial"/>
                <w:sz w:val="16"/>
                <w:szCs w:val="16"/>
                <w:color w:val="auto"/>
              </w:rPr>
              <w:t>Total Liabilities</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177,292,631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88,646,800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134,841,395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176,919,670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108,835,616</w:t>
            </w:r>
          </w:p>
        </w:tc>
        <w:tc>
          <w:tcPr>
            <w:tcW w:w="0" w:type="dxa"/>
            <w:vAlign w:val="bottom"/>
          </w:tcPr>
          <w:p>
            <w:pPr>
              <w:spacing w:after="0"/>
              <w:rPr>
                <w:sz w:val="1"/>
                <w:szCs w:val="1"/>
                <w:color w:val="auto"/>
              </w:rPr>
            </w:pPr>
          </w:p>
        </w:tc>
      </w:tr>
      <w:tr>
        <w:trPr>
          <w:trHeight w:val="219"/>
        </w:trPr>
        <w:tc>
          <w:tcPr>
            <w:tcW w:w="4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301,583,073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199,917,289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195,378,159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204,762,866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192,128,810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w:t>
      </w:r>
    </w:p>
    <w:p>
      <w:pPr>
        <w:spacing w:after="0" w:line="113"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Net asset value per share is based on basic shares outstanding at the end of the period.</w:t>
      </w:r>
    </w:p>
    <w:p>
      <w:pPr>
        <w:spacing w:after="0" w:line="19" w:lineRule="exact"/>
        <w:rPr>
          <w:rFonts w:ascii="Arial" w:cs="Arial" w:eastAsia="Arial" w:hAnsi="Arial"/>
          <w:sz w:val="16"/>
          <w:szCs w:val="16"/>
          <w:color w:val="auto"/>
        </w:rPr>
      </w:pPr>
    </w:p>
    <w:p>
      <w:pPr>
        <w:jc w:val="both"/>
        <w:ind w:left="340" w:hanging="332"/>
        <w:spacing w:after="0" w:line="262" w:lineRule="auto"/>
        <w:tabs>
          <w:tab w:leader="none" w:pos="401" w:val="left"/>
        </w:tabs>
        <w:numPr>
          <w:ilvl w:val="0"/>
          <w:numId w:val="34"/>
        </w:numPr>
        <w:rPr>
          <w:rFonts w:ascii="Arial" w:cs="Arial" w:eastAsia="Arial" w:hAnsi="Arial"/>
          <w:sz w:val="15"/>
          <w:szCs w:val="15"/>
          <w:color w:val="auto"/>
        </w:rPr>
      </w:pPr>
      <w:r>
        <w:rPr>
          <w:rFonts w:ascii="Arial" w:cs="Arial" w:eastAsia="Arial" w:hAnsi="Arial"/>
          <w:sz w:val="15"/>
          <w:szCs w:val="15"/>
          <w:color w:val="auto"/>
        </w:rPr>
        <w:t>During the year ended December 31, 2016, total assets and net assets decreased due to a change in unrealized depreciation of investments and net realized losses on investments. During the year ended December 31, 2017, total assets and net assets increased due to a change in unrealized appreciation of investments and net realized gains on investments. During the year ended December 31, 2018, total assets and net assets decreased due to a decrease in net unrealized appreciation of investments and net realized losses on investments. During the year ended December 31, 2019, total assets decreased due to a lower investment in U.S. Treasury bill and net assets increased due to an increase in net unrealized appreciation of investments and net realized gains on investments. During the year ended December 31, 2020, total assets and net assets increased due to a change in unrealized appreciation of investments and net realized gains on investments, in addition to the issuance and sale of shares under the At-the-Market Program. For further discussion of factors that affected our total assets and net assets refer to “Management’s Discussion and Analysis of Financial Condition and Results of Operations—Results of Operations” in Part II, Item 7 of this Form 10-K.</w:t>
      </w:r>
    </w:p>
    <w:p>
      <w:pPr>
        <w:spacing w:after="0" w:line="5" w:lineRule="exact"/>
        <w:rPr>
          <w:rFonts w:ascii="Arial" w:cs="Arial" w:eastAsia="Arial" w:hAnsi="Arial"/>
          <w:sz w:val="15"/>
          <w:szCs w:val="15"/>
          <w:color w:val="auto"/>
        </w:rPr>
      </w:pPr>
    </w:p>
    <w:p>
      <w:pPr>
        <w:jc w:val="both"/>
        <w:ind w:left="340" w:hanging="332"/>
        <w:spacing w:after="0" w:line="291" w:lineRule="auto"/>
        <w:tabs>
          <w:tab w:leader="none" w:pos="459" w:val="left"/>
        </w:tabs>
        <w:numPr>
          <w:ilvl w:val="0"/>
          <w:numId w:val="34"/>
        </w:numPr>
        <w:rPr>
          <w:rFonts w:ascii="Arial" w:cs="Arial" w:eastAsia="Arial" w:hAnsi="Arial"/>
          <w:sz w:val="14"/>
          <w:szCs w:val="14"/>
          <w:color w:val="auto"/>
        </w:rPr>
      </w:pPr>
      <w:r>
        <w:rPr>
          <w:rFonts w:ascii="Arial" w:cs="Arial" w:eastAsia="Arial" w:hAnsi="Arial"/>
          <w:sz w:val="14"/>
          <w:szCs w:val="14"/>
          <w:color w:val="auto"/>
        </w:rPr>
        <w:t>During the year ended December 31, 2017, we recognized a net benefit from taxes on unrealized depreciation of $2,757,070 despite recording a net change in unrealized appreciation of approximately $34.8 million. The net tax benefit from taxes on unrealized depreciation for the year ended December 31, 2017 was the result of an approximately $4.1 million decrease in built-in gains tax liability due to the recently passed tax legislation that reduced the U.S. corporate federal income tax rate from 35% to 21%, partially offset by a $1.3 million increase in the net deferred tax liability generated by the Taxable Subsidiaries. During the year ended December 31, 2018, in anticipation of the end of the RIC built-in gain measurement period, we reversed the accrual of related potential tax liabilities of approximately $6.1 million. Refer to “Note 9 — Income Taxes” to our consolidated financial statements as of December 31, 2020 included in this annual report on Form 10-K for further detail.</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This annual report on Form 10-K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215"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forward-looking statements contained in this annual report on Form 10-K involve risks and uncertainties, including, without limitation, statements as to:</w:t>
      </w:r>
    </w:p>
    <w:p>
      <w:pPr>
        <w:spacing w:after="0" w:line="197" w:lineRule="exact"/>
        <w:rPr>
          <w:sz w:val="20"/>
          <w:szCs w:val="20"/>
          <w:color w:val="auto"/>
        </w:rPr>
      </w:pPr>
    </w:p>
    <w:p>
      <w:pPr>
        <w:jc w:val="both"/>
        <w:ind w:left="660" w:hanging="328"/>
        <w:spacing w:after="0" w:line="259"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effect and consequences of the novel coronavirus (“COVID-19”) public health crisis on matters including global, U.S. and local economies, our business operations and continuity, potential disruption to our portfolio companies, tightened availability to capital and financing, the health and productivity of our employees, the ability of third-party providers to continue uninterrupted service, and the regulatory environment in which we operate;</w:t>
      </w:r>
    </w:p>
    <w:p>
      <w:pPr>
        <w:spacing w:after="0" w:line="213"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 and</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211" w:lineRule="exact"/>
        <w:rPr>
          <w:sz w:val="20"/>
          <w:szCs w:val="20"/>
          <w:color w:val="auto"/>
        </w:rPr>
      </w:pPr>
    </w:p>
    <w:p>
      <w:pPr>
        <w:ind w:left="660" w:right="20" w:hanging="328"/>
        <w:spacing w:after="0" w:line="277" w:lineRule="auto"/>
        <w:tabs>
          <w:tab w:leader="none" w:pos="6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97" w:lineRule="exact"/>
        <w:rPr>
          <w:rFonts w:ascii="Arial" w:cs="Arial" w:eastAsia="Arial" w:hAnsi="Arial"/>
          <w:sz w:val="18"/>
          <w:szCs w:val="18"/>
          <w:color w:val="auto"/>
        </w:rPr>
      </w:pPr>
    </w:p>
    <w:p>
      <w:pPr>
        <w:ind w:left="660" w:hanging="328"/>
        <w:spacing w:after="0" w:line="277" w:lineRule="auto"/>
        <w:tabs>
          <w:tab w:leader="none" w:pos="583"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economic downturn could disproportionately impact the market sectors in which a significant portion of our portfolio is concentrated, causing us to suffer losses in our portfolio;</w:t>
      </w:r>
    </w:p>
    <w:p>
      <w:pPr>
        <w:spacing w:after="0" w:line="197"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could impair our investment activities;</w:t>
      </w:r>
    </w:p>
    <w:p>
      <w:pPr>
        <w:spacing w:after="0" w:line="252"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interest rate volatility could adversely affect our results, particularly because we use leverage as part of our investment strategy; and</w:t>
      </w:r>
    </w:p>
    <w:p>
      <w:pPr>
        <w:spacing w:after="0" w:line="252" w:lineRule="exact"/>
        <w:rPr>
          <w:rFonts w:ascii="Arial" w:cs="Arial" w:eastAsia="Arial" w:hAnsi="Arial"/>
          <w:sz w:val="18"/>
          <w:szCs w:val="18"/>
          <w:color w:val="auto"/>
        </w:rPr>
      </w:pPr>
    </w:p>
    <w:p>
      <w:pPr>
        <w:ind w:left="660" w:hanging="328"/>
        <w:spacing w:after="0" w:line="277" w:lineRule="auto"/>
        <w:tabs>
          <w:tab w:leader="none" w:pos="58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risks, uncertainties and other factors we identify in the sections entitled “Risk Factors” in our quarterly reports on Form 10-Q, our annual report on Form 10-K, and in our other filings with the SEC.</w:t>
      </w:r>
    </w:p>
    <w:p>
      <w:pPr>
        <w:spacing w:after="0" w:line="197"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investments, certain margins and levels of profitability and the availability of additional capital. In light of these and other uncertainties, the inclusion of a projection or forward-looking statement in this annual report on Form 10-K should not be regarded as a representation by us that our plans and objectives will be achieved. These risks and uncertainties include those described or identified in our quarterly reports on Form 10-Q and our annual report on Form 10-K, in the “Risk Factors” sections. You should not place undue reliance on these forward-looking statements, which apply only as of the date of this annual report on Form 10-K. The following analysis of our financial condition and results of operations should be read in conjunction with our consolidated financial statements and the related notes thereto contained elsewhere in this annual report on Form 10-K.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We are an internally-managed, non-diversified closed-end management investment company that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192" w:lineRule="exact"/>
        <w:rPr>
          <w:sz w:val="20"/>
          <w:szCs w:val="20"/>
          <w:color w:val="auto"/>
        </w:rPr>
      </w:pPr>
    </w:p>
    <w:p>
      <w:pPr>
        <w:jc w:val="both"/>
        <w:ind w:firstLine="364"/>
        <w:spacing w:after="0" w:line="271" w:lineRule="auto"/>
        <w:rPr>
          <w:sz w:val="20"/>
          <w:szCs w:val="20"/>
          <w:color w:val="auto"/>
        </w:rPr>
      </w:pPr>
      <w:r>
        <w:rPr>
          <w:rFonts w:ascii="Arial" w:cs="Arial" w:eastAsia="Arial" w:hAnsi="Arial"/>
          <w:sz w:val="17"/>
          <w:szCs w:val="17"/>
          <w:color w:val="auto"/>
        </w:rPr>
        <w:t>Our investment objective is to maximize our portfolio’s total return, principally by seeking capital gains on our equity and equity-related investments, and to a lesser extent, income from debt investments. We invest principally in the equity securities of what we believe to be rapidly growing venture-capital-backed emerging companies. We acquire our investments through direct investments in prospective portfolio companies, secondary marketplaces for private companies and negotiations with selling stockholders. In addition, we may invest in private credit and in the founders equity, founders warrants, forward purchase agreements, and PIPE transactions of SPACs. We may also invest on an opportunistic basis in select publicly traded equity securities or certain non-U.S. companies that otherwise meet our investment criteria, subject to applicable requirements of the 1940 Act. To the extent we make investments in private equity funds and hedge funds that are excluded from the definition of “investment company” under the 1940 Act by Section 3(c)(1) or 3(c)(7) of the 1940 Act, we will limit such investments to no more than 15% of our net assets.</w:t>
      </w:r>
    </w:p>
    <w:p>
      <w:pPr>
        <w:spacing w:after="0" w:line="205"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In regard to the regulatory requirements for BDCs under the 1940 Act, some of these investments may not qualify as investments in “eligible portfolio companies,” and thus may not be considered “qualifying assets.” “Eligible portfolio companies” generally include U.S. companies that are not investment companies and that do not have securities listed on a national exchange. If at any time less than 70% of our gross assets are comprised of qualifying assets, including as a result of an increase in the value of any non-qualifying assets or decrease in the value of any qualifying assets, we would generally not be permitted to acquire any additional non-qualifying assets until such time as 70% of our then-current gross assets were comprised of qualifying assets. We would not be required, however, to dispose of any non-qualifying assets in such circumstances.</w:t>
      </w:r>
    </w:p>
    <w:p>
      <w:pPr>
        <w:spacing w:after="0" w:line="205"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Our investment philosophy is based on a disciplined approach of identifying promising investments in high-growth, venture-backed companies across several key industry themes which may include, among others, social mobile, cloud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computing and big data, internet commerce, financial technology, mobility, and enterprise software. Our investment decisions are based on a disciplined analysis of available information regarding each potential portfolio company’s business operations, focusing on the portfolio company’s growth potential, the quality of recurring revenues, and path to profitability, as well as an understanding of key market fundamentals. Venture capital funds or other institutional investors have invested in the vast majority of companies that we evaluate.</w:t>
      </w:r>
    </w:p>
    <w:p>
      <w:pPr>
        <w:spacing w:after="0" w:line="21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We seek to deploy capital primarily in the form of non-controlling equity and equity-related investments, including common stock, warrants, preferred stock and similar forms of senior equity, which may or may not be convertible into a portfolio company’s common equity, and convertible debt securities with a significant equity component. Typically, our preferred stock investments are non-income producing, have different voting rights than our common stock investments and are generally convertible into common stock at our discretion. As our investment strategy is primarily focused on equity positions, our investments generally do not produce current income and therefore we may be dependent on future capital raising to meet our operating needs if no other source of liquidity is available.</w:t>
      </w:r>
    </w:p>
    <w:p>
      <w:pPr>
        <w:spacing w:after="0" w:line="2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seek to create a low-turnover portfolio that includes investments in companies representing a broad range on investment themes.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 Change to SuRo Capital Corp.</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Articles of Amendment</w:t>
      </w:r>
    </w:p>
    <w:p>
      <w:pPr>
        <w:spacing w:after="0" w:line="252"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On and effective June 22, 2020, the Company changed its name to “SuRo Capital Corp.” from “Sutter Rock Capital Corp” (the“Name Change”) by filing Articles of Amendment (the “Articles of Amendment”) to its Articles of Amendment and Restatement, as amended (the “Charter”), with the Department of Assessments and Taxation of the State of Maryland to effect the Name Change. In accordance with the Maryland General Corporation Law and the Charter, the Company’s board of directors approved the Name Change and the Articles of Amendment. Stockholder approval was not required.</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Second Amended and Restated Bylaws</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Name Change, the Company’s board of directors also approved an amendment and restatement of the Company’s Amended and Restated Bylaws (the “Amended and Restated Bylaws”) to reflect the Name Change. The Amended and Restated Bylaws became effective on June 22, 2020 and did not require stockholder approval.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more information regarding the foregoing events, please refer to the Company’s current report on Form 8-K filed with the SEC on June 16,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Internalization of Operating Structure</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and effective March 12, 2019 (the "Effective Date"), our Board of Directors approved internalizing our operating structure ("Internalization") and we began operating as an internally managed non-diversified closed-end management investment company that has elected to be regulated as a BDC under the 1940 Act. Our Board of Directors approved the Internalization in order to better align the interests of the Company's stockholders with its management. As an internally managed BDC, the Company is managed by its employees, rather than the employees of an external investment adviser, thereby allowing for greater transparency to stockholders through robust disclosure regarding the Company's compensation structure. Prior to the Effective Date,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In connection with our Internalization, the Investment Advisory Agreement and the Administration Agreement were terminated as of the Effective Date, in accordance with their respective terms. As a result, we no longer pay any fees or expenses under an investment advisory agreement or administration agreement, and instead pay the operating costs associated with employing investment management professionals including, without limitation, compensation expenses related to salaries, discretionary bonuses and restricted stock grants. See “Part II, Item 8—Note 11—Stock-Based Compensation” in this Form 10-K for more information.</w:t>
      </w:r>
    </w:p>
    <w:p>
      <w:pPr>
        <w:spacing w:after="0" w:line="2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otherwise disclosed herein, this Form 10-K discusses our business and operations as an internally-managed BDC during the period covered by this Form 10-K.</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22" w:right="339" w:bottom="1440" w:gutter="0" w:footer="0" w:header="0"/>
        </w:sectPr>
      </w:pPr>
    </w:p>
    <w:bookmarkStart w:id="59" w:name="page60"/>
    <w:bookmarkEnd w:id="5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COVID-19 Developments</w:t>
      </w:r>
    </w:p>
    <w:p>
      <w:pPr>
        <w:spacing w:after="0" w:line="25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March 2020, the outbreak of the novel coronavirus (“COVID-19”) was recognized as a pandemic by the World Health Organization. Shortly thereafter, the President of the United States declared a National Emergency throughout the United States attributable to such pandemic. The pandemic has become increasingly widespread in the United States, including in the markets in which the Company primarily operates. As of the year ended December 31, 2020, and subsequent to December 31, 2020, the COVID-19 pandemic has had a significant impact on the U.S. and global economy.</w:t>
      </w:r>
    </w:p>
    <w:p>
      <w:pPr>
        <w:spacing w:after="0" w:line="182"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have and continue to assess the impact of the COVID-19 pandemic on our portfolio companies. We cannot predict the full impact of the COVID-19 pandemic, including its duration in the United States and worldwide, the effectiveness of governmental responses designed to mitigate strain to businesses and the economy, and the magnitude of the economic impact of the outbreak, including with respect to the travel restrictions, business closures and other quarantine measures imposed on service providers and other individuals by various local, state, and federal governmental authorities, as well as non-U.S. governmental authorities. While several countries, as well as certain states, counties and cities in the United States, have relaxed initial public health restrictions with a view to partially or fully reopening their economies, many cities world-wide have since experienced a surge in the reported number of cases, hospitalizations and deaths related to the COVID-19 pandemic. These increases have led to the re-introduction of restrictions and business shutdowns in certain states, counties and cities in the United States and globally and could continue to lead to the re-introduction of such restrictions and business shutdowns elsewhere. Additionally, as of March 2021, travelers from the United States are not allowed to visit Canada, Australia or the majority of countries in Europe, Asia, Africa and South America. These continued travel restrictions may prolong the global economic downturn. In addition, although the Federal Food and Drug Administration authorized vaccines produced by Pfizer-BioNTech and Moderna for emergency use starting in December 2020, it remains unclear how quickly the vaccines will be distributed nationwide and globally or when “herd immunity” will be achieved and the restrictions that were imposed to slow the spread of the virus will be lifted entirely. The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 As such, we are unable to predict the duration of any business and supply-chain disruptions, the extent to which the COVID-19 pandemic will negatively affect our portfolio companies’ operating results or the impact that such disruptions may have on our results of operations and financial condition. Though the magnitude of the impact remains to be seen, we expect our portfolio companies and, by extension, our operating results to be adversely impacted by the COVID-19 pandemic and, depending on the duration and extent of the disruption to the operations of our portfolio companies, we expect that certain portfolio companies will experience financial distress and may possibly default on their financial obligations to us and their other capital providers. Some of our portfolio companies have significantly curtailed business operations, furloughed or laid off employees and terminated service providers, and deferred capital expenditures, which could impair their business on a permanent basis and additional portfolio companies may take similar actions. We continue to closely monitor our portfolio companies, which includes assessing each portfolio company’s operational and liquidity exposure and outlook; however, any of these developments would likely result in a decrease in the value of our investment in any such portfolio company. In addition, to the extent that the impact to our portfolio companies results in reduced interest payments or permanent impairments on our investments, we could see a decrease in our net investment income, which would increase the percentage of our cash flows dedicated to our debt obligations and could impact the amount of any future distributions to our stockholders.</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response to the COVID-19 pandemic, we instituted a temporary work-from-home policy in March 2020, pursuant to which our employees have and continue to primarily work remotely without disruption to our operations. This policy will remain in effect until it is deemed safe to return to our office. As of March 11, 2021, there is no indication of a reportable subsequent event impacting the Company’s financial statements for the year ended December 31, 2020.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22" w:right="339" w:bottom="1440" w:gutter="0" w:footer="0" w:header="0"/>
        </w:sectPr>
      </w:pPr>
    </w:p>
    <w:bookmarkStart w:id="60" w:name="page61"/>
    <w:bookmarkEnd w:id="6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2020</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and the sales of existing investments. The fair value, as of December 31, 2020, of all of our portfolio investments, excluding U.S. Treasury bills, was $280,779,774.</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year ended December 31, 2020, we funded investments in an aggregate amount of $31,242,228 (not including capitalized transaction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shown in the following table: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Portfolio Company</w:t>
            </w:r>
          </w:p>
        </w:tc>
        <w:tc>
          <w:tcPr>
            <w:tcW w:w="80" w:type="dxa"/>
            <w:vAlign w:val="bottom"/>
            <w:tcBorders>
              <w:bottom w:val="single" w:sz="8" w:color="CCEEFF"/>
            </w:tcBorders>
          </w:tcPr>
          <w:p>
            <w:pPr>
              <w:spacing w:after="0"/>
              <w:rPr>
                <w:sz w:val="18"/>
                <w:szCs w:val="18"/>
                <w:color w:val="auto"/>
              </w:rPr>
            </w:pPr>
          </w:p>
        </w:tc>
        <w:tc>
          <w:tcPr>
            <w:tcW w:w="4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Investment</w:t>
            </w:r>
          </w:p>
        </w:tc>
        <w:tc>
          <w:tcPr>
            <w:tcW w:w="240" w:type="dxa"/>
            <w:vAlign w:val="bottom"/>
            <w:tcBorders>
              <w:bottom w:val="single" w:sz="8" w:color="CCEEFF"/>
            </w:tcBorders>
          </w:tcPr>
          <w:p>
            <w:pPr>
              <w:spacing w:after="0"/>
              <w:rPr>
                <w:sz w:val="18"/>
                <w:szCs w:val="18"/>
                <w:color w:val="auto"/>
              </w:rPr>
            </w:pPr>
          </w:p>
        </w:tc>
        <w:tc>
          <w:tcPr>
            <w:tcW w:w="17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Transaction Date</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8"/>
              </w:rPr>
              <w:t>Gross Payments</w:t>
            </w:r>
          </w:p>
        </w:tc>
        <w:tc>
          <w:tcPr>
            <w:tcW w:w="0" w:type="dxa"/>
            <w:vAlign w:val="bottom"/>
          </w:tcPr>
          <w:p>
            <w:pPr>
              <w:spacing w:after="0"/>
              <w:rPr>
                <w:sz w:val="1"/>
                <w:szCs w:val="1"/>
                <w:color w:val="auto"/>
              </w:rPr>
            </w:pPr>
          </w:p>
        </w:tc>
      </w:tr>
      <w:tr>
        <w:trPr>
          <w:trHeight w:val="213"/>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Neutron Holdings, Inc. (d/b/a Lime)</w:t>
            </w:r>
          </w:p>
        </w:tc>
        <w:tc>
          <w:tcPr>
            <w:tcW w:w="47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2"/>
              </w:rPr>
              <w:t>Junior Preferred Convertible Note 4% Due 5/11/2027</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5/11/2020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506,339</w:t>
            </w:r>
          </w:p>
        </w:tc>
        <w:tc>
          <w:tcPr>
            <w:tcW w:w="0" w:type="dxa"/>
            <w:vAlign w:val="bottom"/>
          </w:tcPr>
          <w:p>
            <w:pPr>
              <w:spacing w:after="0"/>
              <w:rPr>
                <w:sz w:val="1"/>
                <w:szCs w:val="1"/>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Rent the Runway, Inc.</w:t>
            </w:r>
          </w:p>
        </w:tc>
        <w:tc>
          <w:tcPr>
            <w:tcW w:w="47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Preferred Shares, Series G</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6/17/2020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5,000,001</w:t>
            </w: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Palantir Lending Trust SPV I</w:t>
            </w:r>
          </w:p>
        </w:tc>
        <w:tc>
          <w:tcPr>
            <w:tcW w:w="47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2"/>
              </w:rPr>
              <w:t>Collateralized Loan 15% Due 6/19/2022</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6/19/2020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6,870,000</w:t>
            </w:r>
          </w:p>
        </w:tc>
        <w:tc>
          <w:tcPr>
            <w:tcW w:w="0" w:type="dxa"/>
            <w:vAlign w:val="bottom"/>
          </w:tcPr>
          <w:p>
            <w:pPr>
              <w:spacing w:after="0"/>
              <w:rPr>
                <w:sz w:val="1"/>
                <w:szCs w:val="1"/>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47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Preferred Shares, Series F</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7/15/2020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2,838,354</w:t>
            </w: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Blink Health, Inc.</w:t>
            </w:r>
          </w:p>
        </w:tc>
        <w:tc>
          <w:tcPr>
            <w:tcW w:w="47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8"/>
              </w:rPr>
              <w:t>Preferred Shares, Series A</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10/27/2020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4,999,995</w:t>
            </w:r>
          </w:p>
        </w:tc>
        <w:tc>
          <w:tcPr>
            <w:tcW w:w="0" w:type="dxa"/>
            <w:vAlign w:val="bottom"/>
          </w:tcPr>
          <w:p>
            <w:pPr>
              <w:spacing w:after="0"/>
              <w:rPr>
                <w:sz w:val="1"/>
                <w:szCs w:val="1"/>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Blink Health, Inc.</w:t>
            </w:r>
          </w:p>
        </w:tc>
        <w:tc>
          <w:tcPr>
            <w:tcW w:w="47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Preferred Shares, Series C</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10/27/2020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4,999,987</w:t>
            </w: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Enjoy Technology, Inc.</w:t>
            </w:r>
          </w:p>
        </w:tc>
        <w:tc>
          <w:tcPr>
            <w:tcW w:w="47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2"/>
              </w:rPr>
              <w:t>Convertible Note 14% Due 1/30/2024</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11/30/2020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521,112</w:t>
            </w:r>
          </w:p>
        </w:tc>
        <w:tc>
          <w:tcPr>
            <w:tcW w:w="0" w:type="dxa"/>
            <w:vAlign w:val="bottom"/>
          </w:tcPr>
          <w:p>
            <w:pPr>
              <w:spacing w:after="0"/>
              <w:rPr>
                <w:sz w:val="1"/>
                <w:szCs w:val="1"/>
                <w:color w:val="auto"/>
              </w:rPr>
            </w:pPr>
          </w:p>
        </w:tc>
      </w:tr>
      <w:tr>
        <w:trPr>
          <w:trHeight w:val="213"/>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GreenAcreage Real Estate Corp.</w:t>
            </w:r>
          </w:p>
        </w:tc>
        <w:tc>
          <w:tcPr>
            <w:tcW w:w="47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Common Shares</w:t>
            </w:r>
          </w:p>
        </w:tc>
        <w:tc>
          <w:tcPr>
            <w:tcW w:w="1740" w:type="dxa"/>
            <w:vAlign w:val="bottom"/>
          </w:tcPr>
          <w:p>
            <w:pPr>
              <w:jc w:val="center"/>
              <w:spacing w:after="0"/>
              <w:rPr>
                <w:sz w:val="20"/>
                <w:szCs w:val="20"/>
                <w:color w:val="auto"/>
              </w:rPr>
            </w:pPr>
            <w:r>
              <w:rPr>
                <w:rFonts w:ascii="Arial" w:cs="Arial" w:eastAsia="Arial" w:hAnsi="Arial"/>
                <w:sz w:val="16"/>
                <w:szCs w:val="16"/>
                <w:color w:val="auto"/>
                <w:w w:val="92"/>
              </w:rPr>
              <w:t>12/17/2020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503,220</w:t>
            </w:r>
          </w:p>
        </w:tc>
        <w:tc>
          <w:tcPr>
            <w:tcW w:w="0" w:type="dxa"/>
            <w:vAlign w:val="bottom"/>
          </w:tcPr>
          <w:p>
            <w:pPr>
              <w:spacing w:after="0"/>
              <w:rPr>
                <w:sz w:val="1"/>
                <w:szCs w:val="1"/>
                <w:color w:val="auto"/>
              </w:rPr>
            </w:pPr>
          </w:p>
        </w:tc>
      </w:tr>
      <w:tr>
        <w:trPr>
          <w:trHeight w:val="21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GreenAcreage Real Estate Corp.</w:t>
            </w:r>
          </w:p>
        </w:tc>
        <w:tc>
          <w:tcPr>
            <w:tcW w:w="478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8"/>
              </w:rPr>
              <w:t>Common Shares</w:t>
            </w:r>
          </w:p>
        </w:tc>
        <w:tc>
          <w:tcPr>
            <w:tcW w:w="17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12/29/2020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503,220</w:t>
            </w:r>
          </w:p>
        </w:tc>
        <w:tc>
          <w:tcPr>
            <w:tcW w:w="0" w:type="dxa"/>
            <w:vAlign w:val="bottom"/>
          </w:tcPr>
          <w:p>
            <w:pPr>
              <w:spacing w:after="0"/>
              <w:rPr>
                <w:sz w:val="1"/>
                <w:szCs w:val="1"/>
                <w:color w:val="auto"/>
              </w:rPr>
            </w:pPr>
          </w:p>
        </w:tc>
      </w:tr>
      <w:tr>
        <w:trPr>
          <w:trHeight w:val="166"/>
        </w:trPr>
        <w:tc>
          <w:tcPr>
            <w:tcW w:w="32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Residential Homes for Rent, LLC</w:t>
            </w:r>
          </w:p>
        </w:tc>
        <w:tc>
          <w:tcPr>
            <w:tcW w:w="4780" w:type="dxa"/>
            <w:vAlign w:val="bottom"/>
            <w:gridSpan w:val="2"/>
            <w:vMerge w:val="restart"/>
          </w:tcPr>
          <w:p>
            <w:pPr>
              <w:jc w:val="center"/>
              <w:ind w:right="240"/>
              <w:spacing w:after="0"/>
              <w:rPr>
                <w:sz w:val="20"/>
                <w:szCs w:val="20"/>
                <w:color w:val="auto"/>
              </w:rPr>
            </w:pPr>
            <w:r>
              <w:rPr>
                <w:rFonts w:ascii="Arial" w:cs="Arial" w:eastAsia="Arial" w:hAnsi="Arial"/>
                <w:sz w:val="16"/>
                <w:szCs w:val="16"/>
                <w:color w:val="auto"/>
                <w:w w:val="92"/>
              </w:rPr>
              <w:t>Term Loan 15% Due 12/23/2023</w:t>
            </w:r>
          </w:p>
        </w:tc>
        <w:tc>
          <w:tcPr>
            <w:tcW w:w="1740" w:type="dxa"/>
            <w:vAlign w:val="bottom"/>
            <w:vMerge w:val="restart"/>
          </w:tcPr>
          <w:p>
            <w:pPr>
              <w:jc w:val="center"/>
              <w:spacing w:after="0"/>
              <w:rPr>
                <w:sz w:val="20"/>
                <w:szCs w:val="20"/>
                <w:color w:val="auto"/>
              </w:rPr>
            </w:pPr>
            <w:r>
              <w:rPr>
                <w:rFonts w:ascii="Arial" w:cs="Arial" w:eastAsia="Arial" w:hAnsi="Arial"/>
                <w:sz w:val="16"/>
                <w:szCs w:val="16"/>
                <w:color w:val="auto"/>
                <w:w w:val="92"/>
              </w:rPr>
              <w:t>12/23/2020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3,000,000</w:t>
            </w:r>
          </w:p>
        </w:tc>
        <w:tc>
          <w:tcPr>
            <w:tcW w:w="0" w:type="dxa"/>
            <w:vAlign w:val="bottom"/>
          </w:tcPr>
          <w:p>
            <w:pPr>
              <w:spacing w:after="0"/>
              <w:rPr>
                <w:sz w:val="1"/>
                <w:szCs w:val="1"/>
                <w:color w:val="auto"/>
              </w:rPr>
            </w:pPr>
          </w:p>
        </w:tc>
      </w:tr>
      <w:tr>
        <w:trPr>
          <w:trHeight w:val="209"/>
        </w:trPr>
        <w:tc>
          <w:tcPr>
            <w:tcW w:w="3240" w:type="dxa"/>
            <w:vAlign w:val="bottom"/>
            <w:gridSpan w:val="2"/>
          </w:tcPr>
          <w:p>
            <w:pPr>
              <w:ind w:left="20"/>
              <w:spacing w:after="0"/>
              <w:rPr>
                <w:sz w:val="20"/>
                <w:szCs w:val="20"/>
                <w:color w:val="auto"/>
              </w:rPr>
            </w:pPr>
            <w:r>
              <w:rPr>
                <w:rFonts w:ascii="Arial" w:cs="Arial" w:eastAsia="Arial" w:hAnsi="Arial"/>
                <w:sz w:val="16"/>
                <w:szCs w:val="16"/>
                <w:color w:val="auto"/>
              </w:rPr>
              <w:t>(d/b/a Second Avenue)</w:t>
            </w:r>
          </w:p>
        </w:tc>
        <w:tc>
          <w:tcPr>
            <w:tcW w:w="4780" w:type="dxa"/>
            <w:vAlign w:val="bottom"/>
            <w:gridSpan w:val="2"/>
            <w:vMerge w:val="continue"/>
          </w:tcPr>
          <w:p>
            <w:pPr>
              <w:spacing w:after="0"/>
              <w:rPr>
                <w:sz w:val="18"/>
                <w:szCs w:val="18"/>
                <w:color w:val="auto"/>
              </w:rPr>
            </w:pPr>
          </w:p>
        </w:tc>
        <w:tc>
          <w:tcPr>
            <w:tcW w:w="1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2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Residential Homes for Rent, LLC</w:t>
            </w:r>
          </w:p>
        </w:tc>
        <w:tc>
          <w:tcPr>
            <w:tcW w:w="4780" w:type="dxa"/>
            <w:vAlign w:val="bottom"/>
            <w:gridSpan w:val="2"/>
            <w:vMerge w:val="restart"/>
            <w:shd w:val="clear" w:color="auto" w:fill="CCEEFF"/>
          </w:tcPr>
          <w:p>
            <w:pPr>
              <w:jc w:val="center"/>
              <w:ind w:right="240"/>
              <w:spacing w:after="0"/>
              <w:rPr>
                <w:sz w:val="20"/>
                <w:szCs w:val="20"/>
                <w:color w:val="auto"/>
              </w:rPr>
            </w:pPr>
            <w:r>
              <w:rPr>
                <w:rFonts w:ascii="Arial" w:cs="Arial" w:eastAsia="Arial" w:hAnsi="Arial"/>
                <w:sz w:val="16"/>
                <w:szCs w:val="16"/>
                <w:color w:val="auto"/>
                <w:w w:val="88"/>
              </w:rPr>
              <w:t>Preferred Shares, Series A</w:t>
            </w:r>
          </w:p>
        </w:tc>
        <w:tc>
          <w:tcPr>
            <w:tcW w:w="174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92"/>
              </w:rPr>
              <w:t>12/23/2020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1,500,000</w:t>
            </w:r>
          </w:p>
        </w:tc>
        <w:tc>
          <w:tcPr>
            <w:tcW w:w="0" w:type="dxa"/>
            <w:vAlign w:val="bottom"/>
          </w:tcPr>
          <w:p>
            <w:pPr>
              <w:spacing w:after="0"/>
              <w:rPr>
                <w:sz w:val="1"/>
                <w:szCs w:val="1"/>
                <w:color w:val="auto"/>
              </w:rPr>
            </w:pPr>
          </w:p>
        </w:tc>
      </w:tr>
      <w:tr>
        <w:trPr>
          <w:trHeight w:val="209"/>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(d/b/a Second Avenue)</w:t>
            </w:r>
          </w:p>
        </w:tc>
        <w:tc>
          <w:tcPr>
            <w:tcW w:w="4780" w:type="dxa"/>
            <w:vAlign w:val="bottom"/>
            <w:gridSpan w:val="2"/>
            <w:vMerge w:val="continue"/>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4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4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31,242,228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year ended December 31, 2020, we capitalized fees of $190,799.</w:t>
      </w:r>
    </w:p>
    <w:p>
      <w:pPr>
        <w:spacing w:after="0" w:line="252" w:lineRule="exact"/>
        <w:rPr>
          <w:sz w:val="20"/>
          <w:szCs w:val="20"/>
          <w:color w:val="auto"/>
        </w:rPr>
      </w:pPr>
    </w:p>
    <w:p>
      <w:pPr>
        <w:jc w:val="both"/>
        <w:ind w:firstLine="251"/>
        <w:spacing w:after="0" w:line="342" w:lineRule="auto"/>
        <w:rPr>
          <w:sz w:val="20"/>
          <w:szCs w:val="20"/>
          <w:color w:val="auto"/>
        </w:rPr>
      </w:pPr>
      <w:r>
        <w:rPr>
          <w:rFonts w:ascii="Arial" w:cs="Arial" w:eastAsia="Arial" w:hAnsi="Arial"/>
          <w:sz w:val="16"/>
          <w:szCs w:val="16"/>
          <w:color w:val="auto"/>
        </w:rPr>
        <w:t>During the year ended December 31, 2020, we exited investments in an amount of $31,245,944, net of transaction costs, and realized a net gain on investments of $16,441,223 (including U.S. Treasury investments and adjustments to amounts held in escrow receivable) as shown in following table:</w:t>
      </w:r>
    </w:p>
    <w:p>
      <w:pPr>
        <w:spacing w:after="0" w:line="18"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66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240" w:type="dxa"/>
            <w:vAlign w:val="bottom"/>
          </w:tcPr>
          <w:p>
            <w:pPr>
              <w:spacing w:after="0"/>
              <w:rPr>
                <w:sz w:val="20"/>
                <w:szCs w:val="20"/>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Net Proceeds</w:t>
            </w:r>
          </w:p>
        </w:tc>
        <w:tc>
          <w:tcPr>
            <w:tcW w:w="1700" w:type="dxa"/>
            <w:vAlign w:val="bottom"/>
            <w:gridSpan w:val="2"/>
          </w:tcPr>
          <w:p>
            <w:pPr>
              <w:jc w:val="right"/>
              <w:spacing w:after="0"/>
              <w:rPr>
                <w:sz w:val="20"/>
                <w:szCs w:val="20"/>
                <w:color w:val="auto"/>
              </w:rPr>
            </w:pPr>
            <w:r>
              <w:rPr>
                <w:rFonts w:ascii="Arial" w:cs="Arial" w:eastAsia="Arial" w:hAnsi="Arial"/>
                <w:sz w:val="16"/>
                <w:szCs w:val="16"/>
                <w:b w:val="1"/>
                <w:bCs w:val="1"/>
                <w:color w:val="auto"/>
                <w:w w:val="91"/>
              </w:rPr>
              <w:t>Realized Gain/(Loss)</w:t>
            </w:r>
            <w:r>
              <w:rPr>
                <w:rFonts w:ascii="Arial" w:cs="Arial" w:eastAsia="Arial" w:hAnsi="Arial"/>
                <w:sz w:val="21"/>
                <w:szCs w:val="21"/>
                <w:b w:val="1"/>
                <w:bCs w:val="1"/>
                <w:color w:val="auto"/>
                <w:w w:val="91"/>
                <w:vertAlign w:val="superscript"/>
              </w:rPr>
              <w:t>(2)</w:t>
            </w:r>
          </w:p>
        </w:tc>
      </w:tr>
      <w:tr>
        <w:trPr>
          <w:trHeight w:val="210"/>
        </w:trPr>
        <w:tc>
          <w:tcPr>
            <w:tcW w:w="7560" w:type="dxa"/>
            <w:vAlign w:val="bottom"/>
            <w:tcBorders>
              <w:top w:val="single" w:sz="8" w:color="auto"/>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Parchment, Inc.</w:t>
            </w:r>
            <w:r>
              <w:rPr>
                <w:rFonts w:ascii="Arial" w:cs="Arial" w:eastAsia="Arial" w:hAnsi="Arial"/>
                <w:sz w:val="21"/>
                <w:szCs w:val="21"/>
                <w:color w:val="auto"/>
                <w:vertAlign w:val="superscript"/>
              </w:rPr>
              <w:t>(3)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10,876,621</w:t>
            </w:r>
          </w:p>
        </w:tc>
        <w:tc>
          <w:tcPr>
            <w:tcW w:w="1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2"/>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6,785,364</w:t>
            </w:r>
          </w:p>
        </w:tc>
      </w:tr>
      <w:tr>
        <w:trPr>
          <w:trHeight w:val="216"/>
        </w:trPr>
        <w:tc>
          <w:tcPr>
            <w:tcW w:w="7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4C Insights (f/k/a The Echo Systems Corp.)</w:t>
            </w:r>
            <w:r>
              <w:rPr>
                <w:rFonts w:ascii="Arial" w:cs="Arial" w:eastAsia="Arial" w:hAnsi="Arial"/>
                <w:sz w:val="21"/>
                <w:szCs w:val="21"/>
                <w:color w:val="auto"/>
                <w:vertAlign w:val="superscript"/>
              </w:rPr>
              <w:t>(4)</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807,952</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ind w:left="540"/>
              <w:spacing w:after="0"/>
              <w:rPr>
                <w:sz w:val="20"/>
                <w:szCs w:val="20"/>
                <w:color w:val="auto"/>
              </w:rPr>
            </w:pPr>
            <w:r>
              <w:rPr>
                <w:rFonts w:ascii="Arial" w:cs="Arial" w:eastAsia="Arial" w:hAnsi="Arial"/>
                <w:sz w:val="16"/>
                <w:szCs w:val="16"/>
                <w:color w:val="auto"/>
                <w:w w:val="96"/>
              </w:rPr>
              <w:t>(628,452)</w:t>
            </w:r>
          </w:p>
        </w:tc>
      </w:tr>
      <w:tr>
        <w:trPr>
          <w:trHeight w:val="216"/>
        </w:trPr>
        <w:tc>
          <w:tcPr>
            <w:tcW w:w="76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Palantir Technologies, Inc.</w:t>
            </w:r>
            <w:r>
              <w:rPr>
                <w:rFonts w:ascii="Arial" w:cs="Arial" w:eastAsia="Arial" w:hAnsi="Arial"/>
                <w:sz w:val="21"/>
                <w:szCs w:val="21"/>
                <w:color w:val="auto"/>
                <w:vertAlign w:val="superscript"/>
              </w:rPr>
              <w:t>(5)</w:t>
            </w: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11,671,878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8,357,068</w:t>
            </w:r>
          </w:p>
        </w:tc>
      </w:tr>
      <w:tr>
        <w:trPr>
          <w:trHeight w:val="216"/>
        </w:trPr>
        <w:tc>
          <w:tcPr>
            <w:tcW w:w="766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Palantir Lending Trust SPV I</w:t>
            </w:r>
            <w:r>
              <w:rPr>
                <w:rFonts w:ascii="Arial" w:cs="Arial" w:eastAsia="Arial" w:hAnsi="Arial"/>
                <w:sz w:val="21"/>
                <w:szCs w:val="21"/>
                <w:color w:val="auto"/>
                <w:vertAlign w:val="superscript"/>
              </w:rPr>
              <w:t>(6)</w:t>
            </w: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7,889,493</w:t>
            </w: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540"/>
              <w:spacing w:after="0" w:line="216" w:lineRule="exact"/>
              <w:rPr>
                <w:sz w:val="20"/>
                <w:szCs w:val="20"/>
                <w:color w:val="auto"/>
              </w:rPr>
            </w:pPr>
            <w:r>
              <w:rPr>
                <w:rFonts w:ascii="Arial" w:cs="Arial" w:eastAsia="Arial" w:hAnsi="Arial"/>
                <w:sz w:val="16"/>
                <w:szCs w:val="16"/>
                <w:color w:val="auto"/>
                <w:w w:val="88"/>
              </w:rPr>
              <w:t>988,892</w:t>
            </w:r>
            <w:r>
              <w:rPr>
                <w:rFonts w:ascii="Arial" w:cs="Arial" w:eastAsia="Arial" w:hAnsi="Arial"/>
                <w:sz w:val="21"/>
                <w:szCs w:val="21"/>
                <w:color w:val="auto"/>
                <w:w w:val="88"/>
                <w:vertAlign w:val="superscript"/>
              </w:rPr>
              <w:t>(7)</w:t>
            </w:r>
          </w:p>
        </w:tc>
      </w:tr>
      <w:tr>
        <w:trPr>
          <w:trHeight w:val="235"/>
        </w:trPr>
        <w:tc>
          <w:tcPr>
            <w:tcW w:w="7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Total</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31,245,944</w:t>
            </w: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15,502,872</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w:t>
      </w:r>
    </w:p>
    <w:p>
      <w:pPr>
        <w:spacing w:after="0" w:line="2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7" w:lineRule="exact"/>
        <w:rPr>
          <w:rFonts w:ascii="Arial" w:cs="Arial" w:eastAsia="Arial" w:hAnsi="Arial"/>
          <w:sz w:val="16"/>
          <w:szCs w:val="16"/>
          <w:color w:val="auto"/>
        </w:rPr>
      </w:pPr>
    </w:p>
    <w:p>
      <w:pPr>
        <w:ind w:left="500" w:hanging="492"/>
        <w:spacing w:after="0"/>
        <w:tabs>
          <w:tab w:leader="none" w:pos="5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Realized gain/(loss) does not include amounts held in escrow receivable or any realized gain/(loss) incurred on the maturity of our U.S. Treasury investments.</w:t>
      </w:r>
    </w:p>
    <w:p>
      <w:pPr>
        <w:spacing w:after="0" w:line="16" w:lineRule="exact"/>
        <w:rPr>
          <w:rFonts w:ascii="Arial" w:cs="Arial" w:eastAsia="Arial" w:hAnsi="Arial"/>
          <w:sz w:val="15"/>
          <w:szCs w:val="15"/>
          <w:color w:val="auto"/>
        </w:rPr>
      </w:pPr>
    </w:p>
    <w:p>
      <w:pPr>
        <w:ind w:left="500" w:hanging="492"/>
        <w:spacing w:after="0" w:line="246"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January 31, 2020, Parchment, Inc. closed a merger with Credentials Solutions. As a result of the transaction, we received $10,876,621 in net proceeds. As of December 31, 2020, we received all escrow proceeds of $90,275.</w:t>
      </w:r>
    </w:p>
    <w:p>
      <w:pPr>
        <w:jc w:val="both"/>
        <w:ind w:left="500" w:hanging="492"/>
        <w:spacing w:after="0" w:line="246"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 As of December 31, 2020, we have received $12,900 in escrow proceeds, and expect to receive $43,223 in additional escrow proceeds in 2021.</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As of December 31, 2020, we held 4,618,952 remaining Class A common shares of Palantir Technologies, Inc., all of which were subject to lock-up restrictions.</w:t>
      </w:r>
    </w:p>
    <w:p>
      <w:pPr>
        <w:spacing w:after="0" w:line="16" w:lineRule="exact"/>
        <w:rPr>
          <w:rFonts w:ascii="Arial" w:cs="Arial" w:eastAsia="Arial" w:hAnsi="Arial"/>
          <w:sz w:val="15"/>
          <w:szCs w:val="15"/>
          <w:color w:val="auto"/>
        </w:rPr>
      </w:pPr>
    </w:p>
    <w:p>
      <w:pPr>
        <w:jc w:val="both"/>
        <w:ind w:left="500" w:hanging="492"/>
        <w:spacing w:after="0" w:line="249"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Palantir Lending Trust SPV I promissory note was initially collateralized with 2,260,000 Class A common shares of Palantir Technologies, Inc. The collateralized loan to Palantir Lending Trust SPV I matures on June 19, 2022 and includes a 15% interest rate. Through the collateralized loan, SuRo Capital Corp. participated in additional upside in a future Palantir Technologies, Inc. liquidity event by receiving a percentage of the share price appreciation as captured in the Equity Participation in Underlying Collateral security. As of December 31, 2020, the balance of the loan and all guaranteed interest has been fully repaid, and SuRo Capital Corp.</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22" w:right="339" w:bottom="1440" w:gutter="0" w:footer="0" w:header="0"/>
        </w:sectPr>
      </w:pPr>
    </w:p>
    <w:bookmarkStart w:id="61" w:name="page62"/>
    <w:bookmarkEnd w:id="6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line="255" w:lineRule="auto"/>
        <w:rPr>
          <w:sz w:val="20"/>
          <w:szCs w:val="20"/>
          <w:color w:val="auto"/>
        </w:rPr>
      </w:pPr>
      <w:r>
        <w:rPr>
          <w:rFonts w:ascii="Arial" w:cs="Arial" w:eastAsia="Arial" w:hAnsi="Arial"/>
          <w:sz w:val="16"/>
          <w:szCs w:val="16"/>
          <w:color w:val="auto"/>
        </w:rPr>
        <w:t>retains the right to upside on 1,312,290 shares as captured in the Equity Participation in Underlying Collateral security. The net proceeds figure does not include accrued guaranteed interest received of $782,125.</w:t>
      </w:r>
    </w:p>
    <w:p>
      <w:pPr>
        <w:spacing w:after="0" w:line="1" w:lineRule="exact"/>
        <w:rPr>
          <w:sz w:val="20"/>
          <w:szCs w:val="20"/>
          <w:color w:val="auto"/>
        </w:rPr>
      </w:pPr>
    </w:p>
    <w:p>
      <w:pPr>
        <w:ind w:left="500" w:right="20" w:hanging="492"/>
        <w:spacing w:after="0" w:line="257" w:lineRule="auto"/>
        <w:tabs>
          <w:tab w:leader="none" w:pos="5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spacing w:after="0" w:line="208" w:lineRule="exact"/>
        <w:rPr>
          <w:sz w:val="20"/>
          <w:szCs w:val="20"/>
          <w:color w:val="auto"/>
        </w:rPr>
      </w:pPr>
    </w:p>
    <w:p>
      <w:pPr>
        <w:ind w:firstLine="220"/>
        <w:spacing w:after="0" w:line="277" w:lineRule="auto"/>
        <w:rPr>
          <w:sz w:val="20"/>
          <w:szCs w:val="20"/>
          <w:color w:val="auto"/>
        </w:rPr>
      </w:pPr>
      <w:r>
        <w:rPr>
          <w:rFonts w:ascii="Arial" w:cs="Arial" w:eastAsia="Arial" w:hAnsi="Arial"/>
          <w:sz w:val="18"/>
          <w:szCs w:val="18"/>
          <w:color w:val="auto"/>
        </w:rPr>
        <w:t>During the year ended December 31, 2020, we did not write-off any investments and our CUX, Inc. (d/b/a CorpU) Series D preferred warrants with a strike price of $4.59, expired on February 14, 2020.</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2019</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During the year ended December 31, 2019, we funded investments in an aggregate amount of $25,530,000 (not including capitalized transaction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shown in the following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Portfolio Company</w:t>
            </w:r>
          </w:p>
        </w:tc>
        <w:tc>
          <w:tcPr>
            <w:tcW w:w="100" w:type="dxa"/>
            <w:vAlign w:val="bottom"/>
            <w:tcBorders>
              <w:bottom w:val="single" w:sz="8" w:color="CCEEFF"/>
            </w:tcBorders>
          </w:tcPr>
          <w:p>
            <w:pPr>
              <w:spacing w:after="0"/>
              <w:rPr>
                <w:sz w:val="18"/>
                <w:szCs w:val="18"/>
                <w:color w:val="auto"/>
              </w:rPr>
            </w:pPr>
          </w:p>
        </w:tc>
        <w:tc>
          <w:tcPr>
            <w:tcW w:w="4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Investment</w:t>
            </w:r>
          </w:p>
        </w:tc>
        <w:tc>
          <w:tcPr>
            <w:tcW w:w="1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Transaction Date</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1"/>
              </w:rPr>
              <w:t>Gross Payments</w:t>
            </w:r>
          </w:p>
        </w:tc>
      </w:tr>
      <w:tr>
        <w:trPr>
          <w:trHeight w:val="213"/>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Neutron Holdings, Inc. (d/b/a Lime)</w:t>
            </w:r>
          </w:p>
        </w:tc>
        <w:tc>
          <w:tcPr>
            <w:tcW w:w="4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Preferred Shares, Series D</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1/25/2019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10,000,000</w:t>
            </w: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41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Convertible Promissory Note 5% Due 1/31/2021</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8/12/2019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280,000</w:t>
            </w:r>
          </w:p>
        </w:tc>
      </w:tr>
      <w:tr>
        <w:trPr>
          <w:trHeight w:val="21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GreenAcreage Real Estate Corp.</w:t>
            </w:r>
          </w:p>
        </w:tc>
        <w:tc>
          <w:tcPr>
            <w:tcW w:w="4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Common shares</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8/12/2019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r>
      <w:tr>
        <w:trPr>
          <w:trHeight w:val="213"/>
        </w:trPr>
        <w:tc>
          <w:tcPr>
            <w:tcW w:w="3820" w:type="dxa"/>
            <w:vAlign w:val="bottom"/>
            <w:gridSpan w:val="2"/>
          </w:tcPr>
          <w:p>
            <w:pPr>
              <w:ind w:left="20"/>
              <w:spacing w:after="0"/>
              <w:rPr>
                <w:sz w:val="20"/>
                <w:szCs w:val="20"/>
                <w:color w:val="auto"/>
              </w:rPr>
            </w:pPr>
            <w:r>
              <w:rPr>
                <w:rFonts w:ascii="Arial" w:cs="Arial" w:eastAsia="Arial" w:hAnsi="Arial"/>
                <w:sz w:val="16"/>
                <w:szCs w:val="16"/>
                <w:color w:val="auto"/>
              </w:rPr>
              <w:t>Treehouse Real Estate Investment Trust, Inc.</w:t>
            </w:r>
          </w:p>
        </w:tc>
        <w:tc>
          <w:tcPr>
            <w:tcW w:w="414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Common shares</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9/11/2019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7,500,000</w:t>
            </w:r>
          </w:p>
        </w:tc>
      </w:tr>
      <w:tr>
        <w:trPr>
          <w:trHeight w:val="216"/>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Stormwind, LLC</w:t>
            </w:r>
          </w:p>
        </w:tc>
        <w:tc>
          <w:tcPr>
            <w:tcW w:w="41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Preferred shares, Series D</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11/26/2019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250,000</w:t>
            </w:r>
          </w:p>
        </w:tc>
      </w:tr>
      <w:tr>
        <w:trPr>
          <w:trHeight w:val="212"/>
        </w:trPr>
        <w:tc>
          <w:tcPr>
            <w:tcW w:w="382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25,530,000</w:t>
            </w:r>
          </w:p>
        </w:tc>
      </w:tr>
      <w:tr>
        <w:trPr>
          <w:trHeight w:val="21"/>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During the year ended December 31, 2019, we capitalized fees of $39,685.</w:t>
      </w:r>
    </w:p>
    <w:p>
      <w:pPr>
        <w:spacing w:after="0" w:line="252" w:lineRule="exact"/>
        <w:rPr>
          <w:sz w:val="20"/>
          <w:szCs w:val="20"/>
          <w:color w:val="auto"/>
        </w:rPr>
      </w:pPr>
    </w:p>
    <w:p>
      <w:pPr>
        <w:jc w:val="both"/>
        <w:ind w:firstLine="271"/>
        <w:spacing w:after="0" w:line="277" w:lineRule="auto"/>
        <w:rPr>
          <w:sz w:val="20"/>
          <w:szCs w:val="20"/>
          <w:color w:val="auto"/>
        </w:rPr>
      </w:pPr>
      <w:r>
        <w:rPr>
          <w:rFonts w:ascii="Arial" w:cs="Arial" w:eastAsia="Arial" w:hAnsi="Arial"/>
          <w:sz w:val="18"/>
          <w:szCs w:val="18"/>
          <w:color w:val="auto"/>
        </w:rPr>
        <w:t>During the year ended December 31, 2019, we sold investments in an amount of $65,603,252, net of transaction costs, and realized a net gain on investments of $19,179,340 (including U.S. Treasury investments) as shown in following table:</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Portfolio Investment</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Net Proceeds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8"/>
              </w:rPr>
              <w:t>Realized Gain/(Loss)</w:t>
            </w:r>
            <w:r>
              <w:rPr>
                <w:rFonts w:ascii="Arial" w:cs="Arial" w:eastAsia="Arial" w:hAnsi="Arial"/>
                <w:sz w:val="21"/>
                <w:szCs w:val="21"/>
                <w:b w:val="1"/>
                <w:bCs w:val="1"/>
                <w:color w:val="auto"/>
                <w:w w:val="88"/>
                <w:vertAlign w:val="superscript"/>
              </w:rPr>
              <w:t>(2)</w:t>
            </w:r>
          </w:p>
        </w:tc>
      </w:tr>
      <w:tr>
        <w:trPr>
          <w:trHeight w:val="210"/>
        </w:trPr>
        <w:tc>
          <w:tcPr>
            <w:tcW w:w="7600" w:type="dxa"/>
            <w:vAlign w:val="bottom"/>
            <w:gridSpan w:val="2"/>
            <w:shd w:val="clear" w:color="auto" w:fill="CCEEFF"/>
          </w:tcPr>
          <w:p>
            <w:pPr>
              <w:ind w:left="20"/>
              <w:spacing w:after="0" w:line="210" w:lineRule="exact"/>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(12,334,151)</w:t>
            </w:r>
          </w:p>
        </w:tc>
      </w:tr>
      <w:tr>
        <w:trPr>
          <w:trHeight w:val="216"/>
        </w:trPr>
        <w:tc>
          <w:tcPr>
            <w:tcW w:w="76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Spotify Technologies S.A.</w:t>
            </w:r>
            <w:r>
              <w:rPr>
                <w:rFonts w:ascii="Arial" w:cs="Arial" w:eastAsia="Arial" w:hAnsi="Arial"/>
                <w:sz w:val="21"/>
                <w:szCs w:val="21"/>
                <w:color w:val="auto"/>
                <w:vertAlign w:val="superscript"/>
              </w:rPr>
              <w:t>(4)</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32,547,633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22,545,550</w:t>
            </w:r>
          </w:p>
        </w:tc>
      </w:tr>
      <w:tr>
        <w:trPr>
          <w:trHeight w:val="216"/>
        </w:trPr>
        <w:tc>
          <w:tcPr>
            <w:tcW w:w="7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Dropbox, Inc.</w:t>
            </w:r>
            <w:r>
              <w:rPr>
                <w:rFonts w:ascii="Arial" w:cs="Arial" w:eastAsia="Arial" w:hAnsi="Arial"/>
                <w:sz w:val="21"/>
                <w:szCs w:val="21"/>
                <w:color w:val="auto"/>
                <w:vertAlign w:val="superscript"/>
              </w:rPr>
              <w:t>(5)</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19,723,591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6,066,664</w:t>
            </w:r>
          </w:p>
        </w:tc>
      </w:tr>
      <w:tr>
        <w:trPr>
          <w:trHeight w:val="216"/>
        </w:trPr>
        <w:tc>
          <w:tcPr>
            <w:tcW w:w="76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Knewton, Inc.</w:t>
            </w:r>
            <w:r>
              <w:rPr>
                <w:rFonts w:ascii="Arial" w:cs="Arial" w:eastAsia="Arial" w:hAnsi="Arial"/>
                <w:sz w:val="21"/>
                <w:szCs w:val="21"/>
                <w:color w:val="auto"/>
                <w:vertAlign w:val="superscript"/>
              </w:rPr>
              <w:t>(6)</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51,511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(5,083,701)</w:t>
            </w:r>
          </w:p>
        </w:tc>
      </w:tr>
      <w:tr>
        <w:trPr>
          <w:trHeight w:val="216"/>
        </w:trPr>
        <w:tc>
          <w:tcPr>
            <w:tcW w:w="7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CUX, Inc. (d/b/a CorpU)</w:t>
            </w:r>
            <w:r>
              <w:rPr>
                <w:rFonts w:ascii="Arial" w:cs="Arial" w:eastAsia="Arial" w:hAnsi="Arial"/>
                <w:sz w:val="21"/>
                <w:szCs w:val="21"/>
                <w:color w:val="auto"/>
                <w:vertAlign w:val="superscript"/>
              </w:rPr>
              <w:t>(7)</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(109,331)</w:t>
            </w:r>
          </w:p>
        </w:tc>
      </w:tr>
      <w:tr>
        <w:trPr>
          <w:trHeight w:val="216"/>
        </w:trPr>
        <w:tc>
          <w:tcPr>
            <w:tcW w:w="76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Lyft, Inc.</w:t>
            </w:r>
            <w:r>
              <w:rPr>
                <w:rFonts w:ascii="Arial" w:cs="Arial" w:eastAsia="Arial" w:hAnsi="Arial"/>
                <w:sz w:val="21"/>
                <w:szCs w:val="21"/>
                <w:color w:val="auto"/>
                <w:vertAlign w:val="superscript"/>
              </w:rPr>
              <w:t>(8)</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13,280,517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8,983,623</w:t>
            </w:r>
          </w:p>
        </w:tc>
      </w:tr>
      <w:tr>
        <w:trPr>
          <w:trHeight w:val="216"/>
        </w:trPr>
        <w:tc>
          <w:tcPr>
            <w:tcW w:w="7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EdSurge, Inc.</w:t>
            </w:r>
            <w:r>
              <w:rPr>
                <w:rFonts w:ascii="Arial" w:cs="Arial" w:eastAsia="Arial" w:hAnsi="Arial"/>
                <w:sz w:val="21"/>
                <w:szCs w:val="21"/>
                <w:color w:val="auto"/>
                <w:vertAlign w:val="superscript"/>
              </w:rPr>
              <w:t>(9)</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(1,002,161)</w:t>
            </w:r>
          </w:p>
        </w:tc>
      </w:tr>
      <w:tr>
        <w:trPr>
          <w:trHeight w:val="210"/>
        </w:trPr>
        <w:tc>
          <w:tcPr>
            <w:tcW w:w="760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65,603,252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19,066,493</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w:t>
      </w:r>
    </w:p>
    <w:p>
      <w:pPr>
        <w:spacing w:after="0" w:line="25"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average net share price is the net share price realized after deducting all commissions and fees on the sale(s), if applicable.</w:t>
      </w:r>
    </w:p>
    <w:p>
      <w:pPr>
        <w:spacing w:after="0" w:line="7"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Realized gain/(loss) does not include amounts held in escrow or any realized gain or loss incurred on the maturity of our U.S. Treasury investments.</w:t>
      </w:r>
    </w:p>
    <w:p>
      <w:pPr>
        <w:spacing w:after="0" w:line="5" w:lineRule="exact"/>
        <w:rPr>
          <w:rFonts w:ascii="Arial" w:cs="Arial" w:eastAsia="Arial" w:hAnsi="Arial"/>
          <w:sz w:val="16"/>
          <w:szCs w:val="16"/>
          <w:color w:val="auto"/>
        </w:rPr>
      </w:pPr>
    </w:p>
    <w:p>
      <w:pPr>
        <w:jc w:val="both"/>
        <w:ind w:left="500" w:hanging="492"/>
        <w:spacing w:after="0" w:line="24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March 11, 2019, Declara, Inc. entered into a definitive agreement to be acquired by Declara Holdings, Inc., a subsidiary of Futuryng, Inc. Despite the existence of an earn-out provision, as a result of the transaction, the Company does not expect to receive any proceeds. The exit of Declara, Inc. included a 12% Convertible Promissory Note with a principal value of $2,334,152.</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May 2, 2019, all remaining shares of Spotify Technologies S.A. held by us had been sold.</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September 19, 2019, all remaining shares of Dropbox, Inc. held by us had been sold.</w:t>
      </w:r>
    </w:p>
    <w:p>
      <w:pPr>
        <w:spacing w:after="0" w:line="5" w:lineRule="exact"/>
        <w:rPr>
          <w:rFonts w:ascii="Arial" w:cs="Arial" w:eastAsia="Arial" w:hAnsi="Arial"/>
          <w:sz w:val="16"/>
          <w:szCs w:val="16"/>
          <w:color w:val="auto"/>
        </w:rPr>
      </w:pPr>
    </w:p>
    <w:p>
      <w:pPr>
        <w:ind w:left="500" w:hanging="492"/>
        <w:spacing w:after="0" w:line="24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May 31, 2019, a sale of substantially all of Knewton, Inc. to Wiley Education was completed. As a result of the transaction, we received $51,511 in net proceeds in 2019 and $26,254 in escrow proceeds in 2020.</w:t>
      </w:r>
    </w:p>
    <w:p>
      <w:pPr>
        <w:jc w:val="both"/>
        <w:ind w:left="500" w:hanging="492"/>
        <w:spacing w:after="0" w:line="246"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October 24, 2019, CUX, Inc. (d/b/a CorpU) completed a recapitalization, which amended our investment in the Senior Subordinated Convertible Promissory Note. As a result of the recapitalization, the principal amount of our Senior Subordinated Convertible Promissory Note was reduced by $109,331, the interest rate was reduced to 4%, and the maturity was extended to February 14, 2023.</w:t>
      </w:r>
    </w:p>
    <w:p>
      <w:pPr>
        <w:spacing w:after="0" w:line="1" w:lineRule="exact"/>
        <w:rPr>
          <w:rFonts w:ascii="Arial" w:cs="Arial" w:eastAsia="Arial" w:hAnsi="Arial"/>
          <w:sz w:val="16"/>
          <w:szCs w:val="16"/>
          <w:color w:val="auto"/>
        </w:rPr>
      </w:pPr>
    </w:p>
    <w:p>
      <w:pPr>
        <w:ind w:left="500" w:hanging="492"/>
        <w:spacing w:after="0"/>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November 4, 2019, all remaining shares of Lyft, Inc. held by us had been sold.</w:t>
      </w:r>
    </w:p>
    <w:p>
      <w:pPr>
        <w:spacing w:after="0" w:line="5" w:lineRule="exact"/>
        <w:rPr>
          <w:rFonts w:ascii="Arial" w:cs="Arial" w:eastAsia="Arial" w:hAnsi="Arial"/>
          <w:sz w:val="16"/>
          <w:szCs w:val="16"/>
          <w:color w:val="auto"/>
        </w:rPr>
      </w:pPr>
    </w:p>
    <w:p>
      <w:pPr>
        <w:ind w:left="500" w:right="20" w:hanging="492"/>
        <w:spacing w:after="0" w:line="257" w:lineRule="auto"/>
        <w:tabs>
          <w:tab w:leader="none" w:pos="5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of December 12, 2019, all remaining shares of EdSurge, Inc. held by us had been sold in a transaction with the International Society for Technology in Education (ISTE). As a result of the transaction, we do not expect to receive any proceeds.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year ended December 31, 2019, we did not write-off any investments.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240"/>
          </w:cols>
          <w:pgMar w:left="320" w:top="122" w:right="339" w:bottom="1440" w:gutter="0" w:footer="0" w:header="0"/>
          <w:type w:val="continuous"/>
        </w:sectPr>
      </w:pPr>
    </w:p>
    <w:bookmarkStart w:id="62" w:name="page63"/>
    <w:bookmarkEnd w:id="6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the year ended December 31, 2018, we funded investments in an aggregate amount of $10,636,685 (not including capitalized transaction costs)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shown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Borders>
              <w:bottom w:val="single" w:sz="8" w:color="CCEEFF"/>
            </w:tcBorders>
          </w:tcPr>
          <w:p>
            <w:pPr>
              <w:spacing w:after="0"/>
              <w:rPr>
                <w:sz w:val="16"/>
                <w:szCs w:val="16"/>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3"/>
              </w:rPr>
              <w:t>Transaction Date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88"/>
              </w:rPr>
              <w:t>Gross Payments</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Ozy Media, Inc.</w:t>
            </w:r>
            <w:r>
              <w:rPr>
                <w:rFonts w:ascii="Arial" w:cs="Arial" w:eastAsia="Arial" w:hAnsi="Arial"/>
                <w:sz w:val="21"/>
                <w:szCs w:val="21"/>
                <w:color w:val="auto"/>
                <w:vertAlign w:val="superscript"/>
              </w:rPr>
              <w:t>(1)</w:t>
            </w:r>
          </w:p>
        </w:tc>
        <w:tc>
          <w:tcPr>
            <w:tcW w:w="120" w:type="dxa"/>
            <w:vAlign w:val="bottom"/>
            <w:shd w:val="clear" w:color="auto" w:fill="CCEEFF"/>
          </w:tcPr>
          <w:p>
            <w:pPr>
              <w:spacing w:after="0"/>
              <w:rPr>
                <w:sz w:val="18"/>
                <w:szCs w:val="18"/>
                <w:color w:val="auto"/>
              </w:rPr>
            </w:pPr>
          </w:p>
        </w:tc>
        <w:tc>
          <w:tcPr>
            <w:tcW w:w="5220" w:type="dxa"/>
            <w:vAlign w:val="bottom"/>
            <w:gridSpan w:val="2"/>
            <w:shd w:val="clear" w:color="auto" w:fill="CCEEFF"/>
          </w:tcPr>
          <w:p>
            <w:pPr>
              <w:jc w:val="center"/>
              <w:ind w:right="140"/>
              <w:spacing w:after="0"/>
              <w:rPr>
                <w:sz w:val="20"/>
                <w:szCs w:val="20"/>
                <w:color w:val="auto"/>
              </w:rPr>
            </w:pPr>
            <w:r>
              <w:rPr>
                <w:rFonts w:ascii="Arial" w:cs="Arial" w:eastAsia="Arial" w:hAnsi="Arial"/>
                <w:sz w:val="16"/>
                <w:szCs w:val="16"/>
                <w:color w:val="auto"/>
                <w:w w:val="92"/>
              </w:rPr>
              <w:t>Promissory Note 10% Due 2/12/2018</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1/12/2018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16"/>
        </w:trPr>
        <w:tc>
          <w:tcPr>
            <w:tcW w:w="3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SharesPost, Inc.</w:t>
            </w:r>
            <w:r>
              <w:rPr>
                <w:rFonts w:ascii="Arial" w:cs="Arial" w:eastAsia="Arial" w:hAnsi="Arial"/>
                <w:sz w:val="21"/>
                <w:szCs w:val="21"/>
                <w:color w:val="auto"/>
                <w:vertAlign w:val="superscript"/>
              </w:rPr>
              <w:t>(2)</w:t>
            </w:r>
          </w:p>
        </w:tc>
        <w:tc>
          <w:tcPr>
            <w:tcW w:w="52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shares</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6/15/2018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100,221</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Knewton, Inc.</w:t>
            </w:r>
          </w:p>
        </w:tc>
        <w:tc>
          <w:tcPr>
            <w:tcW w:w="52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Unsecured Convertible Promissory Note 8% Due 12/31/2019</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7/23/2018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134,405</w:t>
            </w: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Nextdoor.com, Inc.</w:t>
            </w:r>
          </w:p>
        </w:tc>
        <w:tc>
          <w:tcPr>
            <w:tcW w:w="52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shares</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9/27/2018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6,326,790</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Nextdoor.com, Inc.</w:t>
            </w:r>
          </w:p>
        </w:tc>
        <w:tc>
          <w:tcPr>
            <w:tcW w:w="52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0"/>
              </w:rPr>
              <w:t>Common shares</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12/19/2018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1,390,373</w:t>
            </w:r>
          </w:p>
        </w:tc>
        <w:tc>
          <w:tcPr>
            <w:tcW w:w="0" w:type="dxa"/>
            <w:vAlign w:val="bottom"/>
          </w:tcPr>
          <w:p>
            <w:pPr>
              <w:spacing w:after="0"/>
              <w:rPr>
                <w:sz w:val="1"/>
                <w:szCs w:val="1"/>
                <w:color w:val="auto"/>
              </w:rPr>
            </w:pPr>
          </w:p>
        </w:tc>
      </w:tr>
      <w:tr>
        <w:trPr>
          <w:trHeight w:val="213"/>
        </w:trPr>
        <w:tc>
          <w:tcPr>
            <w:tcW w:w="3460" w:type="dxa"/>
            <w:vAlign w:val="bottom"/>
            <w:gridSpan w:val="2"/>
          </w:tcPr>
          <w:p>
            <w:pPr>
              <w:ind w:left="20"/>
              <w:spacing w:after="0"/>
              <w:rPr>
                <w:sz w:val="20"/>
                <w:szCs w:val="20"/>
                <w:color w:val="auto"/>
              </w:rPr>
            </w:pPr>
            <w:r>
              <w:rPr>
                <w:rFonts w:ascii="Arial" w:cs="Arial" w:eastAsia="Arial" w:hAnsi="Arial"/>
                <w:sz w:val="16"/>
                <w:szCs w:val="16"/>
                <w:color w:val="auto"/>
              </w:rPr>
              <w:t>Nextdoor.com, Inc.</w:t>
            </w:r>
          </w:p>
        </w:tc>
        <w:tc>
          <w:tcPr>
            <w:tcW w:w="52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Common shares</w:t>
            </w: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12/27/2018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2,284,896</w:t>
            </w:r>
          </w:p>
        </w:tc>
        <w:tc>
          <w:tcPr>
            <w:tcW w:w="0" w:type="dxa"/>
            <w:vAlign w:val="bottom"/>
          </w:tcPr>
          <w:p>
            <w:pPr>
              <w:spacing w:after="0"/>
              <w:rPr>
                <w:sz w:val="1"/>
                <w:szCs w:val="1"/>
                <w:color w:val="auto"/>
              </w:rPr>
            </w:pPr>
          </w:p>
        </w:tc>
      </w:tr>
      <w:tr>
        <w:trPr>
          <w:trHeight w:val="219"/>
        </w:trPr>
        <w:tc>
          <w:tcPr>
            <w:tcW w:w="34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NestGSV, Inc. (d/b/a OneValley, Inc.)</w:t>
            </w:r>
            <w:r>
              <w:rPr>
                <w:rFonts w:ascii="Arial" w:cs="Arial" w:eastAsia="Arial" w:hAnsi="Arial"/>
                <w:sz w:val="21"/>
                <w:szCs w:val="21"/>
                <w:color w:val="auto"/>
                <w:vertAlign w:val="superscript"/>
              </w:rPr>
              <w:t>(3)</w:t>
            </w:r>
          </w:p>
        </w:tc>
        <w:tc>
          <w:tcPr>
            <w:tcW w:w="52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Unsecured Convertible Promissory Note 12% Due 12/31/2019</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12/31/2018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09"/>
        </w:trPr>
        <w:tc>
          <w:tcPr>
            <w:tcW w:w="3460" w:type="dxa"/>
            <w:vAlign w:val="bottom"/>
            <w:gridSpan w:val="2"/>
          </w:tcPr>
          <w:p>
            <w:pPr>
              <w:ind w:left="140"/>
              <w:spacing w:after="0"/>
              <w:rPr>
                <w:sz w:val="20"/>
                <w:szCs w:val="20"/>
                <w:color w:val="auto"/>
              </w:rPr>
            </w:pPr>
            <w:r>
              <w:rPr>
                <w:rFonts w:ascii="Arial" w:cs="Arial" w:eastAsia="Arial" w:hAnsi="Arial"/>
                <w:sz w:val="16"/>
                <w:szCs w:val="16"/>
                <w:b w:val="1"/>
                <w:bCs w:val="1"/>
                <w:color w:val="auto"/>
              </w:rPr>
              <w:t>Total</w:t>
            </w: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10,636,685</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6"/>
                <w:szCs w:val="16"/>
                <w:b w:val="1"/>
                <w:bCs w:val="1"/>
                <w:color w:val="auto"/>
              </w:rPr>
              <w:t>__________________</w:t>
            </w:r>
          </w:p>
        </w:tc>
        <w:tc>
          <w:tcPr>
            <w:tcW w:w="120" w:type="dxa"/>
            <w:vAlign w:val="bottom"/>
            <w:vMerge w:val="restart"/>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3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5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412"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During the year ended December 31, 2018, Ozy Media, Inc.’s obligations under its financing arrangements with us became past due. </w:t>
      </w:r>
      <w:r>
        <w:rPr>
          <w:rFonts w:ascii="Arial" w:cs="Arial" w:eastAsia="Arial" w:hAnsi="Arial"/>
          <w:sz w:val="17"/>
          <w:szCs w:val="17"/>
          <w:color w:val="auto"/>
        </w:rPr>
        <w:t>Effe</w:t>
      </w:r>
      <w:r>
        <w:rPr>
          <w:rFonts w:ascii="Arial" w:cs="Arial" w:eastAsia="Arial" w:hAnsi="Arial"/>
          <w:sz w:val="16"/>
          <w:szCs w:val="16"/>
          <w:color w:val="auto"/>
        </w:rPr>
        <w:t>ctive April 9, 2018, the term of Ozy Media Inc.'s notes were extended through the issuance of a new convertible promissory note, which extended the maturity date of the existing notes to October 31, 2018 and then to December 31, 2018 once certain conditions were satisfied. Effective August 17, 2018, Ozy Media Inc. executed an additional debt amendment, which expanded its borrowing limit. In consideration for amending and restating the existing notes, we were issued warrants exercisable for 295,565 shares of Ozy Media Inc.'s common stock. Subsequent to December 31, 2018, Ozy Media Inc.'s obligations under its financing arrangements with us became past due. On September 11, 2019, we agreed to convert the Convertible Promissory Note due 12/31/2018 to Ozy Media, Inc. and all related accrued interest, into 683,482 shares of Ozy Media, Inc.'s Series C-2 preferred shares.</w:t>
      </w:r>
    </w:p>
    <w:p>
      <w:pPr>
        <w:spacing w:after="0" w:line="4" w:lineRule="exact"/>
        <w:rPr>
          <w:rFonts w:ascii="Arial" w:cs="Arial" w:eastAsia="Arial" w:hAnsi="Arial"/>
          <w:sz w:val="16"/>
          <w:szCs w:val="16"/>
          <w:color w:val="auto"/>
        </w:rPr>
      </w:pPr>
    </w:p>
    <w:p>
      <w:pPr>
        <w:ind w:left="360" w:hanging="352"/>
        <w:spacing w:after="0"/>
        <w:tabs>
          <w:tab w:leader="none" w:pos="3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On June 15, 2018 we exercised our 770,934 warrants to purchase shares of SharesPost, Inc.'s common stock, with a $0.13 strike price.</w:t>
      </w:r>
    </w:p>
    <w:p>
      <w:pPr>
        <w:spacing w:after="0" w:line="5" w:lineRule="exact"/>
        <w:rPr>
          <w:rFonts w:ascii="Arial" w:cs="Arial" w:eastAsia="Arial" w:hAnsi="Arial"/>
          <w:sz w:val="16"/>
          <w:szCs w:val="16"/>
          <w:color w:val="auto"/>
        </w:rPr>
      </w:pPr>
    </w:p>
    <w:p>
      <w:pPr>
        <w:ind w:left="500" w:hanging="492"/>
        <w:spacing w:after="0" w:line="268" w:lineRule="auto"/>
        <w:tabs>
          <w:tab w:leader="none" w:pos="393" w:val="left"/>
        </w:tabs>
        <w:numPr>
          <w:ilvl w:val="0"/>
          <w:numId w:val="40"/>
        </w:numPr>
        <w:rPr>
          <w:rFonts w:ascii="Arial" w:cs="Arial" w:eastAsia="Arial" w:hAnsi="Arial"/>
          <w:sz w:val="15"/>
          <w:szCs w:val="15"/>
          <w:color w:val="auto"/>
        </w:rPr>
      </w:pPr>
      <w:r>
        <w:rPr>
          <w:rFonts w:ascii="Arial" w:cs="Arial" w:eastAsia="Arial" w:hAnsi="Arial"/>
          <w:sz w:val="15"/>
          <w:szCs w:val="15"/>
          <w:color w:val="auto"/>
        </w:rPr>
        <w:t>Effective July 31, 2018, we agreed to extend the Convertible Promissory Note to NestGSV, Inc. (d/b/a OneValley, Inc.) until December 31, 2018, with a new interest rate of 12%. Previously accrued interest will be capitalized into the principal of the extended note. On December 31, 2018, we extended the maturity of the Convertible Promissory Note to December 31, 2019, compounded the previously accrued and then-outstanding interest, and invested an additional $300,000. The Convertible Promissory Note continues to accrue interest at 12%. In consideration for the extension and additional investment, the 500,000 Series A-3 Preferred Warrants due April 4, 2019 and the 187,500 Series A-4 Preferred Warrants due October 6, 2019, were extended to April 4, 2021 and October 6, 2021, respectively. We also received an additional 250,000 Series B Preferred Warrants due December 31, 2023.</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year ended December 31, 2018, we capitalized fees of $32,350.</w:t>
      </w:r>
    </w:p>
    <w:p>
      <w:pPr>
        <w:spacing w:after="0" w:line="225" w:lineRule="exact"/>
        <w:rPr>
          <w:sz w:val="20"/>
          <w:szCs w:val="20"/>
          <w:color w:val="auto"/>
        </w:rPr>
      </w:pPr>
    </w:p>
    <w:p>
      <w:pPr>
        <w:ind w:firstLine="364"/>
        <w:spacing w:after="0" w:line="308" w:lineRule="auto"/>
        <w:rPr>
          <w:sz w:val="20"/>
          <w:szCs w:val="20"/>
          <w:color w:val="auto"/>
        </w:rPr>
      </w:pPr>
      <w:r>
        <w:rPr>
          <w:rFonts w:ascii="Arial" w:cs="Arial" w:eastAsia="Arial" w:hAnsi="Arial"/>
          <w:sz w:val="17"/>
          <w:szCs w:val="17"/>
          <w:color w:val="auto"/>
        </w:rPr>
        <w:t>During the year ended December 31, 2018, we sold investments or received repayments from portfolio companies in an amount of $32,395,839, net of transaction costs, and realized a net loss on investments of $7,433,619 (including U.S. Treasury investments) as shown in following table: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Portfolio Investment</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Net Proceeds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92"/>
              </w:rPr>
              <w:t>Realized Gain/(Loss)</w:t>
            </w:r>
            <w:r>
              <w:rPr>
                <w:rFonts w:ascii="Arial" w:cs="Arial" w:eastAsia="Arial" w:hAnsi="Arial"/>
                <w:sz w:val="9"/>
                <w:szCs w:val="9"/>
                <w:b w:val="1"/>
                <w:bCs w:val="1"/>
                <w:color w:val="auto"/>
                <w:w w:val="92"/>
              </w:rPr>
              <w:t>(1)</w:t>
            </w: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7800" w:type="dxa"/>
            <w:vAlign w:val="bottom"/>
            <w:gridSpan w:val="2"/>
          </w:tcPr>
          <w:p>
            <w:pPr>
              <w:spacing w:after="0" w:line="216" w:lineRule="exact"/>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9,446,315</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3,437,847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8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NestGSV, Inc. (d/b/a OneValley, Inc.)</w:t>
            </w:r>
            <w:r>
              <w:rPr>
                <w:rFonts w:ascii="Arial" w:cs="Arial" w:eastAsia="Arial" w:hAnsi="Arial"/>
                <w:sz w:val="21"/>
                <w:szCs w:val="21"/>
                <w:color w:val="auto"/>
                <w:vertAlign w:val="superscript"/>
              </w:rPr>
              <w:t>(3)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592,129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7800" w:type="dxa"/>
            <w:vAlign w:val="bottom"/>
            <w:gridSpan w:val="2"/>
          </w:tcPr>
          <w:p>
            <w:pPr>
              <w:spacing w:after="0"/>
              <w:rPr>
                <w:sz w:val="20"/>
                <w:szCs w:val="20"/>
                <w:color w:val="auto"/>
              </w:rPr>
            </w:pPr>
            <w:r>
              <w:rPr>
                <w:rFonts w:ascii="Arial" w:cs="Arial" w:eastAsia="Arial" w:hAnsi="Arial"/>
                <w:sz w:val="16"/>
                <w:szCs w:val="16"/>
                <w:color w:val="auto"/>
              </w:rPr>
              <w:t>Avenues Global Holdings, LLC</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5,923,795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(4,228,059)</w:t>
            </w: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7800" w:type="dxa"/>
            <w:vAlign w:val="bottom"/>
            <w:gridSpan w:val="2"/>
            <w:shd w:val="clear" w:color="auto" w:fill="CCEEFF"/>
          </w:tcPr>
          <w:p>
            <w:pPr>
              <w:spacing w:after="0" w:line="233" w:lineRule="exact"/>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(4)</w:t>
            </w:r>
          </w:p>
        </w:tc>
        <w:tc>
          <w:tcPr>
            <w:tcW w:w="2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7,820,191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3,292,552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800" w:type="dxa"/>
            <w:vAlign w:val="bottom"/>
            <w:gridSpan w:val="2"/>
          </w:tcPr>
          <w:p>
            <w:pPr>
              <w:spacing w:after="0" w:line="216" w:lineRule="exact"/>
              <w:rPr>
                <w:sz w:val="20"/>
                <w:szCs w:val="20"/>
                <w:color w:val="auto"/>
              </w:rPr>
            </w:pPr>
            <w:r>
              <w:rPr>
                <w:rFonts w:ascii="Arial" w:cs="Arial" w:eastAsia="Arial" w:hAnsi="Arial"/>
                <w:sz w:val="16"/>
                <w:szCs w:val="16"/>
                <w:color w:val="auto"/>
              </w:rPr>
              <w:t>Lytro, Inc.</w:t>
            </w:r>
            <w:r>
              <w:rPr>
                <w:rFonts w:ascii="Arial" w:cs="Arial" w:eastAsia="Arial" w:hAnsi="Arial"/>
                <w:sz w:val="21"/>
                <w:szCs w:val="21"/>
                <w:color w:val="auto"/>
                <w:vertAlign w:val="superscript"/>
              </w:rPr>
              <w:t>(5)</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791,596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(9,711,762)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8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SugarCRM, Inc.</w:t>
            </w:r>
            <w:r>
              <w:rPr>
                <w:rFonts w:ascii="Arial" w:cs="Arial" w:eastAsia="Arial" w:hAnsi="Arial"/>
                <w:sz w:val="21"/>
                <w:szCs w:val="21"/>
                <w:color w:val="auto"/>
                <w:vertAlign w:val="superscript"/>
              </w:rPr>
              <w:t>(6)</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2,645,183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(4,332,777)</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7800" w:type="dxa"/>
            <w:vAlign w:val="bottom"/>
            <w:tcBorders>
              <w:bottom w:val="single" w:sz="8" w:color="CCEEFF"/>
            </w:tcBorders>
            <w:gridSpan w:val="2"/>
          </w:tcPr>
          <w:p>
            <w:pPr>
              <w:spacing w:after="0" w:line="216" w:lineRule="exact"/>
              <w:rPr>
                <w:sz w:val="20"/>
                <w:szCs w:val="20"/>
                <w:color w:val="auto"/>
              </w:rPr>
            </w:pPr>
            <w:r>
              <w:rPr>
                <w:rFonts w:ascii="Arial" w:cs="Arial" w:eastAsia="Arial" w:hAnsi="Arial"/>
                <w:sz w:val="16"/>
                <w:szCs w:val="16"/>
                <w:color w:val="auto"/>
              </w:rPr>
              <w:t>DreamBox Learning, Inc.</w:t>
            </w:r>
            <w:r>
              <w:rPr>
                <w:rFonts w:ascii="Arial" w:cs="Arial" w:eastAsia="Arial" w:hAnsi="Arial"/>
                <w:sz w:val="21"/>
                <w:szCs w:val="21"/>
                <w:color w:val="auto"/>
                <w:vertAlign w:val="superscript"/>
              </w:rPr>
              <w:t>(7)</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5,176,630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2,916,251</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7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32,395,839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(8,626,628)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720" w:type="dxa"/>
            <w:vAlign w:val="bottom"/>
            <w:gridSpan w:val="2"/>
            <w:vMerge w:val="restart"/>
          </w:tcPr>
          <w:p>
            <w:pPr>
              <w:jc w:val="right"/>
              <w:ind w:right="6180"/>
              <w:spacing w:after="0"/>
              <w:rPr>
                <w:sz w:val="20"/>
                <w:szCs w:val="20"/>
                <w:color w:val="auto"/>
              </w:rPr>
            </w:pPr>
            <w:r>
              <w:rPr>
                <w:rFonts w:ascii="Arial" w:cs="Arial" w:eastAsia="Arial" w:hAnsi="Arial"/>
                <w:sz w:val="16"/>
                <w:szCs w:val="16"/>
                <w:b w:val="1"/>
                <w:bCs w:val="1"/>
                <w:color w:val="auto"/>
                <w:w w:val="89"/>
              </w:rPr>
              <w:t>__________________</w:t>
            </w:r>
          </w:p>
        </w:tc>
        <w:tc>
          <w:tcPr>
            <w:tcW w:w="1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72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-859155</wp:posOffset>
            </wp:positionV>
            <wp:extent cx="4886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ind w:left="500" w:hanging="492"/>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Realized gain/(loss) does not include amounts held in escrow or any realized gain/(loss) incurred on the maturity of our U.S. Treasury investments.</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of February 22, 2018, all remaining shares of Chegg, Inc. held by us had been sold.</w:t>
      </w:r>
    </w:p>
    <w:p>
      <w:pPr>
        <w:spacing w:after="0" w:line="5" w:lineRule="exact"/>
        <w:rPr>
          <w:rFonts w:ascii="Arial" w:cs="Arial" w:eastAsia="Arial" w:hAnsi="Arial"/>
          <w:sz w:val="16"/>
          <w:szCs w:val="16"/>
          <w:color w:val="auto"/>
        </w:rPr>
      </w:pPr>
    </w:p>
    <w:p>
      <w:pPr>
        <w:ind w:left="500" w:hanging="492"/>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Represents repayment of the 12% Unsecured Promissory Note Due 1/15/2018.</w:t>
      </w:r>
    </w:p>
    <w:p>
      <w:pPr>
        <w:spacing w:after="0" w:line="5" w:lineRule="exact"/>
        <w:rPr>
          <w:rFonts w:ascii="Arial" w:cs="Arial" w:eastAsia="Arial" w:hAnsi="Arial"/>
          <w:sz w:val="16"/>
          <w:szCs w:val="16"/>
          <w:color w:val="auto"/>
        </w:rPr>
      </w:pPr>
    </w:p>
    <w:p>
      <w:pPr>
        <w:jc w:val="both"/>
        <w:ind w:left="500" w:hanging="492"/>
        <w:spacing w:after="0" w:line="251" w:lineRule="auto"/>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On April 16, 2018, Adecco Group, a Swiss staffing company, announced that it was acquiring technology education provider General Assembly Space, Inc. for $412.5 million, including debt financing. We have received approximately $7.8 million in net proceeds as a result of the transaction, with approximately $1.5 million of additional proceeds held in escrow. We have received approximately $1.4</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22" w:right="339" w:bottom="1440" w:gutter="0" w:footer="0" w:header="0"/>
        </w:sectPr>
      </w:pPr>
    </w:p>
    <w:bookmarkStart w:id="63" w:name="page64"/>
    <w:bookmarkEnd w:id="6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million and $0 in escrow proceeds in 2019 and 2020, respectively, and expect to receive $60,557 in additional escrow proceeds in 2021.</w:t>
      </w:r>
    </w:p>
    <w:p>
      <w:pPr>
        <w:spacing w:after="0" w:line="19" w:lineRule="exact"/>
        <w:rPr>
          <w:sz w:val="20"/>
          <w:szCs w:val="20"/>
          <w:color w:val="auto"/>
        </w:rPr>
      </w:pPr>
    </w:p>
    <w:p>
      <w:pPr>
        <w:jc w:val="both"/>
        <w:ind w:left="500" w:hanging="492"/>
        <w:spacing w:after="0" w:line="262" w:lineRule="auto"/>
        <w:tabs>
          <w:tab w:leader="none" w:pos="5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On March 27, 2018, Lytro, Inc. announced that it was preparing to wind down the company over an unspecified period of time. Google LLC acquired Lytro, Inc.’s intellectual property and certain other assets. As a result of the transaction, we have received $0.8 million in net proceeds and expect to receive approximately $0.4 million in additional proceeds held in escrow. We have received approximately $170,000 and $168,000 in escrow proceeds in 2019 and 2020, respectively.</w:t>
      </w:r>
    </w:p>
    <w:p>
      <w:pPr>
        <w:spacing w:after="0" w:line="2" w:lineRule="exact"/>
        <w:rPr>
          <w:rFonts w:ascii="Arial" w:cs="Arial" w:eastAsia="Arial" w:hAnsi="Arial"/>
          <w:sz w:val="15"/>
          <w:szCs w:val="15"/>
          <w:color w:val="auto"/>
        </w:rPr>
      </w:pPr>
    </w:p>
    <w:p>
      <w:pPr>
        <w:jc w:val="both"/>
        <w:ind w:left="500" w:hanging="492"/>
        <w:spacing w:after="0" w:line="246"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June 14, 2018, SugarCRM, Inc. entered into an agreement to be purchased by AKKR Candy Holdings, Inc. As a result of the transaction, we have received $2.6 million in net proceeds and expect to receive approximately $0.3 million in additional proceeds held in escrow. We received all escrow proceeds as of December 31, 2019.</w:t>
      </w:r>
    </w:p>
    <w:p>
      <w:pPr>
        <w:spacing w:after="0" w:line="1" w:lineRule="exact"/>
        <w:rPr>
          <w:rFonts w:ascii="Arial" w:cs="Arial" w:eastAsia="Arial" w:hAnsi="Arial"/>
          <w:sz w:val="16"/>
          <w:szCs w:val="16"/>
          <w:color w:val="auto"/>
        </w:rPr>
      </w:pPr>
    </w:p>
    <w:p>
      <w:pPr>
        <w:jc w:val="both"/>
        <w:ind w:left="500" w:hanging="492"/>
        <w:spacing w:after="0" w:line="251" w:lineRule="auto"/>
        <w:tabs>
          <w:tab w:leader="none" w:pos="5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On July 18, 2018, DreamBox Learning, Inc. entered into a definitive agreement to be acquired by a wholly owned subsidiary of DreamBox Learning Holding, LLC, an entity owned by The Rise Fund Deneb, LP. As a result of the transaction, we have received $5.2 million in proceeds and expect to receive approximately $0.3 million in additional proceeds held in escrow. We received all escrow proceeds as of December 31, 2019.</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During the year ended December 31, 2018 we did not write-off any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2020, 2019, and 2018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Operating results for the years ended December 31, 2020, 2019, and 2018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8"/>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1"/>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Investment Income</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1,824,127</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1,495,724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1,617,836</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1,006,510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995,724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992,836</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 income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817,617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625,000</w:t>
            </w:r>
          </w:p>
        </w:tc>
        <w:tc>
          <w:tcPr>
            <w:tcW w:w="0" w:type="dxa"/>
            <w:vAlign w:val="bottom"/>
          </w:tcPr>
          <w:p>
            <w:pPr>
              <w:spacing w:after="0"/>
              <w:rPr>
                <w:sz w:val="1"/>
                <w:szCs w:val="1"/>
                <w:color w:val="auto"/>
              </w:rPr>
            </w:pP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Operating Expenses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16,338,543</w:t>
            </w:r>
          </w:p>
        </w:tc>
        <w:tc>
          <w:tcPr>
            <w:tcW w:w="520" w:type="dxa"/>
            <w:vAlign w:val="bottom"/>
            <w:gridSpan w:val="2"/>
          </w:tcPr>
          <w:p>
            <w:pPr>
              <w:jc w:val="right"/>
              <w:ind w:right="184"/>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10,946,792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9,252,413</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Incentive fee waiver</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(5,000,000)</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Management fee waiver</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(892,421)</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16,338,543</w:t>
            </w:r>
          </w:p>
        </w:tc>
        <w:tc>
          <w:tcPr>
            <w:tcW w:w="5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10,946,792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15,144,834</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Management fees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848,723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5,199,900</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Incentive fees/(Reversal of incentive fee accrual)</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(4,660,472)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382,387</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Costs incurred under Administration Agreement</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306,084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1,702,047</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Directors’ fees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445,000</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345,000</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Professional fees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2,962,781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5,290,329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1,587,578</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Compensation expense</w:t>
            </w:r>
            <w:r>
              <w:rPr>
                <w:rFonts w:ascii="Arial" w:cs="Arial" w:eastAsia="Arial" w:hAnsi="Arial"/>
                <w:sz w:val="21"/>
                <w:szCs w:val="21"/>
                <w:color w:val="auto"/>
                <w:vertAlign w:val="superscript"/>
              </w:rPr>
              <w:t>(1)</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8,801,841</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4,286,972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2,247,817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2,372,570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4,545,471</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expense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43,574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482,994</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Other expenses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1,837,530</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2,085,391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899,457</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Investment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(14,514,416)</w:t>
            </w:r>
          </w:p>
        </w:tc>
        <w:tc>
          <w:tcPr>
            <w:tcW w:w="52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(9,451,068)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(7,634,577)</w:t>
            </w:r>
          </w:p>
        </w:tc>
        <w:tc>
          <w:tcPr>
            <w:tcW w:w="0" w:type="dxa"/>
            <w:vAlign w:val="bottom"/>
          </w:tcPr>
          <w:p>
            <w:pPr>
              <w:spacing w:after="0"/>
              <w:rPr>
                <w:sz w:val="1"/>
                <w:szCs w:val="1"/>
                <w:color w:val="auto"/>
              </w:rPr>
            </w:pPr>
          </w:p>
        </w:tc>
      </w:tr>
      <w:tr>
        <w:trPr>
          <w:trHeight w:val="213"/>
        </w:trPr>
        <w:tc>
          <w:tcPr>
            <w:tcW w:w="4980" w:type="dxa"/>
            <w:vAlign w:val="bottom"/>
          </w:tcPr>
          <w:p>
            <w:pPr>
              <w:ind w:left="140"/>
              <w:spacing w:after="0"/>
              <w:rPr>
                <w:sz w:val="20"/>
                <w:szCs w:val="20"/>
                <w:color w:val="auto"/>
              </w:rPr>
            </w:pPr>
            <w:r>
              <w:rPr>
                <w:rFonts w:ascii="Arial" w:cs="Arial" w:eastAsia="Arial" w:hAnsi="Arial"/>
                <w:sz w:val="16"/>
                <w:szCs w:val="16"/>
                <w:color w:val="auto"/>
              </w:rPr>
              <w:t>Net realized gain/(loss) on investments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16,441,223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19,179,340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(7,433,619)</w:t>
            </w: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1"/>
              </w:rPr>
              <w:t>Realized loss on partial repurchase of 5.25% Convertible Senior Notes due</w:t>
            </w:r>
          </w:p>
        </w:tc>
        <w:tc>
          <w:tcPr>
            <w:tcW w:w="3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(397,846)</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2018</w:t>
            </w:r>
          </w:p>
        </w:tc>
        <w:tc>
          <w:tcPr>
            <w:tcW w:w="38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ind w:left="100"/>
              <w:spacing w:after="0"/>
              <w:rPr>
                <w:sz w:val="20"/>
                <w:szCs w:val="20"/>
                <w:color w:val="auto"/>
              </w:rPr>
            </w:pPr>
            <w:r>
              <w:rPr>
                <w:rFonts w:ascii="Arial" w:cs="Arial" w:eastAsia="Arial" w:hAnsi="Arial"/>
                <w:sz w:val="16"/>
                <w:szCs w:val="16"/>
                <w:color w:val="auto"/>
              </w:rPr>
              <w:t>Net change in unrealized appreciation/(depreciation) of investments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73,410,631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13,339,859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9,641,050</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Benefit from taxes on unrealized depreciation of investments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885,566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6,716,735</w:t>
            </w:r>
          </w:p>
        </w:tc>
        <w:tc>
          <w:tcPr>
            <w:tcW w:w="0" w:type="dxa"/>
            <w:vAlign w:val="bottom"/>
          </w:tcPr>
          <w:p>
            <w:pPr>
              <w:spacing w:after="0"/>
              <w:rPr>
                <w:sz w:val="1"/>
                <w:szCs w:val="1"/>
                <w:color w:val="auto"/>
              </w:rPr>
            </w:pPr>
          </w:p>
        </w:tc>
      </w:tr>
      <w:tr>
        <w:trPr>
          <w:trHeight w:val="210"/>
        </w:trPr>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75,337,438</w:t>
            </w:r>
          </w:p>
        </w:tc>
        <w:tc>
          <w:tcPr>
            <w:tcW w:w="520" w:type="dxa"/>
            <w:vAlign w:val="bottom"/>
            <w:gridSpan w:val="2"/>
          </w:tcPr>
          <w:p>
            <w:pPr>
              <w:jc w:val="right"/>
              <w:ind w:right="184"/>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23,953,697</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891,743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-3124835</wp:posOffset>
            </wp:positionV>
            <wp:extent cx="31629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__________________</w:t>
      </w:r>
    </w:p>
    <w:p>
      <w:pPr>
        <w:spacing w:after="0" w:line="23" w:lineRule="exact"/>
        <w:rPr>
          <w:sz w:val="20"/>
          <w:szCs w:val="20"/>
          <w:color w:val="auto"/>
        </w:rPr>
      </w:pPr>
    </w:p>
    <w:p>
      <w:pPr>
        <w:ind w:left="500" w:hanging="492"/>
        <w:spacing w:after="0" w:line="257" w:lineRule="auto"/>
        <w:tabs>
          <w:tab w:leader="none" w:pos="5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For the year ended December 31, 2020, this balance includes $1,962,431 of accelerated recognition of compensation cost related to the cancellation of unvested options on April 28, 2020. Refer to "Note 11— Stock-Based Compensation" for more detail.</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22" w:right="339" w:bottom="1440" w:gutter="0" w:footer="0" w:header="0"/>
        </w:sectPr>
      </w:pPr>
    </w:p>
    <w:bookmarkStart w:id="64" w:name="page65"/>
    <w:bookmarkEnd w:id="6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2020 as compared to the year ended December 31, 2019</w:t>
      </w:r>
    </w:p>
    <w:p>
      <w:pPr>
        <w:spacing w:after="0" w:line="252"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Investment income increased to $1,824,127 for the year ended December 31, 2020 from $1,495,724 for the year ended December 31, 2019. The increase was due to an increase in dividend income received from GreenAcreage Real Estate Investment Trust, Inc. and guaranteed interest from Palantir Lending Trust SPV I, partially offset by a decrease in accrued interest income due to the placement of some debt investments on non-accrual status and decreased Treehouse Real Estate Investment Trust, Inc. dividends, relative to the year ended December 31,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2019 as compared to the year ended December 31, 2018</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Investment income decreased to $1,495,724 for the year ended December 31, 2019 from $1,617,836 for the year ended December 31, 2018. The decrease was due to decreased dividend income received from SPBRX, Inc. (f/k/a GSV Sustainability Partners, Inc.) during the year ended December 31, 2019, relative to the year ended December 31, 2018. The decrease was offset by dividends received from Treehouse Real Estate Investment Trust, Inc. earned in the year ended December 31, 2019.</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2020 as compared to the year ended December 31, 2019</w:t>
      </w:r>
    </w:p>
    <w:p>
      <w:pPr>
        <w:spacing w:after="0" w:line="252"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Total operating expenses increased to $16,338,543 for the year ended December 31, 2020, from $10,946,792 for the year ended December 31, 2019. The increase in operating expense was primarily due to the accelerated recognition of compensation cost related to the cancellation of unvested options on April 28, 2020, as well as reversal of the incentive fee accrual as a result of the Internalization. The notable increase was partially offset by removal of management and professional fees related to the termination of the Investment Advisory Agreement and Administration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2019 as compared to the year ended December 31, 2018</w:t>
      </w:r>
    </w:p>
    <w:p>
      <w:pPr>
        <w:spacing w:after="0" w:line="252"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Total operating expenses, net of waiver of management and incentive fees, increased to $10,946,792 for the year ended December 31, 2019, from $9,252,413 for the year ended December 31, 2018. The increase was primarily due to an increase in legal and audit fees, and the addition of temporary licensing fees and consulting fees, and compensation expense incurred in relation to our Internalization during the year ended December 31, 2019, relative to the year ended December 31, 2018. The increase was primarily offset by the removal of management fees, removal of previously accrued incentive fees, and removal of costs incurred under Administration Agreement in relation to Internalization in the year ended December 31, 2019. The increase was partially offset by a decrease in interest expense due to the extinguishment of the Convertible Senior Notes due September 15, 2018, as compared to the year ended December 31, 2018.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2020 as compared to the year ended December 31, 2019</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year ended December 31, 2020, we recognized net investment loss of $14,514,416, compared to net investment loss of $9,451,068 for the year ended December 31, 2019. The change between periods resulted from the increase in operating expenses, as discussed above, and an increase in total investment income between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2019 as compared to the year ended December 31, 2018</w:t>
      </w:r>
    </w:p>
    <w:p>
      <w:pPr>
        <w:spacing w:after="0" w:line="252"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year ended December 31, 2019, we recognized net investment loss of $9,451,068, compared to net investment loss of $7,634,577 for the year ended December 31, 2018. The change between periods resulted from the increase in operating expenses, as discussed above, and a decrease in total investment income between periods.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on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2020 as compared to the year ended December 31, 2019</w:t>
      </w:r>
    </w:p>
    <w:p>
      <w:pPr>
        <w:spacing w:after="0" w:line="252"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For the year ended December 31, 2020, we recognized net realized gain on our investments of $16,441,223, compared to net realized gain of $19,179,340 for the year ended December 31, 2019. The components of our net realized gains/losses on</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portfolio investments for the year ended December 31, 2020 and 2019, excluding U.S. Treasury investments, are reflected in the tables above, under “— Portfolio and Investment Activity.”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year ended December 31, 2019 as compared to the year ended December 31, 2018</w:t>
      </w:r>
    </w:p>
    <w:p>
      <w:pPr>
        <w:spacing w:after="0" w:line="252" w:lineRule="exact"/>
        <w:rPr>
          <w:sz w:val="20"/>
          <w:szCs w:val="20"/>
          <w:color w:val="auto"/>
        </w:rPr>
      </w:pPr>
    </w:p>
    <w:p>
      <w:pPr>
        <w:ind w:right="120" w:firstLine="364"/>
        <w:spacing w:after="0" w:line="286" w:lineRule="auto"/>
        <w:rPr>
          <w:sz w:val="20"/>
          <w:szCs w:val="20"/>
          <w:color w:val="auto"/>
        </w:rPr>
      </w:pPr>
      <w:r>
        <w:rPr>
          <w:rFonts w:ascii="Arial" w:cs="Arial" w:eastAsia="Arial" w:hAnsi="Arial"/>
          <w:sz w:val="17"/>
          <w:szCs w:val="17"/>
          <w:color w:val="auto"/>
        </w:rPr>
        <w:t>For the year ended December 31, 2019, we recognized net realized gain on our investments of $19,179,340, compared to net realized loss of $7,433,619 for the year ended December 31, 2018. The components of our net realized gains/losses on portfolio investments for the year ended December 31, 2019 and 2018, excluding U.S. Treasury investments, are reflected in the tables above, under “—Portfolio and Investment Activity.”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Appreciation/(Depreciation) of Investments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year ended December 31, 2020, we had a net change in unrealized appreciation/depreciation of $73,410,631. For the year ended December 31, 2019, we had a net change in unrealized appreciation/depreciation of $13,339,859 For the year ended December 31, 2018, we had a net change in unrealized appreciation of $9,641,050. The following tables summarize, by portfolio company, the significant changes in unrealized appreciation and/or depreciation of our investment portfolio for the years ended December 31, 2020, 2019, and 2018.</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23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Appreciation/(Depreciation) For the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8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jc w:val="center"/>
              <w:ind w:right="60"/>
              <w:spacing w:after="0"/>
              <w:rPr>
                <w:sz w:val="20"/>
                <w:szCs w:val="20"/>
                <w:color w:val="auto"/>
              </w:rPr>
            </w:pPr>
            <w:r>
              <w:rPr>
                <w:rFonts w:ascii="Arial" w:cs="Arial" w:eastAsia="Arial" w:hAnsi="Arial"/>
                <w:sz w:val="14"/>
                <w:szCs w:val="14"/>
                <w:b w:val="1"/>
                <w:bCs w:val="1"/>
                <w:color w:val="auto"/>
                <w:w w:val="92"/>
              </w:rPr>
              <w:t>Year Ended December 31, 2020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740" w:type="dxa"/>
            <w:vAlign w:val="bottom"/>
            <w:tcBorders>
              <w:top w:val="single" w:sz="8" w:color="auto"/>
            </w:tcBorders>
            <w:shd w:val="clear" w:color="auto" w:fill="CCEEFF"/>
          </w:tcPr>
          <w:p>
            <w:pPr>
              <w:ind w:left="20"/>
              <w:spacing w:after="0" w:line="211" w:lineRule="exact"/>
              <w:rPr>
                <w:sz w:val="20"/>
                <w:szCs w:val="20"/>
                <w:color w:val="auto"/>
              </w:rPr>
            </w:pPr>
            <w:r>
              <w:rPr>
                <w:rFonts w:ascii="Arial" w:cs="Arial" w:eastAsia="Arial" w:hAnsi="Arial"/>
                <w:sz w:val="16"/>
                <w:szCs w:val="16"/>
                <w:color w:val="auto"/>
              </w:rPr>
              <w:t>Palantir Technologies, Inc.</w:t>
            </w:r>
            <w:r>
              <w:rPr>
                <w:rFonts w:ascii="Arial" w:cs="Arial" w:eastAsia="Arial" w:hAnsi="Arial"/>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66,368,123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16,772,218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9,405,053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Forge Global, Inc.</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7,513,356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Palantir Lending Trust SPV I</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2,550,762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20"/>
              <w:spacing w:after="0"/>
              <w:rPr>
                <w:sz w:val="20"/>
                <w:szCs w:val="20"/>
                <w:color w:val="auto"/>
              </w:rPr>
            </w:pPr>
            <w:r>
              <w:rPr>
                <w:rFonts w:ascii="Arial" w:cs="Arial" w:eastAsia="Arial" w:hAnsi="Arial"/>
                <w:sz w:val="16"/>
                <w:szCs w:val="16"/>
                <w:color w:val="auto"/>
              </w:rPr>
              <w:t>Nextdoor, Inc.</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1,968,755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4C Insights (f/k/a The Echo Systems Corp.)</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1,414,905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(1,334,698)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StormWind, LLC</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(1,342,526)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20"/>
              <w:spacing w:after="0"/>
              <w:rPr>
                <w:sz w:val="20"/>
                <w:szCs w:val="20"/>
                <w:color w:val="auto"/>
              </w:rPr>
            </w:pPr>
            <w:r>
              <w:rPr>
                <w:rFonts w:ascii="Arial" w:cs="Arial" w:eastAsia="Arial" w:hAnsi="Arial"/>
                <w:sz w:val="16"/>
                <w:szCs w:val="16"/>
                <w:color w:val="auto"/>
              </w:rPr>
              <w:t>NestGSV, Inc. (d/b/a GSV Labs, Inc.)</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(2,326,760)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Treehouse Real Estate Investment Trust, Inc.</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(4,063,112)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SharesPost, Inc.</w:t>
            </w:r>
            <w:r>
              <w:rPr>
                <w:rFonts w:ascii="Arial" w:cs="Arial" w:eastAsia="Arial" w:hAnsi="Arial"/>
                <w:sz w:val="21"/>
                <w:szCs w:val="21"/>
                <w:color w:val="auto"/>
                <w:vertAlign w:val="superscript"/>
              </w:rPr>
              <w:t>(1)</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(4,693,514)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Ozy Media, Inc.</w:t>
            </w:r>
          </w:p>
        </w:tc>
        <w:tc>
          <w:tcPr>
            <w:tcW w:w="16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(5,585,800)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860" w:type="dxa"/>
            <w:vAlign w:val="bottom"/>
            <w:gridSpan w:val="2"/>
          </w:tcPr>
          <w:p>
            <w:pPr>
              <w:ind w:left="20"/>
              <w:spacing w:after="0"/>
              <w:rPr>
                <w:sz w:val="20"/>
                <w:szCs w:val="20"/>
                <w:color w:val="auto"/>
              </w:rPr>
            </w:pPr>
            <w:r>
              <w:rPr>
                <w:rFonts w:ascii="Arial" w:cs="Arial" w:eastAsia="Arial" w:hAnsi="Arial"/>
                <w:sz w:val="16"/>
                <w:szCs w:val="16"/>
                <w:color w:val="auto"/>
              </w:rPr>
              <w:t>Neutron Holdings, Inc. (d/b/a/ Lime)</w:t>
            </w:r>
          </w:p>
        </w:tc>
        <w:tc>
          <w:tcPr>
            <w:tcW w:w="16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(6,515,508)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Parchment, Inc.</w:t>
            </w:r>
            <w:r>
              <w:rPr>
                <w:rFonts w:ascii="Arial" w:cs="Arial" w:eastAsia="Arial" w:hAnsi="Arial"/>
                <w:sz w:val="21"/>
                <w:szCs w:val="21"/>
                <w:color w:val="auto"/>
                <w:vertAlign w:val="superscript"/>
              </w:rPr>
              <w:t>(1)</w:t>
            </w:r>
          </w:p>
        </w:tc>
        <w:tc>
          <w:tcPr>
            <w:tcW w:w="16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(6,895,603)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1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73,410,631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760" w:type="dxa"/>
            <w:vAlign w:val="bottom"/>
            <w:gridSpan w:val="2"/>
            <w:vMerge w:val="restart"/>
          </w:tcPr>
          <w:p>
            <w:pPr>
              <w:jc w:val="right"/>
              <w:ind w:right="6600"/>
              <w:spacing w:after="0"/>
              <w:rPr>
                <w:sz w:val="20"/>
                <w:szCs w:val="20"/>
                <w:color w:val="auto"/>
              </w:rPr>
            </w:pPr>
            <w:r>
              <w:rPr>
                <w:rFonts w:ascii="Arial" w:cs="Arial" w:eastAsia="Arial" w:hAnsi="Arial"/>
                <w:sz w:val="18"/>
                <w:szCs w:val="18"/>
                <w:color w:val="auto"/>
                <w:w w:val="89"/>
              </w:rPr>
              <w:t>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6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repayment, capital transaction (merger), or write-off of the investment, which resulted in the reversal of previously accrued unrealized appreciation/(depreciation), as applicable.</w:t>
      </w:r>
    </w:p>
    <w:p>
      <w:pPr>
        <w:ind w:left="500" w:hanging="492"/>
        <w:spacing w:after="0" w:line="257"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22" w:right="3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2"/>
        </w:trPr>
        <w:tc>
          <w:tcPr>
            <w:tcW w:w="3940" w:type="dxa"/>
            <w:vAlign w:val="bottom"/>
            <w:gridSpan w:val="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3"/>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Net Change in Unrealized</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Appreciation/(Depreciation)</w:t>
            </w:r>
          </w:p>
        </w:tc>
        <w:tc>
          <w:tcPr>
            <w:tcW w:w="10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Appreciation/(Depreciation)</w:t>
            </w:r>
          </w:p>
        </w:tc>
        <w:tc>
          <w:tcPr>
            <w:tcW w:w="0" w:type="dxa"/>
            <w:vAlign w:val="bottom"/>
          </w:tcPr>
          <w:p>
            <w:pPr>
              <w:spacing w:after="0"/>
              <w:rPr>
                <w:sz w:val="1"/>
                <w:szCs w:val="1"/>
                <w:color w:val="auto"/>
              </w:rPr>
            </w:pPr>
          </w:p>
        </w:tc>
      </w:tr>
      <w:tr>
        <w:trPr>
          <w:trHeight w:val="135"/>
        </w:trPr>
        <w:tc>
          <w:tcPr>
            <w:tcW w:w="340" w:type="dxa"/>
            <w:vAlign w:val="bottom"/>
          </w:tcPr>
          <w:p>
            <w:pPr>
              <w:spacing w:after="0"/>
              <w:rPr>
                <w:sz w:val="11"/>
                <w:szCs w:val="11"/>
                <w:color w:val="auto"/>
              </w:rPr>
            </w:pPr>
          </w:p>
        </w:tc>
        <w:tc>
          <w:tcPr>
            <w:tcW w:w="3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Pr>
          <w:p>
            <w:pPr>
              <w:spacing w:after="0"/>
              <w:rPr>
                <w:sz w:val="11"/>
                <w:szCs w:val="11"/>
                <w:color w:val="auto"/>
              </w:rPr>
            </w:pPr>
          </w:p>
        </w:tc>
        <w:tc>
          <w:tcPr>
            <w:tcW w:w="158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For the Year Ended</w:t>
            </w:r>
          </w:p>
        </w:tc>
        <w:tc>
          <w:tcPr>
            <w:tcW w:w="100" w:type="dxa"/>
            <w:vAlign w:val="bottom"/>
          </w:tcPr>
          <w:p>
            <w:pPr>
              <w:spacing w:after="0"/>
              <w:rPr>
                <w:sz w:val="11"/>
                <w:szCs w:val="11"/>
                <w:color w:val="auto"/>
              </w:rPr>
            </w:pPr>
          </w:p>
        </w:tc>
        <w:tc>
          <w:tcPr>
            <w:tcW w:w="3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Pr>
          <w:p>
            <w:pPr>
              <w:spacing w:after="0"/>
              <w:rPr>
                <w:sz w:val="11"/>
                <w:szCs w:val="11"/>
                <w:color w:val="auto"/>
              </w:rPr>
            </w:pPr>
          </w:p>
        </w:tc>
        <w:tc>
          <w:tcPr>
            <w:tcW w:w="1560" w:type="dxa"/>
            <w:vAlign w:val="bottom"/>
          </w:tcPr>
          <w:p>
            <w:pPr>
              <w:jc w:val="center"/>
              <w:ind w:right="120"/>
              <w:spacing w:after="0" w:line="135" w:lineRule="exact"/>
              <w:rPr>
                <w:sz w:val="20"/>
                <w:szCs w:val="20"/>
                <w:color w:val="auto"/>
              </w:rPr>
            </w:pPr>
            <w:r>
              <w:rPr>
                <w:rFonts w:ascii="Arial" w:cs="Arial" w:eastAsia="Arial" w:hAnsi="Arial"/>
                <w:sz w:val="14"/>
                <w:szCs w:val="14"/>
                <w:b w:val="1"/>
                <w:bCs w:val="1"/>
                <w:color w:val="auto"/>
                <w:w w:val="93"/>
              </w:rPr>
              <w:t>for the Year Ended</w:t>
            </w:r>
          </w:p>
        </w:tc>
        <w:tc>
          <w:tcPr>
            <w:tcW w:w="0" w:type="dxa"/>
            <w:vAlign w:val="bottom"/>
          </w:tcPr>
          <w:p>
            <w:pPr>
              <w:spacing w:after="0"/>
              <w:rPr>
                <w:sz w:val="1"/>
                <w:szCs w:val="1"/>
                <w:color w:val="auto"/>
              </w:rPr>
            </w:pPr>
          </w:p>
        </w:tc>
      </w:tr>
      <w:tr>
        <w:trPr>
          <w:trHeight w:val="188"/>
        </w:trPr>
        <w:tc>
          <w:tcPr>
            <w:tcW w:w="340" w:type="dxa"/>
            <w:vAlign w:val="bottom"/>
          </w:tcPr>
          <w:p>
            <w:pPr>
              <w:spacing w:after="0"/>
              <w:rPr>
                <w:sz w:val="16"/>
                <w:szCs w:val="16"/>
                <w:color w:val="auto"/>
              </w:rPr>
            </w:pPr>
          </w:p>
        </w:tc>
        <w:tc>
          <w:tcPr>
            <w:tcW w:w="36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6"/>
                <w:szCs w:val="16"/>
                <w:color w:val="auto"/>
              </w:rPr>
            </w:pPr>
          </w:p>
        </w:tc>
        <w:tc>
          <w:tcPr>
            <w:tcW w:w="36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center"/>
              <w:ind w:right="12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11"/>
        </w:trPr>
        <w:tc>
          <w:tcPr>
            <w:tcW w:w="340" w:type="dxa"/>
            <w:vAlign w:val="bottom"/>
          </w:tcPr>
          <w:p>
            <w:pPr>
              <w:spacing w:after="0"/>
              <w:rPr>
                <w:sz w:val="18"/>
                <w:szCs w:val="18"/>
                <w:color w:val="auto"/>
              </w:rPr>
            </w:pPr>
          </w:p>
        </w:tc>
        <w:tc>
          <w:tcPr>
            <w:tcW w:w="3500" w:type="dxa"/>
            <w:vAlign w:val="bottom"/>
            <w:tcBorders>
              <w:top w:val="single" w:sz="8" w:color="auto"/>
            </w:tcBorders>
            <w:shd w:val="clear" w:color="auto" w:fill="CCEEFF"/>
          </w:tcPr>
          <w:p>
            <w:pPr>
              <w:ind w:left="20"/>
              <w:spacing w:after="0" w:line="211" w:lineRule="exact"/>
              <w:rPr>
                <w:sz w:val="20"/>
                <w:szCs w:val="20"/>
                <w:color w:val="auto"/>
              </w:rPr>
            </w:pPr>
            <w:r>
              <w:rPr>
                <w:rFonts w:ascii="Arial" w:cs="Arial" w:eastAsia="Arial" w:hAnsi="Arial"/>
                <w:sz w:val="16"/>
                <w:szCs w:val="16"/>
                <w:color w:val="auto"/>
              </w:rPr>
              <w:t>Declara, Inc.</w:t>
            </w:r>
            <w:r>
              <w:rPr>
                <w:rFonts w:ascii="Arial" w:cs="Arial" w:eastAsia="Arial" w:hAnsi="Arial"/>
                <w:sz w:val="21"/>
                <w:szCs w:val="21"/>
                <w:color w:val="auto"/>
                <w:vertAlign w:val="superscript"/>
              </w:rPr>
              <w:t>(1)</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12,334,151</w:t>
            </w:r>
          </w:p>
        </w:tc>
        <w:tc>
          <w:tcPr>
            <w:tcW w:w="100" w:type="dxa"/>
            <w:vAlign w:val="bottom"/>
          </w:tcPr>
          <w:p>
            <w:pPr>
              <w:spacing w:after="0"/>
              <w:rPr>
                <w:sz w:val="18"/>
                <w:szCs w:val="18"/>
                <w:color w:val="auto"/>
              </w:rPr>
            </w:pPr>
          </w:p>
        </w:tc>
        <w:tc>
          <w:tcPr>
            <w:tcW w:w="3540" w:type="dxa"/>
            <w:vAlign w:val="bottom"/>
            <w:tcBorders>
              <w:top w:val="single" w:sz="8" w:color="auto"/>
            </w:tcBorders>
            <w:shd w:val="clear" w:color="auto" w:fill="CCEEFF"/>
          </w:tcPr>
          <w:p>
            <w:pPr>
              <w:ind w:left="20"/>
              <w:spacing w:after="0" w:line="211" w:lineRule="exact"/>
              <w:rPr>
                <w:sz w:val="20"/>
                <w:szCs w:val="20"/>
                <w:color w:val="auto"/>
              </w:rPr>
            </w:pPr>
            <w:r>
              <w:rPr>
                <w:rFonts w:ascii="Arial" w:cs="Arial" w:eastAsia="Arial" w:hAnsi="Arial"/>
                <w:sz w:val="16"/>
                <w:szCs w:val="16"/>
                <w:color w:val="auto"/>
              </w:rPr>
              <w:t>Lytro, Inc.</w:t>
            </w:r>
            <w:r>
              <w:rPr>
                <w:rFonts w:ascii="Arial" w:cs="Arial" w:eastAsia="Arial" w:hAnsi="Arial"/>
                <w:sz w:val="21"/>
                <w:szCs w:val="21"/>
                <w:color w:val="auto"/>
                <w:vertAlign w:val="superscript"/>
              </w:rPr>
              <w:t>(1)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center"/>
              <w:ind w:left="700"/>
              <w:spacing w:after="0"/>
              <w:rPr>
                <w:sz w:val="20"/>
                <w:szCs w:val="20"/>
                <w:color w:val="auto"/>
              </w:rPr>
            </w:pPr>
            <w:r>
              <w:rPr>
                <w:rFonts w:ascii="Arial" w:cs="Arial" w:eastAsia="Arial" w:hAnsi="Arial"/>
                <w:sz w:val="16"/>
                <w:szCs w:val="16"/>
                <w:color w:val="auto"/>
                <w:w w:val="92"/>
              </w:rPr>
              <w:t>8,387,816</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Ozy Media, Inc.</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12,218,812</w:t>
            </w:r>
          </w:p>
        </w:tc>
        <w:tc>
          <w:tcPr>
            <w:tcW w:w="10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Lyft, Inc.</w:t>
            </w:r>
          </w:p>
        </w:tc>
        <w:tc>
          <w:tcPr>
            <w:tcW w:w="200" w:type="dxa"/>
            <w:vAlign w:val="bottom"/>
          </w:tcPr>
          <w:p>
            <w:pPr>
              <w:spacing w:after="0"/>
              <w:rPr>
                <w:sz w:val="18"/>
                <w:szCs w:val="18"/>
                <w:color w:val="auto"/>
              </w:rPr>
            </w:pPr>
          </w:p>
        </w:tc>
        <w:tc>
          <w:tcPr>
            <w:tcW w:w="1560" w:type="dxa"/>
            <w:vAlign w:val="bottom"/>
          </w:tcPr>
          <w:p>
            <w:pPr>
              <w:jc w:val="center"/>
              <w:ind w:left="700"/>
              <w:spacing w:after="0"/>
              <w:rPr>
                <w:sz w:val="20"/>
                <w:szCs w:val="20"/>
                <w:color w:val="auto"/>
              </w:rPr>
            </w:pPr>
            <w:r>
              <w:rPr>
                <w:rFonts w:ascii="Arial" w:cs="Arial" w:eastAsia="Arial" w:hAnsi="Arial"/>
                <w:sz w:val="16"/>
                <w:szCs w:val="16"/>
                <w:color w:val="auto"/>
                <w:w w:val="92"/>
              </w:rPr>
              <w:t>5,486,237</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 Hero, Inc.</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11,567,394</w:t>
            </w:r>
          </w:p>
        </w:tc>
        <w:tc>
          <w:tcPr>
            <w:tcW w:w="100" w:type="dxa"/>
            <w:vAlign w:val="bottom"/>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Coursera, Inc.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700"/>
              <w:spacing w:after="0"/>
              <w:rPr>
                <w:sz w:val="20"/>
                <w:szCs w:val="20"/>
                <w:color w:val="auto"/>
              </w:rPr>
            </w:pPr>
            <w:r>
              <w:rPr>
                <w:rFonts w:ascii="Arial" w:cs="Arial" w:eastAsia="Arial" w:hAnsi="Arial"/>
                <w:sz w:val="16"/>
                <w:szCs w:val="16"/>
                <w:color w:val="auto"/>
                <w:w w:val="92"/>
              </w:rPr>
              <w:t>4,751,216</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Coursera, Inc.</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10,458,012</w:t>
            </w:r>
          </w:p>
        </w:tc>
        <w:tc>
          <w:tcPr>
            <w:tcW w:w="10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SharesPost, Inc.</w:t>
            </w:r>
          </w:p>
        </w:tc>
        <w:tc>
          <w:tcPr>
            <w:tcW w:w="200" w:type="dxa"/>
            <w:vAlign w:val="bottom"/>
          </w:tcPr>
          <w:p>
            <w:pPr>
              <w:spacing w:after="0"/>
              <w:rPr>
                <w:sz w:val="18"/>
                <w:szCs w:val="18"/>
                <w:color w:val="auto"/>
              </w:rPr>
            </w:pPr>
          </w:p>
        </w:tc>
        <w:tc>
          <w:tcPr>
            <w:tcW w:w="1560" w:type="dxa"/>
            <w:vAlign w:val="bottom"/>
          </w:tcPr>
          <w:p>
            <w:pPr>
              <w:jc w:val="center"/>
              <w:ind w:left="700"/>
              <w:spacing w:after="0"/>
              <w:rPr>
                <w:sz w:val="20"/>
                <w:szCs w:val="20"/>
                <w:color w:val="auto"/>
              </w:rPr>
            </w:pPr>
            <w:r>
              <w:rPr>
                <w:rFonts w:ascii="Arial" w:cs="Arial" w:eastAsia="Arial" w:hAnsi="Arial"/>
                <w:sz w:val="16"/>
                <w:szCs w:val="16"/>
                <w:color w:val="auto"/>
                <w:w w:val="92"/>
              </w:rPr>
              <w:t>4,401,790</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Parchment, Inc.</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4,745,425</w:t>
            </w:r>
          </w:p>
        </w:tc>
        <w:tc>
          <w:tcPr>
            <w:tcW w:w="100" w:type="dxa"/>
            <w:vAlign w:val="bottom"/>
          </w:tcPr>
          <w:p>
            <w:pPr>
              <w:spacing w:after="0"/>
              <w:rPr>
                <w:sz w:val="19"/>
                <w:szCs w:val="19"/>
                <w:color w:val="auto"/>
              </w:rPr>
            </w:pPr>
          </w:p>
        </w:tc>
        <w:tc>
          <w:tcPr>
            <w:tcW w:w="36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Avenues Global Holdings, LLC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700"/>
              <w:spacing w:after="0"/>
              <w:rPr>
                <w:sz w:val="20"/>
                <w:szCs w:val="20"/>
                <w:color w:val="auto"/>
              </w:rPr>
            </w:pPr>
            <w:r>
              <w:rPr>
                <w:rFonts w:ascii="Arial" w:cs="Arial" w:eastAsia="Arial" w:hAnsi="Arial"/>
                <w:sz w:val="16"/>
                <w:szCs w:val="16"/>
                <w:color w:val="auto"/>
                <w:w w:val="92"/>
              </w:rPr>
              <w:t>4,243,435</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3,511,682</w:t>
            </w:r>
          </w:p>
        </w:tc>
        <w:tc>
          <w:tcPr>
            <w:tcW w:w="10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Course Hero, Inc.</w:t>
            </w:r>
          </w:p>
        </w:tc>
        <w:tc>
          <w:tcPr>
            <w:tcW w:w="200" w:type="dxa"/>
            <w:vAlign w:val="bottom"/>
          </w:tcPr>
          <w:p>
            <w:pPr>
              <w:spacing w:after="0"/>
              <w:rPr>
                <w:sz w:val="18"/>
                <w:szCs w:val="18"/>
                <w:color w:val="auto"/>
              </w:rPr>
            </w:pPr>
          </w:p>
        </w:tc>
        <w:tc>
          <w:tcPr>
            <w:tcW w:w="1560" w:type="dxa"/>
            <w:vAlign w:val="bottom"/>
          </w:tcPr>
          <w:p>
            <w:pPr>
              <w:jc w:val="center"/>
              <w:ind w:left="700"/>
              <w:spacing w:after="0"/>
              <w:rPr>
                <w:sz w:val="20"/>
                <w:szCs w:val="20"/>
                <w:color w:val="auto"/>
              </w:rPr>
            </w:pPr>
            <w:r>
              <w:rPr>
                <w:rFonts w:ascii="Arial" w:cs="Arial" w:eastAsia="Arial" w:hAnsi="Arial"/>
                <w:sz w:val="16"/>
                <w:szCs w:val="16"/>
                <w:color w:val="auto"/>
                <w:w w:val="92"/>
              </w:rPr>
              <w:t>4,065,198</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360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Knewton, Inc.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2,979,116</w:t>
            </w:r>
          </w:p>
        </w:tc>
        <w:tc>
          <w:tcPr>
            <w:tcW w:w="100" w:type="dxa"/>
            <w:vAlign w:val="bottom"/>
          </w:tcPr>
          <w:p>
            <w:pPr>
              <w:spacing w:after="0"/>
              <w:rPr>
                <w:sz w:val="19"/>
                <w:szCs w:val="19"/>
                <w:color w:val="auto"/>
              </w:rPr>
            </w:pPr>
          </w:p>
        </w:tc>
        <w:tc>
          <w:tcPr>
            <w:tcW w:w="366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SugarCRM, Inc.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700"/>
              <w:spacing w:after="0"/>
              <w:rPr>
                <w:sz w:val="20"/>
                <w:szCs w:val="20"/>
                <w:color w:val="auto"/>
              </w:rPr>
            </w:pPr>
            <w:r>
              <w:rPr>
                <w:rFonts w:ascii="Arial" w:cs="Arial" w:eastAsia="Arial" w:hAnsi="Arial"/>
                <w:sz w:val="16"/>
                <w:szCs w:val="16"/>
                <w:color w:val="auto"/>
                <w:w w:val="92"/>
              </w:rPr>
              <w:t>3,753,157</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Enjoy Technology, Inc.</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1,155,396</w:t>
            </w:r>
          </w:p>
        </w:tc>
        <w:tc>
          <w:tcPr>
            <w:tcW w:w="10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Palantir Technologies, Inc.</w:t>
            </w:r>
          </w:p>
        </w:tc>
        <w:tc>
          <w:tcPr>
            <w:tcW w:w="200" w:type="dxa"/>
            <w:vAlign w:val="bottom"/>
          </w:tcPr>
          <w:p>
            <w:pPr>
              <w:spacing w:after="0"/>
              <w:rPr>
                <w:sz w:val="18"/>
                <w:szCs w:val="18"/>
                <w:color w:val="auto"/>
              </w:rPr>
            </w:pPr>
          </w:p>
        </w:tc>
        <w:tc>
          <w:tcPr>
            <w:tcW w:w="1560" w:type="dxa"/>
            <w:vAlign w:val="bottom"/>
          </w:tcPr>
          <w:p>
            <w:pPr>
              <w:jc w:val="center"/>
              <w:ind w:left="680"/>
              <w:spacing w:after="0"/>
              <w:rPr>
                <w:sz w:val="20"/>
                <w:szCs w:val="20"/>
                <w:color w:val="auto"/>
              </w:rPr>
            </w:pPr>
            <w:r>
              <w:rPr>
                <w:rFonts w:ascii="Arial" w:cs="Arial" w:eastAsia="Arial" w:hAnsi="Arial"/>
                <w:sz w:val="16"/>
                <w:szCs w:val="16"/>
                <w:color w:val="auto"/>
                <w:w w:val="92"/>
              </w:rPr>
              <w:t>(1,022,365)</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CUX, Inc. (d/b/a CorpU)</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(1,804,892)</w:t>
            </w:r>
          </w:p>
        </w:tc>
        <w:tc>
          <w:tcPr>
            <w:tcW w:w="100" w:type="dxa"/>
            <w:vAlign w:val="bottom"/>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Knewton, Inc.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w w:val="92"/>
              </w:rPr>
              <w:t>(1,576,151)</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Palantir Technologies, Inc.</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(2,471,310)</w:t>
            </w:r>
          </w:p>
        </w:tc>
        <w:tc>
          <w:tcPr>
            <w:tcW w:w="10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color w:val="auto"/>
              </w:rPr>
              <w:t>Declara, Inc.</w:t>
            </w:r>
          </w:p>
        </w:tc>
        <w:tc>
          <w:tcPr>
            <w:tcW w:w="200" w:type="dxa"/>
            <w:vAlign w:val="bottom"/>
          </w:tcPr>
          <w:p>
            <w:pPr>
              <w:spacing w:after="0"/>
              <w:rPr>
                <w:sz w:val="18"/>
                <w:szCs w:val="18"/>
                <w:color w:val="auto"/>
              </w:rPr>
            </w:pPr>
          </w:p>
        </w:tc>
        <w:tc>
          <w:tcPr>
            <w:tcW w:w="1560" w:type="dxa"/>
            <w:vAlign w:val="bottom"/>
          </w:tcPr>
          <w:p>
            <w:pPr>
              <w:jc w:val="center"/>
              <w:ind w:left="680"/>
              <w:spacing w:after="0"/>
              <w:rPr>
                <w:sz w:val="20"/>
                <w:szCs w:val="20"/>
                <w:color w:val="auto"/>
              </w:rPr>
            </w:pPr>
            <w:r>
              <w:rPr>
                <w:rFonts w:ascii="Arial" w:cs="Arial" w:eastAsia="Arial" w:hAnsi="Arial"/>
                <w:sz w:val="16"/>
                <w:szCs w:val="16"/>
                <w:color w:val="auto"/>
                <w:w w:val="92"/>
              </w:rPr>
              <w:t>(1,715,261)</w:t>
            </w:r>
          </w:p>
        </w:tc>
        <w:tc>
          <w:tcPr>
            <w:tcW w:w="0" w:type="dxa"/>
            <w:vAlign w:val="bottom"/>
          </w:tcPr>
          <w:p>
            <w:pPr>
              <w:spacing w:after="0"/>
              <w:rPr>
                <w:sz w:val="1"/>
                <w:szCs w:val="1"/>
                <w:color w:val="auto"/>
              </w:rPr>
            </w:pPr>
          </w:p>
        </w:tc>
      </w:tr>
      <w:tr>
        <w:trPr>
          <w:trHeight w:val="219"/>
        </w:trPr>
        <w:tc>
          <w:tcPr>
            <w:tcW w:w="34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 Place for Rover Inc. (f/k/a DogVacay, Inc.)</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(2,548,128)</w:t>
            </w:r>
          </w:p>
        </w:tc>
        <w:tc>
          <w:tcPr>
            <w:tcW w:w="100" w:type="dxa"/>
            <w:vAlign w:val="bottom"/>
          </w:tcPr>
          <w:p>
            <w:pPr>
              <w:spacing w:after="0"/>
              <w:rPr>
                <w:sz w:val="19"/>
                <w:szCs w:val="19"/>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Ozy Media, Inc.</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w w:val="92"/>
              </w:rPr>
              <w:t>(2,070,561)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NestGSV, Inc. (d/b/a OneValley, Inc.)</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(3,663,624)</w:t>
            </w:r>
          </w:p>
        </w:tc>
        <w:tc>
          <w:tcPr>
            <w:tcW w:w="100" w:type="dxa"/>
            <w:vAlign w:val="bottom"/>
          </w:tcPr>
          <w:p>
            <w:pPr>
              <w:spacing w:after="0"/>
              <w:rPr>
                <w:sz w:val="18"/>
                <w:szCs w:val="18"/>
                <w:color w:val="auto"/>
              </w:rPr>
            </w:pPr>
          </w:p>
        </w:tc>
        <w:tc>
          <w:tcPr>
            <w:tcW w:w="3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Chegg, Inc.</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560" w:type="dxa"/>
            <w:vAlign w:val="bottom"/>
          </w:tcPr>
          <w:p>
            <w:pPr>
              <w:jc w:val="center"/>
              <w:ind w:left="680"/>
              <w:spacing w:after="0"/>
              <w:rPr>
                <w:sz w:val="20"/>
                <w:szCs w:val="20"/>
                <w:color w:val="auto"/>
              </w:rPr>
            </w:pPr>
            <w:r>
              <w:rPr>
                <w:rFonts w:ascii="Arial" w:cs="Arial" w:eastAsia="Arial" w:hAnsi="Arial"/>
                <w:sz w:val="16"/>
                <w:szCs w:val="16"/>
                <w:color w:val="auto"/>
                <w:w w:val="92"/>
              </w:rPr>
              <w:t>(2,151,532)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Dropbox, Inc.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(4,219,119)</w:t>
            </w:r>
          </w:p>
        </w:tc>
        <w:tc>
          <w:tcPr>
            <w:tcW w:w="100" w:type="dxa"/>
            <w:vAlign w:val="bottom"/>
          </w:tcPr>
          <w:p>
            <w:pPr>
              <w:spacing w:after="0"/>
              <w:rPr>
                <w:sz w:val="18"/>
                <w:szCs w:val="18"/>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Spotify Technology S.A.</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w w:val="92"/>
              </w:rPr>
              <w:t>(4,015,707)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Stormwind, LLC</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(4,343,218)</w:t>
            </w:r>
          </w:p>
        </w:tc>
        <w:tc>
          <w:tcPr>
            <w:tcW w:w="100" w:type="dxa"/>
            <w:vAlign w:val="bottom"/>
          </w:tcPr>
          <w:p>
            <w:pPr>
              <w:spacing w:after="0"/>
              <w:rPr>
                <w:sz w:val="18"/>
                <w:szCs w:val="18"/>
                <w:color w:val="auto"/>
              </w:rPr>
            </w:pPr>
          </w:p>
        </w:tc>
        <w:tc>
          <w:tcPr>
            <w:tcW w:w="36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General Assembly Space, Inc.</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560" w:type="dxa"/>
            <w:vAlign w:val="bottom"/>
          </w:tcPr>
          <w:p>
            <w:pPr>
              <w:jc w:val="center"/>
              <w:ind w:left="680"/>
              <w:spacing w:after="0"/>
              <w:rPr>
                <w:sz w:val="20"/>
                <w:szCs w:val="20"/>
                <w:color w:val="auto"/>
              </w:rPr>
            </w:pPr>
            <w:r>
              <w:rPr>
                <w:rFonts w:ascii="Arial" w:cs="Arial" w:eastAsia="Arial" w:hAnsi="Arial"/>
                <w:sz w:val="16"/>
                <w:szCs w:val="16"/>
                <w:color w:val="auto"/>
                <w:w w:val="92"/>
              </w:rPr>
              <w:t>(4,840,905)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Lyft, Inc.</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(11,313,418)</w:t>
            </w:r>
          </w:p>
        </w:tc>
        <w:tc>
          <w:tcPr>
            <w:tcW w:w="100" w:type="dxa"/>
            <w:vAlign w:val="bottom"/>
          </w:tcPr>
          <w:p>
            <w:pPr>
              <w:spacing w:after="0"/>
              <w:rPr>
                <w:sz w:val="18"/>
                <w:szCs w:val="18"/>
                <w:color w:val="auto"/>
              </w:rPr>
            </w:pP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Curious.com, Inc.</w:t>
            </w: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ind w:left="680"/>
              <w:spacing w:after="0"/>
              <w:rPr>
                <w:sz w:val="20"/>
                <w:szCs w:val="20"/>
                <w:color w:val="auto"/>
              </w:rPr>
            </w:pPr>
            <w:r>
              <w:rPr>
                <w:rFonts w:ascii="Arial" w:cs="Arial" w:eastAsia="Arial" w:hAnsi="Arial"/>
                <w:sz w:val="16"/>
                <w:szCs w:val="16"/>
                <w:color w:val="auto"/>
                <w:w w:val="92"/>
              </w:rPr>
              <w:t>(5,514,077)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Spotify Technology S.A.</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(16,711,276)</w:t>
            </w: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6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1,444,856</w:t>
            </w:r>
          </w:p>
        </w:tc>
        <w:tc>
          <w:tcPr>
            <w:tcW w:w="100" w:type="dxa"/>
            <w:vAlign w:val="bottom"/>
          </w:tcPr>
          <w:p>
            <w:pPr>
              <w:spacing w:after="0"/>
              <w:rPr>
                <w:sz w:val="18"/>
                <w:szCs w:val="18"/>
                <w:color w:val="auto"/>
              </w:rPr>
            </w:pPr>
          </w:p>
        </w:tc>
        <w:tc>
          <w:tcPr>
            <w:tcW w:w="366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(2)</w:t>
            </w:r>
          </w:p>
        </w:tc>
        <w:tc>
          <w:tcPr>
            <w:tcW w:w="2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center"/>
              <w:ind w:left="680"/>
              <w:spacing w:after="0"/>
              <w:rPr>
                <w:sz w:val="20"/>
                <w:szCs w:val="20"/>
                <w:color w:val="auto"/>
              </w:rPr>
            </w:pPr>
            <w:r>
              <w:rPr>
                <w:rFonts w:ascii="Arial" w:cs="Arial" w:eastAsia="Arial" w:hAnsi="Arial"/>
                <w:sz w:val="16"/>
                <w:szCs w:val="16"/>
                <w:color w:val="auto"/>
                <w:w w:val="92"/>
              </w:rPr>
              <w:t>(2,541,240)</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6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13,339,859</w:t>
            </w:r>
          </w:p>
        </w:tc>
        <w:tc>
          <w:tcPr>
            <w:tcW w:w="100" w:type="dxa"/>
            <w:vAlign w:val="bottom"/>
          </w:tcPr>
          <w:p>
            <w:pPr>
              <w:spacing w:after="0"/>
              <w:rPr>
                <w:sz w:val="18"/>
                <w:szCs w:val="18"/>
                <w:color w:val="auto"/>
              </w:rPr>
            </w:pPr>
          </w:p>
        </w:tc>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b w:val="1"/>
                <w:bCs w:val="1"/>
                <w:color w:val="auto"/>
                <w:w w:val="89"/>
              </w:rPr>
              <w:t>$</w:t>
            </w:r>
          </w:p>
        </w:tc>
        <w:tc>
          <w:tcPr>
            <w:tcW w:w="1560" w:type="dxa"/>
            <w:vAlign w:val="bottom"/>
            <w:tcBorders>
              <w:bottom w:val="single" w:sz="8" w:color="auto"/>
            </w:tcBorders>
          </w:tcPr>
          <w:p>
            <w:pPr>
              <w:jc w:val="center"/>
              <w:ind w:left="700"/>
              <w:spacing w:after="0"/>
              <w:rPr>
                <w:sz w:val="20"/>
                <w:szCs w:val="20"/>
                <w:color w:val="auto"/>
              </w:rPr>
            </w:pPr>
            <w:r>
              <w:rPr>
                <w:rFonts w:ascii="Arial" w:cs="Arial" w:eastAsia="Arial" w:hAnsi="Arial"/>
                <w:sz w:val="16"/>
                <w:szCs w:val="16"/>
                <w:b w:val="1"/>
                <w:bCs w:val="1"/>
                <w:color w:val="auto"/>
                <w:w w:val="92"/>
              </w:rPr>
              <w:t>9,641,050</w:t>
            </w:r>
          </w:p>
        </w:tc>
        <w:tc>
          <w:tcPr>
            <w:tcW w:w="0" w:type="dxa"/>
            <w:vAlign w:val="bottom"/>
          </w:tcPr>
          <w:p>
            <w:pPr>
              <w:spacing w:after="0"/>
              <w:rPr>
                <w:sz w:val="1"/>
                <w:szCs w:val="1"/>
                <w:color w:val="auto"/>
              </w:rPr>
            </w:pPr>
          </w:p>
        </w:tc>
      </w:tr>
      <w:tr>
        <w:trPr>
          <w:trHeight w:val="20"/>
        </w:trPr>
        <w:tc>
          <w:tcPr>
            <w:tcW w:w="384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w:t>
            </w:r>
          </w:p>
        </w:tc>
        <w:tc>
          <w:tcPr>
            <w:tcW w:w="1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8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00" w:hanging="492"/>
        <w:spacing w:after="0" w:line="249"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change in unrealized appreciation/(depreciation) reflected for these investments resulted from the full or partial sale, repayment, capital transaction (merger), or write-off of the investment, which resulted in the reversal of previously accrued unrealized appreciation/(depreciation), as applicable.</w:t>
      </w:r>
    </w:p>
    <w:p>
      <w:pPr>
        <w:ind w:left="500" w:hanging="492"/>
        <w:spacing w:after="0" w:line="257"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“Other” represents investments (including U.S. Treasury bills) for which individual change in unrealized appreciation/(depreciation) was less than $1.0 million for the years ended December 31, 2019 or 2018.</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Activity</w:t>
      </w:r>
    </w:p>
    <w:p>
      <w:pPr>
        <w:spacing w:after="0" w:line="252"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Please refer to “Note 12—Subsequent Events” to our consolidated financial statements as of December 31, 2020 for details regarding activity in our investment portfolio from January 1, 2021 through March 11, 2021.</w:t>
      </w:r>
    </w:p>
    <w:p>
      <w:pPr>
        <w:spacing w:after="0" w:line="19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As the COVID-19 situation continues to evolve, we are maintaining close communications with our portfolio companies to proactively assess and manage potential risks across our investment portfolio.</w:t>
      </w:r>
    </w:p>
    <w:p>
      <w:pPr>
        <w:spacing w:after="0" w:line="197"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We are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us. Equity investments made through the secondary market may involve making deposits in escrow accounts until the applicable closing conditions are satisfied, at which time the escrow accounts will close and such equity investments will be effectuated.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26, 2021, the Company’s Board of Directors declared a dividend of $0.25 per share paid, in cash, on February 19, 2021 to stockholders of record as of the close of business on February 5, 2021.</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8, 2021, the Company's Board of Directors declared a dividend of $0.25 per share payable on April 15, 2021 to stockholders of record as of the close of business on March 30, 2021. The dividend will be paid in cash.</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22" w:right="339" w:bottom="1440" w:gutter="0" w:footer="0" w:header="0"/>
        </w:sectPr>
      </w:pPr>
    </w:p>
    <w:bookmarkStart w:id="67" w:name="page68"/>
    <w:bookmarkEnd w:id="6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4.75% Convertible Senior Notes due 2023</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Effective as of February 5, 2021, the conversion price applicable to the 4.75% Convertible Senior Notes due 2023 was adjusted to $9.25 per share (108.0505 shares of the Company’s common stock per $1,000 principal amount of the 4.75% Convertible Senior Notes due 2023) from the most recent conversion price of $9.42 per share (106.1681 shares of the Company’s common stock per $1,000 principal amount of the 4.75% Convertible Senior Notes due 2023), which had been in effect since December 30, 2020. The adjustment to the conversion rate of the 4.75% Convertible Senior Notes due 2023 was made pursuant to the supplemental indenture governing the 4.75% Convertible Senior Notes due 2023 as a result of the Company’s cash dividend of $0.25 per share, paid on February 19, 2021 to stockholders of record as of the close of business on February 5,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4.75% Convertible Senior Notes due 2023</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On February 19, 2021, the Company caused notices of redemption to be issued to the holders of its 4.75% Convertible Senior Notes due 2023 regarding the Company’s exercise of its option to redeem, in whole, the issued and outstanding 4.75% Convertible Senior Notes due 2023, pursuant to the Indenture, dated as of March 28, 2018, between the Company and U.S. Bank National Association, as trustee, and the First Supplemental Indenture, dated as of March 28, 2018, between the Company and U.S. Bank National Association, as trustee. The Company will redeem $38,215,000 in aggregate principal amount of the issued and outstanding 4.75% Convertible Senior Notes due 2023 on March 29, 2021 (the “Redemption Date”). The 4.75% Convertible Senior Notes due 2023 will be redeemed at 100% of their principal amount ($1,000 per note), plus the accrued and unpaid interest thereon from September 30, 2020, through, but excluding, the Redemption Date.</w:t>
      </w:r>
    </w:p>
    <w:p>
      <w:pPr>
        <w:spacing w:after="0" w:line="20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Holders of the 4.75% Convertible Senior Notes due 2023 may surrender such notes for conversion into shares of the Company’s common stock in lieu of receiving cash at any time prior to the close of business on the business day immediately preceding the Redemption Date.</w:t>
      </w:r>
    </w:p>
    <w:p>
      <w:pPr>
        <w:spacing w:after="0" w:line="17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copy of the notice of redemption was included as an exhibit to the Company’s Current Report on Form 8-K filed with the SEC on February 19, 2021. Please refer to that Current Report on Form 8-K for additional information.</w:t>
      </w:r>
    </w:p>
    <w:p>
      <w:pPr>
        <w:spacing w:after="0" w:line="19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of December 31, 2020, $38,215,000 in aggregate principal amount of the 4.75% Convertible Senior Notes due 2023 were outstanding (the “Outstanding Amount”). Hypothetically, assuming all holders of the 4.75% Convertible Senior Notes due 2023 voluntarily submit the Outstanding Amount for conversion into shares of the Company’s common stock prior to the Redemption Date in accordance with the terms of the First Supplemental Indenture at the current conversion price of $9.25 per share (108.0505 shares of the Company’s common stock per $1,000 principal amount of the 4.75% Convertible Senior Notes due 2023), approximately 4,129,150 shares of the Company’s common stock would be issued. The dilutive effect of such conversions on the Company’s net asset value per share of $15.14 as of December 31, 2020 would be approximately $1.01.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has been closely monitoring the COVID-19 pandemic, its broader impact on the global economy and the more recent impacts on the U.S. economy. Subsequent to December 31, 2020,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11, 2021, there is no indication of a reportable subsequent event impacting the Company’s financial statements for the year ended December 31, 2020. The Company continues to observe and respond to the evolving COVID-19 environment and its potential impact on areas across its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Our liquidity and capital resources are generated primarily from the sales of our investments and the net proceeds from public offerings of our equity and debt securities. Our $12.0 million senior secured revolving Credit Facility with Western Alliance Bank (the "Credit Facility") matured and expired on May 31, 2019 and no amounts were outstanding under the Credit Facility as of such date. See “Note 10—Debt Capital Activities.” In addition, on March 28, 2018, we issued $40.0 million aggregate principal amount of 4.75% Convertible Senior Notes due 2023, as discussed further below and in “Note 10— Debt Capital Activities” to our consolidated financial statements as of December 31, 2020.</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22" w:right="339" w:bottom="1440" w:gutter="0" w:footer="0" w:header="0"/>
        </w:sectPr>
      </w:pPr>
    </w:p>
    <w:bookmarkStart w:id="68" w:name="page69"/>
    <w:bookmarkEnd w:id="6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Our primary uses of cash are to make investments, pay our operating expenses, and make distributions to our stockholders. For the year ended December 31, 2020, our operating expenses were $16,338,543, including compensation expense related to the cancellation of the options granted under the 2019 Equity Incentive Plan. For the years ended December 31, 2019 and 2018, our operating expenses were $10,946,792 and $9,252,413, net of fee waivers, respectively.</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Cash Reserves and Liquid Securities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99"/>
              </w:rPr>
              <w:t>December 31, 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December 31, 2018</w:t>
            </w: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45,793,724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44,861,263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28,184,163</w:t>
            </w:r>
          </w:p>
        </w:tc>
      </w:tr>
      <w:tr>
        <w:trPr>
          <w:trHeight w:val="216"/>
        </w:trPr>
        <w:tc>
          <w:tcPr>
            <w:tcW w:w="52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Borrowing availability under the Credit Facility</w:t>
            </w:r>
            <w:r>
              <w:rPr>
                <w:rFonts w:ascii="Arial" w:cs="Arial" w:eastAsia="Arial" w:hAnsi="Arial"/>
                <w:sz w:val="21"/>
                <w:szCs w:val="21"/>
                <w:color w:val="auto"/>
                <w:vertAlign w:val="superscript"/>
              </w:rPr>
              <w:t>(1)</w:t>
            </w:r>
          </w:p>
        </w:tc>
        <w:tc>
          <w:tcPr>
            <w:tcW w:w="2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12,000,000</w:t>
            </w:r>
          </w:p>
        </w:tc>
      </w:tr>
      <w:tr>
        <w:trPr>
          <w:trHeight w:val="216"/>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Securities of publicly traded portfolio companies: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5280" w:type="dxa"/>
            <w:vAlign w:val="bottom"/>
            <w:gridSpan w:val="2"/>
          </w:tcPr>
          <w:p>
            <w:pPr>
              <w:ind w:left="180"/>
              <w:spacing w:after="0" w:line="216" w:lineRule="exact"/>
              <w:rPr>
                <w:sz w:val="20"/>
                <w:szCs w:val="20"/>
                <w:color w:val="auto"/>
              </w:rPr>
            </w:pPr>
            <w:r>
              <w:rPr>
                <w:rFonts w:ascii="Arial" w:cs="Arial" w:eastAsia="Arial" w:hAnsi="Arial"/>
                <w:sz w:val="16"/>
                <w:szCs w:val="16"/>
                <w:color w:val="auto"/>
              </w:rPr>
              <w:t>Unrestricted securities</w:t>
            </w:r>
            <w:r>
              <w:rPr>
                <w:rFonts w:ascii="Arial" w:cs="Arial" w:eastAsia="Arial" w:hAnsi="Arial"/>
                <w:sz w:val="21"/>
                <w:szCs w:val="21"/>
                <w:color w:val="auto"/>
                <w:vertAlign w:val="superscript"/>
              </w:rPr>
              <w:t>(2)</w:t>
            </w:r>
          </w:p>
        </w:tc>
        <w:tc>
          <w:tcPr>
            <w:tcW w:w="220" w:type="dxa"/>
            <w:vAlign w:val="bottom"/>
          </w:tcPr>
          <w:p>
            <w:pPr>
              <w:spacing w:after="0"/>
              <w:rPr>
                <w:sz w:val="18"/>
                <w:szCs w:val="18"/>
                <w:color w:val="auto"/>
              </w:rPr>
            </w:pPr>
          </w:p>
        </w:tc>
        <w:tc>
          <w:tcPr>
            <w:tcW w:w="1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44,589,406</w:t>
            </w:r>
          </w:p>
        </w:tc>
      </w:tr>
      <w:tr>
        <w:trPr>
          <w:trHeight w:val="216"/>
        </w:trPr>
        <w:tc>
          <w:tcPr>
            <w:tcW w:w="516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Subject to other sales restrictions</w:t>
            </w:r>
            <w:r>
              <w:rPr>
                <w:rFonts w:ascii="Arial" w:cs="Arial" w:eastAsia="Arial" w:hAnsi="Arial"/>
                <w:sz w:val="21"/>
                <w:szCs w:val="21"/>
                <w:color w:val="auto"/>
                <w:vertAlign w:val="superscript"/>
              </w:rPr>
              <w:t>(3)</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94,635,398</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Securities of publicly traded portfolio companies</w:t>
            </w: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94,635,398</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44,589,406</w:t>
            </w:r>
          </w:p>
        </w:tc>
      </w:tr>
      <w:tr>
        <w:trPr>
          <w:trHeight w:val="237"/>
        </w:trPr>
        <w:tc>
          <w:tcPr>
            <w:tcW w:w="5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Cash Reserves and Liquid Securities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140,429,122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44,861,263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84,773,569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327469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74695" cy="15430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500" w:hanging="492"/>
        <w:spacing w:after="0" w:line="241" w:lineRule="auto"/>
        <w:tabs>
          <w:tab w:leader="none" w:pos="492" w:val="left"/>
        </w:tabs>
        <w:numPr>
          <w:ilvl w:val="0"/>
          <w:numId w:val="46"/>
        </w:numPr>
        <w:rPr>
          <w:rFonts w:ascii="Arial" w:cs="Arial" w:eastAsia="Arial" w:hAnsi="Arial"/>
          <w:sz w:val="14"/>
          <w:szCs w:val="14"/>
          <w:color w:val="auto"/>
        </w:rPr>
      </w:pPr>
      <w:r>
        <w:rPr>
          <w:rFonts w:ascii="Arial" w:cs="Arial" w:eastAsia="Arial" w:hAnsi="Arial"/>
          <w:sz w:val="14"/>
          <w:szCs w:val="14"/>
          <w:color w:val="auto"/>
        </w:rPr>
        <w:t>Subject to leverage and borrowing base restrictions and other requirements under the Credit Facility as of December 31, 2018. The Credit Facility matured on May 31, 2019. Refer to "Note 10—Debt Capital Activities" to our consolidated financial statements as of December 31, 2020 for details.</w:t>
      </w:r>
    </w:p>
    <w:p>
      <w:pPr>
        <w:jc w:val="both"/>
        <w:ind w:left="500" w:hanging="492"/>
        <w:spacing w:after="0" w:line="241" w:lineRule="auto"/>
        <w:tabs>
          <w:tab w:leader="none" w:pos="492" w:val="left"/>
        </w:tabs>
        <w:numPr>
          <w:ilvl w:val="0"/>
          <w:numId w:val="46"/>
        </w:numPr>
        <w:rPr>
          <w:rFonts w:ascii="Arial" w:cs="Arial" w:eastAsia="Arial" w:hAnsi="Arial"/>
          <w:sz w:val="14"/>
          <w:szCs w:val="14"/>
          <w:color w:val="auto"/>
        </w:rPr>
      </w:pPr>
      <w:r>
        <w:rPr>
          <w:rFonts w:ascii="Arial" w:cs="Arial" w:eastAsia="Arial" w:hAnsi="Arial"/>
          <w:sz w:val="14"/>
          <w:szCs w:val="14"/>
          <w:color w:val="auto"/>
        </w:rPr>
        <w:t>"Unrestricted securities" represents common stock of our publicly traded companies that are not subject to any restrictions upon sale. We may incur losses if we liquidate these positions to pay operating expenses or fund new investments. As of December 31, 2020, this balance was $0 as we were not holding any publicly traded portfolio companies that were not subject to other sales restrictions. As of December 31, 2019, this balance was $0 as we were not holding any publicly traded portfolio companies. As of December 31, 2018, this balance represents our shares of common stock in Spotify Technology S.A. and Dropbox, Inc.</w:t>
      </w:r>
    </w:p>
    <w:p>
      <w:pPr>
        <w:spacing w:after="0" w:line="1" w:lineRule="exact"/>
        <w:rPr>
          <w:rFonts w:ascii="Arial" w:cs="Arial" w:eastAsia="Arial" w:hAnsi="Arial"/>
          <w:sz w:val="14"/>
          <w:szCs w:val="14"/>
          <w:color w:val="auto"/>
        </w:rPr>
      </w:pPr>
    </w:p>
    <w:p>
      <w:pPr>
        <w:ind w:left="480" w:hanging="472"/>
        <w:spacing w:after="0"/>
        <w:tabs>
          <w:tab w:leader="none" w:pos="4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of December 31, 2020, this balance represents our shares of common stock in Palantir Technologies, Inc. that were subject to certain lock-up restrictions.</w:t>
      </w:r>
    </w:p>
    <w:p>
      <w:pPr>
        <w:spacing w:after="0" w:line="23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During the year ended December 31, 2020, cash increased to $45,793,724 from $44,861,263 at the beginning of the year. The increase in cash was primarily due to proceeds from the sale of our common stock, interest income, dividends, and escrow proceeds received from our investments, offset by cash used to purchase investments, pay dividends, repurchase our common stock under the Share Repurchase Program, make interest payments related to our 4.75% Convertible Senior Notes due 2023, and pay operating expenses.</w:t>
      </w:r>
    </w:p>
    <w:p>
      <w:pPr>
        <w:spacing w:after="0" w:line="21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Currently, we believe we have ample liquidity to support our near-term capital requirements. As the impact of the COVID-19 continues to unfold and consistent with past and current practices, we will continue to evaluate our overall liquidity position and take proactive steps to maintain the appropriate liquidity position based upon the current circumstances.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significant contractual payment obligations as of December 31, 2020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8"/>
          </w:tcPr>
          <w:p>
            <w:pPr>
              <w:ind w:left="680"/>
              <w:spacing w:after="0"/>
              <w:rPr>
                <w:sz w:val="20"/>
                <w:szCs w:val="20"/>
                <w:color w:val="auto"/>
              </w:rPr>
            </w:pPr>
            <w:r>
              <w:rPr>
                <w:rFonts w:ascii="Arial" w:cs="Arial" w:eastAsia="Arial" w:hAnsi="Arial"/>
                <w:sz w:val="16"/>
                <w:szCs w:val="16"/>
                <w:b w:val="1"/>
                <w:bCs w:val="1"/>
                <w:color w:val="auto"/>
              </w:rPr>
              <w:t xml:space="preserve">Payments Due By Period </w:t>
            </w:r>
            <w:r>
              <w:rPr>
                <w:rFonts w:ascii="Arial" w:cs="Arial" w:eastAsia="Arial" w:hAnsi="Arial"/>
                <w:sz w:val="16"/>
                <w:szCs w:val="16"/>
                <w:b w:val="1"/>
                <w:bCs w:val="1"/>
                <w:i w:val="1"/>
                <w:iCs w:val="1"/>
                <w:color w:val="auto"/>
              </w:rPr>
              <w:t>( in millions)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Less than</w:t>
            </w:r>
          </w:p>
        </w:tc>
        <w:tc>
          <w:tcPr>
            <w:tcW w:w="240" w:type="dxa"/>
            <w:vAlign w:val="bottom"/>
          </w:tcPr>
          <w:p>
            <w:pPr>
              <w:spacing w:after="0"/>
              <w:rPr>
                <w:sz w:val="13"/>
                <w:szCs w:val="13"/>
                <w:color w:val="auto"/>
              </w:rPr>
            </w:pPr>
          </w:p>
        </w:tc>
        <w:tc>
          <w:tcPr>
            <w:tcW w:w="11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1–3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3–5 years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ind w:left="120"/>
              <w:spacing w:after="0" w:line="158" w:lineRule="exact"/>
              <w:rPr>
                <w:sz w:val="20"/>
                <w:szCs w:val="20"/>
                <w:color w:val="auto"/>
              </w:rPr>
            </w:pPr>
            <w:r>
              <w:rPr>
                <w:rFonts w:ascii="Arial" w:cs="Arial" w:eastAsia="Arial" w:hAnsi="Arial"/>
                <w:sz w:val="16"/>
                <w:szCs w:val="16"/>
                <w:b w:val="1"/>
                <w:bCs w:val="1"/>
                <w:color w:val="auto"/>
              </w:rPr>
              <w:t>More than</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1 year</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5 years</w:t>
            </w: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Payable for securities purchased</w:t>
            </w:r>
            <w:r>
              <w:rPr>
                <w:rFonts w:ascii="Arial" w:cs="Arial" w:eastAsia="Arial" w:hAnsi="Arial"/>
                <w:sz w:val="21"/>
                <w:szCs w:val="21"/>
                <w:color w:val="auto"/>
                <w:vertAlign w:val="superscript"/>
              </w:rPr>
              <w:t>(1)</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line="216" w:lineRule="exact"/>
              <w:rPr>
                <w:sz w:val="20"/>
                <w:szCs w:val="20"/>
                <w:color w:val="auto"/>
              </w:rPr>
            </w:pPr>
            <w:r>
              <w:rPr>
                <w:rFonts w:ascii="Arial" w:cs="Arial" w:eastAsia="Arial" w:hAnsi="Arial"/>
                <w:sz w:val="16"/>
                <w:szCs w:val="16"/>
                <w:color w:val="auto"/>
              </w:rPr>
              <w:t>Convertible Senior Notes</w:t>
            </w:r>
            <w:r>
              <w:rPr>
                <w:rFonts w:ascii="Arial" w:cs="Arial" w:eastAsia="Arial" w:hAnsi="Arial"/>
                <w:sz w:val="21"/>
                <w:szCs w:val="21"/>
                <w:color w:val="auto"/>
                <w:vertAlign w:val="superscript"/>
              </w:rPr>
              <w:t>(2)</w:t>
            </w:r>
          </w:p>
        </w:tc>
        <w:tc>
          <w:tcPr>
            <w:tcW w:w="9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tcPr>
          <w:p>
            <w:pPr>
              <w:ind w:left="9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w:t>
            </w:r>
          </w:p>
        </w:tc>
        <w:tc>
          <w:tcPr>
            <w:tcW w:w="9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ind w:left="9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500" w:hanging="492"/>
        <w:spacing w:after="0" w:line="260" w:lineRule="auto"/>
        <w:tabs>
          <w:tab w:leader="none" w:pos="492" w:val="left"/>
        </w:tabs>
        <w:numPr>
          <w:ilvl w:val="0"/>
          <w:numId w:val="47"/>
        </w:numPr>
        <w:rPr>
          <w:rFonts w:ascii="Arial" w:cs="Arial" w:eastAsia="Arial" w:hAnsi="Arial"/>
          <w:sz w:val="13"/>
          <w:szCs w:val="13"/>
          <w:color w:val="auto"/>
        </w:rPr>
      </w:pPr>
      <w:r>
        <w:rPr>
          <w:rFonts w:ascii="Arial" w:cs="Arial" w:eastAsia="Arial" w:hAnsi="Arial"/>
          <w:sz w:val="13"/>
          <w:szCs w:val="13"/>
          <w:color w:val="auto"/>
        </w:rPr>
        <w:t>“Payable for securities purchased” relates to the purchase of U.S. Treasury bills on margin and repurchase of our common stock under the Share Repurchase Program. This balance was subsequently repaid in early January 2021, when the $150.0 million United States Treasury bill matured and the $15.8 million margin deposit that we posted as collateral was returned.</w:t>
      </w:r>
    </w:p>
    <w:p>
      <w:pPr>
        <w:ind w:left="500" w:hanging="492"/>
        <w:spacing w:after="0" w:line="255" w:lineRule="auto"/>
        <w:tabs>
          <w:tab w:leader="none" w:pos="492"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balance shown for the "Convertible Senior Notes" reflects the principal balance payable to investors for the 4.75% Convertible Senior Notes due 2023 as of December 31, 2020. Refer to “Note 10—Debt Capital Activities” to our consolidated financial statements as of December 31, 2020 for more information.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22" w:right="339" w:bottom="1440" w:gutter="0" w:footer="0" w:header="0"/>
        </w:sectPr>
      </w:pPr>
    </w:p>
    <w:bookmarkStart w:id="69" w:name="page70"/>
    <w:bookmarkEnd w:id="6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During the year ended December 31, 2020, we repurchased 1,655,848 shares of our common stock pursuant to the Share Repurchase Program. As of December 31, 2020, the dollar value of shares that remained available to be purchased under the Share Repurchase Program was approximately $9.6 million.</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 For more information on the Share Repurchase Program, see "Part II. Item 5. Market for Registrant's Common Equity, Related Stockholder Matters and Issuer Purchases of Equity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52"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As of December 31, 2020, we had no off-balance sheet arrangements, including any risk management of commodity pricing or other hedging practices. However, we may employ hedging and other risk management techniques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 &amp; Debt Capital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At-the-Market Offering</w:t>
      </w:r>
    </w:p>
    <w:p>
      <w:pPr>
        <w:spacing w:after="0" w:line="25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$50,000,000 in aggregate amount of shares of its common stock (the "Shares") from time to time through the Agents or to them as principal for their own account (the "ATM Program"). On September 23, 2020, the Company increased the maximum amount of Shares to be sold through the ATM Program to $150,000,000 from $50,000,000. In connection with the upsize of the ATM Program to $150,000,000, the Company entered into the Amendment No. 1 to the At-the-Market Sales Agreement, dated September 23, 2020, with the Agents. The Company intends to use the net proceeds from the ATM Program to make investments in portfolio companies in accordance with its investment objective and strategy and for general corporate purposes.</w:t>
      </w:r>
    </w:p>
    <w:p>
      <w:pPr>
        <w:spacing w:after="0" w:line="221"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During the year ended December 31, 2020, the Company issued and sold 3,808,979 shares under the ATM Program at a weighted-average price of $13.36 per share, for gross proceeds of $50,900,326 and net proceeds of $49,882,319, after deducting commissions to the Agents on Shares sold. As of December 31, 2020, up to $99,099,674 in aggregate amount of the Shares remain available for sale under the ATM Program. Refer to “Note 5—Common Stock” to our consolidated financial statements as of December 31, 2020 for more information regarding the ATM Program.</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28, 2018, we issued $40.0 million aggregate principal amount of 4.75% Convertible Senior Notes due 2023, which bear interest at a fixed rate of 4.75% per year, payable semi-annually in arrears on March 31 and September 30 of each year, commencing on September 30, 2018. We received $38.2 million in proceeds from the offering, net of underwriting discounts and commissions and other offering expenses. The 4.75% Convertible Senior Notes due 2023 mature on March 28, 2023, unless previously repurchased or converted in accordance with their terms. We do not have the right to redeem the 4.75% Convertible Senior Notes due 2023 prior to March 27, 2021.</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year ended December 31, 2020, the Company issued 174,888 shares of its common stock and cash for fractional shares upon the conversion of $1,785,000 in aggregate principal amount of the 4.75% Convertible Senior Notes due 2023.</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Refer to “—Recent Developments” and “Note 10—Debt Capital Activities” to our consolidated financial statements as of December 31, 2020 for more information regarding the 4.75% Convertible Senior Notes due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See “Market for Registrant’s Common Equity, Related Stockholder Matters and Issuer Purchases of Equity Securities” in Part II, Item 5 of this Form 10-K for a list of our past distributions, including dividends and returns of capital, if any, per share that we have declared since our formation through December 31, 2020.</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240"/>
          </w:cols>
          <w:pgMar w:left="320" w:top="122" w:right="339" w:bottom="1440" w:gutter="0" w:footer="0" w:header="0"/>
          <w:type w:val="continuous"/>
        </w:sectPr>
      </w:pPr>
    </w:p>
    <w:bookmarkStart w:id="70" w:name="page71"/>
    <w:bookmarkEnd w:id="7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Critical accounting policies and practices are the policies that are both most important to the portrayal of our financial condition and results, and require management’s most difficult, subjective, or complex judgments, often as a result of the need to make estimates about the effects of matters that are inherently uncertain. These include estimates of the fair value of our Level 3 investments and other estimates that affect the reported amounts of assets and liabilities as of the date of the consolidated financial statements and the reported amounts of certain revenues and expenses during the reporting period. It is likely that changes in these estimates will occur in the near term. Our estimates are inherently subjective in nature and actual results could differ materially from such estimates. See “Note 2—Significant Accounting Policies” to our consolidated financial statements as of December 31, 2020 for further detail regarding our critical accounting policies and recently issued or adopted accounting pronouncements.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3—Related-Party Arrangements” to our consolidated financial statements as of December 31, 2020 for more information.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22" w:right="339" w:bottom="1440" w:gutter="0" w:footer="0" w:header="0"/>
        </w:sectPr>
      </w:pPr>
    </w:p>
    <w:bookmarkStart w:id="71" w:name="page72"/>
    <w:bookmarkEnd w:id="7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Our equity investments are primarily in growth companies that in many cases have short operating histories and are generally illiquid. In addition to the risk that these companies may fail to achieve their objectives, the price we may receive for these companies in private transactions may be significantly impacted by periods of disruption and instability in the capital markets. While these periods of disruption generally have little actual impact on the operating results of our equity investments, these events may significantly impact the prices that market participants will pay for our equity investments in private transactions. This may have a significant impact on the valuation of our equity investments.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Risk</w:t>
      </w:r>
    </w:p>
    <w:p>
      <w:pPr>
        <w:spacing w:after="0" w:line="25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In addition, if we were required to liquidate a portfolio investment in a forced or liquidation sale, we may realize amounts that are different from the amounts presented and such differences could be 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subject to financial market risks, which could include, to the extent we utilize leverage with variable rate structures, changes in interest rates. As we invest primarily in equity rather than debt instruments, we would not expect fluctuations in interest rates to directly impact the return on our portfolio investments, although any significant change in market interest rates could potentially have an adverse effect on the business, financial condition and results of operations of the portfolio companies in which we invest.</w:t>
      </w:r>
    </w:p>
    <w:p>
      <w:pPr>
        <w:spacing w:after="0" w:line="2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of December 31, 2020, all of our debt investments and outstanding borrowings bore fixed rates of interest.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64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r>
      <w:tr>
        <w:trPr>
          <w:trHeight w:val="229"/>
        </w:trPr>
        <w:tc>
          <w:tcPr>
            <w:tcW w:w="10640" w:type="dxa"/>
            <w:vAlign w:val="bottom"/>
            <w:shd w:val="clear" w:color="auto" w:fill="CCEEFF"/>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Report of Independent Registered Public Accounting Firm</w:t>
              </w:r>
            </w:hyperlink>
          </w:p>
        </w:tc>
        <w:tc>
          <w:tcPr>
            <w:tcW w:w="580" w:type="dxa"/>
            <w:vAlign w:val="bottom"/>
            <w:shd w:val="clear" w:color="auto" w:fill="CCEEFF"/>
          </w:tcPr>
          <w:p>
            <w:pPr>
              <w:jc w:val="right"/>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72</w:t>
              </w:r>
            </w:hyperlink>
          </w:p>
        </w:tc>
      </w:tr>
      <w:tr>
        <w:trPr>
          <w:trHeight w:val="230"/>
        </w:trPr>
        <w:tc>
          <w:tcPr>
            <w:tcW w:w="10640" w:type="dxa"/>
            <w:vAlign w:val="bottom"/>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Assets and Liabilities as of December 31, 2020 and 2019</w:t>
              </w:r>
            </w:hyperlink>
          </w:p>
        </w:tc>
        <w:tc>
          <w:tcPr>
            <w:tcW w:w="580" w:type="dxa"/>
            <w:vAlign w:val="bottom"/>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75</w:t>
              </w:r>
            </w:hyperlink>
          </w:p>
        </w:tc>
      </w:tr>
      <w:tr>
        <w:trPr>
          <w:trHeight w:val="229"/>
        </w:trPr>
        <w:tc>
          <w:tcPr>
            <w:tcW w:w="10640" w:type="dxa"/>
            <w:vAlign w:val="bottom"/>
            <w:shd w:val="clear" w:color="auto" w:fill="CCEEFF"/>
          </w:tcPr>
          <w:p>
            <w:pPr>
              <w:ind w:left="20"/>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Consolidated Statements of Operations for the years ended December 31, 2020, 2019 and 2018</w:t>
              </w:r>
            </w:hyperlink>
          </w:p>
        </w:tc>
        <w:tc>
          <w:tcPr>
            <w:tcW w:w="580" w:type="dxa"/>
            <w:vAlign w:val="bottom"/>
            <w:shd w:val="clear" w:color="auto" w:fill="CCEEFF"/>
          </w:tcPr>
          <w:p>
            <w:pPr>
              <w:jc w:val="right"/>
              <w:spacing w:after="0"/>
              <w:rPr>
                <w:rFonts w:ascii="Arial" w:cs="Arial" w:eastAsia="Arial" w:hAnsi="Arial"/>
                <w:sz w:val="18"/>
                <w:szCs w:val="18"/>
                <w:u w:val="single" w:color="auto"/>
                <w:color w:val="0000FF"/>
              </w:rPr>
            </w:pPr>
            <w:hyperlink w:anchor="page77">
              <w:r>
                <w:rPr>
                  <w:rFonts w:ascii="Arial" w:cs="Arial" w:eastAsia="Arial" w:hAnsi="Arial"/>
                  <w:sz w:val="18"/>
                  <w:szCs w:val="18"/>
                  <w:u w:val="single" w:color="auto"/>
                  <w:color w:val="0000FF"/>
                </w:rPr>
                <w:t>76</w:t>
              </w:r>
            </w:hyperlink>
          </w:p>
        </w:tc>
      </w:tr>
      <w:tr>
        <w:trPr>
          <w:trHeight w:val="229"/>
        </w:trPr>
        <w:tc>
          <w:tcPr>
            <w:tcW w:w="10640" w:type="dxa"/>
            <w:vAlign w:val="bottom"/>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Consolidated Statements of Changes in Net Assets for the years ended December 31, 2020, 2019 and 2018</w:t>
              </w:r>
            </w:hyperlink>
          </w:p>
        </w:tc>
        <w:tc>
          <w:tcPr>
            <w:tcW w:w="580" w:type="dxa"/>
            <w:vAlign w:val="bottom"/>
          </w:tcPr>
          <w:p>
            <w:pPr>
              <w:jc w:val="right"/>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78</w:t>
              </w:r>
            </w:hyperlink>
          </w:p>
        </w:tc>
      </w:tr>
      <w:tr>
        <w:trPr>
          <w:trHeight w:val="230"/>
        </w:trPr>
        <w:tc>
          <w:tcPr>
            <w:tcW w:w="10640" w:type="dxa"/>
            <w:vAlign w:val="bottom"/>
            <w:shd w:val="clear" w:color="auto" w:fill="CCEEFF"/>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Consolidated Statements of Cash Flows for the years ended December 31, 2020, 2019 and 2018</w:t>
              </w:r>
            </w:hyperlink>
          </w:p>
        </w:tc>
        <w:tc>
          <w:tcPr>
            <w:tcW w:w="580" w:type="dxa"/>
            <w:vAlign w:val="bottom"/>
            <w:shd w:val="clear" w:color="auto" w:fill="CCEEFF"/>
          </w:tcPr>
          <w:p>
            <w:pPr>
              <w:jc w:val="right"/>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79</w:t>
              </w:r>
            </w:hyperlink>
          </w:p>
        </w:tc>
      </w:tr>
      <w:tr>
        <w:trPr>
          <w:trHeight w:val="229"/>
        </w:trPr>
        <w:tc>
          <w:tcPr>
            <w:tcW w:w="10640" w:type="dxa"/>
            <w:vAlign w:val="bottom"/>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Consolidated Schedule of Investments as of December 31, 2020</w:t>
              </w:r>
            </w:hyperlink>
          </w:p>
        </w:tc>
        <w:tc>
          <w:tcPr>
            <w:tcW w:w="580" w:type="dxa"/>
            <w:vAlign w:val="bottom"/>
          </w:tcPr>
          <w:p>
            <w:pPr>
              <w:jc w:val="right"/>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81</w:t>
              </w:r>
            </w:hyperlink>
          </w:p>
        </w:tc>
      </w:tr>
      <w:tr>
        <w:trPr>
          <w:trHeight w:val="230"/>
        </w:trPr>
        <w:tc>
          <w:tcPr>
            <w:tcW w:w="10640" w:type="dxa"/>
            <w:vAlign w:val="bottom"/>
            <w:shd w:val="clear" w:color="auto" w:fill="CCEEFF"/>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Consolidated Schedule of Investments as of December 31, 2019</w:t>
              </w:r>
            </w:hyperlink>
          </w:p>
        </w:tc>
        <w:tc>
          <w:tcPr>
            <w:tcW w:w="580" w:type="dxa"/>
            <w:vAlign w:val="bottom"/>
            <w:shd w:val="clear" w:color="auto" w:fill="CCEEFF"/>
          </w:tcPr>
          <w:p>
            <w:pPr>
              <w:jc w:val="right"/>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85</w:t>
              </w:r>
            </w:hyperlink>
          </w:p>
        </w:tc>
      </w:tr>
      <w:tr>
        <w:trPr>
          <w:trHeight w:val="230"/>
        </w:trPr>
        <w:tc>
          <w:tcPr>
            <w:tcW w:w="10640" w:type="dxa"/>
            <w:vAlign w:val="bottom"/>
          </w:tcPr>
          <w:p>
            <w:pPr>
              <w:ind w:left="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Notes to Consolidated Financial Statements</w:t>
              </w:r>
            </w:hyperlink>
          </w:p>
        </w:tc>
        <w:tc>
          <w:tcPr>
            <w:tcW w:w="580" w:type="dxa"/>
            <w:vAlign w:val="bottom"/>
          </w:tcPr>
          <w:p>
            <w:pPr>
              <w:jc w:val="right"/>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89</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6746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6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22" w:right="359" w:bottom="1440" w:gutter="0" w:footer="0" w:header="0"/>
        </w:sectPr>
      </w:pPr>
    </w:p>
    <w:bookmarkStart w:id="73" w:name="page74"/>
    <w:bookmarkEnd w:id="7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Shareholders and Board of Directors of </w:t>
      </w:r>
      <w:r>
        <w:rPr>
          <w:rFonts w:ascii="Arial" w:cs="Arial" w:eastAsia="Arial" w:hAnsi="Arial"/>
          <w:sz w:val="18"/>
          <w:szCs w:val="18"/>
          <w:b w:val="1"/>
          <w:bCs w:val="1"/>
          <w:color w:val="auto"/>
        </w:rPr>
        <w:t>SuRo Capital Corp.</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audited the accompanying consolidated statements of assets and liabilities of SuRo Capital Corp. and subsidiaries (the “Company”) including the consolidated schedule of investments as of December 31, 2020 and 2019, the related consolidated statements of operations, cash flows, and changes in net assets for the years ended December 31, 2020 and 2019, the financial highlights (presented in Note 8) for the years then ended, and the related notes (collectively referred to as the “financial statements”). In our opinion, the financial statements present fairly, in all material respects, the financial position of the Company as of December 31, 2020 and 2019, and the results of its operations, changes in net assets, and cash flows for the years ended December 31, 2020 and 2019, and the financial highlights for the years then ended in conformity with accounting principles generally accepted in the United States of America.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procedures included confirmation of investments owned as of December 31, 2020 and 2019, by correspondence with the custodian, loan agents, and borrowers; when replies were not received, we performed other auditing procedures. We believe that our audits provides a reasonable basis for our opinion.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related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 – Level 3 Investments in Preferred Stock and Common Stock</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described in Note 4 to the consolidated financial statements, approximately 41% of the Company’s $431 million total investments in securities as of December 31, 2020 represents investments in level 3 common stock and preferred stock issued by private companies whose fair value, as disclosed by management, is determined in good faith by the Board of Directors. Management applied significant judgment in determining the fair value of these level 3 investments, which involved the use of significant unobservable inputs with respect to the revenue and/or other multiples utilized, discounts rates and precedent transactions.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22" w:right="339" w:bottom="1440" w:gutter="0" w:footer="0" w:header="0"/>
        </w:sectPr>
      </w:pPr>
    </w:p>
    <w:bookmarkStart w:id="74" w:name="page75"/>
    <w:bookmarkEnd w:id="7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level 3 investments in preferred stock and common stock is a critical audit matter are the significant judgment involved by management in determining the fair value of these level 3 investments, including the use of various valuation techniques and significant unobservable inputs, which in turn led to a high degree of auditor judgment, subjectivity, and effort in performing audit procedures and evaluating the audit evidence obtained relating to the valuation techniques and significant unobservable inputs.</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and financial highlights. Our principle audit procedures included, among others,</w:t>
      </w:r>
    </w:p>
    <w:p>
      <w:pPr>
        <w:spacing w:after="0" w:line="197" w:lineRule="exact"/>
        <w:rPr>
          <w:sz w:val="20"/>
          <w:szCs w:val="20"/>
          <w:color w:val="auto"/>
        </w:rPr>
      </w:pPr>
    </w:p>
    <w:p>
      <w:pPr>
        <w:jc w:val="both"/>
        <w:ind w:firstLine="8"/>
        <w:spacing w:after="0" w:line="263" w:lineRule="auto"/>
        <w:tabs>
          <w:tab w:leader="none" w:pos="26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testing the completeness and accuracy of management’s valuations, including evaluating the appropriateness of management’s methodologies, evaluating the reasonableness of assumptions and significant unobservable inputs; including revenue and/or other multiples utilized, discounts rates and precedent transactions and;</w:t>
      </w:r>
    </w:p>
    <w:p>
      <w:pPr>
        <w:spacing w:after="0" w:line="210" w:lineRule="exact"/>
        <w:rPr>
          <w:rFonts w:ascii="Arial" w:cs="Arial" w:eastAsia="Arial" w:hAnsi="Arial"/>
          <w:sz w:val="18"/>
          <w:szCs w:val="18"/>
          <w:color w:val="auto"/>
        </w:rPr>
      </w:pPr>
    </w:p>
    <w:p>
      <w:pPr>
        <w:jc w:val="both"/>
        <w:ind w:firstLine="8"/>
        <w:spacing w:after="0" w:line="263" w:lineRule="auto"/>
        <w:tabs>
          <w:tab w:leader="none" w:pos="2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involvement of professionals with specialized skills and knowledge to assist in the assessment of the fair values for a sample of investments, including reviewing the valuation methodologies, assessing the assumptions utilized in developing the estimates, and evaluating the reasonableness of management’s conclusions in deriving the valuations.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22" w:right="339" w:bottom="1440" w:gutter="0" w:footer="0" w:header="0"/>
        </w:sectPr>
      </w:pPr>
    </w:p>
    <w:bookmarkStart w:id="75" w:name="page76"/>
    <w:bookmarkEnd w:id="7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SuRo Capital Corp.</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 and Financial Highlights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SuRo Capital Corp. (formerly known as "Sutter Rock Capital Corp." and "GSV Capital Corp.") and subsidiaries (the "Company"), statements of operations, cash flows, and changes in net assets for the year ended December 31, 2018, the financial highlights (presented in Note 8) for the three years then ended, and the related notes. In our opinion, the consolidated financial statements and financial highlights present fairly, in all material respects, the results of its operations, changes in net assets, and cash flows for the year ended December 31, 2018, and the financial highlights for the three years then ended in conformity with accounting principles generally accepted in the United States of America.</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and financial highlights are the responsibility of the Company's management. Our responsibility is to express an opinion on the Company's consolidated financial statements and financial highlights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and financial highlights are free of material misstatement, whether due to error or fraud.</w:t>
      </w:r>
    </w:p>
    <w:p>
      <w:pPr>
        <w:spacing w:after="0" w:line="15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and financial highlights, whether due to error or fraud, and performing procedures that respond to those risks. Such procedures included examining, on a test basis, evidence regarding the amounts and disclosures in the consolidated financial statements and financial highlights. Our audits also included evaluating the accounting principles used and significant estimates made by management, as well as evaluating the overall presentation of the consolidated financial statement and financial highlights. We believe that our audits provide a reasonable basis for our opinion.</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17,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began serving as the Company's auditor in 2015. In 2019 we became the predecessor auditor.</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122" w:right="339" w:bottom="1440" w:gutter="0" w:footer="0" w:header="0"/>
        </w:sectPr>
      </w:pPr>
    </w:p>
    <w:bookmarkStart w:id="76" w:name="page77"/>
    <w:bookmarkEnd w:id="7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6"/>
                <w:szCs w:val="16"/>
                <w:color w:val="auto"/>
              </w:rPr>
            </w:pPr>
          </w:p>
        </w:tc>
        <w:tc>
          <w:tcPr>
            <w:tcW w:w="152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16"/>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Investments at fair value:</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Non-controlled/non-affiliate investments (cost of $105,339,169 and $90,567,041, respectively)</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249,804,803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152,866,112</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Non-controlled/affiliate investments (cost of $53,865,346 and $52,857,243, respectively)</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30,165,773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37,944,268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Controlled investments (cost of $7,161,412 and $7,161,412,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809,198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775,198</w:t>
            </w:r>
          </w:p>
        </w:tc>
        <w:tc>
          <w:tcPr>
            <w:tcW w:w="0" w:type="dxa"/>
            <w:vAlign w:val="bottom"/>
          </w:tcPr>
          <w:p>
            <w:pPr>
              <w:spacing w:after="0"/>
              <w:rPr>
                <w:sz w:val="1"/>
                <w:szCs w:val="1"/>
                <w:color w:val="auto"/>
              </w:rPr>
            </w:pPr>
          </w:p>
        </w:tc>
      </w:tr>
      <w:tr>
        <w:trPr>
          <w:trHeight w:val="207"/>
        </w:trPr>
        <w:tc>
          <w:tcPr>
            <w:tcW w:w="7720" w:type="dxa"/>
            <w:vAlign w:val="bottom"/>
          </w:tcPr>
          <w:p>
            <w:pPr>
              <w:ind w:left="140"/>
              <w:spacing w:after="0"/>
              <w:rPr>
                <w:sz w:val="20"/>
                <w:szCs w:val="20"/>
                <w:color w:val="auto"/>
              </w:rPr>
            </w:pPr>
            <w:r>
              <w:rPr>
                <w:rFonts w:ascii="Arial" w:cs="Arial" w:eastAsia="Arial" w:hAnsi="Arial"/>
                <w:sz w:val="16"/>
                <w:szCs w:val="16"/>
                <w:color w:val="auto"/>
              </w:rPr>
              <w:t>Total Portfolio Investments</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280,779,774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191,585,578</w:t>
            </w:r>
          </w:p>
        </w:tc>
        <w:tc>
          <w:tcPr>
            <w:tcW w:w="0" w:type="dxa"/>
            <w:vAlign w:val="bottom"/>
          </w:tcPr>
          <w:p>
            <w:pPr>
              <w:spacing w:after="0"/>
              <w:rPr>
                <w:sz w:val="1"/>
                <w:szCs w:val="1"/>
                <w:color w:val="auto"/>
              </w:rPr>
            </w:pPr>
          </w:p>
        </w:tc>
      </w:tr>
      <w:tr>
        <w:trPr>
          <w:trHeight w:val="232"/>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 in U.S. Treasury bills (cost of $150,000,000 and $49,996,667, respectively)</w:t>
            </w: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150,000,000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50,000,000</w:t>
            </w:r>
          </w:p>
        </w:tc>
        <w:tc>
          <w:tcPr>
            <w:tcW w:w="0" w:type="dxa"/>
            <w:vAlign w:val="bottom"/>
          </w:tcPr>
          <w:p>
            <w:pPr>
              <w:spacing w:after="0"/>
              <w:rPr>
                <w:sz w:val="1"/>
                <w:szCs w:val="1"/>
                <w:color w:val="auto"/>
              </w:rPr>
            </w:pPr>
          </w:p>
        </w:tc>
      </w:tr>
      <w:tr>
        <w:trPr>
          <w:trHeight w:val="207"/>
        </w:trPr>
        <w:tc>
          <w:tcPr>
            <w:tcW w:w="7720" w:type="dxa"/>
            <w:vAlign w:val="bottom"/>
          </w:tcPr>
          <w:p>
            <w:pPr>
              <w:ind w:left="20"/>
              <w:spacing w:after="0"/>
              <w:rPr>
                <w:sz w:val="20"/>
                <w:szCs w:val="20"/>
                <w:color w:val="auto"/>
              </w:rPr>
            </w:pPr>
            <w:r>
              <w:rPr>
                <w:rFonts w:ascii="Arial" w:cs="Arial" w:eastAsia="Arial" w:hAnsi="Arial"/>
                <w:sz w:val="16"/>
                <w:szCs w:val="16"/>
                <w:color w:val="auto"/>
              </w:rPr>
              <w:t>Total Investments (cost of $316,365,927 and $200,582,363, respectively)</w:t>
            </w:r>
          </w:p>
        </w:tc>
        <w:tc>
          <w:tcPr>
            <w:tcW w:w="20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430,779,774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241,585,578</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45,793,724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44,861,263</w:t>
            </w:r>
          </w:p>
        </w:tc>
        <w:tc>
          <w:tcPr>
            <w:tcW w:w="0" w:type="dxa"/>
            <w:vAlign w:val="bottom"/>
          </w:tcPr>
          <w:p>
            <w:pPr>
              <w:spacing w:after="0"/>
              <w:rPr>
                <w:sz w:val="1"/>
                <w:szCs w:val="1"/>
                <w:color w:val="auto"/>
              </w:rPr>
            </w:pPr>
          </w:p>
        </w:tc>
      </w:tr>
      <w:tr>
        <w:trPr>
          <w:trHeight w:val="227"/>
        </w:trPr>
        <w:tc>
          <w:tcPr>
            <w:tcW w:w="7720" w:type="dxa"/>
            <w:vAlign w:val="bottom"/>
          </w:tcPr>
          <w:p>
            <w:pPr>
              <w:ind w:left="20"/>
              <w:spacing w:after="0"/>
              <w:rPr>
                <w:sz w:val="20"/>
                <w:szCs w:val="20"/>
                <w:color w:val="auto"/>
              </w:rPr>
            </w:pPr>
            <w:r>
              <w:rPr>
                <w:rFonts w:ascii="Arial" w:cs="Arial" w:eastAsia="Arial" w:hAnsi="Arial"/>
                <w:sz w:val="16"/>
                <w:szCs w:val="16"/>
                <w:color w:val="auto"/>
              </w:rPr>
              <w:t>Escrow proceeds receivable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852,462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265,303</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and dividends receivable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84,630</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Deferred financing costs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297,196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11,382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Prepaid expenses and other assets</w:t>
            </w:r>
            <w:r>
              <w:rPr>
                <w:rFonts w:ascii="Arial" w:cs="Arial" w:eastAsia="Arial" w:hAnsi="Arial"/>
                <w:sz w:val="21"/>
                <w:szCs w:val="21"/>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985,550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1,755,933</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CEEFF"/>
            </w:tcBorders>
          </w:tcPr>
          <w:p>
            <w:pPr>
              <w:ind w:left="36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478,875,704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288,564,089</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line="216" w:lineRule="exact"/>
              <w:rPr>
                <w:sz w:val="20"/>
                <w:szCs w:val="20"/>
                <w:color w:val="auto"/>
              </w:rPr>
            </w:pPr>
            <w:r>
              <w:rPr>
                <w:rFonts w:ascii="Arial" w:cs="Arial" w:eastAsia="Arial" w:hAnsi="Arial"/>
                <w:sz w:val="16"/>
                <w:szCs w:val="16"/>
                <w:color w:val="auto"/>
              </w:rPr>
              <w:t>Accounts payable and accrued expenses</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762,312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1,143,923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Payable to executive officers</w:t>
            </w:r>
          </w:p>
        </w:tc>
        <w:tc>
          <w:tcPr>
            <w:tcW w:w="20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1,369,873</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453,803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475,000</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payable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4,395,229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2,107,709</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Payable for securities purchased</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134,250,000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44,746,660</w:t>
            </w:r>
          </w:p>
        </w:tc>
        <w:tc>
          <w:tcPr>
            <w:tcW w:w="0" w:type="dxa"/>
            <w:vAlign w:val="bottom"/>
          </w:tcPr>
          <w:p>
            <w:pPr>
              <w:spacing w:after="0"/>
              <w:rPr>
                <w:sz w:val="1"/>
                <w:szCs w:val="1"/>
                <w:color w:val="auto"/>
              </w:rPr>
            </w:pPr>
          </w:p>
        </w:tc>
      </w:tr>
      <w:tr>
        <w:trPr>
          <w:trHeight w:val="219"/>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payable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4.75% Convertible Senior Notes due March 28, 2023</w:t>
            </w:r>
            <w:r>
              <w:rPr>
                <w:rFonts w:ascii="Arial" w:cs="Arial" w:eastAsia="Arial" w:hAnsi="Arial"/>
                <w:sz w:val="21"/>
                <w:szCs w:val="21"/>
                <w:color w:val="auto"/>
                <w:vertAlign w:val="superscript"/>
              </w:rPr>
              <w:t>(2)</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37,395,437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38,803,635</w:t>
            </w:r>
          </w:p>
        </w:tc>
        <w:tc>
          <w:tcPr>
            <w:tcW w:w="0" w:type="dxa"/>
            <w:vAlign w:val="bottom"/>
          </w:tcPr>
          <w:p>
            <w:pPr>
              <w:spacing w:after="0"/>
              <w:rPr>
                <w:sz w:val="1"/>
                <w:szCs w:val="1"/>
                <w:color w:val="auto"/>
              </w:rPr>
            </w:pPr>
          </w:p>
        </w:tc>
      </w:tr>
      <w:tr>
        <w:trPr>
          <w:trHeight w:val="209"/>
        </w:trPr>
        <w:tc>
          <w:tcPr>
            <w:tcW w:w="7720" w:type="dxa"/>
            <w:vAlign w:val="bottom"/>
            <w:shd w:val="clear" w:color="auto" w:fill="CCEEFF"/>
          </w:tcPr>
          <w:p>
            <w:pPr>
              <w:ind w:left="360"/>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177,292,631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88,646,800</w:t>
            </w:r>
          </w:p>
        </w:tc>
        <w:tc>
          <w:tcPr>
            <w:tcW w:w="0" w:type="dxa"/>
            <w:vAlign w:val="bottom"/>
          </w:tcPr>
          <w:p>
            <w:pPr>
              <w:spacing w:after="0"/>
              <w:rPr>
                <w:sz w:val="1"/>
                <w:szCs w:val="1"/>
                <w:color w:val="auto"/>
              </w:rPr>
            </w:pPr>
          </w:p>
        </w:tc>
      </w:tr>
      <w:tr>
        <w:trPr>
          <w:trHeight w:val="207"/>
        </w:trPr>
        <w:tc>
          <w:tcPr>
            <w:tcW w:w="772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(Notes 7 and 10)</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301,583,073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199,917,289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720" w:type="dxa"/>
            <w:vAlign w:val="bottom"/>
            <w:shd w:val="clear" w:color="auto" w:fill="CCEEFF"/>
          </w:tcPr>
          <w:p>
            <w:pPr>
              <w:ind w:left="80"/>
              <w:spacing w:after="0" w:line="168" w:lineRule="exact"/>
              <w:rPr>
                <w:sz w:val="20"/>
                <w:szCs w:val="20"/>
                <w:color w:val="auto"/>
              </w:rPr>
            </w:pPr>
            <w:r>
              <w:rPr>
                <w:rFonts w:ascii="Arial" w:cs="Arial" w:eastAsia="Arial" w:hAnsi="Arial"/>
                <w:sz w:val="16"/>
                <w:szCs w:val="16"/>
                <w:color w:val="auto"/>
                <w:w w:val="99"/>
              </w:rPr>
              <w:t>Common stock, par value $0.01 per share (100,000,000 authorized; 19,914,023 and 17,564,244 issued and</w:t>
            </w: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199,140</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175,642</w:t>
            </w:r>
          </w:p>
        </w:tc>
        <w:tc>
          <w:tcPr>
            <w:tcW w:w="0" w:type="dxa"/>
            <w:vAlign w:val="bottom"/>
          </w:tcPr>
          <w:p>
            <w:pPr>
              <w:spacing w:after="0"/>
              <w:rPr>
                <w:sz w:val="1"/>
                <w:szCs w:val="1"/>
                <w:color w:val="auto"/>
              </w:rPr>
            </w:pPr>
          </w:p>
        </w:tc>
      </w:tr>
      <w:tr>
        <w:trPr>
          <w:trHeight w:val="212"/>
        </w:trPr>
        <w:tc>
          <w:tcPr>
            <w:tcW w:w="7720" w:type="dxa"/>
            <w:vAlign w:val="bottom"/>
            <w:shd w:val="clear" w:color="auto" w:fill="CCEEFF"/>
          </w:tcPr>
          <w:p>
            <w:pPr>
              <w:ind w:left="80"/>
              <w:spacing w:after="0"/>
              <w:rPr>
                <w:sz w:val="20"/>
                <w:szCs w:val="20"/>
                <w:color w:val="auto"/>
              </w:rPr>
            </w:pPr>
            <w:r>
              <w:rPr>
                <w:rFonts w:ascii="Arial" w:cs="Arial" w:eastAsia="Arial" w:hAnsi="Arial"/>
                <w:sz w:val="16"/>
                <w:szCs w:val="16"/>
                <w:color w:val="auto"/>
              </w:rPr>
              <w:t>outstanding, respectively)</w:t>
            </w:r>
          </w:p>
        </w:tc>
        <w:tc>
          <w:tcPr>
            <w:tcW w:w="20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Paid-in capital in excess of par</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222,002,592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178,550,374</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deferred compensation</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720" w:type="dxa"/>
            <w:vAlign w:val="bottom"/>
          </w:tcPr>
          <w:p>
            <w:pPr>
              <w:ind w:left="20"/>
              <w:spacing w:after="0"/>
              <w:rPr>
                <w:sz w:val="20"/>
                <w:szCs w:val="20"/>
                <w:color w:val="auto"/>
              </w:rPr>
            </w:pPr>
            <w:r>
              <w:rPr>
                <w:rFonts w:ascii="Arial" w:cs="Arial" w:eastAsia="Arial" w:hAnsi="Arial"/>
                <w:sz w:val="16"/>
                <w:szCs w:val="16"/>
                <w:color w:val="auto"/>
              </w:rPr>
              <w:t>Accumulated net investment loss</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(40,193,778)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(25,679,362)</w:t>
            </w:r>
          </w:p>
        </w:tc>
        <w:tc>
          <w:tcPr>
            <w:tcW w:w="0" w:type="dxa"/>
            <w:vAlign w:val="bottom"/>
          </w:tcPr>
          <w:p>
            <w:pPr>
              <w:spacing w:after="0"/>
              <w:rPr>
                <w:sz w:val="1"/>
                <w:szCs w:val="1"/>
                <w:color w:val="auto"/>
              </w:rPr>
            </w:pPr>
          </w:p>
        </w:tc>
      </w:tr>
      <w:tr>
        <w:trPr>
          <w:trHeight w:val="219"/>
        </w:trPr>
        <w:tc>
          <w:tcPr>
            <w:tcW w:w="7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net realized gain on investments, net of distributions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5,361,270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5,867,417</w:t>
            </w:r>
          </w:p>
        </w:tc>
        <w:tc>
          <w:tcPr>
            <w:tcW w:w="0" w:type="dxa"/>
            <w:vAlign w:val="bottom"/>
          </w:tcPr>
          <w:p>
            <w:pPr>
              <w:spacing w:after="0"/>
              <w:rPr>
                <w:sz w:val="1"/>
                <w:szCs w:val="1"/>
                <w:color w:val="auto"/>
              </w:rPr>
            </w:pPr>
          </w:p>
        </w:tc>
      </w:tr>
      <w:tr>
        <w:trPr>
          <w:trHeight w:val="213"/>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net unrealized appreciation/(depreciation) of investments</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114,413,849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41,003,218</w:t>
            </w:r>
          </w:p>
        </w:tc>
        <w:tc>
          <w:tcPr>
            <w:tcW w:w="0" w:type="dxa"/>
            <w:vAlign w:val="bottom"/>
          </w:tcPr>
          <w:p>
            <w:pPr>
              <w:spacing w:after="0"/>
              <w:rPr>
                <w:sz w:val="1"/>
                <w:szCs w:val="1"/>
                <w:color w:val="auto"/>
              </w:rPr>
            </w:pPr>
          </w:p>
        </w:tc>
      </w:tr>
      <w:tr>
        <w:trPr>
          <w:trHeight w:val="238"/>
        </w:trPr>
        <w:tc>
          <w:tcPr>
            <w:tcW w:w="7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b w:val="1"/>
                <w:bCs w:val="1"/>
                <w:color w:val="auto"/>
              </w:rPr>
              <w:t>Net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301,583,073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199,917,289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tcPr>
          <w:p>
            <w:pPr>
              <w:ind w:left="360"/>
              <w:spacing w:after="0"/>
              <w:rPr>
                <w:sz w:val="20"/>
                <w:szCs w:val="20"/>
                <w:color w:val="auto"/>
              </w:rPr>
            </w:pPr>
            <w:r>
              <w:rPr>
                <w:rFonts w:ascii="Arial" w:cs="Arial" w:eastAsia="Arial" w:hAnsi="Arial"/>
                <w:sz w:val="16"/>
                <w:szCs w:val="16"/>
                <w:b w:val="1"/>
                <w:bCs w:val="1"/>
                <w:color w:val="auto"/>
              </w:rPr>
              <w:t>Net Asset Value Per Share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11.38</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490347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03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-4251325</wp:posOffset>
            </wp:positionV>
            <wp:extent cx="490347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0347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-4945380</wp:posOffset>
            </wp:positionV>
            <wp:extent cx="4903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03470" cy="8255"/>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w:t>
      </w:r>
    </w:p>
    <w:p>
      <w:pPr>
        <w:spacing w:after="0" w:line="1" w:lineRule="exact"/>
        <w:rPr>
          <w:sz w:val="20"/>
          <w:szCs w:val="20"/>
          <w:color w:val="auto"/>
        </w:rPr>
      </w:pPr>
    </w:p>
    <w:p>
      <w:pPr>
        <w:ind w:left="340" w:hanging="332"/>
        <w:spacing w:after="0" w:line="241" w:lineRule="auto"/>
        <w:tabs>
          <w:tab w:leader="none" w:pos="379"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This balance includes a right of use asset and corresponding operating lease liability, respectively. Refer to "Note 7—Commitments and Contingencies—</w:t>
      </w:r>
      <w:r>
        <w:rPr>
          <w:rFonts w:ascii="Arial" w:cs="Arial" w:eastAsia="Arial" w:hAnsi="Arial"/>
          <w:sz w:val="14"/>
          <w:szCs w:val="14"/>
          <w:i w:val="1"/>
          <w:iCs w:val="1"/>
          <w:color w:val="auto"/>
        </w:rPr>
        <w:t>Operating Leases and Related</w:t>
      </w:r>
      <w:r>
        <w:rPr>
          <w:rFonts w:ascii="Arial" w:cs="Arial" w:eastAsia="Arial" w:hAnsi="Arial"/>
          <w:sz w:val="14"/>
          <w:szCs w:val="14"/>
          <w:color w:val="auto"/>
        </w:rPr>
        <w:t xml:space="preserve"> </w:t>
      </w:r>
      <w:r>
        <w:rPr>
          <w:rFonts w:ascii="Arial" w:cs="Arial" w:eastAsia="Arial" w:hAnsi="Arial"/>
          <w:sz w:val="14"/>
          <w:szCs w:val="14"/>
          <w:i w:val="1"/>
          <w:iCs w:val="1"/>
          <w:color w:val="auto"/>
        </w:rPr>
        <w:t>Deposits</w:t>
      </w:r>
      <w:r>
        <w:rPr>
          <w:rFonts w:ascii="Arial" w:cs="Arial" w:eastAsia="Arial" w:hAnsi="Arial"/>
          <w:sz w:val="14"/>
          <w:szCs w:val="14"/>
          <w:color w:val="auto"/>
        </w:rPr>
        <w:t>" for more detail.</w:t>
      </w:r>
    </w:p>
    <w:p>
      <w:pPr>
        <w:ind w:left="340" w:hanging="332"/>
        <w:spacing w:after="0" w:line="255" w:lineRule="auto"/>
        <w:tabs>
          <w:tab w:leader="none" w:pos="336" w:val="left"/>
        </w:tabs>
        <w:numPr>
          <w:ilvl w:val="0"/>
          <w:numId w:val="49"/>
        </w:numPr>
        <w:rPr>
          <w:rFonts w:ascii="Arial" w:cs="Arial" w:eastAsia="Arial" w:hAnsi="Arial"/>
          <w:sz w:val="14"/>
          <w:szCs w:val="14"/>
          <w:color w:val="auto"/>
        </w:rPr>
      </w:pPr>
      <w:r>
        <w:rPr>
          <w:rFonts w:ascii="Arial" w:cs="Arial" w:eastAsia="Arial" w:hAnsi="Arial"/>
          <w:sz w:val="14"/>
          <w:szCs w:val="14"/>
          <w:color w:val="auto"/>
        </w:rPr>
        <w:t>As of December 31, 2020 and December 31, 2019, the 4.75% Convertible Senior Notes due March 28, 2023 had a face value of $38,215,000 and $40,000,000, respectively. Refer to “Note 10—Debt Capital Activities” for a reconciliation of the carrying value to the face value.</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21" w:right="339" w:bottom="1440" w:gutter="0" w:footer="0" w:header="0"/>
        </w:sectPr>
      </w:pPr>
    </w:p>
    <w:bookmarkStart w:id="77" w:name="page78"/>
    <w:bookmarkEnd w:id="7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87"/>
        </w:trPr>
        <w:tc>
          <w:tcPr>
            <w:tcW w:w="662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197"/>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INVESTMENT INCOME</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Non-controlled/non-affiliate investments: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1,035,694</w:t>
            </w:r>
          </w:p>
        </w:tc>
        <w:tc>
          <w:tcPr>
            <w:tcW w:w="42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828,392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351,188</w:t>
            </w:r>
          </w:p>
        </w:tc>
      </w:tr>
      <w:tr>
        <w:trPr>
          <w:trHeight w:val="213"/>
        </w:trPr>
        <w:tc>
          <w:tcPr>
            <w:tcW w:w="6940" w:type="dxa"/>
            <w:vAlign w:val="bottom"/>
            <w:gridSpan w:val="2"/>
          </w:tcPr>
          <w:p>
            <w:pPr>
              <w:ind w:left="360"/>
              <w:spacing w:after="0"/>
              <w:rPr>
                <w:sz w:val="20"/>
                <w:szCs w:val="20"/>
                <w:color w:val="auto"/>
              </w:rPr>
            </w:pPr>
            <w:r>
              <w:rPr>
                <w:rFonts w:ascii="Arial" w:cs="Arial" w:eastAsia="Arial" w:hAnsi="Arial"/>
                <w:sz w:val="16"/>
                <w:szCs w:val="16"/>
                <w:color w:val="auto"/>
              </w:rPr>
              <w:t>Dividend income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Non-controlled/affiliate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940" w:type="dxa"/>
            <w:vAlign w:val="bottom"/>
            <w:gridSpan w:val="2"/>
          </w:tcPr>
          <w:p>
            <w:pPr>
              <w:ind w:left="360"/>
              <w:spacing w:after="0"/>
              <w:rPr>
                <w:sz w:val="20"/>
                <w:szCs w:val="20"/>
                <w:color w:val="auto"/>
              </w:rPr>
            </w:pPr>
            <w:r>
              <w:rPr>
                <w:rFonts w:ascii="Arial" w:cs="Arial" w:eastAsia="Arial" w:hAnsi="Arial"/>
                <w:sz w:val="16"/>
                <w:szCs w:val="16"/>
                <w:color w:val="auto"/>
              </w:rPr>
              <w:t>Interest income/(reversal of interest income accrual)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108,395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581,813</w:t>
            </w:r>
          </w:p>
        </w:tc>
      </w:tr>
      <w:tr>
        <w:trPr>
          <w:trHeight w:val="219"/>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Dividend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317,617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Controlled investments: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694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Interest income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58,937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59,835</w:t>
            </w:r>
          </w:p>
        </w:tc>
      </w:tr>
      <w:tr>
        <w:trPr>
          <w:trHeight w:val="213"/>
        </w:trPr>
        <w:tc>
          <w:tcPr>
            <w:tcW w:w="69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Dividend income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450,000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625,000</w:t>
            </w:r>
          </w:p>
        </w:tc>
      </w:tr>
      <w:tr>
        <w:trPr>
          <w:trHeight w:val="212"/>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Investment Income</w:t>
            </w:r>
          </w:p>
        </w:tc>
        <w:tc>
          <w:tcPr>
            <w:tcW w:w="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1,824,127</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1,495,724</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1,617,836</w:t>
            </w:r>
          </w:p>
        </w:tc>
      </w:tr>
      <w:tr>
        <w:trPr>
          <w:trHeight w:val="207"/>
        </w:trPr>
        <w:tc>
          <w:tcPr>
            <w:tcW w:w="66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9"/>
        </w:trPr>
        <w:tc>
          <w:tcPr>
            <w:tcW w:w="6940" w:type="dxa"/>
            <w:vAlign w:val="bottom"/>
            <w:gridSpan w:val="2"/>
            <w:shd w:val="clear" w:color="auto" w:fill="CCEEFF"/>
          </w:tcPr>
          <w:p>
            <w:pPr>
              <w:ind w:left="20"/>
              <w:spacing w:after="0" w:line="219" w:lineRule="exact"/>
              <w:rPr>
                <w:sz w:val="20"/>
                <w:szCs w:val="20"/>
                <w:color w:val="auto"/>
              </w:rPr>
            </w:pPr>
            <w:r>
              <w:rPr>
                <w:rFonts w:ascii="Arial" w:cs="Arial" w:eastAsia="Arial" w:hAnsi="Arial"/>
                <w:sz w:val="16"/>
                <w:szCs w:val="16"/>
                <w:color w:val="auto"/>
              </w:rPr>
              <w:t>Management fees</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848,723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5,199,900</w:t>
            </w:r>
          </w:p>
        </w:tc>
      </w:tr>
      <w:tr>
        <w:trPr>
          <w:trHeight w:val="216"/>
        </w:trPr>
        <w:tc>
          <w:tcPr>
            <w:tcW w:w="69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Incentive fees/(Reversal of incentive fee accrual)</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(4,660,472)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382,387</w:t>
            </w:r>
          </w:p>
        </w:tc>
      </w:tr>
      <w:tr>
        <w:trPr>
          <w:trHeight w:val="216"/>
        </w:trPr>
        <w:tc>
          <w:tcPr>
            <w:tcW w:w="69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Costs incurred under Administration Agreement</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306,084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1,702,047</w:t>
            </w:r>
          </w:p>
        </w:tc>
      </w:tr>
      <w:tr>
        <w:trPr>
          <w:trHeight w:val="216"/>
        </w:trPr>
        <w:tc>
          <w:tcPr>
            <w:tcW w:w="694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Compensation expense</w:t>
            </w:r>
            <w:r>
              <w:rPr>
                <w:rFonts w:ascii="Arial" w:cs="Arial" w:eastAsia="Arial" w:hAnsi="Arial"/>
                <w:sz w:val="21"/>
                <w:szCs w:val="21"/>
                <w:color w:val="auto"/>
                <w:vertAlign w:val="superscript"/>
              </w:rPr>
              <w:t>(2)</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8,801,841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4,286,972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Directors’ fees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383,370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345,000</w:t>
            </w: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Professional fees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2,962,781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5,290,329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1,587,578</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2,247,817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2,372,570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4,545,471</w:t>
            </w: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43,574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482,994</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expenses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1,837,530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2,085,391</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899,457</w:t>
            </w:r>
          </w:p>
        </w:tc>
      </w:tr>
      <w:tr>
        <w:trPr>
          <w:trHeight w:val="207"/>
        </w:trPr>
        <w:tc>
          <w:tcPr>
            <w:tcW w:w="69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16,338,543</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10,946,792</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15,144,834</w:t>
            </w:r>
          </w:p>
        </w:tc>
      </w:tr>
      <w:tr>
        <w:trPr>
          <w:trHeight w:val="213"/>
        </w:trPr>
        <w:tc>
          <w:tcPr>
            <w:tcW w:w="6620" w:type="dxa"/>
            <w:vAlign w:val="bottom"/>
            <w:tcBorders>
              <w:bottom w:val="single" w:sz="8" w:color="CCEEFF"/>
            </w:tcBorders>
            <w:shd w:val="clear" w:color="auto" w:fill="CCEEFF"/>
          </w:tcPr>
          <w:p>
            <w:pPr>
              <w:ind w:left="180"/>
              <w:spacing w:after="0" w:line="213" w:lineRule="exact"/>
              <w:rPr>
                <w:sz w:val="20"/>
                <w:szCs w:val="20"/>
                <w:color w:val="auto"/>
              </w:rPr>
            </w:pPr>
            <w:r>
              <w:rPr>
                <w:rFonts w:ascii="Arial" w:cs="Arial" w:eastAsia="Arial" w:hAnsi="Arial"/>
                <w:sz w:val="16"/>
                <w:szCs w:val="16"/>
                <w:color w:val="auto"/>
              </w:rPr>
              <w:t>Management fee waiver</w:t>
            </w:r>
            <w:r>
              <w:rPr>
                <w:rFonts w:ascii="Arial" w:cs="Arial" w:eastAsia="Arial" w:hAnsi="Arial"/>
                <w:sz w:val="21"/>
                <w:szCs w:val="21"/>
                <w:color w:val="auto"/>
                <w:vertAlign w:val="superscript"/>
              </w:rPr>
              <w:t>(1)</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(892,421)</w:t>
            </w:r>
          </w:p>
        </w:tc>
      </w:tr>
      <w:tr>
        <w:trPr>
          <w:trHeight w:val="210"/>
        </w:trPr>
        <w:tc>
          <w:tcPr>
            <w:tcW w:w="6620" w:type="dxa"/>
            <w:vAlign w:val="bottom"/>
          </w:tcPr>
          <w:p>
            <w:pPr>
              <w:ind w:left="220"/>
              <w:spacing w:after="0" w:line="210" w:lineRule="exact"/>
              <w:rPr>
                <w:sz w:val="20"/>
                <w:szCs w:val="20"/>
                <w:color w:val="auto"/>
              </w:rPr>
            </w:pPr>
            <w:r>
              <w:rPr>
                <w:rFonts w:ascii="Arial" w:cs="Arial" w:eastAsia="Arial" w:hAnsi="Arial"/>
                <w:sz w:val="16"/>
                <w:szCs w:val="16"/>
                <w:color w:val="auto"/>
              </w:rPr>
              <w:t>Incentive fee waiver</w:t>
            </w:r>
            <w:r>
              <w:rPr>
                <w:rFonts w:ascii="Arial" w:cs="Arial" w:eastAsia="Arial" w:hAnsi="Arial"/>
                <w:sz w:val="21"/>
                <w:szCs w:val="21"/>
                <w:color w:val="auto"/>
                <w:vertAlign w:val="superscript"/>
              </w:rPr>
              <w:t>(1)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(5,000,000)</w:t>
            </w:r>
          </w:p>
        </w:tc>
      </w:tr>
      <w:tr>
        <w:trPr>
          <w:trHeight w:val="210"/>
        </w:trPr>
        <w:tc>
          <w:tcPr>
            <w:tcW w:w="69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expenses, net of waiver of management and incentive fees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16,338,543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10,946,792</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9,252,413</w:t>
            </w:r>
          </w:p>
        </w:tc>
      </w:tr>
      <w:tr>
        <w:trPr>
          <w:trHeight w:val="213"/>
        </w:trPr>
        <w:tc>
          <w:tcPr>
            <w:tcW w:w="6940" w:type="dxa"/>
            <w:vAlign w:val="bottom"/>
            <w:gridSpan w:val="2"/>
          </w:tcPr>
          <w:p>
            <w:pPr>
              <w:ind w:left="140"/>
              <w:spacing w:after="0"/>
              <w:rPr>
                <w:sz w:val="20"/>
                <w:szCs w:val="20"/>
                <w:color w:val="auto"/>
              </w:rPr>
            </w:pPr>
            <w:r>
              <w:rPr>
                <w:rFonts w:ascii="Arial" w:cs="Arial" w:eastAsia="Arial" w:hAnsi="Arial"/>
                <w:sz w:val="16"/>
                <w:szCs w:val="16"/>
                <w:b w:val="1"/>
                <w:bCs w:val="1"/>
                <w:color w:val="auto"/>
              </w:rPr>
              <w:t>Net Investment Loss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(14,514,416)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(9,451,068)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(7,634,577)</w:t>
            </w:r>
          </w:p>
        </w:tc>
      </w:tr>
      <w:tr>
        <w:trPr>
          <w:trHeight w:val="232"/>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Realized Gain/(Loss) on Investments: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Non-controlled/non-affiliated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16,441,223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32,625,663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(7,432,939)</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Non-controlled/affiliate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(13,446,323)</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Controlled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(680)</w:t>
            </w:r>
          </w:p>
        </w:tc>
      </w:tr>
      <w:tr>
        <w:trPr>
          <w:trHeight w:val="213"/>
        </w:trPr>
        <w:tc>
          <w:tcPr>
            <w:tcW w:w="694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Net Realized Gain/(Loss) on Investments</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16,441,223</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19,179,340</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(7,433,619)</w:t>
            </w:r>
          </w:p>
        </w:tc>
      </w:tr>
      <w:tr>
        <w:trPr>
          <w:trHeight w:val="213"/>
        </w:trPr>
        <w:tc>
          <w:tcPr>
            <w:tcW w:w="6940" w:type="dxa"/>
            <w:vAlign w:val="bottom"/>
            <w:gridSpan w:val="2"/>
          </w:tcPr>
          <w:p>
            <w:pPr>
              <w:ind w:left="220"/>
              <w:spacing w:after="0"/>
              <w:rPr>
                <w:sz w:val="20"/>
                <w:szCs w:val="20"/>
                <w:color w:val="auto"/>
              </w:rPr>
            </w:pPr>
            <w:r>
              <w:rPr>
                <w:rFonts w:ascii="Arial" w:cs="Arial" w:eastAsia="Arial" w:hAnsi="Arial"/>
                <w:sz w:val="16"/>
                <w:szCs w:val="16"/>
                <w:color w:val="auto"/>
              </w:rPr>
              <w:t>Realized loss on partial repurchase of 5.25% Convertible Senior Note due 2018</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(397,846)</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Change in Unrealized Appreciation/(Depreciation) of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6940" w:type="dxa"/>
            <w:vAlign w:val="bottom"/>
            <w:gridSpan w:val="2"/>
          </w:tcPr>
          <w:p>
            <w:pPr>
              <w:ind w:left="20"/>
              <w:spacing w:after="0"/>
              <w:rPr>
                <w:sz w:val="20"/>
                <w:szCs w:val="20"/>
                <w:color w:val="auto"/>
              </w:rPr>
            </w:pPr>
            <w:r>
              <w:rPr>
                <w:rFonts w:ascii="Arial" w:cs="Arial" w:eastAsia="Arial" w:hAnsi="Arial"/>
                <w:sz w:val="16"/>
                <w:szCs w:val="16"/>
                <w:color w:val="auto"/>
              </w:rPr>
              <w:t>Non-controlled/non-affiliated investments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82,163,227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(1,907,148)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21,819,883</w:t>
            </w:r>
          </w:p>
        </w:tc>
      </w:tr>
      <w:tr>
        <w:trPr>
          <w:trHeight w:val="219"/>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Non-controlled/affiliate investments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(8,786,596)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21,489,014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(10,988,777)</w:t>
            </w:r>
          </w:p>
        </w:tc>
      </w:tr>
      <w:tr>
        <w:trPr>
          <w:trHeight w:val="213"/>
        </w:trPr>
        <w:tc>
          <w:tcPr>
            <w:tcW w:w="69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Controlled investments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34,000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(6,242,007)</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(1,190,056)</w:t>
            </w:r>
          </w:p>
        </w:tc>
      </w:tr>
      <w:tr>
        <w:trPr>
          <w:trHeight w:val="213"/>
        </w:trPr>
        <w:tc>
          <w:tcPr>
            <w:tcW w:w="6940" w:type="dxa"/>
            <w:vAlign w:val="bottom"/>
            <w:gridSpan w:val="2"/>
            <w:shd w:val="clear" w:color="auto" w:fill="CCEEFF"/>
          </w:tcPr>
          <w:p>
            <w:pPr>
              <w:ind w:left="220"/>
              <w:spacing w:after="0"/>
              <w:rPr>
                <w:sz w:val="20"/>
                <w:szCs w:val="20"/>
                <w:color w:val="auto"/>
              </w:rPr>
            </w:pPr>
            <w:r>
              <w:rPr>
                <w:rFonts w:ascii="Arial" w:cs="Arial" w:eastAsia="Arial" w:hAnsi="Arial"/>
                <w:sz w:val="16"/>
                <w:szCs w:val="16"/>
                <w:b w:val="1"/>
                <w:bCs w:val="1"/>
                <w:color w:val="auto"/>
              </w:rPr>
              <w:t>Net Change in Unrealized Appreciation/(Depreciation) of Investments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73,410,631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13,339,859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9,641,050</w:t>
            </w:r>
          </w:p>
        </w:tc>
      </w:tr>
      <w:tr>
        <w:trPr>
          <w:trHeight w:val="213"/>
        </w:trPr>
        <w:tc>
          <w:tcPr>
            <w:tcW w:w="6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Benefit from taxes on unrealized depreciation of investments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885,566</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6,716,735</w:t>
            </w:r>
          </w:p>
        </w:tc>
      </w:tr>
      <w:tr>
        <w:trPr>
          <w:trHeight w:val="273"/>
        </w:trPr>
        <w:tc>
          <w:tcPr>
            <w:tcW w:w="6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75,337,438</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23,953,697</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891,743</w:t>
            </w:r>
          </w:p>
        </w:tc>
      </w:tr>
      <w:tr>
        <w:trPr>
          <w:trHeight w:val="174"/>
        </w:trPr>
        <w:tc>
          <w:tcPr>
            <w:tcW w:w="6620" w:type="dxa"/>
            <w:vAlign w:val="bottom"/>
          </w:tcPr>
          <w:p>
            <w:pPr>
              <w:ind w:left="220"/>
              <w:spacing w:after="0" w:line="174" w:lineRule="exact"/>
              <w:rPr>
                <w:sz w:val="20"/>
                <w:szCs w:val="20"/>
                <w:color w:val="auto"/>
              </w:rPr>
            </w:pPr>
            <w:r>
              <w:rPr>
                <w:rFonts w:ascii="Arial" w:cs="Arial" w:eastAsia="Arial" w:hAnsi="Arial"/>
                <w:sz w:val="16"/>
                <w:szCs w:val="16"/>
                <w:b w:val="1"/>
                <w:bCs w:val="1"/>
                <w:color w:val="auto"/>
              </w:rPr>
              <w:t>Net Change in Net Assets Resulting from Operations per Common Share:</w:t>
            </w: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9"/>
        </w:trPr>
        <w:tc>
          <w:tcPr>
            <w:tcW w:w="69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r>
      <w:tr>
        <w:trPr>
          <w:trHeight w:val="20"/>
        </w:trPr>
        <w:tc>
          <w:tcPr>
            <w:tcW w:w="6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90"/>
        </w:trPr>
        <w:tc>
          <w:tcPr>
            <w:tcW w:w="6940" w:type="dxa"/>
            <w:vAlign w:val="bottom"/>
            <w:gridSpan w:val="2"/>
          </w:tcPr>
          <w:p>
            <w:pPr>
              <w:ind w:left="360"/>
              <w:spacing w:after="0" w:line="190" w:lineRule="exact"/>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(3)</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3.56</w:t>
            </w:r>
          </w:p>
        </w:tc>
        <w:tc>
          <w:tcPr>
            <w:tcW w:w="420" w:type="dxa"/>
            <w:vAlign w:val="bottom"/>
            <w:gridSpan w:val="3"/>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1.14</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0.04</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69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 Outstanding</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13"/>
        </w:trPr>
        <w:tc>
          <w:tcPr>
            <w:tcW w:w="6940" w:type="dxa"/>
            <w:vAlign w:val="bottom"/>
            <w:gridSpan w:val="2"/>
          </w:tcPr>
          <w:p>
            <w:pPr>
              <w:ind w:left="36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17,910,353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19,328,414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20,617,890</w:t>
            </w:r>
          </w:p>
        </w:tc>
      </w:tr>
      <w:tr>
        <w:trPr>
          <w:trHeight w:val="219"/>
        </w:trPr>
        <w:tc>
          <w:tcPr>
            <w:tcW w:w="6940" w:type="dxa"/>
            <w:vAlign w:val="bottom"/>
            <w:gridSpan w:val="2"/>
            <w:shd w:val="clear" w:color="auto" w:fill="CCEEFF"/>
          </w:tcPr>
          <w:p>
            <w:pPr>
              <w:ind w:left="360"/>
              <w:spacing w:after="0" w:line="219" w:lineRule="exact"/>
              <w:rPr>
                <w:sz w:val="20"/>
                <w:szCs w:val="20"/>
                <w:color w:val="auto"/>
              </w:rPr>
            </w:pPr>
            <w:r>
              <w:rPr>
                <w:rFonts w:ascii="Arial" w:cs="Arial" w:eastAsia="Arial" w:hAnsi="Arial"/>
                <w:sz w:val="16"/>
                <w:szCs w:val="16"/>
                <w:color w:val="auto"/>
              </w:rPr>
              <w:t>Diluted</w:t>
            </w:r>
            <w:r>
              <w:rPr>
                <w:rFonts w:ascii="Arial" w:cs="Arial" w:eastAsia="Arial" w:hAnsi="Arial"/>
                <w:sz w:val="21"/>
                <w:szCs w:val="21"/>
                <w:color w:val="auto"/>
                <w:vertAlign w:val="superscript"/>
              </w:rPr>
              <w:t>(3)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21,790,898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23,069,622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20,617,890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-2853690</wp:posOffset>
            </wp:positionV>
            <wp:extent cx="4200525" cy="145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00525"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-5099685</wp:posOffset>
            </wp:positionV>
            <wp:extent cx="4200525"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00525" cy="14541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240"/>
          </w:cols>
          <w:pgMar w:left="320" w:top="121" w:right="339" w:bottom="1440" w:gutter="0" w:footer="0" w:header="0"/>
          <w:type w:val="continuous"/>
        </w:sectPr>
      </w:pPr>
    </w:p>
    <w:bookmarkStart w:id="78" w:name="page79"/>
    <w:bookmarkEnd w:id="7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–continued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____________________________________________________________________________________________________________________________</w:t>
      </w:r>
    </w:p>
    <w:p>
      <w:pPr>
        <w:ind w:left="320" w:hanging="312"/>
        <w:spacing w:after="0"/>
        <w:tabs>
          <w:tab w:leader="none" w:pos="3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pacing w:after="0" w:line="1" w:lineRule="exact"/>
        <w:rPr>
          <w:rFonts w:ascii="Arial" w:cs="Arial" w:eastAsia="Arial" w:hAnsi="Arial"/>
          <w:sz w:val="14"/>
          <w:szCs w:val="14"/>
          <w:color w:val="auto"/>
        </w:rPr>
      </w:pPr>
    </w:p>
    <w:p>
      <w:pPr>
        <w:ind w:left="340" w:hanging="332"/>
        <w:spacing w:after="0" w:line="241" w:lineRule="auto"/>
        <w:tabs>
          <w:tab w:leader="none" w:pos="383"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the year ended December 31, 2020, this balance includes $1,962,431 of accelerated recognition of compensation cost related to the cancellation of unvested options on April 28, 2020. Refer to "Note 11— Stock-Based Compensation" for more detail.</w:t>
      </w:r>
    </w:p>
    <w:p>
      <w:pPr>
        <w:jc w:val="both"/>
        <w:ind w:left="340" w:hanging="332"/>
        <w:spacing w:after="0" w:line="248" w:lineRule="auto"/>
        <w:tabs>
          <w:tab w:leader="none" w:pos="342" w:val="left"/>
        </w:tabs>
        <w:numPr>
          <w:ilvl w:val="0"/>
          <w:numId w:val="50"/>
        </w:numPr>
        <w:rPr>
          <w:rFonts w:ascii="Arial" w:cs="Arial" w:eastAsia="Arial" w:hAnsi="Arial"/>
          <w:sz w:val="14"/>
          <w:szCs w:val="14"/>
          <w:color w:val="auto"/>
        </w:rPr>
      </w:pPr>
      <w:r>
        <w:rPr>
          <w:rFonts w:ascii="Arial" w:cs="Arial" w:eastAsia="Arial" w:hAnsi="Arial"/>
          <w:sz w:val="14"/>
          <w:szCs w:val="14"/>
          <w:color w:val="auto"/>
        </w:rPr>
        <w:t>For the years ended December 31, 2020, 2019, and 2018, 0, 0, and 6,079,068 potentially dilutive common shares were excluded from the weighted-average common shares outstanding for diluted net increase in net assets resulting from operations per common share because the effect of these shares would have been anti-dilutive. Refer to “Note 6—Net Change in Net Assets Resulting from Operations per Common Share—Basic and Diluted”.</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68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Net Assets Resulting from Operations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Net investment loss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(14,514,416)</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(9,451,068)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(7,634,577)</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realized gains/(losses) on investments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16,441,223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19,179,340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(7,433,619)</w:t>
            </w: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Realized loss on partial repurchase of 5.25% Convertible Senior Notes due 2018</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(397,846)</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change in unrealized appreciation/(depreciation) of investments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73,410,631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13,339,859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9,641,050</w:t>
            </w:r>
          </w:p>
        </w:tc>
        <w:tc>
          <w:tcPr>
            <w:tcW w:w="0" w:type="dxa"/>
            <w:vAlign w:val="bottom"/>
          </w:tcPr>
          <w:p>
            <w:pPr>
              <w:spacing w:after="0"/>
              <w:rPr>
                <w:sz w:val="1"/>
                <w:szCs w:val="1"/>
                <w:color w:val="auto"/>
              </w:rPr>
            </w:pPr>
          </w:p>
        </w:tc>
      </w:tr>
      <w:tr>
        <w:trPr>
          <w:trHeight w:val="213"/>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Benefit from taxes on unrealized depreciation of investments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885,566</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6,716,735</w:t>
            </w:r>
          </w:p>
        </w:tc>
        <w:tc>
          <w:tcPr>
            <w:tcW w:w="0" w:type="dxa"/>
            <w:vAlign w:val="bottom"/>
          </w:tcPr>
          <w:p>
            <w:pPr>
              <w:spacing w:after="0"/>
              <w:rPr>
                <w:sz w:val="1"/>
                <w:szCs w:val="1"/>
                <w:color w:val="auto"/>
              </w:rPr>
            </w:pPr>
          </w:p>
        </w:tc>
      </w:tr>
      <w:tr>
        <w:trPr>
          <w:trHeight w:val="213"/>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Change in Net Assets Resulting from Operations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75,337,438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23,953,697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891,743</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Distributions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Dividends declared</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(16,947,366)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(5,620,558)</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840" w:type="dxa"/>
            <w:vAlign w:val="bottom"/>
          </w:tcPr>
          <w:p>
            <w:pPr>
              <w:ind w:left="220"/>
              <w:spacing w:after="0"/>
              <w:rPr>
                <w:sz w:val="20"/>
                <w:szCs w:val="20"/>
                <w:color w:val="auto"/>
              </w:rPr>
            </w:pPr>
            <w:r>
              <w:rPr>
                <w:rFonts w:ascii="Arial" w:cs="Arial" w:eastAsia="Arial" w:hAnsi="Arial"/>
                <w:sz w:val="16"/>
                <w:szCs w:val="16"/>
                <w:b w:val="1"/>
                <w:bCs w:val="1"/>
                <w:color w:val="auto"/>
              </w:rPr>
              <w:t>Total Distributions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(16,947,366)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(5,620,558)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Net Assets Resulting from Capital Transactions</w:t>
            </w: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Issuance of common stock from public offering</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49,882,319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from conversion of 4.75% Convertible Notes due 2023</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1,810,956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tcPr>
          <w:p>
            <w:pPr>
              <w:ind w:left="14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1,962,431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998,355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Repurchases of common stock</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(10,379,994)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(14,792,364)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(10,276,450)</w:t>
            </w:r>
          </w:p>
        </w:tc>
        <w:tc>
          <w:tcPr>
            <w:tcW w:w="0" w:type="dxa"/>
            <w:vAlign w:val="bottom"/>
          </w:tcPr>
          <w:p>
            <w:pPr>
              <w:spacing w:after="0"/>
              <w:rPr>
                <w:sz w:val="1"/>
                <w:szCs w:val="1"/>
                <w:color w:val="auto"/>
              </w:rPr>
            </w:pPr>
          </w:p>
        </w:tc>
      </w:tr>
      <w:tr>
        <w:trPr>
          <w:trHeight w:val="210"/>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b w:val="1"/>
                <w:bCs w:val="1"/>
                <w:color w:val="auto"/>
              </w:rPr>
              <w:t>Net Increase/(Decrease) in Net Assets Resulting from Capital Transactions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43,275,712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(13,794,009)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(10,276,450)</w:t>
            </w:r>
          </w:p>
        </w:tc>
        <w:tc>
          <w:tcPr>
            <w:tcW w:w="0" w:type="dxa"/>
            <w:vAlign w:val="bottom"/>
          </w:tcPr>
          <w:p>
            <w:pPr>
              <w:spacing w:after="0"/>
              <w:rPr>
                <w:sz w:val="1"/>
                <w:szCs w:val="1"/>
                <w:color w:val="auto"/>
              </w:rPr>
            </w:pPr>
          </w:p>
        </w:tc>
      </w:tr>
      <w:tr>
        <w:trPr>
          <w:trHeight w:val="212"/>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Change in Net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101,665,784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4,539,130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(9,384,707)</w:t>
            </w:r>
          </w:p>
        </w:tc>
        <w:tc>
          <w:tcPr>
            <w:tcW w:w="0" w:type="dxa"/>
            <w:vAlign w:val="bottom"/>
          </w:tcPr>
          <w:p>
            <w:pPr>
              <w:spacing w:after="0"/>
              <w:rPr>
                <w:sz w:val="1"/>
                <w:szCs w:val="1"/>
                <w:color w:val="auto"/>
              </w:rPr>
            </w:pPr>
          </w:p>
        </w:tc>
      </w:tr>
      <w:tr>
        <w:trPr>
          <w:trHeight w:val="227"/>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Assets at Beginning of Year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199,917,289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195,378,159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204,762,866</w:t>
            </w:r>
          </w:p>
        </w:tc>
        <w:tc>
          <w:tcPr>
            <w:tcW w:w="0" w:type="dxa"/>
            <w:vAlign w:val="bottom"/>
          </w:tcPr>
          <w:p>
            <w:pPr>
              <w:spacing w:after="0"/>
              <w:rPr>
                <w:sz w:val="1"/>
                <w:szCs w:val="1"/>
                <w:color w:val="auto"/>
              </w:rPr>
            </w:pPr>
          </w:p>
        </w:tc>
      </w:tr>
      <w:tr>
        <w:trPr>
          <w:trHeight w:val="206"/>
        </w:trPr>
        <w:tc>
          <w:tcPr>
            <w:tcW w:w="68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Net Assets at End of Year</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301,583,073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199,917,289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195,378,159</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Capital Share Activity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8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outstanding at beginning of year</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17,564,244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19,762,647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21,246,345</w:t>
            </w: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Issuance of common stock from public offering</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3,808,979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under restricted stock plan</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840" w:type="dxa"/>
            <w:vAlign w:val="bottom"/>
          </w:tcPr>
          <w:p>
            <w:pPr>
              <w:ind w:left="140"/>
              <w:spacing w:after="0"/>
              <w:rPr>
                <w:sz w:val="20"/>
                <w:szCs w:val="20"/>
                <w:color w:val="auto"/>
              </w:rPr>
            </w:pPr>
            <w:r>
              <w:rPr>
                <w:rFonts w:ascii="Arial" w:cs="Arial" w:eastAsia="Arial" w:hAnsi="Arial"/>
                <w:sz w:val="16"/>
                <w:szCs w:val="16"/>
                <w:color w:val="auto"/>
              </w:rPr>
              <w:t>Issuance of common stock from conversion of 4.75% Convertible Notes due 2023</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174,888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6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Shares repurchased</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(1,655,848)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(2,198,403)</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(1,483,698)</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Arial" w:cs="Arial" w:eastAsia="Arial" w:hAnsi="Arial"/>
                <w:sz w:val="16"/>
                <w:szCs w:val="16"/>
                <w:b w:val="1"/>
                <w:bCs w:val="1"/>
                <w:color w:val="auto"/>
              </w:rPr>
              <w:t>Shares Outstanding at End of Year</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19,914,023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17,564,244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19,762,647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-1268095</wp:posOffset>
            </wp:positionV>
            <wp:extent cx="4337685"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3376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-1559560</wp:posOffset>
            </wp:positionV>
            <wp:extent cx="433768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3768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-2407920</wp:posOffset>
            </wp:positionV>
            <wp:extent cx="4337685"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337685" cy="154305"/>
                    </a:xfrm>
                    <a:prstGeom prst="rect">
                      <a:avLst/>
                    </a:prstGeom>
                    <a:noFill/>
                  </pic:spPr>
                </pic:pic>
              </a:graphicData>
            </a:graphic>
          </wp:anchor>
        </w:drawing>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-98425</wp:posOffset>
            </wp:positionV>
            <wp:extent cx="2768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____________________________________________________________________________________________________________________________</w:t>
      </w:r>
    </w:p>
    <w:p>
      <w:pPr>
        <w:ind w:left="340" w:hanging="332"/>
        <w:spacing w:after="0" w:line="255" w:lineRule="auto"/>
        <w:tabs>
          <w:tab w:leader="none" w:pos="383"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the year ended December 31, 2020, this balance includes $1,962,431 of accelerated recognition of compensation cost related to the cancellation of unvested options on April 28, 2020. Refer to "Note 11— Stock-Based Compensation" for more detail.</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21" w:right="339" w:bottom="1440" w:gutter="0" w:footer="0" w:header="0"/>
        </w:sectPr>
      </w:pPr>
    </w:p>
    <w:bookmarkStart w:id="80" w:name="page81"/>
    <w:bookmarkEnd w:id="80"/>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87"/>
        </w:trPr>
        <w:tc>
          <w:tcPr>
            <w:tcW w:w="64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197"/>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Net change in net assets resulting from operations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75,337,438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23,953,697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891,743</w:t>
            </w:r>
          </w:p>
        </w:tc>
      </w:tr>
      <w:tr>
        <w:trPr>
          <w:trHeight w:val="169"/>
        </w:trPr>
        <w:tc>
          <w:tcPr>
            <w:tcW w:w="642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w w:val="91"/>
              </w:rPr>
              <w:t>Adjustments to reconcile net change in net assets resulting from operations to net cash provided</w:t>
            </w: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212"/>
        </w:trPr>
        <w:tc>
          <w:tcPr>
            <w:tcW w:w="6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by/(used in) operating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Net realized (gain)/loss on investments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(16,441,223)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(19,179,340)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7,433,619</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change in unrealized (appreciation)/depreciation of investments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(73,410,631)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(13,339,859)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(9,641,050)</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Change in deferred tax liability</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(885,566)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(6,716,735)</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discount on 5.25% Convertible Senior Notes due 2018</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492,170</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Amortization of discount on 4.75% Convertible Senior Notes due 2023</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376,802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369,124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281,130</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deferred financing costs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51,636</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Amortization of fixed income security premiums and discounts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(30,660)</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Write-off of deferred offering costs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325,248</w:t>
            </w:r>
          </w:p>
        </w:tc>
      </w:tr>
      <w:tr>
        <w:trPr>
          <w:trHeight w:val="216"/>
        </w:trPr>
        <w:tc>
          <w:tcPr>
            <w:tcW w:w="6420" w:type="dxa"/>
            <w:vAlign w:val="bottom"/>
          </w:tcPr>
          <w:p>
            <w:pPr>
              <w:ind w:left="14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1,962,431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998,355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Paid-in-kind interest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(383,980)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(386,546)</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Adjustments to escrow proceeds receivable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844,825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29,178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1,034,704</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interest on 4.75% Convertible Senior Notes due 2023</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Purchases of investments in:</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Portfolio investments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(31,433,027)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(25,569,685)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(10,669,035)</w:t>
            </w:r>
          </w:p>
        </w:tc>
      </w:tr>
      <w:tr>
        <w:trPr>
          <w:trHeight w:val="213"/>
        </w:trPr>
        <w:tc>
          <w:tcPr>
            <w:tcW w:w="6420" w:type="dxa"/>
            <w:vAlign w:val="bottom"/>
          </w:tcPr>
          <w:p>
            <w:pPr>
              <w:ind w:left="340"/>
              <w:spacing w:after="0"/>
              <w:rPr>
                <w:sz w:val="20"/>
                <w:szCs w:val="20"/>
                <w:color w:val="auto"/>
              </w:rPr>
            </w:pPr>
            <w:r>
              <w:rPr>
                <w:rFonts w:ascii="Arial" w:cs="Arial" w:eastAsia="Arial" w:hAnsi="Arial"/>
                <w:sz w:val="16"/>
                <w:szCs w:val="16"/>
                <w:color w:val="auto"/>
              </w:rPr>
              <w:t>U.S. Treasury bills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(450,000,084)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(299,930,250)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(399,893,952)</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sales or maturity of investments in:</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3"/>
        </w:trPr>
        <w:tc>
          <w:tcPr>
            <w:tcW w:w="6420" w:type="dxa"/>
            <w:vAlign w:val="bottom"/>
          </w:tcPr>
          <w:p>
            <w:pPr>
              <w:ind w:left="340"/>
              <w:spacing w:after="0"/>
              <w:rPr>
                <w:sz w:val="20"/>
                <w:szCs w:val="20"/>
                <w:color w:val="auto"/>
              </w:rPr>
            </w:pPr>
            <w:r>
              <w:rPr>
                <w:rFonts w:ascii="Arial" w:cs="Arial" w:eastAsia="Arial" w:hAnsi="Arial"/>
                <w:sz w:val="16"/>
                <w:szCs w:val="16"/>
                <w:color w:val="auto"/>
              </w:rPr>
              <w:t>Portfolio investments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31,245,944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65,603,252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33,925,585</w:t>
            </w:r>
          </w:p>
        </w:tc>
      </w:tr>
      <w:tr>
        <w:trPr>
          <w:trHeight w:val="219"/>
        </w:trPr>
        <w:tc>
          <w:tcPr>
            <w:tcW w:w="6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Treasury bills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400,000,000</w:t>
            </w: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Due from controlled investments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770,383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(1,548,164)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1,214</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and dividends receivable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(220,529)</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Deferred financing costs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(11,382)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Escrow proceeds receivable</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(587,154)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2,229,279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(1,891,126)</w:t>
            </w:r>
          </w:p>
        </w:tc>
      </w:tr>
      <w:tr>
        <w:trPr>
          <w:trHeight w:val="216"/>
        </w:trPr>
        <w:tc>
          <w:tcPr>
            <w:tcW w:w="6420" w:type="dxa"/>
            <w:vAlign w:val="bottom"/>
          </w:tcPr>
          <w:p>
            <w:pPr>
              <w:ind w:left="140"/>
              <w:spacing w:after="0" w:line="216" w:lineRule="exact"/>
              <w:rPr>
                <w:sz w:val="20"/>
                <w:szCs w:val="20"/>
                <w:color w:val="auto"/>
              </w:rPr>
            </w:pPr>
            <w:r>
              <w:rPr>
                <w:rFonts w:ascii="Arial" w:cs="Arial" w:eastAsia="Arial" w:hAnsi="Arial"/>
                <w:sz w:val="16"/>
                <w:szCs w:val="16"/>
                <w:color w:val="auto"/>
              </w:rPr>
              <w:t>Due to GSV Asset Management</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(231,697)</w:t>
            </w:r>
          </w:p>
        </w:tc>
      </w:tr>
      <w:tr>
        <w:trPr>
          <w:trHeight w:val="216"/>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Payable for securities purchased</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89,503,340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(44,733,443)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(5,722)</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(381,611)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653,236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32,484</w:t>
            </w:r>
          </w:p>
        </w:tc>
      </w:tr>
      <w:tr>
        <w:trPr>
          <w:trHeight w:val="219"/>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Payable to executive officers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420" w:type="dxa"/>
            <w:vAlign w:val="bottom"/>
          </w:tcPr>
          <w:p>
            <w:pPr>
              <w:ind w:left="140"/>
              <w:spacing w:after="0"/>
              <w:rPr>
                <w:sz w:val="20"/>
                <w:szCs w:val="20"/>
                <w:color w:val="auto"/>
              </w:rPr>
            </w:pPr>
            <w:r>
              <w:rPr>
                <w:rFonts w:ascii="Arial" w:cs="Arial" w:eastAsia="Arial" w:hAnsi="Arial"/>
                <w:sz w:val="16"/>
                <w:szCs w:val="16"/>
                <w:color w:val="auto"/>
              </w:rPr>
              <w:t>Income tax payable</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2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Accrued incentive fees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(4,660,472)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(4,617,613)</w:t>
            </w:r>
          </w:p>
        </w:tc>
      </w:tr>
      <w:tr>
        <w:trPr>
          <w:trHeight w:val="216"/>
        </w:trPr>
        <w:tc>
          <w:tcPr>
            <w:tcW w:w="6420" w:type="dxa"/>
            <w:vAlign w:val="bottom"/>
          </w:tcPr>
          <w:p>
            <w:pPr>
              <w:ind w:left="140"/>
              <w:spacing w:after="0" w:line="216" w:lineRule="exact"/>
              <w:rPr>
                <w:sz w:val="20"/>
                <w:szCs w:val="20"/>
                <w:color w:val="auto"/>
              </w:rPr>
            </w:pPr>
            <w:r>
              <w:rPr>
                <w:rFonts w:ascii="Arial" w:cs="Arial" w:eastAsia="Arial" w:hAnsi="Arial"/>
                <w:sz w:val="16"/>
                <w:szCs w:val="16"/>
                <w:color w:val="auto"/>
              </w:rPr>
              <w:t>Accrued management fees</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(415,056)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(9,391)</w:t>
            </w:r>
          </w:p>
        </w:tc>
      </w:tr>
      <w:tr>
        <w:trPr>
          <w:trHeight w:val="216"/>
        </w:trPr>
        <w:tc>
          <w:tcPr>
            <w:tcW w:w="6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 payable</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(581,563)</w:t>
            </w:r>
          </w:p>
        </w:tc>
      </w:tr>
      <w:tr>
        <w:trPr>
          <w:trHeight w:val="206"/>
        </w:trPr>
        <w:tc>
          <w:tcPr>
            <w:tcW w:w="6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by/(Used in) Operating Activities</w:t>
            </w: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(23,624,159)</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34,982,312</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9,574,753</w:t>
            </w:r>
          </w:p>
        </w:tc>
      </w:tr>
      <w:tr>
        <w:trPr>
          <w:trHeight w:val="21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Proceeds from the issuance of common stock, net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49,882,319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the issuance of 4.75% Convertible Senior Notes due 2023</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40,000,000</w:t>
            </w: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Deferred debt issuance costs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(1,846,620)</w:t>
            </w:r>
          </w:p>
        </w:tc>
      </w:tr>
      <w:tr>
        <w:trPr>
          <w:trHeight w:val="219"/>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 of common stock</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(10,379,995)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(14,792,364)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(10,276,450)</w:t>
            </w:r>
          </w:p>
        </w:tc>
      </w:tr>
      <w:tr>
        <w:trPr>
          <w:trHeight w:val="213"/>
        </w:trPr>
        <w:tc>
          <w:tcPr>
            <w:tcW w:w="6420" w:type="dxa"/>
            <w:vAlign w:val="bottom"/>
          </w:tcPr>
          <w:p>
            <w:pPr>
              <w:ind w:left="20"/>
              <w:spacing w:after="0"/>
              <w:rPr>
                <w:sz w:val="20"/>
                <w:szCs w:val="20"/>
                <w:color w:val="auto"/>
              </w:rPr>
            </w:pPr>
            <w:r>
              <w:rPr>
                <w:rFonts w:ascii="Arial" w:cs="Arial" w:eastAsia="Arial" w:hAnsi="Arial"/>
                <w:sz w:val="16"/>
                <w:szCs w:val="16"/>
                <w:color w:val="auto"/>
              </w:rPr>
              <w:t>Repayment of 5.25% Convertible Senior Notes due 2018</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(69,272,565)</w:t>
            </w:r>
          </w:p>
        </w:tc>
      </w:tr>
      <w:tr>
        <w:trPr>
          <w:trHeight w:val="233"/>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w:t>
            </w:r>
          </w:p>
        </w:tc>
        <w:tc>
          <w:tcPr>
            <w:tcW w:w="3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(14,659,850)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(3,512,849)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420" w:type="dxa"/>
            <w:vAlign w:val="bottom"/>
          </w:tcPr>
          <w:p>
            <w:pPr>
              <w:ind w:left="20"/>
              <w:spacing w:after="0"/>
              <w:rPr>
                <w:sz w:val="20"/>
                <w:szCs w:val="20"/>
                <w:color w:val="auto"/>
              </w:rPr>
            </w:pPr>
            <w:r>
              <w:rPr>
                <w:rFonts w:ascii="Arial" w:cs="Arial" w:eastAsia="Arial" w:hAnsi="Arial"/>
                <w:sz w:val="16"/>
                <w:szCs w:val="16"/>
                <w:color w:val="auto"/>
              </w:rPr>
              <w:t>Realized loss on repurchase of 5.25% Convertible Senior Notes due 2018</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397,846</w:t>
            </w:r>
          </w:p>
        </w:tc>
      </w:tr>
      <w:tr>
        <w:trPr>
          <w:trHeight w:val="229"/>
        </w:trPr>
        <w:tc>
          <w:tcPr>
            <w:tcW w:w="6420" w:type="dxa"/>
            <w:vAlign w:val="bottom"/>
          </w:tcPr>
          <w:p>
            <w:pPr>
              <w:ind w:left="20"/>
              <w:spacing w:after="0"/>
              <w:rPr>
                <w:sz w:val="20"/>
                <w:szCs w:val="20"/>
                <w:color w:val="auto"/>
              </w:rPr>
            </w:pPr>
            <w:r>
              <w:rPr>
                <w:rFonts w:ascii="Arial" w:cs="Arial" w:eastAsia="Arial" w:hAnsi="Arial"/>
                <w:sz w:val="16"/>
                <w:szCs w:val="16"/>
                <w:color w:val="auto"/>
              </w:rPr>
              <w:t>Cash paid for fractional shares</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-286385</wp:posOffset>
            </wp:positionV>
            <wp:extent cx="7115175" cy="3003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3003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-569595</wp:posOffset>
            </wp:positionV>
            <wp:extent cx="408051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080510" cy="14605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121" w:right="359" w:bottom="1440" w:gutter="0" w:footer="0" w:header="0"/>
        </w:sectPr>
      </w:pPr>
    </w:p>
    <w:bookmarkStart w:id="81" w:name="page82"/>
    <w:bookmarkEnd w:id="81"/>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200" w:lineRule="exact"/>
        <w:rPr>
          <w:sz w:val="20"/>
          <w:szCs w:val="20"/>
          <w:color w:val="auto"/>
        </w:rPr>
      </w:pPr>
    </w:p>
    <w:p>
      <w:pPr>
        <w:spacing w:after="0" w:line="39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87"/>
        </w:trPr>
        <w:tc>
          <w:tcPr>
            <w:tcW w:w="62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2018</w:t>
            </w:r>
          </w:p>
        </w:tc>
      </w:tr>
      <w:tr>
        <w:trPr>
          <w:trHeight w:val="20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offering costs</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(285,814)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(231,401)</w:t>
            </w:r>
          </w:p>
        </w:tc>
      </w:tr>
      <w:tr>
        <w:trPr>
          <w:trHeight w:val="210"/>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Cash Provided by/(Used in) Financing Activities</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24,556,620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(18,305,213)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(41,229,190)</w:t>
            </w:r>
          </w:p>
        </w:tc>
      </w:tr>
      <w:tr>
        <w:trPr>
          <w:trHeight w:val="212"/>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Increase/(Decrease) in Cash Balance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932,461</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16,677,099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(31,654,437)</w:t>
            </w:r>
          </w:p>
        </w:tc>
      </w:tr>
      <w:tr>
        <w:trPr>
          <w:trHeight w:val="21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Balance at Beginning of Year</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44,861,263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28,184,163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59,838,600</w:t>
            </w:r>
          </w:p>
        </w:tc>
      </w:tr>
      <w:tr>
        <w:trPr>
          <w:trHeight w:val="209"/>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Balance at End of Year</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45,793,724</w:t>
            </w:r>
          </w:p>
        </w:tc>
        <w:tc>
          <w:tcPr>
            <w:tcW w:w="46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44,861,262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28,184,163</w:t>
            </w:r>
          </w:p>
        </w:tc>
      </w:tr>
      <w:tr>
        <w:trPr>
          <w:trHeight w:val="240"/>
        </w:trPr>
        <w:tc>
          <w:tcPr>
            <w:tcW w:w="62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16"/>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Information:</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0"/>
        </w:trPr>
        <w:tc>
          <w:tcPr>
            <w:tcW w:w="622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1,874,294</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2,018,336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4,127,163</w:t>
            </w: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color w:val="auto"/>
              </w:rPr>
              <w:t>Taxes paid</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5,859</w:t>
            </w:r>
          </w:p>
        </w:tc>
        <w:tc>
          <w:tcPr>
            <w:tcW w:w="46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33,825</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496,912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-132080</wp:posOffset>
            </wp:positionV>
            <wp:extent cx="6909435"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09435" cy="137160"/>
                    </a:xfrm>
                    <a:prstGeom prst="rect">
                      <a:avLst/>
                    </a:prstGeom>
                    <a:noFill/>
                  </pic:spPr>
                </pic:pic>
              </a:graphicData>
            </a:graphic>
          </wp:anchor>
        </w:drawing>
      </w:r>
    </w:p>
    <w:p>
      <w:pPr>
        <w:jc w:val="center"/>
        <w:ind w:right="320"/>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w:t>
      </w:r>
    </w:p>
    <w:p>
      <w:pPr>
        <w:spacing w:after="0" w:line="97"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balance references a related-party transaction. Refer to “Note 3—Related-Party Arrangements” for more detail.</w:t>
      </w:r>
    </w:p>
    <w:p>
      <w:pPr>
        <w:spacing w:after="0" w:line="13" w:lineRule="exact"/>
        <w:rPr>
          <w:rFonts w:ascii="Arial" w:cs="Arial" w:eastAsia="Arial" w:hAnsi="Arial"/>
          <w:sz w:val="14"/>
          <w:szCs w:val="14"/>
          <w:color w:val="auto"/>
        </w:rPr>
      </w:pPr>
    </w:p>
    <w:p>
      <w:pPr>
        <w:ind w:left="340" w:hanging="332"/>
        <w:spacing w:after="0" w:line="255" w:lineRule="auto"/>
        <w:tabs>
          <w:tab w:leader="none" w:pos="383"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the year ended December 31, 2020, this balance includes $1,962,431 of accelerated recognition of compensation cost related to the cancellation of unvested options on April 28, 2020. Refer to "Note 11— Stock-Based Compensation" for more detail.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21" w:right="339" w:bottom="1440" w:gutter="0" w:footer="0" w:header="0"/>
        </w:sectPr>
      </w:pPr>
    </w:p>
    <w:bookmarkStart w:id="82" w:name="page83"/>
    <w:bookmarkEnd w:id="82"/>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60" w:type="dxa"/>
            <w:vAlign w:val="bottom"/>
            <w:gridSpan w:val="13"/>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5"/>
              </w:rPr>
              <w:t>Headquarters/</w:t>
            </w:r>
          </w:p>
        </w:tc>
        <w:tc>
          <w:tcPr>
            <w:tcW w:w="100" w:type="dxa"/>
            <w:vAlign w:val="bottom"/>
          </w:tcPr>
          <w:p>
            <w:pPr>
              <w:spacing w:after="0"/>
              <w:rPr>
                <w:sz w:val="14"/>
                <w:szCs w:val="14"/>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Date of Initial</w:t>
            </w:r>
          </w:p>
        </w:tc>
        <w:tc>
          <w:tcPr>
            <w:tcW w:w="140" w:type="dxa"/>
            <w:vAlign w:val="bottom"/>
          </w:tcPr>
          <w:p>
            <w:pPr>
              <w:spacing w:after="0"/>
              <w:rPr>
                <w:sz w:val="14"/>
                <w:szCs w:val="14"/>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3660" w:type="dxa"/>
            <w:vAlign w:val="bottom"/>
            <w:gridSpan w:val="13"/>
            <w:vMerge w:val="continue"/>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7"/>
              </w:rPr>
              <w:t>Industry</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00" w:type="dxa"/>
            <w:vAlign w:val="bottom"/>
          </w:tcPr>
          <w:p>
            <w:pPr>
              <w:jc w:val="right"/>
              <w:ind w:right="18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4"/>
        </w:trPr>
        <w:tc>
          <w:tcPr>
            <w:tcW w:w="3540" w:type="dxa"/>
            <w:vAlign w:val="bottom"/>
            <w:tcBorders>
              <w:top w:val="single" w:sz="8" w:color="auto"/>
              <w:bottom w:val="single" w:sz="8" w:color="CCEEFF"/>
            </w:tcBorders>
            <w:gridSpan w:val="12"/>
            <w:shd w:val="clear" w:color="auto" w:fill="CCEEFF"/>
          </w:tcPr>
          <w:p>
            <w:pPr>
              <w:spacing w:after="0"/>
              <w:rPr>
                <w:sz w:val="20"/>
                <w:szCs w:val="20"/>
                <w:color w:val="auto"/>
              </w:rPr>
            </w:pPr>
            <w:r>
              <w:rPr>
                <w:rFonts w:ascii="Arial" w:cs="Arial" w:eastAsia="Arial" w:hAnsi="Arial"/>
                <w:sz w:val="14"/>
                <w:szCs w:val="14"/>
                <w:b w:val="1"/>
                <w:bCs w:val="1"/>
                <w:color w:val="auto"/>
              </w:rPr>
              <w:t>NON-CONTROLLED/NON-AFFILIATE</w:t>
            </w:r>
          </w:p>
        </w:tc>
        <w:tc>
          <w:tcPr>
            <w:tcW w:w="120" w:type="dxa"/>
            <w:vAlign w:val="bottom"/>
            <w:tcBorders>
              <w:top w:val="single" w:sz="8" w:color="CCEEFF"/>
            </w:tcBorders>
            <w:shd w:val="clear" w:color="auto" w:fill="CCEEFF"/>
          </w:tcPr>
          <w:p>
            <w:pPr>
              <w:spacing w:after="0"/>
              <w:rPr>
                <w:sz w:val="15"/>
                <w:szCs w:val="15"/>
                <w:color w:val="auto"/>
              </w:rPr>
            </w:pPr>
          </w:p>
        </w:tc>
        <w:tc>
          <w:tcPr>
            <w:tcW w:w="19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540" w:type="dxa"/>
            <w:vAlign w:val="bottom"/>
            <w:gridSpan w:val="12"/>
          </w:tcPr>
          <w:p>
            <w:pPr>
              <w:spacing w:after="0" w:line="142" w:lineRule="exact"/>
              <w:rPr>
                <w:sz w:val="20"/>
                <w:szCs w:val="20"/>
                <w:color w:val="auto"/>
              </w:rPr>
            </w:pPr>
            <w:r>
              <w:rPr>
                <w:rFonts w:ascii="Arial" w:cs="Arial" w:eastAsia="Arial" w:hAnsi="Arial"/>
                <w:sz w:val="14"/>
                <w:szCs w:val="14"/>
                <w:b w:val="1"/>
                <w:bCs w:val="1"/>
                <w:color w:val="auto"/>
              </w:rPr>
              <w:t>Palantir Technologies, Inc.</w:t>
            </w: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960" w:type="dxa"/>
            <w:vAlign w:val="bottom"/>
          </w:tcPr>
          <w:p>
            <w:pPr>
              <w:jc w:val="center"/>
              <w:spacing w:after="0" w:line="142" w:lineRule="exact"/>
              <w:rPr>
                <w:sz w:val="20"/>
                <w:szCs w:val="20"/>
                <w:color w:val="auto"/>
              </w:rPr>
            </w:pPr>
            <w:r>
              <w:rPr>
                <w:rFonts w:ascii="Arial" w:cs="Arial" w:eastAsia="Arial" w:hAnsi="Arial"/>
                <w:sz w:val="14"/>
                <w:szCs w:val="14"/>
                <w:color w:val="auto"/>
                <w:w w:val="98"/>
              </w:rPr>
              <w:t>Palo Alto,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2"/>
            <w:shd w:val="clear" w:color="auto" w:fill="CCEEFF"/>
          </w:tcPr>
          <w:p>
            <w:pPr>
              <w:spacing w:after="0" w:line="189" w:lineRule="exact"/>
              <w:rPr>
                <w:sz w:val="20"/>
                <w:szCs w:val="20"/>
                <w:color w:val="auto"/>
              </w:rPr>
            </w:pPr>
            <w:r>
              <w:rPr>
                <w:rFonts w:ascii="Arial" w:cs="Arial" w:eastAsia="Arial" w:hAnsi="Arial"/>
                <w:sz w:val="14"/>
                <w:szCs w:val="14"/>
                <w:color w:val="auto"/>
              </w:rPr>
              <w:t>Common shares, Class A</w:t>
            </w:r>
            <w:r>
              <w:rPr>
                <w:rFonts w:ascii="Arial" w:cs="Arial" w:eastAsia="Arial" w:hAnsi="Arial"/>
                <w:sz w:val="18"/>
                <w:szCs w:val="18"/>
                <w:color w:val="auto"/>
                <w:vertAlign w:val="superscript"/>
              </w:rPr>
              <w:t>(3)(13)</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Data Analysis</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5"/>
              </w:rPr>
              <w:t>5/7/2012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4,618,952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12,875,126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94,635,398</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31.38 %</w:t>
            </w:r>
          </w:p>
        </w:tc>
        <w:tc>
          <w:tcPr>
            <w:tcW w:w="0" w:type="dxa"/>
            <w:vAlign w:val="bottom"/>
          </w:tcPr>
          <w:p>
            <w:pPr>
              <w:spacing w:after="0"/>
              <w:rPr>
                <w:sz w:val="1"/>
                <w:szCs w:val="1"/>
                <w:color w:val="auto"/>
              </w:rPr>
            </w:pPr>
          </w:p>
        </w:tc>
      </w:tr>
      <w:tr>
        <w:trPr>
          <w:trHeight w:val="148"/>
        </w:trPr>
        <w:tc>
          <w:tcPr>
            <w:tcW w:w="3540" w:type="dxa"/>
            <w:vAlign w:val="bottom"/>
            <w:gridSpan w:val="12"/>
          </w:tcPr>
          <w:p>
            <w:pPr>
              <w:spacing w:after="0" w:line="149" w:lineRule="exact"/>
              <w:rPr>
                <w:sz w:val="20"/>
                <w:szCs w:val="20"/>
                <w:color w:val="auto"/>
              </w:rPr>
            </w:pPr>
            <w:r>
              <w:rPr>
                <w:rFonts w:ascii="Arial" w:cs="Arial" w:eastAsia="Arial" w:hAnsi="Arial"/>
                <w:sz w:val="14"/>
                <w:szCs w:val="14"/>
                <w:b w:val="1"/>
                <w:bCs w:val="1"/>
                <w:color w:val="auto"/>
              </w:rPr>
              <w:t>Coursera, Inc.</w:t>
            </w:r>
          </w:p>
        </w:tc>
        <w:tc>
          <w:tcPr>
            <w:tcW w:w="120" w:type="dxa"/>
            <w:vAlign w:val="bottom"/>
          </w:tcPr>
          <w:p>
            <w:pPr>
              <w:spacing w:after="0"/>
              <w:rPr>
                <w:sz w:val="12"/>
                <w:szCs w:val="12"/>
                <w:color w:val="auto"/>
              </w:rPr>
            </w:pP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7"/>
              </w:rPr>
              <w:t>Mountain View,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F 8%</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Online Education</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6"/>
              </w:rPr>
              <w:t>7/15/2020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166,962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2,840,017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2,838,354</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0.94 %</w:t>
            </w:r>
          </w:p>
        </w:tc>
        <w:tc>
          <w:tcPr>
            <w:tcW w:w="0" w:type="dxa"/>
            <w:vAlign w:val="bottom"/>
          </w:tcPr>
          <w:p>
            <w:pPr>
              <w:spacing w:after="0"/>
              <w:rPr>
                <w:sz w:val="1"/>
                <w:szCs w:val="1"/>
                <w:color w:val="auto"/>
              </w:rPr>
            </w:pPr>
          </w:p>
        </w:tc>
      </w:tr>
      <w:tr>
        <w:trPr>
          <w:trHeight w:val="186"/>
        </w:trPr>
        <w:tc>
          <w:tcPr>
            <w:tcW w:w="366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Preferred shares, Series B 8%</w:t>
            </w:r>
          </w:p>
        </w:tc>
        <w:tc>
          <w:tcPr>
            <w:tcW w:w="196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gridSpan w:val="2"/>
          </w:tcPr>
          <w:p>
            <w:pPr>
              <w:jc w:val="center"/>
              <w:ind w:left="8"/>
              <w:spacing w:after="0"/>
              <w:rPr>
                <w:sz w:val="20"/>
                <w:szCs w:val="20"/>
                <w:color w:val="auto"/>
              </w:rPr>
            </w:pPr>
            <w:r>
              <w:rPr>
                <w:rFonts w:ascii="Arial" w:cs="Arial" w:eastAsia="Arial" w:hAnsi="Arial"/>
                <w:sz w:val="14"/>
                <w:szCs w:val="14"/>
                <w:color w:val="auto"/>
                <w:w w:val="95"/>
              </w:rPr>
              <w:t>6/9/2013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2,961,399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14,519,519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50,343,783</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16.69 %</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gridSpan w:val="1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6"/>
                <w:szCs w:val="16"/>
                <w:color w:val="auto"/>
              </w:rPr>
            </w:pPr>
          </w:p>
        </w:tc>
        <w:tc>
          <w:tcPr>
            <w:tcW w:w="196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17,359,536</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53,182,137</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17.63 %</w:t>
            </w:r>
          </w:p>
        </w:tc>
        <w:tc>
          <w:tcPr>
            <w:tcW w:w="0" w:type="dxa"/>
            <w:vAlign w:val="bottom"/>
          </w:tcPr>
          <w:p>
            <w:pPr>
              <w:spacing w:after="0"/>
              <w:rPr>
                <w:sz w:val="1"/>
                <w:szCs w:val="1"/>
                <w:color w:val="auto"/>
              </w:rPr>
            </w:pPr>
          </w:p>
        </w:tc>
      </w:tr>
      <w:tr>
        <w:trPr>
          <w:trHeight w:val="142"/>
        </w:trPr>
        <w:tc>
          <w:tcPr>
            <w:tcW w:w="3540" w:type="dxa"/>
            <w:vAlign w:val="bottom"/>
            <w:gridSpan w:val="12"/>
          </w:tcPr>
          <w:p>
            <w:pPr>
              <w:spacing w:after="0" w:line="142" w:lineRule="exact"/>
              <w:rPr>
                <w:sz w:val="20"/>
                <w:szCs w:val="20"/>
                <w:color w:val="auto"/>
              </w:rPr>
            </w:pPr>
            <w:r>
              <w:rPr>
                <w:rFonts w:ascii="Arial" w:cs="Arial" w:eastAsia="Arial" w:hAnsi="Arial"/>
                <w:sz w:val="14"/>
                <w:szCs w:val="14"/>
                <w:b w:val="1"/>
                <w:bCs w:val="1"/>
                <w:color w:val="auto"/>
              </w:rPr>
              <w:t>Course Hero, Inc.</w:t>
            </w:r>
          </w:p>
        </w:tc>
        <w:tc>
          <w:tcPr>
            <w:tcW w:w="120" w:type="dxa"/>
            <w:vAlign w:val="bottom"/>
          </w:tcPr>
          <w:p>
            <w:pPr>
              <w:spacing w:after="0"/>
              <w:rPr>
                <w:sz w:val="12"/>
                <w:szCs w:val="12"/>
                <w:color w:val="auto"/>
              </w:rPr>
            </w:pPr>
          </w:p>
        </w:tc>
        <w:tc>
          <w:tcPr>
            <w:tcW w:w="1960" w:type="dxa"/>
            <w:vAlign w:val="bottom"/>
          </w:tcPr>
          <w:p>
            <w:pPr>
              <w:jc w:val="center"/>
              <w:spacing w:after="0" w:line="142" w:lineRule="exact"/>
              <w:rPr>
                <w:sz w:val="20"/>
                <w:szCs w:val="20"/>
                <w:color w:val="auto"/>
              </w:rPr>
            </w:pPr>
            <w:r>
              <w:rPr>
                <w:rFonts w:ascii="Arial" w:cs="Arial" w:eastAsia="Arial" w:hAnsi="Arial"/>
                <w:sz w:val="14"/>
                <w:szCs w:val="14"/>
                <w:color w:val="auto"/>
                <w:w w:val="96"/>
              </w:rPr>
              <w:t>Redwood City,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Online Education</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6"/>
              </w:rPr>
              <w:t>9/18/2014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35,079,072</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11.63 %</w:t>
            </w:r>
          </w:p>
        </w:tc>
        <w:tc>
          <w:tcPr>
            <w:tcW w:w="0" w:type="dxa"/>
            <w:vAlign w:val="bottom"/>
          </w:tcPr>
          <w:p>
            <w:pPr>
              <w:spacing w:after="0"/>
              <w:rPr>
                <w:sz w:val="1"/>
                <w:szCs w:val="1"/>
                <w:color w:val="auto"/>
              </w:rPr>
            </w:pPr>
          </w:p>
        </w:tc>
      </w:tr>
      <w:tr>
        <w:trPr>
          <w:trHeight w:val="148"/>
        </w:trPr>
        <w:tc>
          <w:tcPr>
            <w:tcW w:w="366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Nextdoor.com, Inc.</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2"/>
              </w:rPr>
              <w:t>San Francisco,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Social Networking</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6"/>
              </w:rPr>
              <w:t>9/27/2018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580,360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10,002,666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12,832,208</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4.25 %</w:t>
            </w:r>
          </w:p>
        </w:tc>
        <w:tc>
          <w:tcPr>
            <w:tcW w:w="0" w:type="dxa"/>
            <w:vAlign w:val="bottom"/>
          </w:tcPr>
          <w:p>
            <w:pPr>
              <w:spacing w:after="0"/>
              <w:rPr>
                <w:sz w:val="1"/>
                <w:szCs w:val="1"/>
                <w:color w:val="auto"/>
              </w:rPr>
            </w:pPr>
          </w:p>
        </w:tc>
      </w:tr>
      <w:tr>
        <w:trPr>
          <w:trHeight w:val="148"/>
        </w:trPr>
        <w:tc>
          <w:tcPr>
            <w:tcW w:w="3660" w:type="dxa"/>
            <w:vAlign w:val="bottom"/>
            <w:gridSpan w:val="13"/>
          </w:tcPr>
          <w:p>
            <w:pPr>
              <w:spacing w:after="0" w:line="149" w:lineRule="exact"/>
              <w:rPr>
                <w:sz w:val="20"/>
                <w:szCs w:val="20"/>
                <w:color w:val="auto"/>
              </w:rPr>
            </w:pPr>
            <w:r>
              <w:rPr>
                <w:rFonts w:ascii="Arial" w:cs="Arial" w:eastAsia="Arial" w:hAnsi="Arial"/>
                <w:sz w:val="14"/>
                <w:szCs w:val="14"/>
                <w:b w:val="1"/>
                <w:bCs w:val="1"/>
                <w:color w:val="auto"/>
              </w:rPr>
              <w:t>Blink Health, Inc.</w:t>
            </w:r>
          </w:p>
        </w:tc>
        <w:tc>
          <w:tcPr>
            <w:tcW w:w="1960" w:type="dxa"/>
            <w:vAlign w:val="bottom"/>
          </w:tcPr>
          <w:p>
            <w:pPr>
              <w:jc w:val="center"/>
              <w:spacing w:after="0" w:line="149" w:lineRule="exact"/>
              <w:rPr>
                <w:sz w:val="20"/>
                <w:szCs w:val="20"/>
                <w:color w:val="auto"/>
              </w:rPr>
            </w:pPr>
            <w:r>
              <w:rPr>
                <w:rFonts w:ascii="Arial" w:cs="Arial" w:eastAsia="Arial" w:hAnsi="Arial"/>
                <w:sz w:val="14"/>
                <w:szCs w:val="14"/>
                <w:color w:val="auto"/>
                <w:w w:val="97"/>
              </w:rPr>
              <w:t>New York, NY</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Pharmaceutical Technology</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1"/>
              </w:rPr>
              <w:t>10/27/2020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238,095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5,000,423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4,999,995</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66"/>
        </w:trPr>
        <w:tc>
          <w:tcPr>
            <w:tcW w:w="366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Preferred shares, Series C</w:t>
            </w:r>
          </w:p>
        </w:tc>
        <w:tc>
          <w:tcPr>
            <w:tcW w:w="196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gridSpan w:val="2"/>
          </w:tcPr>
          <w:p>
            <w:pPr>
              <w:jc w:val="center"/>
              <w:ind w:left="8"/>
              <w:spacing w:after="0"/>
              <w:rPr>
                <w:sz w:val="20"/>
                <w:szCs w:val="20"/>
                <w:color w:val="auto"/>
              </w:rPr>
            </w:pPr>
            <w:r>
              <w:rPr>
                <w:rFonts w:ascii="Arial" w:cs="Arial" w:eastAsia="Arial" w:hAnsi="Arial"/>
                <w:sz w:val="14"/>
                <w:szCs w:val="14"/>
                <w:color w:val="auto"/>
                <w:w w:val="91"/>
              </w:rPr>
              <w:t>10/27/2020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130,972</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5,002,932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4,999,987</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gridSpan w:val="1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10,003,355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9,999,982</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3.32 %</w:t>
            </w:r>
          </w:p>
        </w:tc>
        <w:tc>
          <w:tcPr>
            <w:tcW w:w="0" w:type="dxa"/>
            <w:vAlign w:val="bottom"/>
          </w:tcPr>
          <w:p>
            <w:pPr>
              <w:spacing w:after="0"/>
              <w:rPr>
                <w:sz w:val="1"/>
                <w:szCs w:val="1"/>
                <w:color w:val="auto"/>
              </w:rPr>
            </w:pPr>
          </w:p>
        </w:tc>
      </w:tr>
      <w:tr>
        <w:trPr>
          <w:trHeight w:val="142"/>
        </w:trPr>
        <w:tc>
          <w:tcPr>
            <w:tcW w:w="3540" w:type="dxa"/>
            <w:vAlign w:val="bottom"/>
            <w:gridSpan w:val="12"/>
          </w:tcPr>
          <w:p>
            <w:pPr>
              <w:spacing w:after="0" w:line="142" w:lineRule="exact"/>
              <w:rPr>
                <w:sz w:val="20"/>
                <w:szCs w:val="20"/>
                <w:color w:val="auto"/>
              </w:rPr>
            </w:pPr>
            <w:r>
              <w:rPr>
                <w:rFonts w:ascii="Arial" w:cs="Arial" w:eastAsia="Arial" w:hAnsi="Arial"/>
                <w:sz w:val="13"/>
                <w:szCs w:val="13"/>
                <w:b w:val="1"/>
                <w:bCs w:val="1"/>
                <w:color w:val="auto"/>
              </w:rPr>
              <w:t>Forge Global, Inc.</w:t>
            </w:r>
            <w:r>
              <w:rPr>
                <w:rFonts w:ascii="Arial" w:cs="Arial" w:eastAsia="Arial" w:hAnsi="Arial"/>
                <w:sz w:val="16"/>
                <w:szCs w:val="16"/>
                <w:b w:val="1"/>
                <w:bCs w:val="1"/>
                <w:color w:val="auto"/>
                <w:vertAlign w:val="superscript"/>
              </w:rPr>
              <w:t>(15)</w:t>
            </w:r>
          </w:p>
        </w:tc>
        <w:tc>
          <w:tcPr>
            <w:tcW w:w="120" w:type="dxa"/>
            <w:vAlign w:val="bottom"/>
          </w:tcPr>
          <w:p>
            <w:pPr>
              <w:spacing w:after="0"/>
              <w:rPr>
                <w:sz w:val="12"/>
                <w:szCs w:val="12"/>
                <w:color w:val="auto"/>
              </w:rPr>
            </w:pPr>
          </w:p>
        </w:tc>
        <w:tc>
          <w:tcPr>
            <w:tcW w:w="1960" w:type="dxa"/>
            <w:vAlign w:val="bottom"/>
          </w:tcPr>
          <w:p>
            <w:pPr>
              <w:jc w:val="center"/>
              <w:spacing w:after="0" w:line="142" w:lineRule="exact"/>
              <w:rPr>
                <w:sz w:val="20"/>
                <w:szCs w:val="20"/>
                <w:color w:val="auto"/>
              </w:rPr>
            </w:pPr>
            <w:r>
              <w:rPr>
                <w:rFonts w:ascii="Arial" w:cs="Arial" w:eastAsia="Arial" w:hAnsi="Arial"/>
                <w:sz w:val="14"/>
                <w:szCs w:val="14"/>
                <w:color w:val="auto"/>
                <w:w w:val="92"/>
              </w:rPr>
              <w:t>San Francisco,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12"/>
            <w:shd w:val="clear" w:color="auto" w:fill="CCEEFF"/>
          </w:tcPr>
          <w:p>
            <w:pPr>
              <w:spacing w:after="0"/>
              <w:rPr>
                <w:sz w:val="20"/>
                <w:szCs w:val="20"/>
                <w:color w:val="auto"/>
              </w:rPr>
            </w:pPr>
            <w:r>
              <w:rPr>
                <w:rFonts w:ascii="Arial" w:cs="Arial" w:eastAsia="Arial" w:hAnsi="Arial"/>
                <w:sz w:val="14"/>
                <w:szCs w:val="14"/>
                <w:color w:val="auto"/>
              </w:rPr>
              <w:t>Common shares, Class AA</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Online Marketplace Finance</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614,042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123,987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7,624,437</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0" w:type="dxa"/>
            <w:vAlign w:val="bottom"/>
          </w:tcPr>
          <w:p>
            <w:pPr>
              <w:spacing w:after="0"/>
              <w:rPr>
                <w:sz w:val="1"/>
                <w:szCs w:val="1"/>
                <w:color w:val="auto"/>
              </w:rPr>
            </w:pPr>
          </w:p>
        </w:tc>
      </w:tr>
      <w:tr>
        <w:trPr>
          <w:trHeight w:val="179"/>
        </w:trPr>
        <w:tc>
          <w:tcPr>
            <w:tcW w:w="3540" w:type="dxa"/>
            <w:vAlign w:val="bottom"/>
            <w:tcBorders>
              <w:top w:val="single" w:sz="8" w:color="CCEEFF"/>
            </w:tcBorders>
            <w:gridSpan w:val="12"/>
          </w:tcPr>
          <w:p>
            <w:pPr>
              <w:spacing w:after="0"/>
              <w:rPr>
                <w:sz w:val="20"/>
                <w:szCs w:val="20"/>
                <w:color w:val="auto"/>
              </w:rPr>
            </w:pPr>
            <w:r>
              <w:rPr>
                <w:rFonts w:ascii="Arial" w:cs="Arial" w:eastAsia="Arial" w:hAnsi="Arial"/>
                <w:sz w:val="14"/>
                <w:szCs w:val="14"/>
                <w:color w:val="auto"/>
              </w:rPr>
              <w:t>Junior Preferred shares</w:t>
            </w: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160,534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2,259,716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1,993,319</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0.66 %</w:t>
            </w:r>
          </w:p>
        </w:tc>
        <w:tc>
          <w:tcPr>
            <w:tcW w:w="0" w:type="dxa"/>
            <w:vAlign w:val="bottom"/>
          </w:tcPr>
          <w:p>
            <w:pPr>
              <w:spacing w:after="0"/>
              <w:rPr>
                <w:sz w:val="1"/>
                <w:szCs w:val="1"/>
                <w:color w:val="auto"/>
              </w:rPr>
            </w:pPr>
          </w:p>
        </w:tc>
      </w:tr>
      <w:tr>
        <w:trPr>
          <w:trHeight w:val="152"/>
        </w:trPr>
        <w:tc>
          <w:tcPr>
            <w:tcW w:w="3540" w:type="dxa"/>
            <w:vAlign w:val="bottom"/>
            <w:gridSpan w:val="12"/>
            <w:shd w:val="clear" w:color="auto" w:fill="CCEEFF"/>
          </w:tcPr>
          <w:p>
            <w:pPr>
              <w:spacing w:after="0" w:line="152" w:lineRule="exact"/>
              <w:rPr>
                <w:sz w:val="20"/>
                <w:szCs w:val="20"/>
                <w:color w:val="auto"/>
              </w:rPr>
            </w:pPr>
            <w:r>
              <w:rPr>
                <w:rFonts w:ascii="Arial" w:cs="Arial" w:eastAsia="Arial" w:hAnsi="Arial"/>
                <w:sz w:val="14"/>
                <w:szCs w:val="14"/>
                <w:color w:val="auto"/>
                <w:w w:val="99"/>
              </w:rPr>
              <w:t>Junior Preferred warrants, Strike Price $12.42, Expiration</w:t>
            </w:r>
          </w:p>
        </w:tc>
        <w:tc>
          <w:tcPr>
            <w:tcW w:w="120" w:type="dxa"/>
            <w:vAlign w:val="bottom"/>
            <w:shd w:val="clear" w:color="auto" w:fill="CCEEFF"/>
          </w:tcPr>
          <w:p>
            <w:pPr>
              <w:spacing w:after="0"/>
              <w:rPr>
                <w:sz w:val="13"/>
                <w:szCs w:val="13"/>
                <w:color w:val="auto"/>
              </w:rPr>
            </w:pPr>
          </w:p>
        </w:tc>
        <w:tc>
          <w:tcPr>
            <w:tcW w:w="196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73,695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279,303</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0.09 %</w:t>
            </w:r>
          </w:p>
        </w:tc>
        <w:tc>
          <w:tcPr>
            <w:tcW w:w="0" w:type="dxa"/>
            <w:vAlign w:val="bottom"/>
          </w:tcPr>
          <w:p>
            <w:pPr>
              <w:spacing w:after="0"/>
              <w:rPr>
                <w:sz w:val="1"/>
                <w:szCs w:val="1"/>
                <w:color w:val="auto"/>
              </w:rPr>
            </w:pPr>
          </w:p>
        </w:tc>
      </w:tr>
      <w:tr>
        <w:trPr>
          <w:trHeight w:val="189"/>
        </w:trPr>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Date 11/9/2025</w:t>
            </w:r>
          </w:p>
        </w:tc>
        <w:tc>
          <w:tcPr>
            <w:tcW w:w="19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2,383,703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9,897,059</w:t>
            </w: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3.28 %</w:t>
            </w:r>
          </w:p>
        </w:tc>
        <w:tc>
          <w:tcPr>
            <w:tcW w:w="0" w:type="dxa"/>
            <w:vAlign w:val="bottom"/>
          </w:tcPr>
          <w:p>
            <w:pPr>
              <w:spacing w:after="0"/>
              <w:rPr>
                <w:sz w:val="1"/>
                <w:szCs w:val="1"/>
                <w:color w:val="auto"/>
              </w:rPr>
            </w:pPr>
          </w:p>
        </w:tc>
      </w:tr>
      <w:tr>
        <w:trPr>
          <w:trHeight w:val="145"/>
        </w:trPr>
        <w:tc>
          <w:tcPr>
            <w:tcW w:w="3660" w:type="dxa"/>
            <w:vAlign w:val="bottom"/>
            <w:gridSpan w:val="13"/>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Enjoy Technology, Inc.</w:t>
            </w:r>
          </w:p>
        </w:tc>
        <w:tc>
          <w:tcPr>
            <w:tcW w:w="1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Menlo Park, CA</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bottom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3660" w:type="dxa"/>
            <w:vAlign w:val="bottom"/>
            <w:gridSpan w:val="13"/>
          </w:tcPr>
          <w:p>
            <w:pPr>
              <w:spacing w:after="0"/>
              <w:rPr>
                <w:sz w:val="20"/>
                <w:szCs w:val="20"/>
                <w:color w:val="auto"/>
              </w:rPr>
            </w:pPr>
            <w:r>
              <w:rPr>
                <w:rFonts w:ascii="Arial" w:cs="Arial" w:eastAsia="Arial" w:hAnsi="Arial"/>
                <w:sz w:val="14"/>
                <w:szCs w:val="14"/>
                <w:color w:val="auto"/>
              </w:rPr>
              <w:t>Preferred shares, Series B 6%</w:t>
            </w:r>
          </w:p>
        </w:tc>
        <w:tc>
          <w:tcPr>
            <w:tcW w:w="1960" w:type="dxa"/>
            <w:vAlign w:val="bottom"/>
          </w:tcPr>
          <w:p>
            <w:pPr>
              <w:jc w:val="center"/>
              <w:spacing w:after="0"/>
              <w:rPr>
                <w:sz w:val="20"/>
                <w:szCs w:val="20"/>
                <w:color w:val="auto"/>
              </w:rPr>
            </w:pPr>
            <w:r>
              <w:rPr>
                <w:rFonts w:ascii="Arial" w:cs="Arial" w:eastAsia="Arial" w:hAnsi="Arial"/>
                <w:sz w:val="14"/>
                <w:szCs w:val="14"/>
                <w:color w:val="auto"/>
                <w:w w:val="92"/>
              </w:rPr>
              <w:t>On-Demand Commerce</w:t>
            </w:r>
          </w:p>
        </w:tc>
        <w:tc>
          <w:tcPr>
            <w:tcW w:w="1080" w:type="dxa"/>
            <w:vAlign w:val="bottom"/>
            <w:gridSpan w:val="2"/>
          </w:tcPr>
          <w:p>
            <w:pPr>
              <w:jc w:val="center"/>
              <w:ind w:left="8"/>
              <w:spacing w:after="0"/>
              <w:rPr>
                <w:sz w:val="20"/>
                <w:szCs w:val="20"/>
                <w:color w:val="auto"/>
              </w:rPr>
            </w:pPr>
            <w:r>
              <w:rPr>
                <w:rFonts w:ascii="Arial" w:cs="Arial" w:eastAsia="Arial" w:hAnsi="Arial"/>
                <w:sz w:val="14"/>
                <w:szCs w:val="14"/>
                <w:color w:val="auto"/>
                <w:w w:val="96"/>
              </w:rPr>
              <w:t>7/29/2015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1,681,520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4,000,280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5,032,724</w:t>
            </w: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1.67 %</w:t>
            </w:r>
          </w:p>
        </w:tc>
        <w:tc>
          <w:tcPr>
            <w:tcW w:w="0" w:type="dxa"/>
            <w:vAlign w:val="bottom"/>
          </w:tcPr>
          <w:p>
            <w:pPr>
              <w:spacing w:after="0"/>
              <w:rPr>
                <w:sz w:val="1"/>
                <w:szCs w:val="1"/>
                <w:color w:val="auto"/>
              </w:rPr>
            </w:pPr>
          </w:p>
        </w:tc>
      </w:tr>
      <w:tr>
        <w:trPr>
          <w:trHeight w:val="206"/>
        </w:trPr>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 6%</w:t>
            </w:r>
          </w:p>
        </w:tc>
        <w:tc>
          <w:tcPr>
            <w:tcW w:w="19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1"/>
              </w:rPr>
              <w:t>10/16/2014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879,198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1,002,440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1,536,980</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0.51 %</w:t>
            </w: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Convertible Promissory Note 14% Due 1/30/2024***</w:t>
            </w:r>
          </w:p>
        </w:tc>
        <w:tc>
          <w:tcPr>
            <w:tcW w:w="1960" w:type="dxa"/>
            <w:vAlign w:val="bottom"/>
            <w:tcBorders>
              <w:bottom w:val="single" w:sz="8" w:color="CCEEFF"/>
            </w:tcBorders>
          </w:tcPr>
          <w:p>
            <w:pPr>
              <w:spacing w:after="0"/>
              <w:rPr>
                <w:sz w:val="15"/>
                <w:szCs w:val="15"/>
                <w:color w:val="auto"/>
              </w:rPr>
            </w:pPr>
          </w:p>
        </w:tc>
        <w:tc>
          <w:tcPr>
            <w:tcW w:w="1080" w:type="dxa"/>
            <w:vAlign w:val="bottom"/>
            <w:tcBorders>
              <w:bottom w:val="single" w:sz="8" w:color="CCEEFF"/>
            </w:tcBorders>
            <w:gridSpan w:val="2"/>
          </w:tcPr>
          <w:p>
            <w:pPr>
              <w:jc w:val="center"/>
              <w:ind w:left="8"/>
              <w:spacing w:after="0"/>
              <w:rPr>
                <w:sz w:val="20"/>
                <w:szCs w:val="20"/>
                <w:color w:val="auto"/>
              </w:rPr>
            </w:pPr>
            <w:r>
              <w:rPr>
                <w:rFonts w:ascii="Arial" w:cs="Arial" w:eastAsia="Arial" w:hAnsi="Arial"/>
                <w:sz w:val="14"/>
                <w:szCs w:val="14"/>
                <w:color w:val="auto"/>
                <w:w w:val="91"/>
              </w:rPr>
              <w:t>11/30/2020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color w:val="auto"/>
              </w:rPr>
              <w:t>521,112</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524,057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521,112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0.17 %</w:t>
            </w:r>
          </w:p>
        </w:tc>
        <w:tc>
          <w:tcPr>
            <w:tcW w:w="0" w:type="dxa"/>
            <w:vAlign w:val="bottom"/>
          </w:tcPr>
          <w:p>
            <w:pPr>
              <w:spacing w:after="0"/>
              <w:rPr>
                <w:sz w:val="1"/>
                <w:szCs w:val="1"/>
                <w:color w:val="auto"/>
              </w:rPr>
            </w:pPr>
          </w:p>
        </w:tc>
      </w:tr>
      <w:tr>
        <w:trPr>
          <w:trHeight w:val="186"/>
        </w:trPr>
        <w:tc>
          <w:tcPr>
            <w:tcW w:w="3540" w:type="dxa"/>
            <w:vAlign w:val="bottom"/>
            <w:tcBorders>
              <w:bottom w:val="single" w:sz="8" w:color="CCEEFF"/>
            </w:tcBorders>
            <w:gridSpan w:val="12"/>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5,526,777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7,090,816</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2.35 %</w:t>
            </w:r>
          </w:p>
        </w:tc>
        <w:tc>
          <w:tcPr>
            <w:tcW w:w="0" w:type="dxa"/>
            <w:vAlign w:val="bottom"/>
          </w:tcPr>
          <w:p>
            <w:pPr>
              <w:spacing w:after="0"/>
              <w:rPr>
                <w:sz w:val="1"/>
                <w:szCs w:val="1"/>
                <w:color w:val="auto"/>
              </w:rPr>
            </w:pPr>
          </w:p>
        </w:tc>
      </w:tr>
      <w:tr>
        <w:trPr>
          <w:trHeight w:val="142"/>
        </w:trPr>
        <w:tc>
          <w:tcPr>
            <w:tcW w:w="3540" w:type="dxa"/>
            <w:vAlign w:val="bottom"/>
            <w:gridSpan w:val="12"/>
          </w:tcPr>
          <w:p>
            <w:pPr>
              <w:spacing w:after="0" w:line="142" w:lineRule="exact"/>
              <w:rPr>
                <w:sz w:val="20"/>
                <w:szCs w:val="20"/>
                <w:color w:val="auto"/>
              </w:rPr>
            </w:pPr>
            <w:r>
              <w:rPr>
                <w:rFonts w:ascii="Arial" w:cs="Arial" w:eastAsia="Arial" w:hAnsi="Arial"/>
                <w:sz w:val="14"/>
                <w:szCs w:val="14"/>
                <w:b w:val="1"/>
                <w:bCs w:val="1"/>
                <w:color w:val="auto"/>
              </w:rPr>
              <w:t>Rent the Runway, Inc.</w:t>
            </w:r>
          </w:p>
        </w:tc>
        <w:tc>
          <w:tcPr>
            <w:tcW w:w="120" w:type="dxa"/>
            <w:vAlign w:val="bottom"/>
          </w:tcPr>
          <w:p>
            <w:pPr>
              <w:spacing w:after="0"/>
              <w:rPr>
                <w:sz w:val="12"/>
                <w:szCs w:val="12"/>
                <w:color w:val="auto"/>
              </w:rPr>
            </w:pPr>
          </w:p>
        </w:tc>
        <w:tc>
          <w:tcPr>
            <w:tcW w:w="1960" w:type="dxa"/>
            <w:vAlign w:val="bottom"/>
          </w:tcPr>
          <w:p>
            <w:pPr>
              <w:jc w:val="center"/>
              <w:spacing w:after="0" w:line="142" w:lineRule="exact"/>
              <w:rPr>
                <w:sz w:val="20"/>
                <w:szCs w:val="20"/>
                <w:color w:val="auto"/>
              </w:rPr>
            </w:pPr>
            <w:r>
              <w:rPr>
                <w:rFonts w:ascii="Arial" w:cs="Arial" w:eastAsia="Arial" w:hAnsi="Arial"/>
                <w:sz w:val="14"/>
                <w:szCs w:val="14"/>
                <w:color w:val="auto"/>
                <w:w w:val="97"/>
              </w:rPr>
              <w:t>New York, NY</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G</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Subscription Fashion Rental</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6"/>
              </w:rPr>
              <w:t>6/17/2020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339,191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5,153,945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135"/>
        </w:trPr>
        <w:tc>
          <w:tcPr>
            <w:tcW w:w="3660" w:type="dxa"/>
            <w:vAlign w:val="bottom"/>
            <w:gridSpan w:val="13"/>
          </w:tcPr>
          <w:p>
            <w:pPr>
              <w:spacing w:after="0" w:line="135" w:lineRule="exact"/>
              <w:rPr>
                <w:sz w:val="20"/>
                <w:szCs w:val="20"/>
                <w:color w:val="auto"/>
              </w:rPr>
            </w:pPr>
            <w:r>
              <w:rPr>
                <w:rFonts w:ascii="Arial" w:cs="Arial" w:eastAsia="Arial" w:hAnsi="Arial"/>
                <w:sz w:val="14"/>
                <w:szCs w:val="14"/>
                <w:b w:val="1"/>
                <w:bCs w:val="1"/>
                <w:u w:val="single" w:color="auto"/>
                <w:color w:val="auto"/>
                <w:w w:val="97"/>
              </w:rPr>
              <w:t>Residential Homes for Rent, LLC (d/b/a Second Avenue)</w:t>
            </w:r>
          </w:p>
        </w:tc>
        <w:tc>
          <w:tcPr>
            <w:tcW w:w="1960" w:type="dxa"/>
            <w:vAlign w:val="bottom"/>
            <w:vMerge w:val="restart"/>
          </w:tcPr>
          <w:p>
            <w:pPr>
              <w:jc w:val="center"/>
              <w:spacing w:after="0"/>
              <w:rPr>
                <w:sz w:val="20"/>
                <w:szCs w:val="20"/>
                <w:color w:val="auto"/>
              </w:rPr>
            </w:pPr>
            <w:r>
              <w:rPr>
                <w:rFonts w:ascii="Arial" w:cs="Arial" w:eastAsia="Arial" w:hAnsi="Arial"/>
                <w:sz w:val="14"/>
                <w:szCs w:val="14"/>
                <w:color w:val="auto"/>
                <w:w w:val="95"/>
              </w:rPr>
              <w:t>Chicago, IL</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20"/>
                <w:szCs w:val="20"/>
                <w:color w:val="auto"/>
              </w:rPr>
            </w:pPr>
            <w:r>
              <w:rPr>
                <w:rFonts w:ascii="Arial" w:cs="Arial" w:eastAsia="Arial" w:hAnsi="Arial"/>
                <w:sz w:val="9"/>
                <w:szCs w:val="9"/>
                <w:b w:val="1"/>
                <w:bCs w:val="1"/>
                <w:color w:val="auto"/>
              </w:rPr>
              <w:t>(16)</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3660" w:type="dxa"/>
            <w:vAlign w:val="bottom"/>
            <w:gridSpan w:val="13"/>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Real Estate Platform</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1"/>
              </w:rPr>
              <w:t>12/23/2020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0.50 %</w:t>
            </w: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gridSpan w:val="13"/>
          </w:tcPr>
          <w:p>
            <w:pPr>
              <w:spacing w:after="0"/>
              <w:rPr>
                <w:sz w:val="20"/>
                <w:szCs w:val="20"/>
                <w:color w:val="auto"/>
              </w:rPr>
            </w:pPr>
            <w:r>
              <w:rPr>
                <w:rFonts w:ascii="Arial" w:cs="Arial" w:eastAsia="Arial" w:hAnsi="Arial"/>
                <w:sz w:val="14"/>
                <w:szCs w:val="14"/>
                <w:color w:val="auto"/>
              </w:rPr>
              <w:t>Term loan 15%, Due 12/23/2023***</w:t>
            </w: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top w:val="single" w:sz="8" w:color="CCEEFF"/>
              <w:bottom w:val="single" w:sz="8" w:color="CCEEFF"/>
            </w:tcBorders>
          </w:tcPr>
          <w:p>
            <w:pPr>
              <w:jc w:val="center"/>
              <w:spacing w:after="0"/>
              <w:rPr>
                <w:sz w:val="20"/>
                <w:szCs w:val="20"/>
                <w:color w:val="auto"/>
              </w:rPr>
            </w:pPr>
            <w:r>
              <w:rPr>
                <w:rFonts w:ascii="Arial" w:cs="Arial" w:eastAsia="Arial" w:hAnsi="Arial"/>
                <w:sz w:val="14"/>
                <w:szCs w:val="14"/>
                <w:color w:val="auto"/>
                <w:w w:val="91"/>
              </w:rPr>
              <w:t>12/23/2020</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CCEEFF"/>
              <w:bottom w:val="single" w:sz="8" w:color="CCEEFF"/>
            </w:tcBorders>
          </w:tcPr>
          <w:p>
            <w:pPr>
              <w:jc w:val="right"/>
              <w:ind w:right="8"/>
              <w:spacing w:after="0"/>
              <w:rPr>
                <w:sz w:val="20"/>
                <w:szCs w:val="20"/>
                <w:color w:val="auto"/>
              </w:rPr>
            </w:pPr>
            <w:r>
              <w:rPr>
                <w:rFonts w:ascii="Arial" w:cs="Arial" w:eastAsia="Arial" w:hAnsi="Arial"/>
                <w:sz w:val="14"/>
                <w:szCs w:val="14"/>
                <w:color w:val="auto"/>
              </w:rPr>
              <w:t>3,000,000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3,000,000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3,000,000</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0.99 %</w:t>
            </w:r>
          </w:p>
        </w:tc>
        <w:tc>
          <w:tcPr>
            <w:tcW w:w="0" w:type="dxa"/>
            <w:vAlign w:val="bottom"/>
          </w:tcPr>
          <w:p>
            <w:pPr>
              <w:spacing w:after="0"/>
              <w:rPr>
                <w:sz w:val="1"/>
                <w:szCs w:val="1"/>
                <w:color w:val="auto"/>
              </w:rPr>
            </w:pPr>
          </w:p>
        </w:tc>
      </w:tr>
      <w:tr>
        <w:trPr>
          <w:trHeight w:val="186"/>
        </w:trPr>
        <w:tc>
          <w:tcPr>
            <w:tcW w:w="3660" w:type="dxa"/>
            <w:vAlign w:val="bottom"/>
            <w:gridSpan w:val="1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4,500,000</w:t>
            </w:r>
          </w:p>
        </w:tc>
        <w:tc>
          <w:tcPr>
            <w:tcW w:w="10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1.49 %</w:t>
            </w:r>
          </w:p>
        </w:tc>
        <w:tc>
          <w:tcPr>
            <w:tcW w:w="0" w:type="dxa"/>
            <w:vAlign w:val="bottom"/>
          </w:tcPr>
          <w:p>
            <w:pPr>
              <w:spacing w:after="0"/>
              <w:rPr>
                <w:sz w:val="1"/>
                <w:szCs w:val="1"/>
                <w:color w:val="auto"/>
              </w:rPr>
            </w:pPr>
          </w:p>
        </w:tc>
      </w:tr>
      <w:tr>
        <w:trPr>
          <w:trHeight w:val="129"/>
        </w:trPr>
        <w:tc>
          <w:tcPr>
            <w:tcW w:w="3660" w:type="dxa"/>
            <w:vAlign w:val="bottom"/>
            <w:gridSpan w:val="13"/>
          </w:tcPr>
          <w:p>
            <w:pPr>
              <w:spacing w:after="0" w:line="129" w:lineRule="exact"/>
              <w:rPr>
                <w:sz w:val="20"/>
                <w:szCs w:val="20"/>
                <w:color w:val="auto"/>
              </w:rPr>
            </w:pPr>
            <w:r>
              <w:rPr>
                <w:rFonts w:ascii="Arial" w:cs="Arial" w:eastAsia="Arial" w:hAnsi="Arial"/>
                <w:sz w:val="14"/>
                <w:szCs w:val="14"/>
                <w:b w:val="1"/>
                <w:bCs w:val="1"/>
                <w:color w:val="auto"/>
              </w:rPr>
              <w:t>Neutron Holdings, Inc. (d/b/a/ Lime)</w:t>
            </w:r>
          </w:p>
        </w:tc>
        <w:tc>
          <w:tcPr>
            <w:tcW w:w="1960" w:type="dxa"/>
            <w:vAlign w:val="bottom"/>
          </w:tcPr>
          <w:p>
            <w:pPr>
              <w:jc w:val="center"/>
              <w:spacing w:after="0" w:line="129" w:lineRule="exact"/>
              <w:rPr>
                <w:sz w:val="20"/>
                <w:szCs w:val="20"/>
                <w:color w:val="auto"/>
              </w:rPr>
            </w:pPr>
            <w:r>
              <w:rPr>
                <w:rFonts w:ascii="Arial" w:cs="Arial" w:eastAsia="Arial" w:hAnsi="Arial"/>
                <w:sz w:val="14"/>
                <w:szCs w:val="14"/>
                <w:color w:val="auto"/>
                <w:w w:val="92"/>
              </w:rPr>
              <w:t>San Francisco, CA</w:t>
            </w: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60" w:type="dxa"/>
            <w:vAlign w:val="bottom"/>
            <w:gridSpan w:val="13"/>
            <w:shd w:val="clear" w:color="auto" w:fill="CCEEFF"/>
          </w:tcPr>
          <w:p>
            <w:pPr>
              <w:spacing w:after="0" w:line="202" w:lineRule="exact"/>
              <w:rPr>
                <w:sz w:val="20"/>
                <w:szCs w:val="20"/>
                <w:color w:val="auto"/>
              </w:rPr>
            </w:pPr>
            <w:r>
              <w:rPr>
                <w:rFonts w:ascii="Arial" w:cs="Arial" w:eastAsia="Arial" w:hAnsi="Arial"/>
                <w:sz w:val="14"/>
                <w:szCs w:val="14"/>
                <w:color w:val="auto"/>
              </w:rPr>
              <w:t>Junior Preferred shares, Series 1-D</w:t>
            </w:r>
            <w:r>
              <w:rPr>
                <w:rFonts w:ascii="Arial" w:cs="Arial" w:eastAsia="Arial" w:hAnsi="Arial"/>
                <w:sz w:val="18"/>
                <w:szCs w:val="18"/>
                <w:color w:val="auto"/>
                <w:vertAlign w:val="superscript"/>
              </w:rPr>
              <w:t>(11)</w:t>
            </w:r>
          </w:p>
        </w:tc>
        <w:tc>
          <w:tcPr>
            <w:tcW w:w="196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Micromobility</w:t>
            </w:r>
          </w:p>
        </w:tc>
        <w:tc>
          <w:tcPr>
            <w:tcW w:w="10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w w:val="96"/>
              </w:rPr>
              <w:t>1/25/2019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41,237,113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10,007,322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3,485,014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1.16 %</w:t>
            </w:r>
          </w:p>
        </w:tc>
        <w:tc>
          <w:tcPr>
            <w:tcW w:w="0" w:type="dxa"/>
            <w:vAlign w:val="bottom"/>
          </w:tcPr>
          <w:p>
            <w:pPr>
              <w:spacing w:after="0"/>
              <w:rPr>
                <w:sz w:val="1"/>
                <w:szCs w:val="1"/>
                <w:color w:val="auto"/>
              </w:rPr>
            </w:pPr>
          </w:p>
        </w:tc>
      </w:tr>
      <w:tr>
        <w:trPr>
          <w:trHeight w:val="186"/>
        </w:trPr>
        <w:tc>
          <w:tcPr>
            <w:tcW w:w="3660" w:type="dxa"/>
            <w:vAlign w:val="bottom"/>
            <w:gridSpan w:val="13"/>
          </w:tcPr>
          <w:p>
            <w:pPr>
              <w:spacing w:after="0"/>
              <w:rPr>
                <w:sz w:val="20"/>
                <w:szCs w:val="20"/>
                <w:color w:val="auto"/>
              </w:rPr>
            </w:pPr>
            <w:r>
              <w:rPr>
                <w:rFonts w:ascii="Arial" w:cs="Arial" w:eastAsia="Arial" w:hAnsi="Arial"/>
                <w:sz w:val="14"/>
                <w:szCs w:val="14"/>
                <w:color w:val="auto"/>
              </w:rPr>
              <w:t>Junior Preferred Convertible Note 4% Due 5/11/2027***</w:t>
            </w:r>
          </w:p>
        </w:tc>
        <w:tc>
          <w:tcPr>
            <w:tcW w:w="196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color w:val="auto"/>
                <w:w w:val="93"/>
              </w:rPr>
              <w:t>5/11/2020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506,339</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0.17 %</w:t>
            </w:r>
          </w:p>
        </w:tc>
        <w:tc>
          <w:tcPr>
            <w:tcW w:w="0" w:type="dxa"/>
            <w:vAlign w:val="bottom"/>
          </w:tcPr>
          <w:p>
            <w:pPr>
              <w:spacing w:after="0"/>
              <w:rPr>
                <w:sz w:val="1"/>
                <w:szCs w:val="1"/>
                <w:color w:val="auto"/>
              </w:rPr>
            </w:pPr>
          </w:p>
        </w:tc>
      </w:tr>
      <w:tr>
        <w:trPr>
          <w:trHeight w:val="152"/>
        </w:trPr>
        <w:tc>
          <w:tcPr>
            <w:tcW w:w="3660" w:type="dxa"/>
            <w:vAlign w:val="bottom"/>
            <w:gridSpan w:val="13"/>
            <w:shd w:val="clear" w:color="auto" w:fill="CCEEFF"/>
          </w:tcPr>
          <w:p>
            <w:pPr>
              <w:ind w:left="20"/>
              <w:spacing w:after="0" w:line="152" w:lineRule="exact"/>
              <w:rPr>
                <w:sz w:val="20"/>
                <w:szCs w:val="20"/>
                <w:color w:val="auto"/>
              </w:rPr>
            </w:pPr>
            <w:r>
              <w:rPr>
                <w:rFonts w:ascii="Arial" w:cs="Arial" w:eastAsia="Arial" w:hAnsi="Arial"/>
                <w:sz w:val="14"/>
                <w:szCs w:val="14"/>
                <w:color w:val="auto"/>
              </w:rPr>
              <w:t>Common Warrants, Strike Price $0.01, Expiration Date</w:t>
            </w:r>
          </w:p>
        </w:tc>
        <w:tc>
          <w:tcPr>
            <w:tcW w:w="1960" w:type="dxa"/>
            <w:vAlign w:val="bottom"/>
            <w:shd w:val="clear" w:color="auto" w:fill="CCEEFF"/>
          </w:tcPr>
          <w:p>
            <w:pPr>
              <w:spacing w:after="0"/>
              <w:rPr>
                <w:sz w:val="13"/>
                <w:szCs w:val="13"/>
                <w:color w:val="auto"/>
              </w:rPr>
            </w:pPr>
          </w:p>
        </w:tc>
        <w:tc>
          <w:tcPr>
            <w:tcW w:w="1080" w:type="dxa"/>
            <w:vAlign w:val="bottom"/>
            <w:gridSpan w:val="2"/>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5/11/2020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2,032,967</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880" w:type="dxa"/>
            <w:vAlign w:val="bottom"/>
            <w:shd w:val="clear" w:color="auto" w:fill="CCEEFF"/>
          </w:tcPr>
          <w:p>
            <w:pPr>
              <w:ind w:left="20"/>
              <w:spacing w:after="0" w:line="189" w:lineRule="exact"/>
              <w:rPr>
                <w:sz w:val="20"/>
                <w:szCs w:val="20"/>
                <w:color w:val="auto"/>
              </w:rPr>
            </w:pPr>
            <w:r>
              <w:rPr>
                <w:rFonts w:ascii="Arial" w:cs="Arial" w:eastAsia="Arial" w:hAnsi="Arial"/>
                <w:sz w:val="14"/>
                <w:szCs w:val="14"/>
                <w:color w:val="auto"/>
              </w:rPr>
              <w:t>5/11/2027</w:t>
            </w:r>
            <w:r>
              <w:rPr>
                <w:rFonts w:ascii="Arial" w:cs="Arial" w:eastAsia="Arial" w:hAnsi="Arial"/>
                <w:sz w:val="18"/>
                <w:szCs w:val="18"/>
                <w:color w:val="auto"/>
                <w:vertAlign w:val="superscript"/>
              </w:rPr>
              <w:t>(11)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10,513,661</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3,991,353</w:t>
            </w:r>
          </w:p>
        </w:tc>
        <w:tc>
          <w:tcPr>
            <w:tcW w:w="100" w:type="dxa"/>
            <w:vAlign w:val="bottom"/>
            <w:tcBorders>
              <w:bottom w:val="single" w:sz="8" w:color="CCEEFF"/>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1.33 %</w:t>
            </w:r>
          </w:p>
        </w:tc>
        <w:tc>
          <w:tcPr>
            <w:tcW w:w="0" w:type="dxa"/>
            <w:vAlign w:val="bottom"/>
          </w:tcPr>
          <w:p>
            <w:pPr>
              <w:spacing w:after="0"/>
              <w:rPr>
                <w:sz w:val="1"/>
                <w:szCs w:val="1"/>
                <w:color w:val="auto"/>
              </w:rPr>
            </w:pPr>
          </w:p>
        </w:tc>
      </w:tr>
      <w:tr>
        <w:trPr>
          <w:trHeight w:val="186"/>
        </w:trPr>
        <w:tc>
          <w:tcPr>
            <w:tcW w:w="3540" w:type="dxa"/>
            <w:vAlign w:val="bottom"/>
            <w:gridSpan w:val="12"/>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Aspiration Partners, Inc.</w:t>
            </w:r>
          </w:p>
        </w:tc>
        <w:tc>
          <w:tcPr>
            <w:tcW w:w="120" w:type="dxa"/>
            <w:vAlign w:val="bottom"/>
            <w:shd w:val="clear" w:color="auto" w:fill="CCEEFF"/>
          </w:tcPr>
          <w:p>
            <w:pPr>
              <w:spacing w:after="0"/>
              <w:rPr>
                <w:sz w:val="16"/>
                <w:szCs w:val="16"/>
                <w:color w:val="auto"/>
              </w:rPr>
            </w:pPr>
          </w:p>
        </w:tc>
        <w:tc>
          <w:tcPr>
            <w:tcW w:w="1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Marina Del Rey, CA</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540" w:type="dxa"/>
            <w:vAlign w:val="bottom"/>
            <w:tcBorders>
              <w:top w:val="single" w:sz="8" w:color="auto"/>
            </w:tcBorders>
            <w:gridSpan w:val="7"/>
          </w:tcPr>
          <w:p>
            <w:pPr>
              <w:spacing w:after="0"/>
              <w:rPr>
                <w:sz w:val="20"/>
                <w:szCs w:val="20"/>
                <w:color w:val="auto"/>
              </w:rPr>
            </w:pPr>
            <w:r>
              <w:rPr>
                <w:rFonts w:ascii="Arial" w:cs="Arial" w:eastAsia="Arial" w:hAnsi="Arial"/>
                <w:sz w:val="14"/>
                <w:szCs w:val="14"/>
                <w:color w:val="auto"/>
                <w:w w:val="92"/>
              </w:rPr>
              <w:t>Preferred shares, Series A</w:t>
            </w:r>
          </w:p>
        </w:tc>
        <w:tc>
          <w:tcPr>
            <w:tcW w:w="2000" w:type="dxa"/>
            <w:vAlign w:val="bottom"/>
            <w:tcBorders>
              <w:top w:val="single" w:sz="8" w:color="CCEEFF"/>
            </w:tcBorders>
            <w:gridSpan w:val="5"/>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96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Financial Services</w:t>
            </w:r>
          </w:p>
        </w:tc>
        <w:tc>
          <w:tcPr>
            <w:tcW w:w="10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8/11/2015</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540,270</w:t>
            </w:r>
          </w:p>
        </w:tc>
        <w:tc>
          <w:tcPr>
            <w:tcW w:w="1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1,001,815</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3,288,548</w:t>
            </w:r>
          </w:p>
        </w:tc>
        <w:tc>
          <w:tcPr>
            <w:tcW w:w="10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206"/>
        </w:trPr>
        <w:tc>
          <w:tcPr>
            <w:tcW w:w="3540" w:type="dxa"/>
            <w:vAlign w:val="bottom"/>
            <w:gridSpan w:val="12"/>
            <w:shd w:val="clear" w:color="auto" w:fill="CCEEFF"/>
          </w:tcPr>
          <w:p>
            <w:pPr>
              <w:spacing w:after="0" w:line="206" w:lineRule="exact"/>
              <w:rPr>
                <w:sz w:val="20"/>
                <w:szCs w:val="20"/>
                <w:color w:val="auto"/>
              </w:rPr>
            </w:pPr>
            <w:r>
              <w:rPr>
                <w:rFonts w:ascii="Arial" w:cs="Arial" w:eastAsia="Arial" w:hAnsi="Arial"/>
                <w:sz w:val="14"/>
                <w:szCs w:val="14"/>
                <w:color w:val="auto"/>
              </w:rPr>
              <w:t xml:space="preserve">Preferred shares, Series C-3 </w:t>
            </w:r>
            <w:r>
              <w:rPr>
                <w:rFonts w:ascii="Arial" w:cs="Arial" w:eastAsia="Arial" w:hAnsi="Arial"/>
                <w:sz w:val="18"/>
                <w:szCs w:val="18"/>
                <w:color w:val="auto"/>
                <w:vertAlign w:val="superscript"/>
              </w:rPr>
              <w:t>(12)</w:t>
            </w:r>
          </w:p>
        </w:tc>
        <w:tc>
          <w:tcPr>
            <w:tcW w:w="1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8/12/2019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24,912</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281,190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169,599</w:t>
            </w: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0.06 %</w:t>
            </w:r>
          </w:p>
        </w:tc>
        <w:tc>
          <w:tcPr>
            <w:tcW w:w="0" w:type="dxa"/>
            <w:vAlign w:val="bottom"/>
          </w:tcPr>
          <w:p>
            <w:pPr>
              <w:spacing w:after="0"/>
              <w:rPr>
                <w:sz w:val="1"/>
                <w:szCs w:val="1"/>
                <w:color w:val="auto"/>
              </w:rPr>
            </w:pPr>
          </w:p>
        </w:tc>
      </w:tr>
      <w:tr>
        <w:trPr>
          <w:trHeight w:val="179"/>
        </w:trPr>
        <w:tc>
          <w:tcPr>
            <w:tcW w:w="3660" w:type="dxa"/>
            <w:vAlign w:val="bottom"/>
            <w:tcBorders>
              <w:bottom w:val="single" w:sz="8" w:color="CCEEFF"/>
            </w:tcBorders>
            <w:gridSpan w:val="13"/>
          </w:tcPr>
          <w:p>
            <w:pPr>
              <w:ind w:left="120"/>
              <w:spacing w:after="0"/>
              <w:rPr>
                <w:sz w:val="20"/>
                <w:szCs w:val="20"/>
                <w:color w:val="auto"/>
              </w:rPr>
            </w:pPr>
            <w:r>
              <w:rPr>
                <w:rFonts w:ascii="Arial" w:cs="Arial" w:eastAsia="Arial" w:hAnsi="Arial"/>
                <w:sz w:val="14"/>
                <w:szCs w:val="14"/>
                <w:color w:val="auto"/>
              </w:rPr>
              <w:t>Total</w:t>
            </w:r>
          </w:p>
        </w:tc>
        <w:tc>
          <w:tcPr>
            <w:tcW w:w="19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1,283,005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3,458,147</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1.15 %</w:t>
            </w:r>
          </w:p>
        </w:tc>
        <w:tc>
          <w:tcPr>
            <w:tcW w:w="0" w:type="dxa"/>
            <w:vAlign w:val="bottom"/>
          </w:tcPr>
          <w:p>
            <w:pPr>
              <w:spacing w:after="0"/>
              <w:rPr>
                <w:sz w:val="1"/>
                <w:szCs w:val="1"/>
                <w:color w:val="auto"/>
              </w:rPr>
            </w:pPr>
          </w:p>
        </w:tc>
      </w:tr>
      <w:tr>
        <w:trPr>
          <w:trHeight w:val="166"/>
        </w:trPr>
        <w:tc>
          <w:tcPr>
            <w:tcW w:w="3660" w:type="dxa"/>
            <w:vAlign w:val="bottom"/>
            <w:gridSpan w:val="13"/>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Treehouse Real Estate Investment Trust, Inc.</w:t>
            </w:r>
          </w:p>
        </w:tc>
        <w:tc>
          <w:tcPr>
            <w:tcW w:w="196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5"/>
              </w:rPr>
              <w:t>Chicago, IL</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60" w:type="dxa"/>
            <w:vAlign w:val="bottom"/>
            <w:tcBorders>
              <w:top w:val="single" w:sz="8" w:color="auto"/>
            </w:tcBorders>
            <w:gridSpan w:val="11"/>
          </w:tcPr>
          <w:p>
            <w:pPr>
              <w:spacing w:after="0" w:line="189" w:lineRule="exact"/>
              <w:rPr>
                <w:sz w:val="20"/>
                <w:szCs w:val="20"/>
                <w:color w:val="auto"/>
              </w:rPr>
            </w:pPr>
            <w:r>
              <w:rPr>
                <w:rFonts w:ascii="Arial" w:cs="Arial" w:eastAsia="Arial" w:hAnsi="Arial"/>
                <w:sz w:val="14"/>
                <w:szCs w:val="14"/>
                <w:color w:val="auto"/>
              </w:rPr>
              <w:t>Common shares***</w:t>
            </w:r>
            <w:r>
              <w:rPr>
                <w:rFonts w:ascii="Arial" w:cs="Arial" w:eastAsia="Arial" w:hAnsi="Arial"/>
                <w:sz w:val="18"/>
                <w:szCs w:val="18"/>
                <w:color w:val="auto"/>
                <w:vertAlign w:val="superscript"/>
              </w:rPr>
              <w:t>(8)</w:t>
            </w:r>
          </w:p>
        </w:tc>
        <w:tc>
          <w:tcPr>
            <w:tcW w:w="900" w:type="dxa"/>
            <w:vAlign w:val="bottom"/>
            <w:tcBorders>
              <w:top w:val="single" w:sz="8" w:color="CCEEFF"/>
            </w:tcBorders>
            <w:gridSpan w:val="2"/>
          </w:tcPr>
          <w:p>
            <w:pPr>
              <w:spacing w:after="0"/>
              <w:rPr>
                <w:sz w:val="16"/>
                <w:szCs w:val="16"/>
                <w:color w:val="auto"/>
              </w:rPr>
            </w:pPr>
          </w:p>
        </w:tc>
        <w:tc>
          <w:tcPr>
            <w:tcW w:w="196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4"/>
              </w:rPr>
              <w:t>Cannabis REIT</w:t>
            </w:r>
          </w:p>
        </w:tc>
        <w:tc>
          <w:tcPr>
            <w:tcW w:w="1080" w:type="dxa"/>
            <w:vAlign w:val="bottom"/>
            <w:tcBorders>
              <w:top w:val="single" w:sz="8" w:color="CCEEFF"/>
            </w:tcBorders>
            <w:gridSpan w:val="2"/>
          </w:tcPr>
          <w:p>
            <w:pPr>
              <w:jc w:val="center"/>
              <w:spacing w:after="0"/>
              <w:rPr>
                <w:sz w:val="20"/>
                <w:szCs w:val="20"/>
                <w:color w:val="auto"/>
              </w:rPr>
            </w:pPr>
            <w:r>
              <w:rPr>
                <w:rFonts w:ascii="Arial" w:cs="Arial" w:eastAsia="Arial" w:hAnsi="Arial"/>
                <w:sz w:val="14"/>
                <w:szCs w:val="14"/>
                <w:color w:val="auto"/>
                <w:w w:val="93"/>
              </w:rPr>
              <w:t>9/11/2019</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312,500</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7,500,000</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3,321,626</w:t>
            </w:r>
          </w:p>
        </w:tc>
        <w:tc>
          <w:tcPr>
            <w:tcW w:w="1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1.10 %</w:t>
            </w:r>
          </w:p>
        </w:tc>
        <w:tc>
          <w:tcPr>
            <w:tcW w:w="0" w:type="dxa"/>
            <w:vAlign w:val="bottom"/>
          </w:tcPr>
          <w:p>
            <w:pPr>
              <w:spacing w:after="0"/>
              <w:rPr>
                <w:sz w:val="1"/>
                <w:szCs w:val="1"/>
                <w:color w:val="auto"/>
              </w:rPr>
            </w:pPr>
          </w:p>
        </w:tc>
      </w:tr>
      <w:tr>
        <w:trPr>
          <w:trHeight w:val="169"/>
        </w:trPr>
        <w:tc>
          <w:tcPr>
            <w:tcW w:w="3540" w:type="dxa"/>
            <w:vAlign w:val="bottom"/>
            <w:gridSpan w:val="1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Palantir Lending Trust SPV I **</w:t>
            </w:r>
            <w:r>
              <w:rPr>
                <w:rFonts w:ascii="Arial" w:cs="Arial" w:eastAsia="Arial" w:hAnsi="Arial"/>
                <w:sz w:val="17"/>
                <w:szCs w:val="17"/>
                <w:color w:val="auto"/>
                <w:vertAlign w:val="superscript"/>
              </w:rPr>
              <w:t>(10)</w:t>
            </w:r>
          </w:p>
        </w:tc>
        <w:tc>
          <w:tcPr>
            <w:tcW w:w="120" w:type="dxa"/>
            <w:vAlign w:val="bottom"/>
            <w:shd w:val="clear" w:color="auto" w:fill="CCEEFF"/>
          </w:tcPr>
          <w:p>
            <w:pPr>
              <w:spacing w:after="0"/>
              <w:rPr>
                <w:sz w:val="14"/>
                <w:szCs w:val="14"/>
                <w:color w:val="auto"/>
              </w:rPr>
            </w:pPr>
          </w:p>
        </w:tc>
        <w:tc>
          <w:tcPr>
            <w:tcW w:w="19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8"/>
              </w:rPr>
              <w:t>Palo Alto, CA</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vMerge w:val="restart"/>
          </w:tcPr>
          <w:p>
            <w:pPr>
              <w:jc w:val="center"/>
              <w:spacing w:after="0"/>
              <w:rPr>
                <w:sz w:val="20"/>
                <w:szCs w:val="20"/>
                <w:color w:val="auto"/>
              </w:rPr>
            </w:pPr>
            <w:r>
              <w:rPr>
                <w:rFonts w:ascii="Arial" w:cs="Arial" w:eastAsia="Arial" w:hAnsi="Arial"/>
                <w:sz w:val="14"/>
                <w:szCs w:val="14"/>
                <w:color w:val="auto"/>
                <w:w w:val="95"/>
              </w:rPr>
              <w:t>Data Analysis</w:t>
            </w: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2,550,764</w:t>
            </w:r>
          </w:p>
        </w:tc>
        <w:tc>
          <w:tcPr>
            <w:tcW w:w="100" w:type="dxa"/>
            <w:vAlign w:val="bottom"/>
            <w:tcBorders>
              <w:top w:val="single" w:sz="8" w:color="CCEEFF"/>
            </w:tcBorders>
            <w:vMerge w:val="restart"/>
          </w:tcPr>
          <w:p>
            <w:pPr>
              <w:spacing w:after="0" w:line="20" w:lineRule="exact"/>
              <w:rPr>
                <w:sz w:val="1"/>
                <w:szCs w:val="1"/>
                <w:color w:val="auto"/>
              </w:rPr>
            </w:pPr>
          </w:p>
        </w:tc>
        <w:tc>
          <w:tcPr>
            <w:tcW w:w="9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0.85 %</w:t>
            </w:r>
          </w:p>
        </w:tc>
        <w:tc>
          <w:tcPr>
            <w:tcW w:w="0" w:type="dxa"/>
            <w:vAlign w:val="bottom"/>
          </w:tcPr>
          <w:p>
            <w:pPr>
              <w:spacing w:after="0" w:line="20" w:lineRule="exact"/>
              <w:rPr>
                <w:sz w:val="1"/>
                <w:szCs w:val="1"/>
                <w:color w:val="auto"/>
              </w:rPr>
            </w:pPr>
          </w:p>
        </w:tc>
      </w:tr>
      <w:tr>
        <w:trPr>
          <w:trHeight w:val="184"/>
        </w:trPr>
        <w:tc>
          <w:tcPr>
            <w:tcW w:w="3540" w:type="dxa"/>
            <w:vAlign w:val="bottom"/>
            <w:gridSpan w:val="12"/>
          </w:tcPr>
          <w:p>
            <w:pPr>
              <w:spacing w:after="0"/>
              <w:rPr>
                <w:sz w:val="20"/>
                <w:szCs w:val="20"/>
                <w:color w:val="auto"/>
              </w:rPr>
            </w:pPr>
            <w:r>
              <w:rPr>
                <w:rFonts w:ascii="Arial" w:cs="Arial" w:eastAsia="Arial" w:hAnsi="Arial"/>
                <w:sz w:val="14"/>
                <w:szCs w:val="14"/>
                <w:color w:val="auto"/>
              </w:rPr>
              <w:t>Equity Participation in Underlying Collateral</w:t>
            </w:r>
          </w:p>
        </w:tc>
        <w:tc>
          <w:tcPr>
            <w:tcW w:w="120" w:type="dxa"/>
            <w:vAlign w:val="bottom"/>
          </w:tcPr>
          <w:p>
            <w:pPr>
              <w:spacing w:after="0"/>
              <w:rPr>
                <w:sz w:val="15"/>
                <w:szCs w:val="15"/>
                <w:color w:val="auto"/>
              </w:rPr>
            </w:pPr>
          </w:p>
        </w:tc>
        <w:tc>
          <w:tcPr>
            <w:tcW w:w="1960" w:type="dxa"/>
            <w:vAlign w:val="bottom"/>
            <w:tcBorders>
              <w:bottom w:val="single" w:sz="8" w:color="CCEEFF"/>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6"/>
              </w:rPr>
              <w:t>6/19/2020</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-1482090</wp:posOffset>
            </wp:positionV>
            <wp:extent cx="3566160"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56616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-2802255</wp:posOffset>
            </wp:positionV>
            <wp:extent cx="42519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51960" cy="13716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-4165600</wp:posOffset>
            </wp:positionV>
            <wp:extent cx="2254250"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54250" cy="12890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-5142865</wp:posOffset>
            </wp:positionV>
            <wp:extent cx="4251960"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51960" cy="128905"/>
                    </a:xfrm>
                    <a:prstGeom prst="rect">
                      <a:avLst/>
                    </a:prstGeom>
                    <a:noFill/>
                  </pic:spPr>
                </pic:pic>
              </a:graphicData>
            </a:graphic>
          </wp:anchor>
        </w:drawing>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21" w:right="359" w:bottom="1440" w:gutter="0" w:footer="0" w:header="0"/>
        </w:sectPr>
      </w:pPr>
    </w:p>
    <w:bookmarkStart w:id="83" w:name="page84"/>
    <w:bookmarkEnd w:id="83"/>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10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w:t>
            </w:r>
          </w:p>
        </w:tc>
        <w:tc>
          <w:tcPr>
            <w:tcW w:w="200" w:type="dxa"/>
            <w:vAlign w:val="bottom"/>
          </w:tcPr>
          <w:p>
            <w:pPr>
              <w:spacing w:after="0"/>
              <w:rPr>
                <w:sz w:val="14"/>
                <w:szCs w:val="14"/>
                <w:color w:val="auto"/>
              </w:rPr>
            </w:pPr>
          </w:p>
        </w:tc>
        <w:tc>
          <w:tcPr>
            <w:tcW w:w="10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60" w:type="dxa"/>
            <w:vAlign w:val="bottom"/>
            <w:gridSpan w:val="11"/>
            <w:vMerge w:val="continue"/>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3560" w:type="dxa"/>
            <w:vAlign w:val="bottom"/>
            <w:tcBorders>
              <w:top w:val="single" w:sz="8" w:color="auto"/>
            </w:tcBorders>
            <w:gridSpan w:val="11"/>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Clever, Inc.</w:t>
            </w:r>
          </w:p>
        </w:tc>
        <w:tc>
          <w:tcPr>
            <w:tcW w:w="100" w:type="dxa"/>
            <w:vAlign w:val="bottom"/>
            <w:tcBorders>
              <w:top w:val="single" w:sz="8" w:color="CCEEFF"/>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jc w:val="center"/>
              <w:spacing w:after="0" w:line="143" w:lineRule="exact"/>
              <w:rPr>
                <w:sz w:val="20"/>
                <w:szCs w:val="20"/>
                <w:color w:val="auto"/>
              </w:rPr>
            </w:pPr>
            <w:r>
              <w:rPr>
                <w:rFonts w:ascii="Arial" w:cs="Arial" w:eastAsia="Arial" w:hAnsi="Arial"/>
                <w:sz w:val="14"/>
                <w:szCs w:val="14"/>
                <w:color w:val="auto"/>
                <w:w w:val="92"/>
              </w:rPr>
              <w:t>San Francisco, CA</w:t>
            </w:r>
          </w:p>
        </w:tc>
        <w:tc>
          <w:tcPr>
            <w:tcW w:w="10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vMerge w:val="restart"/>
          </w:tcPr>
          <w:p>
            <w:pPr>
              <w:jc w:val="right"/>
              <w:ind w:right="8"/>
              <w:spacing w:after="0"/>
              <w:rPr>
                <w:sz w:val="20"/>
                <w:szCs w:val="20"/>
                <w:color w:val="auto"/>
              </w:rPr>
            </w:pPr>
            <w:r>
              <w:rPr>
                <w:rFonts w:ascii="Arial" w:cs="Arial" w:eastAsia="Arial" w:hAnsi="Arial"/>
                <w:sz w:val="14"/>
                <w:szCs w:val="14"/>
                <w:color w:val="auto"/>
              </w:rPr>
              <w:t>2,000,601</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2,000,001</w:t>
            </w: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rPr>
              <w:t>0.66</w:t>
            </w: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line="20" w:lineRule="exact"/>
              <w:rPr>
                <w:sz w:val="1"/>
                <w:szCs w:val="1"/>
                <w:color w:val="auto"/>
              </w:rPr>
            </w:pPr>
          </w:p>
        </w:tc>
      </w:tr>
      <w:tr>
        <w:trPr>
          <w:trHeight w:val="179"/>
        </w:trPr>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B 8%</w:t>
            </w:r>
          </w:p>
        </w:tc>
        <w:tc>
          <w:tcPr>
            <w:tcW w:w="100" w:type="dxa"/>
            <w:vAlign w:val="bottom"/>
          </w:tcPr>
          <w:p>
            <w:pPr>
              <w:spacing w:after="0"/>
              <w:rPr>
                <w:sz w:val="15"/>
                <w:szCs w:val="15"/>
                <w:color w:val="auto"/>
              </w:rPr>
            </w:pPr>
          </w:p>
        </w:tc>
        <w:tc>
          <w:tcPr>
            <w:tcW w:w="1940" w:type="dxa"/>
            <w:vAlign w:val="bottom"/>
          </w:tcPr>
          <w:p>
            <w:pPr>
              <w:jc w:val="center"/>
              <w:spacing w:after="0"/>
              <w:rPr>
                <w:sz w:val="20"/>
                <w:szCs w:val="20"/>
                <w:color w:val="auto"/>
              </w:rPr>
            </w:pPr>
            <w:r>
              <w:rPr>
                <w:rFonts w:ascii="Arial" w:cs="Arial" w:eastAsia="Arial" w:hAnsi="Arial"/>
                <w:sz w:val="14"/>
                <w:szCs w:val="14"/>
                <w:color w:val="auto"/>
                <w:w w:val="93"/>
              </w:rPr>
              <w:t>Education Software</w:t>
            </w:r>
          </w:p>
        </w:tc>
        <w:tc>
          <w:tcPr>
            <w:tcW w:w="100" w:type="dxa"/>
            <w:vAlign w:val="bottom"/>
            <w:vMerge w:val="continue"/>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12/5/2014</w:t>
            </w:r>
          </w:p>
        </w:tc>
        <w:tc>
          <w:tcPr>
            <w:tcW w:w="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1,799,047</w:t>
            </w:r>
          </w:p>
        </w:tc>
        <w:tc>
          <w:tcPr>
            <w:tcW w:w="10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560" w:type="dxa"/>
            <w:vAlign w:val="bottom"/>
            <w:gridSpan w:val="11"/>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A Place for Rover Inc. (f/k/a DogVacay, Inc.)</w:t>
            </w:r>
          </w:p>
        </w:tc>
        <w:tc>
          <w:tcPr>
            <w:tcW w:w="10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center"/>
              <w:ind w:right="120"/>
              <w:spacing w:after="0" w:line="152" w:lineRule="exact"/>
              <w:rPr>
                <w:sz w:val="20"/>
                <w:szCs w:val="20"/>
                <w:color w:val="auto"/>
              </w:rPr>
            </w:pPr>
            <w:r>
              <w:rPr>
                <w:rFonts w:ascii="Arial" w:cs="Arial" w:eastAsia="Arial" w:hAnsi="Arial"/>
                <w:sz w:val="14"/>
                <w:szCs w:val="14"/>
                <w:color w:val="auto"/>
                <w:w w:val="91"/>
              </w:rPr>
              <w:t>Seattle, WA</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740" w:type="dxa"/>
            <w:vAlign w:val="bottom"/>
            <w:tcBorders>
              <w:top w:val="single" w:sz="8" w:color="auto"/>
            </w:tcBorders>
            <w:gridSpan w:val="10"/>
          </w:tcPr>
          <w:p>
            <w:pPr>
              <w:spacing w:after="0"/>
              <w:rPr>
                <w:sz w:val="20"/>
                <w:szCs w:val="20"/>
                <w:color w:val="auto"/>
              </w:rPr>
            </w:pPr>
            <w:r>
              <w:rPr>
                <w:rFonts w:ascii="Arial" w:cs="Arial" w:eastAsia="Arial" w:hAnsi="Arial"/>
                <w:sz w:val="14"/>
                <w:szCs w:val="14"/>
                <w:color w:val="auto"/>
              </w:rPr>
              <w:t>Common shares</w:t>
            </w:r>
          </w:p>
        </w:tc>
        <w:tc>
          <w:tcPr>
            <w:tcW w:w="8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89"/>
              </w:rPr>
              <w:t>Peer-to-Peer Pet Services</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11/3/2014</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707,991</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2,506,119</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1,474,878</w:t>
            </w:r>
          </w:p>
        </w:tc>
        <w:tc>
          <w:tcPr>
            <w:tcW w:w="1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0.49</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1980" w:type="dxa"/>
            <w:vAlign w:val="bottom"/>
            <w:tcBorders>
              <w:bottom w:val="single" w:sz="8" w:color="auto"/>
            </w:tcBorders>
            <w:gridSpan w:val="7"/>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95"/>
              </w:rPr>
              <w:t>Tynker (f/k/a Neuron Fuel, Inc.)</w:t>
            </w:r>
          </w:p>
        </w:tc>
        <w:tc>
          <w:tcPr>
            <w:tcW w:w="1580" w:type="dxa"/>
            <w:vAlign w:val="bottom"/>
            <w:tcBorders>
              <w:bottom w:val="single" w:sz="8" w:color="CCEEFF"/>
            </w:tcBorders>
            <w:gridSpan w:val="4"/>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gridSpan w:val="2"/>
            <w:shd w:val="clear" w:color="auto" w:fill="CCEEFF"/>
          </w:tcPr>
          <w:p>
            <w:pPr>
              <w:jc w:val="center"/>
              <w:ind w:right="120"/>
              <w:spacing w:after="0" w:line="152" w:lineRule="exact"/>
              <w:rPr>
                <w:sz w:val="20"/>
                <w:szCs w:val="20"/>
                <w:color w:val="auto"/>
              </w:rPr>
            </w:pPr>
            <w:r>
              <w:rPr>
                <w:rFonts w:ascii="Arial" w:cs="Arial" w:eastAsia="Arial" w:hAnsi="Arial"/>
                <w:sz w:val="14"/>
                <w:szCs w:val="14"/>
                <w:color w:val="auto"/>
                <w:w w:val="97"/>
              </w:rPr>
              <w:t>Mountain View, CA</w:t>
            </w: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A 8%</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Computer Software</w:t>
            </w: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8/8/2012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534,162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309,310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791,361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0.26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3560" w:type="dxa"/>
            <w:vAlign w:val="bottom"/>
            <w:gridSpan w:val="11"/>
            <w:shd w:val="clear" w:color="auto" w:fill="CCEEFF"/>
          </w:tcPr>
          <w:p>
            <w:pPr>
              <w:spacing w:after="0" w:line="152" w:lineRule="exact"/>
              <w:rPr>
                <w:sz w:val="20"/>
                <w:szCs w:val="20"/>
                <w:color w:val="auto"/>
              </w:rPr>
            </w:pPr>
            <w:r>
              <w:rPr>
                <w:rFonts w:ascii="Arial" w:cs="Arial" w:eastAsia="Arial" w:hAnsi="Arial"/>
                <w:sz w:val="14"/>
                <w:szCs w:val="14"/>
                <w:b w:val="1"/>
                <w:bCs w:val="1"/>
                <w:color w:val="auto"/>
              </w:rPr>
              <w:t>Fullbridge, Inc.</w:t>
            </w:r>
          </w:p>
        </w:tc>
        <w:tc>
          <w:tcPr>
            <w:tcW w:w="100" w:type="dxa"/>
            <w:vAlign w:val="bottom"/>
            <w:shd w:val="clear" w:color="auto" w:fill="CCEEFF"/>
          </w:tcPr>
          <w:p>
            <w:pPr>
              <w:spacing w:after="0"/>
              <w:rPr>
                <w:sz w:val="14"/>
                <w:szCs w:val="14"/>
                <w:color w:val="auto"/>
              </w:rPr>
            </w:pPr>
          </w:p>
        </w:tc>
        <w:tc>
          <w:tcPr>
            <w:tcW w:w="2040" w:type="dxa"/>
            <w:vAlign w:val="bottom"/>
            <w:gridSpan w:val="2"/>
            <w:shd w:val="clear" w:color="auto" w:fill="CCEEFF"/>
          </w:tcPr>
          <w:p>
            <w:pPr>
              <w:jc w:val="center"/>
              <w:ind w:right="100"/>
              <w:spacing w:after="0" w:line="152" w:lineRule="exact"/>
              <w:rPr>
                <w:sz w:val="20"/>
                <w:szCs w:val="20"/>
                <w:color w:val="auto"/>
              </w:rPr>
            </w:pPr>
            <w:r>
              <w:rPr>
                <w:rFonts w:ascii="Arial" w:cs="Arial" w:eastAsia="Arial" w:hAnsi="Arial"/>
                <w:sz w:val="14"/>
                <w:szCs w:val="14"/>
                <w:color w:val="auto"/>
                <w:w w:val="96"/>
              </w:rPr>
              <w:t>Cambridge, MA</w:t>
            </w: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6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w w:val="91"/>
              </w:rPr>
              <w:t>Common shares</w:t>
            </w:r>
          </w:p>
        </w:tc>
        <w:tc>
          <w:tcPr>
            <w:tcW w:w="2600" w:type="dxa"/>
            <w:vAlign w:val="bottom"/>
            <w:tcBorders>
              <w:top w:val="single" w:sz="8" w:color="CCEEFF"/>
            </w:tcBorders>
            <w:gridSpan w:val="9"/>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4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2"/>
              </w:rPr>
              <w:t>Business Education</w:t>
            </w:r>
          </w:p>
        </w:tc>
        <w:tc>
          <w:tcPr>
            <w:tcW w:w="9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5/13/2012</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517,917</w:t>
            </w: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jc w:val="right"/>
              <w:ind w:right="8"/>
              <w:spacing w:after="0"/>
              <w:rPr>
                <w:sz w:val="20"/>
                <w:szCs w:val="20"/>
                <w:color w:val="auto"/>
              </w:rPr>
            </w:pPr>
            <w:r>
              <w:rPr>
                <w:rFonts w:ascii="Arial" w:cs="Arial" w:eastAsia="Arial" w:hAnsi="Arial"/>
                <w:sz w:val="14"/>
                <w:szCs w:val="14"/>
                <w:color w:val="auto"/>
              </w:rPr>
              <w:t>6,150,506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60" w:type="dxa"/>
            <w:vAlign w:val="bottom"/>
            <w:gridSpan w:val="11"/>
            <w:shd w:val="clear" w:color="auto" w:fill="CCEEFF"/>
          </w:tcPr>
          <w:p>
            <w:pPr>
              <w:spacing w:after="0" w:line="193" w:lineRule="exact"/>
              <w:rPr>
                <w:sz w:val="20"/>
                <w:szCs w:val="20"/>
                <w:color w:val="auto"/>
              </w:rPr>
            </w:pPr>
            <w:r>
              <w:rPr>
                <w:rFonts w:ascii="Arial" w:cs="Arial" w:eastAsia="Arial" w:hAnsi="Arial"/>
                <w:sz w:val="14"/>
                <w:szCs w:val="14"/>
                <w:color w:val="auto"/>
              </w:rPr>
              <w:t>Promissory Note 1.47%, Due 11/9/2021</w:t>
            </w:r>
            <w:r>
              <w:rPr>
                <w:rFonts w:ascii="Arial" w:cs="Arial" w:eastAsia="Arial" w:hAnsi="Arial"/>
                <w:sz w:val="18"/>
                <w:szCs w:val="18"/>
                <w:color w:val="auto"/>
                <w:vertAlign w:val="superscript"/>
              </w:rPr>
              <w:t>(4)</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3/3/2016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2,270,458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2,270,858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3560" w:type="dxa"/>
            <w:vAlign w:val="bottom"/>
            <w:tcBorders>
              <w:bottom w:val="single" w:sz="8" w:color="CCEEFF"/>
            </w:tcBorders>
            <w:gridSpan w:val="11"/>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8,421,364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2"/>
        </w:trPr>
        <w:tc>
          <w:tcPr>
            <w:tcW w:w="3560" w:type="dxa"/>
            <w:vAlign w:val="bottom"/>
            <w:gridSpan w:val="11"/>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SP Holdings Group, Inc.</w:t>
            </w:r>
            <w:r>
              <w:rPr>
                <w:rFonts w:ascii="Arial" w:cs="Arial" w:eastAsia="Arial" w:hAnsi="Arial"/>
                <w:sz w:val="15"/>
                <w:szCs w:val="15"/>
                <w:b w:val="1"/>
                <w:bCs w:val="1"/>
                <w:color w:val="auto"/>
                <w:vertAlign w:val="superscript"/>
              </w:rPr>
              <w:t>(15)</w:t>
            </w:r>
          </w:p>
        </w:tc>
        <w:tc>
          <w:tcPr>
            <w:tcW w:w="10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20"/>
              <w:spacing w:after="0" w:line="132" w:lineRule="exact"/>
              <w:rPr>
                <w:sz w:val="20"/>
                <w:szCs w:val="20"/>
                <w:color w:val="auto"/>
              </w:rPr>
            </w:pPr>
            <w:r>
              <w:rPr>
                <w:rFonts w:ascii="Arial" w:cs="Arial" w:eastAsia="Arial" w:hAnsi="Arial"/>
                <w:sz w:val="14"/>
                <w:szCs w:val="14"/>
                <w:color w:val="auto"/>
                <w:w w:val="92"/>
              </w:rPr>
              <w:t>San Francisco, CA</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B 6%</w:t>
            </w:r>
          </w:p>
        </w:tc>
        <w:tc>
          <w:tcPr>
            <w:tcW w:w="10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Online Marketplace Finance</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7/19/2011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1,771,653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7/20/2011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770,934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3560" w:type="dxa"/>
            <w:vAlign w:val="bottom"/>
            <w:tcBorders>
              <w:bottom w:val="single" w:sz="8" w:color="CCEEFF"/>
            </w:tcBorders>
            <w:gridSpan w:val="11"/>
          </w:tcPr>
          <w:p>
            <w:pPr>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2"/>
        </w:trPr>
        <w:tc>
          <w:tcPr>
            <w:tcW w:w="3560" w:type="dxa"/>
            <w:vAlign w:val="bottom"/>
            <w:gridSpan w:val="11"/>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Kinetiq Holdings, LLC</w:t>
            </w:r>
            <w:r>
              <w:rPr>
                <w:rFonts w:ascii="Arial" w:cs="Arial" w:eastAsia="Arial" w:hAnsi="Arial"/>
                <w:sz w:val="15"/>
                <w:szCs w:val="15"/>
                <w:color w:val="auto"/>
                <w:vertAlign w:val="superscript"/>
              </w:rPr>
              <w:t>(14)</w:t>
            </w:r>
          </w:p>
        </w:tc>
        <w:tc>
          <w:tcPr>
            <w:tcW w:w="100" w:type="dxa"/>
            <w:vAlign w:val="bottom"/>
            <w:shd w:val="clear" w:color="auto" w:fill="CCEEFF"/>
          </w:tcPr>
          <w:p>
            <w:pPr>
              <w:spacing w:after="0"/>
              <w:rPr>
                <w:sz w:val="11"/>
                <w:szCs w:val="11"/>
                <w:color w:val="auto"/>
              </w:rPr>
            </w:pPr>
          </w:p>
        </w:tc>
        <w:tc>
          <w:tcPr>
            <w:tcW w:w="2040" w:type="dxa"/>
            <w:vAlign w:val="bottom"/>
            <w:gridSpan w:val="2"/>
            <w:shd w:val="clear" w:color="auto" w:fill="CCEEFF"/>
          </w:tcPr>
          <w:p>
            <w:pPr>
              <w:jc w:val="center"/>
              <w:ind w:right="120"/>
              <w:spacing w:after="0" w:line="132" w:lineRule="exact"/>
              <w:rPr>
                <w:sz w:val="20"/>
                <w:szCs w:val="20"/>
                <w:color w:val="auto"/>
              </w:rPr>
            </w:pPr>
            <w:r>
              <w:rPr>
                <w:rFonts w:ascii="Arial" w:cs="Arial" w:eastAsia="Arial" w:hAnsi="Arial"/>
                <w:sz w:val="14"/>
                <w:szCs w:val="14"/>
                <w:color w:val="auto"/>
                <w:w w:val="93"/>
              </w:rPr>
              <w:t>Philadelphia, PA</w:t>
            </w: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Common shares, Class A</w:t>
            </w:r>
          </w:p>
        </w:tc>
        <w:tc>
          <w:tcPr>
            <w:tcW w:w="100" w:type="dxa"/>
            <w:vAlign w:val="bottom"/>
          </w:tcPr>
          <w:p>
            <w:pPr>
              <w:spacing w:after="0"/>
              <w:rPr>
                <w:sz w:val="16"/>
                <w:szCs w:val="16"/>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Social Data Platform</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3/30/2012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112,374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3560" w:type="dxa"/>
            <w:vAlign w:val="bottom"/>
            <w:gridSpan w:val="11"/>
            <w:shd w:val="clear" w:color="auto" w:fill="CCEEFF"/>
          </w:tcPr>
          <w:p>
            <w:pPr>
              <w:ind w:left="120"/>
              <w:spacing w:after="0"/>
              <w:rPr>
                <w:sz w:val="20"/>
                <w:szCs w:val="20"/>
                <w:color w:val="auto"/>
              </w:rPr>
            </w:pPr>
            <w:r>
              <w:rPr>
                <w:rFonts w:ascii="Arial" w:cs="Arial" w:eastAsia="Arial" w:hAnsi="Arial"/>
                <w:sz w:val="14"/>
                <w:szCs w:val="14"/>
                <w:b w:val="1"/>
                <w:bCs w:val="1"/>
                <w:color w:val="auto"/>
              </w:rPr>
              <w:t>Total Non-controlled/Non-affiliate</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105,339,169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249,804,803</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82.83 %</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60" w:type="dxa"/>
            <w:vAlign w:val="bottom"/>
            <w:gridSpan w:val="11"/>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18"/>
                <w:szCs w:val="18"/>
                <w:color w:val="auto"/>
                <w:vertAlign w:val="superscript"/>
              </w:rPr>
              <w:t>(1)</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gridSpan w:val="11"/>
          </w:tcPr>
          <w:p>
            <w:pPr>
              <w:spacing w:after="0" w:line="149" w:lineRule="exact"/>
              <w:rPr>
                <w:sz w:val="20"/>
                <w:szCs w:val="20"/>
                <w:color w:val="auto"/>
              </w:rPr>
            </w:pPr>
            <w:r>
              <w:rPr>
                <w:rFonts w:ascii="Arial" w:cs="Arial" w:eastAsia="Arial" w:hAnsi="Arial"/>
                <w:sz w:val="14"/>
                <w:szCs w:val="14"/>
                <w:b w:val="1"/>
                <w:bCs w:val="1"/>
                <w:color w:val="auto"/>
              </w:rPr>
              <w:t>Ozy Media, Inc.</w:t>
            </w:r>
          </w:p>
        </w:tc>
        <w:tc>
          <w:tcPr>
            <w:tcW w:w="100" w:type="dxa"/>
            <w:vAlign w:val="bottom"/>
          </w:tcPr>
          <w:p>
            <w:pPr>
              <w:spacing w:after="0"/>
              <w:rPr>
                <w:sz w:val="12"/>
                <w:szCs w:val="12"/>
                <w:color w:val="auto"/>
              </w:rPr>
            </w:pPr>
          </w:p>
        </w:tc>
        <w:tc>
          <w:tcPr>
            <w:tcW w:w="204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7"/>
              </w:rPr>
              <w:t>Mountain View, CA</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7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C-2 6%</w:t>
            </w:r>
          </w:p>
        </w:tc>
        <w:tc>
          <w:tcPr>
            <w:tcW w:w="100" w:type="dxa"/>
            <w:vAlign w:val="bottom"/>
            <w:shd w:val="clear" w:color="auto" w:fill="CCEEFF"/>
          </w:tcPr>
          <w:p>
            <w:pPr>
              <w:spacing w:after="0"/>
              <w:rPr>
                <w:sz w:val="16"/>
                <w:szCs w:val="16"/>
                <w:color w:val="auto"/>
              </w:rPr>
            </w:pP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7"/>
              </w:rPr>
              <w:t>Digital Media Platform</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683,482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2,414,178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1,865,547</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3560" w:type="dxa"/>
            <w:vAlign w:val="bottom"/>
            <w:gridSpan w:val="11"/>
          </w:tcPr>
          <w:p>
            <w:pPr>
              <w:spacing w:after="0" w:line="135" w:lineRule="exact"/>
              <w:rPr>
                <w:sz w:val="20"/>
                <w:szCs w:val="20"/>
                <w:color w:val="auto"/>
              </w:rPr>
            </w:pPr>
            <w:r>
              <w:rPr>
                <w:rFonts w:ascii="Arial" w:cs="Arial" w:eastAsia="Arial" w:hAnsi="Arial"/>
                <w:sz w:val="14"/>
                <w:szCs w:val="14"/>
                <w:color w:val="auto"/>
              </w:rPr>
              <w:t>Common Warrants, Strike Price $0.01, Expiration Date</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5"/>
              </w:rPr>
              <w:t>4/9/2018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295,565</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30,647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762,558</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0.25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20"/>
                <w:szCs w:val="20"/>
                <w:color w:val="auto"/>
              </w:rPr>
            </w:pPr>
            <w:r>
              <w:rPr>
                <w:rFonts w:ascii="Arial" w:cs="Arial" w:eastAsia="Arial" w:hAnsi="Arial"/>
                <w:sz w:val="14"/>
                <w:szCs w:val="14"/>
                <w:color w:val="auto"/>
              </w:rPr>
              <w:t>4/9/2028</w:t>
            </w: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10/3/2014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922,509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3,350,952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A 6%</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12/11/2013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2,824,679</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0.94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Seed 6%</w:t>
            </w: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11/2/2012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1,294,645</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3560" w:type="dxa"/>
            <w:vAlign w:val="bottom"/>
            <w:tcBorders>
              <w:bottom w:val="single" w:sz="8" w:color="CCEEFF"/>
            </w:tcBorders>
            <w:gridSpan w:val="11"/>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10,945,024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10,098,381</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6"/>
        </w:trPr>
        <w:tc>
          <w:tcPr>
            <w:tcW w:w="2020" w:type="dxa"/>
            <w:vAlign w:val="bottom"/>
            <w:tcBorders>
              <w:bottom w:val="single" w:sz="8" w:color="auto"/>
            </w:tcBorders>
            <w:gridSpan w:val="8"/>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2"/>
              </w:rPr>
              <w:t>GreenAcreage Real Estate Corp.</w:t>
            </w:r>
          </w:p>
        </w:tc>
        <w:tc>
          <w:tcPr>
            <w:tcW w:w="1540" w:type="dxa"/>
            <w:vAlign w:val="bottom"/>
            <w:tcBorders>
              <w:bottom w:val="single" w:sz="8" w:color="CCEEFF"/>
            </w:tcBorders>
            <w:gridSpan w:val="3"/>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7"/>
              </w:rPr>
              <w:t>New York, NY</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gridSpan w:val="11"/>
          </w:tcPr>
          <w:p>
            <w:pPr>
              <w:spacing w:after="0" w:line="189" w:lineRule="exact"/>
              <w:rPr>
                <w:sz w:val="20"/>
                <w:szCs w:val="20"/>
                <w:color w:val="auto"/>
              </w:rPr>
            </w:pPr>
            <w:r>
              <w:rPr>
                <w:rFonts w:ascii="Arial" w:cs="Arial" w:eastAsia="Arial" w:hAnsi="Arial"/>
                <w:sz w:val="14"/>
                <w:szCs w:val="14"/>
                <w:color w:val="auto"/>
              </w:rPr>
              <w:t>Common shares***</w:t>
            </w:r>
            <w:r>
              <w:rPr>
                <w:rFonts w:ascii="Arial" w:cs="Arial" w:eastAsia="Arial" w:hAnsi="Arial"/>
                <w:sz w:val="18"/>
                <w:szCs w:val="18"/>
                <w:color w:val="auto"/>
                <w:vertAlign w:val="superscript"/>
              </w:rPr>
              <w:t>(9)</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Cannabis REIT</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8/12/2019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422,586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8,509,633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8,937,690</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2.96</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3560" w:type="dxa"/>
            <w:vAlign w:val="bottom"/>
            <w:gridSpan w:val="11"/>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StormWind, LLC</w:t>
            </w:r>
            <w:r>
              <w:rPr>
                <w:rFonts w:ascii="Arial" w:cs="Arial" w:eastAsia="Arial" w:hAnsi="Arial"/>
                <w:sz w:val="17"/>
                <w:szCs w:val="17"/>
                <w:color w:val="auto"/>
                <w:vertAlign w:val="superscript"/>
              </w:rPr>
              <w:t>(5)</w:t>
            </w:r>
          </w:p>
        </w:tc>
        <w:tc>
          <w:tcPr>
            <w:tcW w:w="100" w:type="dxa"/>
            <w:vAlign w:val="bottom"/>
            <w:shd w:val="clear" w:color="auto" w:fill="CCEEFF"/>
          </w:tcPr>
          <w:p>
            <w:pPr>
              <w:spacing w:after="0"/>
              <w:rPr>
                <w:sz w:val="12"/>
                <w:szCs w:val="12"/>
                <w:color w:val="auto"/>
              </w:rPr>
            </w:pPr>
          </w:p>
        </w:tc>
        <w:tc>
          <w:tcPr>
            <w:tcW w:w="20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94"/>
              </w:rPr>
              <w:t>Scottsdale, AZ</w:t>
            </w: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D 8%</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Interactive Learning</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11/26/2019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329,337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257,267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440,515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2,779,134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4,000,787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4,804,218</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Preferred shares, Series B 8%</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12/16/2011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3,279,629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2,019,687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2,625,365</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0.87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88,248</w:t>
            </w: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3560" w:type="dxa"/>
            <w:vAlign w:val="bottom"/>
            <w:tcBorders>
              <w:bottom w:val="single" w:sz="8" w:color="CCEEFF"/>
            </w:tcBorders>
            <w:gridSpan w:val="11"/>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6,387,741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7,958,346</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6"/>
        </w:trPr>
        <w:tc>
          <w:tcPr>
            <w:tcW w:w="2280" w:type="dxa"/>
            <w:vAlign w:val="bottom"/>
            <w:tcBorders>
              <w:bottom w:val="single" w:sz="8" w:color="auto"/>
            </w:tcBorders>
            <w:gridSpan w:val="9"/>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3"/>
              </w:rPr>
              <w:t>NestGSV, Inc. (d/b/a OneValley, Inc.)</w:t>
            </w:r>
          </w:p>
        </w:tc>
        <w:tc>
          <w:tcPr>
            <w:tcW w:w="128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94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w w:val="94"/>
              </w:rPr>
              <w:t>San Mateo, CA</w:t>
            </w: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60" w:type="dxa"/>
            <w:vAlign w:val="bottom"/>
            <w:gridSpan w:val="11"/>
          </w:tcPr>
          <w:p>
            <w:pPr>
              <w:spacing w:after="0" w:line="189" w:lineRule="exact"/>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18"/>
                <w:szCs w:val="18"/>
                <w:color w:val="auto"/>
                <w:vertAlign w:val="superscript"/>
              </w:rPr>
              <w:t>(7)</w:t>
            </w:r>
          </w:p>
        </w:tc>
        <w:tc>
          <w:tcPr>
            <w:tcW w:w="10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Global Innovation Platform</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8/23/2019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8,555,124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2,173,148</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0.72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3560" w:type="dxa"/>
            <w:vAlign w:val="bottom"/>
            <w:gridSpan w:val="11"/>
            <w:shd w:val="clear" w:color="auto" w:fill="CCEEFF"/>
          </w:tcPr>
          <w:p>
            <w:pPr>
              <w:spacing w:after="0" w:line="189" w:lineRule="exact"/>
              <w:rPr>
                <w:sz w:val="20"/>
                <w:szCs w:val="20"/>
                <w:color w:val="auto"/>
              </w:rPr>
            </w:pPr>
            <w:r>
              <w:rPr>
                <w:rFonts w:ascii="Arial" w:cs="Arial" w:eastAsia="Arial" w:hAnsi="Arial"/>
                <w:sz w:val="14"/>
                <w:szCs w:val="14"/>
                <w:color w:val="auto"/>
              </w:rPr>
              <w:t>Convertible Promissory Note 8% Due 8/23/2024</w:t>
            </w:r>
            <w:r>
              <w:rPr>
                <w:rFonts w:ascii="Arial" w:cs="Arial" w:eastAsia="Arial" w:hAnsi="Arial"/>
                <w:sz w:val="18"/>
                <w:szCs w:val="18"/>
                <w:color w:val="auto"/>
                <w:vertAlign w:val="superscript"/>
              </w:rPr>
              <w:t>(4)(7)</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2/17/2016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1,030,176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505,099</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3560" w:type="dxa"/>
            <w:vAlign w:val="bottom"/>
            <w:gridSpan w:val="11"/>
          </w:tcPr>
          <w:p>
            <w:pPr>
              <w:spacing w:after="0" w:line="135" w:lineRule="exact"/>
              <w:rPr>
                <w:sz w:val="20"/>
                <w:szCs w:val="20"/>
                <w:color w:val="auto"/>
              </w:rPr>
            </w:pPr>
            <w:r>
              <w:rPr>
                <w:rFonts w:ascii="Arial" w:cs="Arial" w:eastAsia="Arial" w:hAnsi="Arial"/>
                <w:sz w:val="14"/>
                <w:szCs w:val="14"/>
                <w:color w:val="auto"/>
                <w:w w:val="93"/>
              </w:rPr>
              <w:t>Preferred Warrants Series A-3, Strike Price $1.33, Expiration</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5"/>
              </w:rPr>
              <w:t>4/4/2014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4,687</w:t>
            </w:r>
          </w:p>
        </w:tc>
        <w:tc>
          <w:tcPr>
            <w:tcW w:w="100" w:type="dxa"/>
            <w:vAlign w:val="bottom"/>
          </w:tcPr>
          <w:p>
            <w:pPr>
              <w:spacing w:after="0"/>
              <w:rPr>
                <w:sz w:val="11"/>
                <w:szCs w:val="11"/>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Date 4/4/2021</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560" w:type="dxa"/>
            <w:vAlign w:val="bottom"/>
            <w:gridSpan w:val="11"/>
            <w:shd w:val="clear" w:color="auto" w:fill="CCEEFF"/>
          </w:tcPr>
          <w:p>
            <w:pPr>
              <w:spacing w:after="0" w:line="139" w:lineRule="exact"/>
              <w:rPr>
                <w:sz w:val="20"/>
                <w:szCs w:val="20"/>
                <w:color w:val="auto"/>
              </w:rPr>
            </w:pPr>
            <w:r>
              <w:rPr>
                <w:rFonts w:ascii="Arial" w:cs="Arial" w:eastAsia="Arial" w:hAnsi="Arial"/>
                <w:sz w:val="14"/>
                <w:szCs w:val="14"/>
                <w:color w:val="auto"/>
                <w:w w:val="93"/>
              </w:rPr>
              <w:t>Preferred Warrants Series A-4, Strike Price $1.33, Expiration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65,000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Date 10/6/2021</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11"/>
          </w:tcPr>
          <w:p>
            <w:pPr>
              <w:spacing w:after="0" w:line="135" w:lineRule="exact"/>
              <w:rPr>
                <w:sz w:val="20"/>
                <w:szCs w:val="20"/>
                <w:color w:val="auto"/>
              </w:rPr>
            </w:pPr>
            <w:r>
              <w:rPr>
                <w:rFonts w:ascii="Arial" w:cs="Arial" w:eastAsia="Arial" w:hAnsi="Arial"/>
                <w:sz w:val="14"/>
                <w:szCs w:val="14"/>
                <w:color w:val="auto"/>
                <w:w w:val="93"/>
              </w:rPr>
              <w:t>Preferred Warrants Series A-4, Strike Price $1.33, Expiration</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5"/>
              </w:rPr>
              <w:t>7/8/2016</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27,500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Date 7/18/2021</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560" w:type="dxa"/>
            <w:vAlign w:val="bottom"/>
            <w:gridSpan w:val="11"/>
            <w:shd w:val="clear" w:color="auto" w:fill="CCEEFF"/>
          </w:tcPr>
          <w:p>
            <w:pPr>
              <w:spacing w:after="0" w:line="139" w:lineRule="exact"/>
              <w:rPr>
                <w:sz w:val="20"/>
                <w:szCs w:val="20"/>
                <w:color w:val="auto"/>
              </w:rPr>
            </w:pPr>
            <w:r>
              <w:rPr>
                <w:rFonts w:ascii="Arial" w:cs="Arial" w:eastAsia="Arial" w:hAnsi="Arial"/>
                <w:sz w:val="14"/>
                <w:szCs w:val="14"/>
                <w:color w:val="auto"/>
                <w:w w:val="97"/>
              </w:rPr>
              <w:t>Preferred Warrants Series B, Strike Price $2.31, Expiration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Date 11/29/2021</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560" w:type="dxa"/>
            <w:vAlign w:val="bottom"/>
            <w:gridSpan w:val="11"/>
          </w:tcPr>
          <w:p>
            <w:pPr>
              <w:spacing w:after="0" w:line="135" w:lineRule="exact"/>
              <w:rPr>
                <w:sz w:val="20"/>
                <w:szCs w:val="20"/>
                <w:color w:val="auto"/>
              </w:rPr>
            </w:pPr>
            <w:r>
              <w:rPr>
                <w:rFonts w:ascii="Arial" w:cs="Arial" w:eastAsia="Arial" w:hAnsi="Arial"/>
                <w:sz w:val="14"/>
                <w:szCs w:val="14"/>
                <w:color w:val="auto"/>
                <w:w w:val="99"/>
              </w:rPr>
              <w:t>Preferred Warrant Series B, Strike Price $2.31, Expiration</w:t>
            </w:r>
          </w:p>
        </w:tc>
        <w:tc>
          <w:tcPr>
            <w:tcW w:w="1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3"/>
              </w:rPr>
              <w:t>5/29/2017</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3560" w:type="dxa"/>
            <w:vAlign w:val="bottom"/>
            <w:gridSpan w:val="11"/>
          </w:tcPr>
          <w:p>
            <w:pPr>
              <w:spacing w:after="0"/>
              <w:rPr>
                <w:sz w:val="20"/>
                <w:szCs w:val="20"/>
                <w:color w:val="auto"/>
              </w:rPr>
            </w:pPr>
            <w:r>
              <w:rPr>
                <w:rFonts w:ascii="Arial" w:cs="Arial" w:eastAsia="Arial" w:hAnsi="Arial"/>
                <w:sz w:val="14"/>
                <w:szCs w:val="14"/>
                <w:color w:val="auto"/>
              </w:rPr>
              <w:t>Date 5/29/2022</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3560" w:type="dxa"/>
            <w:vAlign w:val="bottom"/>
            <w:gridSpan w:val="11"/>
            <w:shd w:val="clear" w:color="auto" w:fill="CCEEFF"/>
          </w:tcPr>
          <w:p>
            <w:pPr>
              <w:spacing w:after="0" w:line="139" w:lineRule="exact"/>
              <w:rPr>
                <w:sz w:val="20"/>
                <w:szCs w:val="20"/>
                <w:color w:val="auto"/>
              </w:rPr>
            </w:pPr>
            <w:r>
              <w:rPr>
                <w:rFonts w:ascii="Arial" w:cs="Arial" w:eastAsia="Arial" w:hAnsi="Arial"/>
                <w:sz w:val="14"/>
                <w:szCs w:val="14"/>
                <w:color w:val="auto"/>
                <w:w w:val="99"/>
              </w:rPr>
              <w:t>Preferred Warrant Series B, Strike Price $2.31, Expiration</w:t>
            </w:r>
          </w:p>
        </w:tc>
        <w:tc>
          <w:tcPr>
            <w:tcW w:w="100" w:type="dxa"/>
            <w:vAlign w:val="bottom"/>
            <w:shd w:val="clear" w:color="auto" w:fill="CCEEFF"/>
          </w:tcPr>
          <w:p>
            <w:pPr>
              <w:spacing w:after="0"/>
              <w:rPr>
                <w:sz w:val="12"/>
                <w:szCs w:val="12"/>
                <w:color w:val="auto"/>
              </w:rPr>
            </w:pPr>
          </w:p>
        </w:tc>
        <w:tc>
          <w:tcPr>
            <w:tcW w:w="1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9,250</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3560" w:type="dxa"/>
            <w:vAlign w:val="bottom"/>
            <w:gridSpan w:val="11"/>
            <w:shd w:val="clear" w:color="auto" w:fill="CCEEFF"/>
          </w:tcPr>
          <w:p>
            <w:pPr>
              <w:spacing w:after="0"/>
              <w:rPr>
                <w:sz w:val="20"/>
                <w:szCs w:val="20"/>
                <w:color w:val="auto"/>
              </w:rPr>
            </w:pPr>
            <w:r>
              <w:rPr>
                <w:rFonts w:ascii="Arial" w:cs="Arial" w:eastAsia="Arial" w:hAnsi="Arial"/>
                <w:sz w:val="14"/>
                <w:szCs w:val="14"/>
                <w:color w:val="auto"/>
              </w:rPr>
              <w:t>Date 12/31/2023</w:t>
            </w:r>
          </w:p>
        </w:tc>
        <w:tc>
          <w:tcPr>
            <w:tcW w:w="10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3560" w:type="dxa"/>
            <w:vAlign w:val="bottom"/>
            <w:gridSpan w:val="11"/>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9,764,414</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2,784,684</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-3093720</wp:posOffset>
            </wp:positionV>
            <wp:extent cx="3557270"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7270" cy="128905"/>
                    </a:xfrm>
                    <a:prstGeom prst="rect">
                      <a:avLst/>
                    </a:prstGeom>
                    <a:noFill/>
                  </pic:spPr>
                </pic:pic>
              </a:graphicData>
            </a:graphic>
          </wp:anchor>
        </w:drawing>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320" w:top="121" w:right="359" w:bottom="1440" w:gutter="0" w:footer="0" w:header="0"/>
        </w:sectPr>
      </w:pPr>
    </w:p>
    <w:bookmarkStart w:id="84" w:name="page85"/>
    <w:bookmarkEnd w:id="84"/>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Headquarters/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Date of Initial</w:t>
            </w: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Shares/</w:t>
            </w:r>
          </w:p>
        </w:tc>
        <w:tc>
          <w:tcPr>
            <w:tcW w:w="240" w:type="dxa"/>
            <w:vAlign w:val="bottom"/>
          </w:tcPr>
          <w:p>
            <w:pPr>
              <w:spacing w:after="0"/>
              <w:rPr>
                <w:sz w:val="14"/>
                <w:szCs w:val="14"/>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4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Industry</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Investment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24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Borders>
              <w:top w:val="single" w:sz="8" w:color="auto"/>
            </w:tcBorders>
            <w:shd w:val="clear" w:color="auto" w:fill="CCEEFF"/>
          </w:tcPr>
          <w:p>
            <w:pPr>
              <w:spacing w:after="0"/>
              <w:rPr>
                <w:sz w:val="12"/>
                <w:szCs w:val="12"/>
                <w:color w:val="auto"/>
              </w:rPr>
            </w:pPr>
          </w:p>
        </w:tc>
        <w:tc>
          <w:tcPr>
            <w:tcW w:w="3540" w:type="dxa"/>
            <w:vAlign w:val="bottom"/>
            <w:tcBorders>
              <w:top w:val="single" w:sz="8" w:color="auto"/>
            </w:tcBorders>
            <w:gridSpan w:val="4"/>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CUX, Inc. (d/b/a CorpU)</w:t>
            </w:r>
          </w:p>
        </w:tc>
        <w:tc>
          <w:tcPr>
            <w:tcW w:w="100" w:type="dxa"/>
            <w:vAlign w:val="bottom"/>
            <w:tcBorders>
              <w:top w:val="single" w:sz="8" w:color="CCEEFF"/>
            </w:tcBorders>
            <w:shd w:val="clear" w:color="auto" w:fill="CCEEFF"/>
          </w:tcPr>
          <w:p>
            <w:pPr>
              <w:spacing w:after="0"/>
              <w:rPr>
                <w:sz w:val="12"/>
                <w:szCs w:val="12"/>
                <w:color w:val="auto"/>
              </w:rPr>
            </w:pPr>
          </w:p>
        </w:tc>
        <w:tc>
          <w:tcPr>
            <w:tcW w:w="1860" w:type="dxa"/>
            <w:vAlign w:val="bottom"/>
            <w:tcBorders>
              <w:top w:val="single" w:sz="8" w:color="auto"/>
            </w:tcBorders>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Philadelphia, PA</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4"/>
                <w:szCs w:val="14"/>
                <w:color w:val="auto"/>
                <w:w w:val="96"/>
              </w:rPr>
              <w:t>Senior Subordinated Convertible Promissory Note 4% Due</w:t>
            </w:r>
          </w:p>
        </w:tc>
        <w:tc>
          <w:tcPr>
            <w:tcW w:w="100" w:type="dxa"/>
            <w:vAlign w:val="bottom"/>
          </w:tcPr>
          <w:p>
            <w:pPr>
              <w:spacing w:after="0"/>
              <w:rPr>
                <w:sz w:val="11"/>
                <w:szCs w:val="11"/>
                <w:color w:val="auto"/>
              </w:rPr>
            </w:pPr>
          </w:p>
        </w:tc>
        <w:tc>
          <w:tcPr>
            <w:tcW w:w="196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1"/>
              </w:rPr>
              <w:t>Corporate Education</w:t>
            </w:r>
          </w:p>
        </w:tc>
        <w:tc>
          <w:tcPr>
            <w:tcW w:w="980" w:type="dxa"/>
            <w:vAlign w:val="bottom"/>
            <w:vMerge w:val="restart"/>
          </w:tcPr>
          <w:p>
            <w:pPr>
              <w:jc w:val="center"/>
              <w:spacing w:after="0"/>
              <w:rPr>
                <w:sz w:val="20"/>
                <w:szCs w:val="20"/>
                <w:color w:val="auto"/>
              </w:rPr>
            </w:pPr>
            <w:r>
              <w:rPr>
                <w:rFonts w:ascii="Arial" w:cs="Arial" w:eastAsia="Arial" w:hAnsi="Arial"/>
                <w:sz w:val="14"/>
                <w:szCs w:val="14"/>
                <w:color w:val="auto"/>
                <w:w w:val="94"/>
              </w:rPr>
              <w:t>11/26/2014</w:t>
            </w:r>
          </w:p>
        </w:tc>
        <w:tc>
          <w:tcPr>
            <w:tcW w:w="100" w:type="dxa"/>
            <w:vAlign w:val="bottom"/>
          </w:tcPr>
          <w:p>
            <w:pPr>
              <w:spacing w:after="0"/>
              <w:rPr>
                <w:sz w:val="11"/>
                <w:szCs w:val="11"/>
                <w:color w:val="auto"/>
              </w:rPr>
            </w:pP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color w:val="auto"/>
              </w:rPr>
              <w:t>1,251,158</w:t>
            </w:r>
          </w:p>
        </w:tc>
        <w:tc>
          <w:tcPr>
            <w:tcW w:w="100" w:type="dxa"/>
            <w:vAlign w:val="bottom"/>
          </w:tcPr>
          <w:p>
            <w:pPr>
              <w:spacing w:after="0"/>
              <w:rPr>
                <w:sz w:val="11"/>
                <w:szCs w:val="11"/>
                <w:color w:val="auto"/>
              </w:rPr>
            </w:pP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color w:val="auto"/>
              </w:rPr>
              <w:t>1,256,191</w:t>
            </w:r>
          </w:p>
        </w:tc>
        <w:tc>
          <w:tcPr>
            <w:tcW w:w="100" w:type="dxa"/>
            <w:vAlign w:val="bottom"/>
          </w:tcPr>
          <w:p>
            <w:pPr>
              <w:spacing w:after="0"/>
              <w:rPr>
                <w:sz w:val="11"/>
                <w:szCs w:val="11"/>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312,790</w:t>
            </w: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0.10</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11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2/14/2023</w:t>
            </w:r>
            <w:r>
              <w:rPr>
                <w:rFonts w:ascii="Arial" w:cs="Arial" w:eastAsia="Arial" w:hAnsi="Arial"/>
                <w:sz w:val="18"/>
                <w:szCs w:val="18"/>
                <w:color w:val="auto"/>
                <w:vertAlign w:val="superscript"/>
              </w:rPr>
              <w:t>(4)</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0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73,882</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4"/>
          </w:tcPr>
          <w:p>
            <w:pPr>
              <w:spacing w:after="0"/>
              <w:rPr>
                <w:sz w:val="20"/>
                <w:szCs w:val="20"/>
                <w:color w:val="auto"/>
              </w:rPr>
            </w:pPr>
            <w:r>
              <w:rPr>
                <w:rFonts w:ascii="Arial" w:cs="Arial" w:eastAsia="Arial" w:hAnsi="Arial"/>
                <w:sz w:val="14"/>
                <w:szCs w:val="14"/>
                <w:color w:val="auto"/>
              </w:rPr>
              <w:t>Convertible preferred shares, Series C 8%</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6"/>
                <w:szCs w:val="16"/>
                <w:color w:val="auto"/>
              </w:rPr>
            </w:pPr>
          </w:p>
        </w:tc>
        <w:tc>
          <w:tcPr>
            <w:tcW w:w="18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4,040,875</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386,672</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Maven Research, Inc.</w:t>
            </w:r>
          </w:p>
        </w:tc>
        <w:tc>
          <w:tcPr>
            <w:tcW w:w="100" w:type="dxa"/>
            <w:vAlign w:val="bottom"/>
          </w:tcPr>
          <w:p>
            <w:pPr>
              <w:spacing w:after="0"/>
              <w:rPr>
                <w:sz w:val="11"/>
                <w:szCs w:val="11"/>
                <w:color w:val="auto"/>
              </w:rPr>
            </w:pPr>
          </w:p>
        </w:tc>
        <w:tc>
          <w:tcPr>
            <w:tcW w:w="196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4"/>
              </w:rPr>
              <w:t>San Francisco, CA</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Knowledge Networks</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7/2/2012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318,979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2,000,447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4"/>
          </w:tcPr>
          <w:p>
            <w:pPr>
              <w:spacing w:after="0"/>
              <w:rPr>
                <w:sz w:val="20"/>
                <w:szCs w:val="20"/>
                <w:color w:val="auto"/>
              </w:rPr>
            </w:pPr>
            <w:r>
              <w:rPr>
                <w:rFonts w:ascii="Arial" w:cs="Arial" w:eastAsia="Arial" w:hAnsi="Arial"/>
                <w:sz w:val="14"/>
                <w:szCs w:val="14"/>
                <w:color w:val="auto"/>
              </w:rPr>
              <w:t>Preferred shares, Series B 5%</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2/28/2012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49,505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217,206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540" w:type="dxa"/>
            <w:vAlign w:val="bottom"/>
            <w:tcBorders>
              <w:top w:val="single" w:sz="8" w:color="CCEEFF"/>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2,217,653</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Curious.com, Inc.</w:t>
            </w:r>
          </w:p>
        </w:tc>
        <w:tc>
          <w:tcPr>
            <w:tcW w:w="100" w:type="dxa"/>
            <w:vAlign w:val="bottom"/>
          </w:tcPr>
          <w:p>
            <w:pPr>
              <w:spacing w:after="0"/>
              <w:rPr>
                <w:sz w:val="12"/>
                <w:szCs w:val="12"/>
                <w:color w:val="auto"/>
              </w:rPr>
            </w:pPr>
          </w:p>
        </w:tc>
        <w:tc>
          <w:tcPr>
            <w:tcW w:w="1860" w:type="dxa"/>
            <w:vAlign w:val="bottom"/>
          </w:tcPr>
          <w:p>
            <w:pPr>
              <w:jc w:val="center"/>
              <w:spacing w:after="0" w:line="142" w:lineRule="exact"/>
              <w:rPr>
                <w:sz w:val="20"/>
                <w:szCs w:val="20"/>
                <w:color w:val="auto"/>
              </w:rPr>
            </w:pPr>
            <w:r>
              <w:rPr>
                <w:rFonts w:ascii="Arial" w:cs="Arial" w:eastAsia="Arial" w:hAnsi="Arial"/>
                <w:sz w:val="14"/>
                <w:szCs w:val="14"/>
                <w:color w:val="auto"/>
                <w:w w:val="95"/>
              </w:rPr>
              <w:t>Menlo Park, CA</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54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Online Education</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11/22/2013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1,135,944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12,000,006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shd w:val="clear" w:color="auto" w:fill="CCEEFF"/>
          </w:tcPr>
          <w:p>
            <w:pPr>
              <w:spacing w:after="0"/>
              <w:rPr>
                <w:sz w:val="16"/>
                <w:szCs w:val="16"/>
                <w:color w:val="auto"/>
              </w:rPr>
            </w:pPr>
          </w:p>
        </w:tc>
        <w:tc>
          <w:tcPr>
            <w:tcW w:w="3640" w:type="dxa"/>
            <w:vAlign w:val="bottom"/>
            <w:gridSpan w:val="4"/>
            <w:shd w:val="clear" w:color="auto" w:fill="CCEEFF"/>
          </w:tcPr>
          <w:p>
            <w:pPr>
              <w:ind w:left="120"/>
              <w:spacing w:after="0"/>
              <w:rPr>
                <w:sz w:val="20"/>
                <w:szCs w:val="20"/>
                <w:color w:val="auto"/>
              </w:rPr>
            </w:pPr>
            <w:r>
              <w:rPr>
                <w:rFonts w:ascii="Arial" w:cs="Arial" w:eastAsia="Arial" w:hAnsi="Arial"/>
                <w:sz w:val="14"/>
                <w:szCs w:val="14"/>
                <w:b w:val="1"/>
                <w:bCs w:val="1"/>
                <w:color w:val="auto"/>
              </w:rPr>
              <w:t>Total Non-controlled/Affiliate</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53,865,346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30,165,773</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10.00 %</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4"/>
            <w:shd w:val="clear" w:color="auto" w:fill="CCEEFF"/>
          </w:tcPr>
          <w:p>
            <w:pPr>
              <w:spacing w:after="0" w:line="189" w:lineRule="exact"/>
              <w:rPr>
                <w:sz w:val="20"/>
                <w:szCs w:val="20"/>
                <w:color w:val="auto"/>
              </w:rPr>
            </w:pPr>
            <w:r>
              <w:rPr>
                <w:rFonts w:ascii="Arial" w:cs="Arial" w:eastAsia="Arial" w:hAnsi="Arial"/>
                <w:sz w:val="14"/>
                <w:szCs w:val="14"/>
                <w:b w:val="1"/>
                <w:bCs w:val="1"/>
                <w:color w:val="auto"/>
              </w:rPr>
              <w:t>CONTROLLED</w:t>
            </w:r>
            <w:r>
              <w:rPr>
                <w:rFonts w:ascii="Arial" w:cs="Arial" w:eastAsia="Arial" w:hAnsi="Arial"/>
                <w:sz w:val="18"/>
                <w:szCs w:val="18"/>
                <w:b w:val="1"/>
                <w:bCs w:val="1"/>
                <w:color w:val="auto"/>
                <w:vertAlign w:val="superscript"/>
              </w:rPr>
              <w:t>(2)</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36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SPBRX, INC. (f/k/a GSV Sustainability Partners, Inc.)</w:t>
            </w:r>
          </w:p>
        </w:tc>
        <w:tc>
          <w:tcPr>
            <w:tcW w:w="19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Cupertino, CA</w:t>
            </w:r>
          </w:p>
        </w:tc>
        <w:tc>
          <w:tcPr>
            <w:tcW w:w="9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4"/>
            <w:shd w:val="clear" w:color="auto" w:fill="CCEEFF"/>
          </w:tcPr>
          <w:p>
            <w:pPr>
              <w:spacing w:after="0" w:line="189" w:lineRule="exact"/>
              <w:rPr>
                <w:sz w:val="20"/>
                <w:szCs w:val="20"/>
                <w:color w:val="auto"/>
              </w:rPr>
            </w:pPr>
            <w:r>
              <w:rPr>
                <w:rFonts w:ascii="Arial" w:cs="Arial" w:eastAsia="Arial" w:hAnsi="Arial"/>
                <w:sz w:val="14"/>
                <w:szCs w:val="14"/>
                <w:color w:val="auto"/>
              </w:rPr>
              <w:t>Preferred shares, Class A***</w:t>
            </w:r>
            <w:r>
              <w:rPr>
                <w:rFonts w:ascii="Arial" w:cs="Arial" w:eastAsia="Arial" w:hAnsi="Arial"/>
                <w:sz w:val="18"/>
                <w:szCs w:val="18"/>
                <w:color w:val="auto"/>
                <w:vertAlign w:val="superscript"/>
              </w:rPr>
              <w:t>(6)</w:t>
            </w:r>
          </w:p>
        </w:tc>
        <w:tc>
          <w:tcPr>
            <w:tcW w:w="19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Clean Technology</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4/15/2014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14,300,000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7,151,412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809,198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0.27 %</w:t>
            </w:r>
          </w:p>
        </w:tc>
      </w:tr>
      <w:tr>
        <w:trPr>
          <w:trHeight w:val="186"/>
        </w:trPr>
        <w:tc>
          <w:tcPr>
            <w:tcW w:w="20" w:type="dxa"/>
            <w:vAlign w:val="bottom"/>
          </w:tcPr>
          <w:p>
            <w:pPr>
              <w:spacing w:after="0"/>
              <w:rPr>
                <w:sz w:val="16"/>
                <w:szCs w:val="16"/>
                <w:color w:val="auto"/>
              </w:rPr>
            </w:pPr>
          </w:p>
        </w:tc>
        <w:tc>
          <w:tcPr>
            <w:tcW w:w="3640" w:type="dxa"/>
            <w:vAlign w:val="bottom"/>
            <w:gridSpan w:val="4"/>
          </w:tcPr>
          <w:p>
            <w:pPr>
              <w:spacing w:after="0"/>
              <w:rPr>
                <w:sz w:val="20"/>
                <w:szCs w:val="20"/>
                <w:color w:val="auto"/>
              </w:rPr>
            </w:pPr>
            <w:r>
              <w:rPr>
                <w:rFonts w:ascii="Arial" w:cs="Arial" w:eastAsia="Arial" w:hAnsi="Arial"/>
                <w:sz w:val="14"/>
                <w:szCs w:val="14"/>
                <w:color w:val="auto"/>
              </w:rPr>
              <w:t>Common shares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4/15/2014</w:t>
            </w:r>
          </w:p>
        </w:tc>
        <w:tc>
          <w:tcPr>
            <w:tcW w:w="32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5"/>
                <w:szCs w:val="15"/>
                <w:color w:val="auto"/>
              </w:rPr>
            </w:pPr>
          </w:p>
        </w:tc>
        <w:tc>
          <w:tcPr>
            <w:tcW w:w="18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9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7,161,412</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809,198</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0.27 %</w:t>
            </w:r>
          </w:p>
        </w:tc>
      </w:tr>
      <w:tr>
        <w:trPr>
          <w:trHeight w:val="199"/>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9"/>
        </w:trPr>
        <w:tc>
          <w:tcPr>
            <w:tcW w:w="20" w:type="dxa"/>
            <w:vAlign w:val="bottom"/>
            <w:shd w:val="clear" w:color="auto" w:fill="CCEEFF"/>
          </w:tcPr>
          <w:p>
            <w:pPr>
              <w:spacing w:after="0"/>
              <w:rPr>
                <w:sz w:val="16"/>
                <w:szCs w:val="16"/>
                <w:color w:val="auto"/>
              </w:rPr>
            </w:pPr>
          </w:p>
        </w:tc>
        <w:tc>
          <w:tcPr>
            <w:tcW w:w="3640" w:type="dxa"/>
            <w:vAlign w:val="bottom"/>
            <w:gridSpan w:val="4"/>
            <w:shd w:val="clear" w:color="auto" w:fill="CCEEFF"/>
          </w:tcPr>
          <w:p>
            <w:pPr>
              <w:ind w:left="120"/>
              <w:spacing w:after="0"/>
              <w:rPr>
                <w:sz w:val="20"/>
                <w:szCs w:val="20"/>
                <w:color w:val="auto"/>
              </w:rPr>
            </w:pPr>
            <w:r>
              <w:rPr>
                <w:rFonts w:ascii="Arial" w:cs="Arial" w:eastAsia="Arial" w:hAnsi="Arial"/>
                <w:sz w:val="14"/>
                <w:szCs w:val="14"/>
                <w:b w:val="1"/>
                <w:bCs w:val="1"/>
                <w:color w:val="auto"/>
              </w:rPr>
              <w:t>Total Controlled</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7,161,412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809,198</w:t>
            </w: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0.27 %</w:t>
            </w:r>
          </w:p>
        </w:tc>
      </w:tr>
      <w:tr>
        <w:trPr>
          <w:trHeight w:val="216"/>
        </w:trPr>
        <w:tc>
          <w:tcPr>
            <w:tcW w:w="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183"/>
        </w:trPr>
        <w:tc>
          <w:tcPr>
            <w:tcW w:w="20" w:type="dxa"/>
            <w:vAlign w:val="bottom"/>
            <w:shd w:val="clear" w:color="auto" w:fill="CCEEFF"/>
          </w:tcPr>
          <w:p>
            <w:pPr>
              <w:spacing w:after="0"/>
              <w:rPr>
                <w:sz w:val="15"/>
                <w:szCs w:val="15"/>
                <w:color w:val="auto"/>
              </w:rPr>
            </w:pPr>
          </w:p>
        </w:tc>
        <w:tc>
          <w:tcPr>
            <w:tcW w:w="3640" w:type="dxa"/>
            <w:vAlign w:val="bottom"/>
            <w:gridSpan w:val="4"/>
            <w:shd w:val="clear" w:color="auto" w:fill="CCEEFF"/>
          </w:tcPr>
          <w:p>
            <w:pPr>
              <w:ind w:left="120"/>
              <w:spacing w:after="0"/>
              <w:rPr>
                <w:sz w:val="20"/>
                <w:szCs w:val="20"/>
                <w:color w:val="auto"/>
              </w:rPr>
            </w:pPr>
            <w:r>
              <w:rPr>
                <w:rFonts w:ascii="Arial" w:cs="Arial" w:eastAsia="Arial" w:hAnsi="Arial"/>
                <w:sz w:val="14"/>
                <w:szCs w:val="14"/>
                <w:b w:val="1"/>
                <w:bCs w:val="1"/>
                <w:color w:val="auto"/>
              </w:rPr>
              <w:t>Total Portfolio Investments</w:t>
            </w:r>
          </w:p>
        </w:tc>
        <w:tc>
          <w:tcPr>
            <w:tcW w:w="1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166,365,927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280,779,774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93.10 %</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69"/>
        </w:trPr>
        <w:tc>
          <w:tcPr>
            <w:tcW w:w="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U.S. Treasury</w:t>
            </w:r>
          </w:p>
        </w:tc>
        <w:tc>
          <w:tcPr>
            <w:tcW w:w="2780" w:type="dxa"/>
            <w:vAlign w:val="bottom"/>
            <w:tcBorders>
              <w:bottom w:val="single" w:sz="8" w:color="CCEEFF"/>
            </w:tcBorders>
            <w:gridSpan w:val="3"/>
            <w:shd w:val="clear" w:color="auto" w:fill="CCEEFF"/>
          </w:tcPr>
          <w:p>
            <w:pPr>
              <w:spacing w:after="0"/>
              <w:rPr>
                <w:sz w:val="14"/>
                <w:szCs w:val="14"/>
                <w:color w:val="auto"/>
              </w:rPr>
            </w:pPr>
          </w:p>
        </w:tc>
        <w:tc>
          <w:tcPr>
            <w:tcW w:w="18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3640" w:type="dxa"/>
            <w:vAlign w:val="bottom"/>
            <w:gridSpan w:val="4"/>
          </w:tcPr>
          <w:p>
            <w:pPr>
              <w:spacing w:after="0" w:line="189" w:lineRule="exact"/>
              <w:rPr>
                <w:sz w:val="20"/>
                <w:szCs w:val="20"/>
                <w:color w:val="auto"/>
              </w:rPr>
            </w:pPr>
            <w:r>
              <w:rPr>
                <w:rFonts w:ascii="Arial" w:cs="Arial" w:eastAsia="Arial" w:hAnsi="Arial"/>
                <w:sz w:val="14"/>
                <w:szCs w:val="14"/>
                <w:color w:val="auto"/>
              </w:rPr>
              <w:t>U.S. Treasury bill, 0%, due 1/2/2021***</w:t>
            </w:r>
            <w:r>
              <w:rPr>
                <w:rFonts w:ascii="Arial" w:cs="Arial" w:eastAsia="Arial" w:hAnsi="Arial"/>
                <w:sz w:val="18"/>
                <w:szCs w:val="18"/>
                <w:color w:val="auto"/>
                <w:vertAlign w:val="superscript"/>
              </w:rPr>
              <w:t>(3)</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color w:val="auto"/>
                <w:w w:val="94"/>
              </w:rPr>
              <w:t>12/30/2020</w:t>
            </w:r>
          </w:p>
        </w:tc>
        <w:tc>
          <w:tcPr>
            <w:tcW w:w="3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150,000,000</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49.74 %</w:t>
            </w: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3640" w:type="dxa"/>
            <w:vAlign w:val="bottom"/>
            <w:gridSpan w:val="4"/>
          </w:tcPr>
          <w:p>
            <w:pPr>
              <w:spacing w:after="0"/>
              <w:rPr>
                <w:sz w:val="20"/>
                <w:szCs w:val="20"/>
                <w:color w:val="auto"/>
              </w:rPr>
            </w:pPr>
            <w:r>
              <w:rPr>
                <w:rFonts w:ascii="Arial" w:cs="Arial" w:eastAsia="Arial" w:hAnsi="Arial"/>
                <w:sz w:val="14"/>
                <w:szCs w:val="14"/>
                <w:b w:val="1"/>
                <w:bCs w:val="1"/>
                <w:color w:val="auto"/>
              </w:rPr>
              <w:t>TOTAL INVESTMENTS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316,365,927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430,779,774</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142.83 %</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-299720</wp:posOffset>
            </wp:positionV>
            <wp:extent cx="617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2254250"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5425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4954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54905" cy="12890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jc w:val="right"/>
        <w:ind w:left="500" w:hanging="492"/>
        <w:spacing w:after="0" w:line="264" w:lineRule="auto"/>
        <w:tabs>
          <w:tab w:leader="none" w:pos="324" w:val="left"/>
        </w:tabs>
        <w:numPr>
          <w:ilvl w:val="0"/>
          <w:numId w:val="53"/>
        </w:numPr>
        <w:rPr>
          <w:rFonts w:ascii="Arial" w:cs="Arial" w:eastAsia="Arial" w:hAnsi="Arial"/>
          <w:sz w:val="17"/>
          <w:szCs w:val="17"/>
          <w:color w:val="auto"/>
        </w:rPr>
      </w:pPr>
      <w:r>
        <w:rPr>
          <w:rFonts w:ascii="Arial" w:cs="Arial" w:eastAsia="Arial" w:hAnsi="Arial"/>
          <w:sz w:val="15"/>
          <w:szCs w:val="15"/>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w:t>
      </w:r>
    </w:p>
    <w:p>
      <w:pPr>
        <w:jc w:val="both"/>
        <w:ind w:left="500"/>
        <w:spacing w:after="0" w:line="262" w:lineRule="auto"/>
        <w:rPr>
          <w:sz w:val="20"/>
          <w:szCs w:val="20"/>
          <w:color w:val="auto"/>
        </w:rPr>
      </w:pPr>
      <w:r>
        <w:rPr>
          <w:rFonts w:ascii="Arial" w:cs="Arial" w:eastAsia="Arial" w:hAnsi="Arial"/>
          <w:sz w:val="15"/>
          <w:szCs w:val="15"/>
          <w:color w:val="auto"/>
        </w:rPr>
        <w:t>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 determined in good faith by the Company’s Board of Directors.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w:t>
      </w:r>
    </w:p>
    <w:p>
      <w:pPr>
        <w:spacing w:after="0" w:line="2" w:lineRule="exact"/>
        <w:rPr>
          <w:sz w:val="20"/>
          <w:szCs w:val="20"/>
          <w:color w:val="auto"/>
        </w:rPr>
      </w:pPr>
    </w:p>
    <w:p>
      <w:pPr>
        <w:ind w:left="500" w:hanging="492"/>
        <w:spacing w:after="0" w:line="246" w:lineRule="auto"/>
        <w:tabs>
          <w:tab w:leader="none" w:pos="377"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ind w:left="420" w:hanging="412"/>
        <w:spacing w:after="0"/>
        <w:tabs>
          <w:tab w:leader="none" w:pos="42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34" w:lineRule="exact"/>
        <w:rPr>
          <w:sz w:val="20"/>
          <w:szCs w:val="20"/>
          <w:color w:val="auto"/>
        </w:rPr>
      </w:pPr>
    </w:p>
    <w:p>
      <w:pPr>
        <w:jc w:val="both"/>
        <w:ind w:left="500" w:hanging="492"/>
        <w:spacing w:after="0" w:line="256"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13"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21" w:right="339" w:bottom="1440" w:gutter="0" w:footer="0" w:header="0"/>
        </w:sectPr>
      </w:pPr>
    </w:p>
    <w:bookmarkStart w:id="85" w:name="page86"/>
    <w:bookmarkEnd w:id="85"/>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00"/>
        <w:spacing w:after="0" w:line="275" w:lineRule="auto"/>
        <w:rPr>
          <w:sz w:val="20"/>
          <w:szCs w:val="20"/>
          <w:color w:val="auto"/>
        </w:rPr>
      </w:pPr>
      <w:r>
        <w:rPr>
          <w:rFonts w:ascii="Arial" w:cs="Arial" w:eastAsia="Arial" w:hAnsi="Arial"/>
          <w:sz w:val="16"/>
          <w:szCs w:val="16"/>
          <w:color w:val="auto"/>
        </w:rPr>
        <w:t>such portfolio company. For the Schedule of Investments In, and Advances To, Affiliates, as required by SEC Regulation S-X, Rule 12-14, refer to “Note 4— Investments at Fair Value”.</w:t>
      </w:r>
    </w:p>
    <w:p>
      <w:pPr>
        <w:spacing w:after="0" w:line="199" w:lineRule="exact"/>
        <w:rPr>
          <w:sz w:val="20"/>
          <w:szCs w:val="20"/>
          <w:color w:val="auto"/>
        </w:rPr>
      </w:pPr>
    </w:p>
    <w:p>
      <w:pPr>
        <w:ind w:left="500" w:hanging="492"/>
        <w:spacing w:after="0" w:line="275"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 As of December 31, 2020, 1 portfolio investment held by SuRo Capital Corp. was considered Level 1 or Level 2. Refer to “Note 4—Investments at Fair Value”.</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As of December 31, 2020,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213" w:lineRule="exact"/>
        <w:rPr>
          <w:rFonts w:ascii="Arial" w:cs="Arial" w:eastAsia="Arial" w:hAnsi="Arial"/>
          <w:sz w:val="16"/>
          <w:szCs w:val="16"/>
          <w:color w:val="auto"/>
        </w:rPr>
      </w:pPr>
    </w:p>
    <w:p>
      <w:pPr>
        <w:jc w:val="both"/>
        <w:ind w:left="500" w:hanging="492"/>
        <w:spacing w:after="0" w:line="315" w:lineRule="auto"/>
        <w:tabs>
          <w:tab w:leader="none" w:pos="500" w:val="left"/>
        </w:tabs>
        <w:numPr>
          <w:ilvl w:val="0"/>
          <w:numId w:val="57"/>
        </w:numPr>
        <w:rPr>
          <w:rFonts w:ascii="Arial" w:cs="Arial" w:eastAsia="Arial" w:hAnsi="Arial"/>
          <w:sz w:val="14"/>
          <w:szCs w:val="14"/>
          <w:color w:val="auto"/>
        </w:rPr>
      </w:pPr>
      <w:r>
        <w:rPr>
          <w:rFonts w:ascii="Arial" w:cs="Arial" w:eastAsia="Arial" w:hAnsi="Arial"/>
          <w:sz w:val="14"/>
          <w:szCs w:val="14"/>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76" w:lineRule="exact"/>
        <w:rPr>
          <w:rFonts w:ascii="Arial" w:cs="Arial" w:eastAsia="Arial" w:hAnsi="Arial"/>
          <w:sz w:val="14"/>
          <w:szCs w:val="14"/>
          <w:color w:val="auto"/>
        </w:rPr>
      </w:pPr>
    </w:p>
    <w:p>
      <w:pPr>
        <w:jc w:val="both"/>
        <w:ind w:left="500" w:hanging="492"/>
        <w:spacing w:after="0" w:line="261"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During the year ended December 31, 2020, Treehouse Real Estate Investment Trust Inc. declared, and SuRo Capital Corp. received, an aggregate of $50,000 in dividend distributions. SuRo Capital Corp. does not anticipate that Treehouse Real Estate Investment Trust Inc. will pay distributions on a recurring or regular basis or become a predictable distributor of distributions.</w:t>
      </w:r>
    </w:p>
    <w:p>
      <w:pPr>
        <w:spacing w:after="0" w:line="209" w:lineRule="exact"/>
        <w:rPr>
          <w:rFonts w:ascii="Arial" w:cs="Arial" w:eastAsia="Arial" w:hAnsi="Arial"/>
          <w:sz w:val="16"/>
          <w:szCs w:val="16"/>
          <w:color w:val="auto"/>
        </w:rPr>
      </w:pPr>
    </w:p>
    <w:p>
      <w:pPr>
        <w:ind w:left="500" w:right="20" w:hanging="492"/>
        <w:spacing w:after="0" w:line="310" w:lineRule="auto"/>
        <w:tabs>
          <w:tab w:leader="none" w:pos="5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During the year ended December 31, 2020, GreenAcreage Real Estate Corp. declared an aggregate of $317,617 in dividend distributions. SuRo Capital Corp. does not anticipate that GreenAcreage Real Estate Corp. will pay distributions on a recurring or regular basis or become a predictable distributor of distributions.</w:t>
      </w:r>
    </w:p>
    <w:p>
      <w:pPr>
        <w:spacing w:after="0" w:line="175" w:lineRule="exact"/>
        <w:rPr>
          <w:rFonts w:ascii="Arial" w:cs="Arial" w:eastAsia="Arial" w:hAnsi="Arial"/>
          <w:sz w:val="15"/>
          <w:szCs w:val="15"/>
          <w:color w:val="auto"/>
        </w:rPr>
      </w:pPr>
    </w:p>
    <w:p>
      <w:pPr>
        <w:jc w:val="both"/>
        <w:ind w:left="500" w:hanging="492"/>
        <w:spacing w:after="0" w:line="270" w:lineRule="auto"/>
        <w:tabs>
          <w:tab w:leader="none" w:pos="5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On June 19, 2020, SuRo Capital Corp. extended a $6,900,000, non-recourse, collateralized loan to Palantir Lending Trust SPV I. The collateralized loan to Palantir Lending Trust SPV I matures on June 19, 2022 and includes a 15% interest rate. Through the collateralized loan, SuRo Capital Corp. participates in additional upside in a future Palantir Technologies, Inc. liquidity event by receiving a percentage of the share price appreciation as captured in the Equity Participation in Underlying Collateral security. As of December 31, 2020, $8,671,618 has been received from Palantir Lending Trust SPV I. Of the proceeds received, $6,900,000 fully repaid the outstanding principal, $782,125 was attributed to the accrued guaranteed interest, and $989,494 was generated by the Equity Participation in Underlying Collateral. As of December 31, 2020, the balance of the loan and all guaranteed interest has been fully repaid, and SuRo Capital Corp. retains the right to upside on 1,312,290 shares as captured in the Equity Participation in Underlying Collateral security.</w:t>
      </w:r>
    </w:p>
    <w:p>
      <w:pPr>
        <w:spacing w:after="0" w:line="207" w:lineRule="exact"/>
        <w:rPr>
          <w:rFonts w:ascii="Arial" w:cs="Arial" w:eastAsia="Arial" w:hAnsi="Arial"/>
          <w:sz w:val="15"/>
          <w:szCs w:val="15"/>
          <w:color w:val="auto"/>
        </w:rPr>
      </w:pPr>
    </w:p>
    <w:p>
      <w:pPr>
        <w:jc w:val="both"/>
        <w:ind w:left="500" w:hanging="492"/>
        <w:spacing w:after="0" w:line="256" w:lineRule="auto"/>
        <w:tabs>
          <w:tab w:leader="none" w:pos="494"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May 11, 2020, SuRo Capital Corp. made a follow-on investment in a junior preferred convertible note to Neutron Holdings, Inc. (d/b/a Lime) as part of a recapitalization of Neutron Holdings, Inc. (d/b/a Lime), led by Uber Technologies, Inc. On May 11, 2020, SuRo Capital Corp.'s existing Series D Preferred shares were converted to Series 1-D Junior Preferred shares. As part of the transaction, SuRo Capital Corp. was issued, and received on August 24, 2020, 2,032,967 common warrants with a strike price of $0.01 and an expiration date of May 11, 2027.</w:t>
      </w:r>
    </w:p>
    <w:p>
      <w:pPr>
        <w:spacing w:after="0" w:line="213" w:lineRule="exact"/>
        <w:rPr>
          <w:rFonts w:ascii="Arial" w:cs="Arial" w:eastAsia="Arial" w:hAnsi="Arial"/>
          <w:sz w:val="16"/>
          <w:szCs w:val="16"/>
          <w:color w:val="auto"/>
        </w:rPr>
      </w:pPr>
    </w:p>
    <w:p>
      <w:pPr>
        <w:ind w:left="500" w:hanging="492"/>
        <w:spacing w:after="0" w:line="310" w:lineRule="auto"/>
        <w:tabs>
          <w:tab w:leader="none" w:pos="500" w:val="left"/>
        </w:tabs>
        <w:numPr>
          <w:ilvl w:val="0"/>
          <w:numId w:val="57"/>
        </w:numPr>
        <w:rPr>
          <w:rFonts w:ascii="Arial" w:cs="Arial" w:eastAsia="Arial" w:hAnsi="Arial"/>
          <w:sz w:val="15"/>
          <w:szCs w:val="15"/>
          <w:color w:val="auto"/>
        </w:rPr>
      </w:pPr>
      <w:r>
        <w:rPr>
          <w:rFonts w:ascii="Arial" w:cs="Arial" w:eastAsia="Arial" w:hAnsi="Arial"/>
          <w:sz w:val="15"/>
          <w:szCs w:val="15"/>
          <w:color w:val="auto"/>
        </w:rPr>
        <w:t>On June 6, 2020, the convertible note SuRo Capital Corp. had extended to Aspiration Partners, Inc. converted into Series C-3 Preferred shares at a 15% discount to Aspiration Partners, Inc.'s most recent financing round. SuRo Capital Corp. received 24,912 Series C-3 Preferred shares as a result of the conversion.</w:t>
      </w:r>
    </w:p>
    <w:p>
      <w:pPr>
        <w:spacing w:after="0" w:line="175" w:lineRule="exact"/>
        <w:rPr>
          <w:rFonts w:ascii="Arial" w:cs="Arial" w:eastAsia="Arial" w:hAnsi="Arial"/>
          <w:sz w:val="15"/>
          <w:szCs w:val="15"/>
          <w:color w:val="auto"/>
        </w:rPr>
      </w:pPr>
    </w:p>
    <w:p>
      <w:pPr>
        <w:jc w:val="both"/>
        <w:ind w:left="500" w:hanging="492"/>
        <w:spacing w:after="0" w:line="252"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September 30, 2020, Palantir Technologies, Inc. went public via a modified direct listing on the New York Stock Exchange. Under the terms of the modified direct listing, as disclosed in Palantir Technologies, Inc.'s Amendment No. 1 to Form S-1 Registration Statement, 20% of SuRo Capital Corp.'s Class A common shares in Palantir Technologies, Inc. held at the time of the direct public listing were considered unrestricted, while the remaining 80% were subject to sales restrictions and are not eligible for sale until the third business day following the filing of Palantir Technologies, Inc.'s fiscal year 2020 Form 10-K filing in 2021. As of December 31, 2020, SuRo Capital Corp. holds 4,618,952 public shares of Palantir Technologies, Inc. common stock, all of which are subject to certain lock-up restrictions.</w:t>
      </w:r>
    </w:p>
    <w:p>
      <w:pPr>
        <w:spacing w:after="0" w:line="217"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July 29, 2020 SuRo Capital Corp. exited its investment in 4C Insights (f/k/a The Echo Systems Corp.). In connection with this exit, SuRo Capital Corp. received 112,374 Class A common shares in Kinetiq Holdings, LLC in addition to cash proceeds and amounts currently held in escrow.</w:t>
      </w:r>
    </w:p>
    <w:p>
      <w:pPr>
        <w:spacing w:after="0" w:line="199" w:lineRule="exact"/>
        <w:rPr>
          <w:rFonts w:ascii="Arial" w:cs="Arial" w:eastAsia="Arial" w:hAnsi="Arial"/>
          <w:sz w:val="16"/>
          <w:szCs w:val="16"/>
          <w:color w:val="auto"/>
        </w:rPr>
      </w:pPr>
    </w:p>
    <w:p>
      <w:pPr>
        <w:jc w:val="both"/>
        <w:ind w:left="500" w:hanging="492"/>
        <w:spacing w:after="0" w:line="256"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On November 9, 2020, SharesPost, Inc. completed its merger with Forge Global, Inc. As part of the merger, SuRo Capital Corp. received Class AA Common Shares, Junior Preferred Stock and Junior Warrants of Forge. In addition, as part of the merger, certain assets held by SharesPost, Inc. that were not acquired by Forge were spun-out into a new entity called SP Holdings Group, Inc. In addition to the shares received from Forge, SuRo Capital Corp. also received Series B Preferred Stock and Common Shares in SP Holdings Group, Inc.</w:t>
      </w:r>
    </w:p>
    <w:p>
      <w:pPr>
        <w:spacing w:after="0" w:line="213"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SuRo Capital Corp.’s investments in Residential Homes for Rent, LLC (d/b/a Second Avenue) are held through SuRo Capital Corp.'s wholly owned subsidiary, GSVC AV Holdings, Inc.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240"/>
          </w:cols>
          <w:pgMar w:left="320" w:top="121" w:right="339" w:bottom="1440" w:gutter="0" w:footer="0" w:header="0"/>
          <w:type w:val="continuous"/>
        </w:sectPr>
      </w:pPr>
    </w:p>
    <w:bookmarkStart w:id="86" w:name="page87"/>
    <w:bookmarkEnd w:id="86"/>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80" w:type="dxa"/>
            <w:vAlign w:val="bottom"/>
            <w:gridSpan w:val="15"/>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Headquarters/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w:t>
            </w:r>
          </w:p>
        </w:tc>
        <w:tc>
          <w:tcPr>
            <w:tcW w:w="20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80" w:type="dxa"/>
            <w:vAlign w:val="bottom"/>
            <w:gridSpan w:val="15"/>
            <w:vMerge w:val="continue"/>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20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auto"/>
            </w:tcBorders>
            <w:shd w:val="clear" w:color="auto" w:fill="CCEEFF"/>
          </w:tcPr>
          <w:p>
            <w:pPr>
              <w:spacing w:after="0"/>
              <w:rPr>
                <w:sz w:val="15"/>
                <w:szCs w:val="15"/>
                <w:color w:val="auto"/>
              </w:rPr>
            </w:pPr>
          </w:p>
        </w:tc>
        <w:tc>
          <w:tcPr>
            <w:tcW w:w="2980" w:type="dxa"/>
            <w:vAlign w:val="bottom"/>
            <w:tcBorders>
              <w:top w:val="single" w:sz="8" w:color="auto"/>
            </w:tcBorders>
            <w:gridSpan w:val="15"/>
            <w:shd w:val="clear" w:color="auto" w:fill="CCEEFF"/>
          </w:tcPr>
          <w:p>
            <w:pPr>
              <w:spacing w:after="0"/>
              <w:rPr>
                <w:sz w:val="20"/>
                <w:szCs w:val="20"/>
                <w:color w:val="auto"/>
              </w:rPr>
            </w:pPr>
            <w:r>
              <w:rPr>
                <w:rFonts w:ascii="Arial" w:cs="Arial" w:eastAsia="Arial" w:hAnsi="Arial"/>
                <w:sz w:val="14"/>
                <w:szCs w:val="14"/>
                <w:b w:val="1"/>
                <w:bCs w:val="1"/>
                <w:color w:val="auto"/>
              </w:rPr>
              <w:t>NON-CONTROLLED/NON-AFFILIATE</w:t>
            </w:r>
          </w:p>
        </w:tc>
        <w:tc>
          <w:tcPr>
            <w:tcW w:w="100" w:type="dxa"/>
            <w:vAlign w:val="bottom"/>
            <w:tcBorders>
              <w:top w:val="single" w:sz="8" w:color="CCEEFF"/>
            </w:tcBorders>
            <w:shd w:val="clear" w:color="auto" w:fill="CCEEFF"/>
          </w:tcPr>
          <w:p>
            <w:pPr>
              <w:spacing w:after="0"/>
              <w:rPr>
                <w:sz w:val="15"/>
                <w:szCs w:val="15"/>
                <w:color w:val="auto"/>
              </w:rPr>
            </w:pPr>
          </w:p>
        </w:tc>
        <w:tc>
          <w:tcPr>
            <w:tcW w:w="22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Coursera,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6/9/2013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2,961,399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14,519,519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33,569,902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Palantir Technologies,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Palo Alto,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 Class A</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Data Analysis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5/7/2012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5,773,690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16,189,935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31,582,084</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tcPr>
          <w:p>
            <w:pPr>
              <w:spacing w:after="0"/>
              <w:rPr>
                <w:sz w:val="12"/>
                <w:szCs w:val="12"/>
                <w:color w:val="auto"/>
              </w:rPr>
            </w:pPr>
          </w:p>
        </w:tc>
        <w:tc>
          <w:tcPr>
            <w:tcW w:w="2980" w:type="dxa"/>
            <w:vAlign w:val="bottom"/>
            <w:tcBorders>
              <w:top w:val="single" w:sz="8" w:color="CCEEFF"/>
            </w:tcBorders>
            <w:gridSpan w:val="15"/>
          </w:tcPr>
          <w:p>
            <w:pPr>
              <w:spacing w:after="0" w:line="142" w:lineRule="exact"/>
              <w:rPr>
                <w:sz w:val="20"/>
                <w:szCs w:val="20"/>
                <w:color w:val="auto"/>
              </w:rPr>
            </w:pPr>
            <w:r>
              <w:rPr>
                <w:rFonts w:ascii="Arial" w:cs="Arial" w:eastAsia="Arial" w:hAnsi="Arial"/>
                <w:sz w:val="14"/>
                <w:szCs w:val="14"/>
                <w:b w:val="1"/>
                <w:bCs w:val="1"/>
                <w:color w:val="auto"/>
              </w:rPr>
              <w:t>Course Hero, Inc.</w:t>
            </w:r>
          </w:p>
        </w:tc>
        <w:tc>
          <w:tcPr>
            <w:tcW w:w="10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4"/>
              </w:rPr>
              <w:t>Redwood City, CA</w:t>
            </w:r>
          </w:p>
        </w:tc>
        <w:tc>
          <w:tcPr>
            <w:tcW w:w="100" w:type="dxa"/>
            <w:vAlign w:val="bottom"/>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Online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9/18/2014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2,145,509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5,000,001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25,674,019</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tcPr>
          <w:p>
            <w:pPr>
              <w:spacing w:after="0"/>
              <w:rPr>
                <w:sz w:val="12"/>
                <w:szCs w:val="12"/>
                <w:color w:val="auto"/>
              </w:rPr>
            </w:pPr>
          </w:p>
        </w:tc>
        <w:tc>
          <w:tcPr>
            <w:tcW w:w="2980" w:type="dxa"/>
            <w:vAlign w:val="bottom"/>
            <w:tcBorders>
              <w:top w:val="single" w:sz="8" w:color="CCEEFF"/>
            </w:tcBorders>
            <w:gridSpan w:val="15"/>
          </w:tcPr>
          <w:p>
            <w:pPr>
              <w:spacing w:after="0" w:line="142" w:lineRule="exact"/>
              <w:rPr>
                <w:sz w:val="20"/>
                <w:szCs w:val="20"/>
                <w:color w:val="auto"/>
              </w:rPr>
            </w:pPr>
            <w:r>
              <w:rPr>
                <w:rFonts w:ascii="Arial" w:cs="Arial" w:eastAsia="Arial" w:hAnsi="Arial"/>
                <w:sz w:val="14"/>
                <w:szCs w:val="14"/>
                <w:b w:val="1"/>
                <w:bCs w:val="1"/>
                <w:color w:val="auto"/>
              </w:rPr>
              <w:t>Parchment, Inc.</w:t>
            </w:r>
          </w:p>
        </w:tc>
        <w:tc>
          <w:tcPr>
            <w:tcW w:w="10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2"/>
              </w:rPr>
              <w:t>Scottsdale, AZ</w:t>
            </w:r>
          </w:p>
        </w:tc>
        <w:tc>
          <w:tcPr>
            <w:tcW w:w="100" w:type="dxa"/>
            <w:vAlign w:val="bottom"/>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D 8%</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E-Transcript Exchange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10/1/2012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3,200,512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4,000,982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10,896,585</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tcPr>
          <w:p>
            <w:pPr>
              <w:spacing w:after="0"/>
              <w:rPr>
                <w:sz w:val="12"/>
                <w:szCs w:val="12"/>
                <w:color w:val="auto"/>
              </w:rPr>
            </w:pPr>
          </w:p>
        </w:tc>
        <w:tc>
          <w:tcPr>
            <w:tcW w:w="2980" w:type="dxa"/>
            <w:vAlign w:val="bottom"/>
            <w:tcBorders>
              <w:top w:val="single" w:sz="8" w:color="CCEEFF"/>
            </w:tcBorders>
            <w:gridSpan w:val="15"/>
          </w:tcPr>
          <w:p>
            <w:pPr>
              <w:spacing w:after="0" w:line="142" w:lineRule="exact"/>
              <w:rPr>
                <w:sz w:val="20"/>
                <w:szCs w:val="20"/>
                <w:color w:val="auto"/>
              </w:rPr>
            </w:pPr>
            <w:r>
              <w:rPr>
                <w:rFonts w:ascii="Arial" w:cs="Arial" w:eastAsia="Arial" w:hAnsi="Arial"/>
                <w:sz w:val="14"/>
                <w:szCs w:val="14"/>
                <w:b w:val="1"/>
                <w:bCs w:val="1"/>
                <w:color w:val="auto"/>
              </w:rPr>
              <w:t>Nextdoor.com, Inc.</w:t>
            </w:r>
          </w:p>
        </w:tc>
        <w:tc>
          <w:tcPr>
            <w:tcW w:w="100" w:type="dxa"/>
            <w:vAlign w:val="bottom"/>
            <w:tcBorders>
              <w:top w:val="single" w:sz="8" w:color="CCEEFF"/>
            </w:tcBorders>
          </w:tcPr>
          <w:p>
            <w:pPr>
              <w:spacing w:after="0"/>
              <w:rPr>
                <w:sz w:val="12"/>
                <w:szCs w:val="12"/>
                <w:color w:val="auto"/>
              </w:rPr>
            </w:pPr>
          </w:p>
        </w:tc>
        <w:tc>
          <w:tcPr>
            <w:tcW w:w="2280" w:type="dxa"/>
            <w:vAlign w:val="bottom"/>
            <w:tcBorders>
              <w:top w:val="single" w:sz="8" w:color="CCEEFF"/>
            </w:tcBorders>
          </w:tcPr>
          <w:p>
            <w:pPr>
              <w:jc w:val="center"/>
              <w:spacing w:after="0" w:line="142" w:lineRule="exact"/>
              <w:rPr>
                <w:sz w:val="20"/>
                <w:szCs w:val="20"/>
                <w:color w:val="auto"/>
              </w:rPr>
            </w:pPr>
            <w:r>
              <w:rPr>
                <w:rFonts w:ascii="Arial" w:cs="Arial" w:eastAsia="Arial" w:hAnsi="Arial"/>
                <w:sz w:val="14"/>
                <w:szCs w:val="14"/>
                <w:color w:val="auto"/>
                <w:w w:val="92"/>
              </w:rPr>
              <w:t>San Francisco, CA</w:t>
            </w:r>
          </w:p>
        </w:tc>
        <w:tc>
          <w:tcPr>
            <w:tcW w:w="100" w:type="dxa"/>
            <w:vAlign w:val="bottom"/>
          </w:tcPr>
          <w:p>
            <w:pPr>
              <w:spacing w:after="0"/>
              <w:rPr>
                <w:sz w:val="12"/>
                <w:szCs w:val="12"/>
                <w:color w:val="auto"/>
              </w:rPr>
            </w:pPr>
          </w:p>
        </w:tc>
        <w:tc>
          <w:tcPr>
            <w:tcW w:w="1140" w:type="dxa"/>
            <w:vAlign w:val="bottom"/>
            <w:tcBorders>
              <w:top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6"/>
              </w:rPr>
              <w:t>Social Networking</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9/27/2018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580,360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10,006,578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10,867,365</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Neutron Holdings, Inc. (d/b/a/ Lime)</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D 6%</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Micromobility</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1/25/2019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41,237,113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10,006,800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10,000,000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w w:val="99"/>
              </w:rPr>
              <w:t>Treehouse Real Estate Investment Trust,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Chicago, IL</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line="189" w:lineRule="exact"/>
              <w:rPr>
                <w:sz w:val="20"/>
                <w:szCs w:val="20"/>
                <w:color w:val="auto"/>
              </w:rPr>
            </w:pPr>
            <w:r>
              <w:rPr>
                <w:rFonts w:ascii="Arial" w:cs="Arial" w:eastAsia="Arial" w:hAnsi="Arial"/>
                <w:sz w:val="14"/>
                <w:szCs w:val="14"/>
                <w:color w:val="auto"/>
              </w:rPr>
              <w:t>Common shares***</w:t>
            </w:r>
            <w:r>
              <w:rPr>
                <w:rFonts w:ascii="Arial" w:cs="Arial" w:eastAsia="Arial" w:hAnsi="Arial"/>
                <w:sz w:val="18"/>
                <w:szCs w:val="18"/>
                <w:color w:val="auto"/>
                <w:vertAlign w:val="superscript"/>
              </w:rPr>
              <w:t>(11)</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Cannabis REIT</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312,500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7,500,000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7,384,738</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Enjoy Technology,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Menlo Park,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On-Demand Commerce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7/29/2015</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1,681,520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4,000,280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4,758,702</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2980" w:type="dxa"/>
            <w:vAlign w:val="bottom"/>
            <w:tcBorders>
              <w:bottom w:val="single" w:sz="8" w:color="CCEEFF"/>
            </w:tcBorders>
            <w:gridSpan w:val="15"/>
          </w:tcPr>
          <w:p>
            <w:pPr>
              <w:spacing w:after="0"/>
              <w:rPr>
                <w:sz w:val="20"/>
                <w:szCs w:val="20"/>
                <w:color w:val="auto"/>
              </w:rPr>
            </w:pPr>
            <w:r>
              <w:rPr>
                <w:rFonts w:ascii="Arial" w:cs="Arial" w:eastAsia="Arial" w:hAnsi="Arial"/>
                <w:sz w:val="14"/>
                <w:szCs w:val="14"/>
                <w:color w:val="auto"/>
              </w:rPr>
              <w:t>Preferred shares, Series A 6%</w:t>
            </w:r>
          </w:p>
        </w:tc>
        <w:tc>
          <w:tcPr>
            <w:tcW w:w="100" w:type="dxa"/>
            <w:vAlign w:val="bottom"/>
            <w:tcBorders>
              <w:bottom w:val="single" w:sz="8" w:color="CCEEFF"/>
            </w:tcBorders>
          </w:tcPr>
          <w:p>
            <w:pPr>
              <w:spacing w:after="0"/>
              <w:rPr>
                <w:sz w:val="15"/>
                <w:szCs w:val="15"/>
                <w:color w:val="auto"/>
              </w:rPr>
            </w:pPr>
          </w:p>
        </w:tc>
        <w:tc>
          <w:tcPr>
            <w:tcW w:w="2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4"/>
              </w:rPr>
              <w:t>10/16/2014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879,198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1,002,440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2,488,130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5,002,720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7,246,832</w:t>
            </w: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980" w:type="dxa"/>
            <w:vAlign w:val="bottom"/>
            <w:gridSpan w:val="15"/>
          </w:tcPr>
          <w:p>
            <w:pPr>
              <w:spacing w:after="0" w:line="129" w:lineRule="exact"/>
              <w:rPr>
                <w:sz w:val="20"/>
                <w:szCs w:val="20"/>
                <w:color w:val="auto"/>
              </w:rPr>
            </w:pPr>
            <w:r>
              <w:rPr>
                <w:rFonts w:ascii="Arial" w:cs="Arial" w:eastAsia="Arial" w:hAnsi="Arial"/>
                <w:sz w:val="14"/>
                <w:szCs w:val="14"/>
                <w:b w:val="1"/>
                <w:bCs w:val="1"/>
                <w:color w:val="auto"/>
              </w:rPr>
              <w:t>SharesPost, Inc.</w:t>
            </w:r>
          </w:p>
        </w:tc>
        <w:tc>
          <w:tcPr>
            <w:tcW w:w="100" w:type="dxa"/>
            <w:vAlign w:val="bottom"/>
          </w:tcPr>
          <w:p>
            <w:pPr>
              <w:spacing w:after="0"/>
              <w:rPr>
                <w:sz w:val="11"/>
                <w:szCs w:val="11"/>
                <w:color w:val="auto"/>
              </w:rPr>
            </w:pPr>
          </w:p>
        </w:tc>
        <w:tc>
          <w:tcPr>
            <w:tcW w:w="2380" w:type="dxa"/>
            <w:vAlign w:val="bottom"/>
            <w:gridSpan w:val="2"/>
          </w:tcPr>
          <w:p>
            <w:pPr>
              <w:jc w:val="center"/>
              <w:ind w:right="100"/>
              <w:spacing w:after="0" w:line="129" w:lineRule="exact"/>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0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Online Marketplace Finance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7/19/2011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1,771,653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2,259,716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6,186,877</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tcPr>
          <w:p>
            <w:pPr>
              <w:spacing w:after="0"/>
              <w:rPr>
                <w:sz w:val="15"/>
                <w:szCs w:val="15"/>
                <w:color w:val="auto"/>
              </w:rPr>
            </w:pPr>
          </w:p>
        </w:tc>
        <w:tc>
          <w:tcPr>
            <w:tcW w:w="2980" w:type="dxa"/>
            <w:vAlign w:val="bottom"/>
            <w:tcBorders>
              <w:top w:val="single" w:sz="8" w:color="CCEEFF"/>
              <w:bottom w:val="single" w:sz="8" w:color="CCEEFF"/>
            </w:tcBorders>
            <w:gridSpan w:val="15"/>
          </w:tcPr>
          <w:p>
            <w:pPr>
              <w:spacing w:after="0"/>
              <w:rPr>
                <w:sz w:val="20"/>
                <w:szCs w:val="20"/>
                <w:color w:val="auto"/>
              </w:rPr>
            </w:pPr>
            <w:r>
              <w:rPr>
                <w:rFonts w:ascii="Arial" w:cs="Arial" w:eastAsia="Arial" w:hAnsi="Arial"/>
                <w:sz w:val="14"/>
                <w:szCs w:val="14"/>
                <w:color w:val="auto"/>
              </w:rPr>
              <w:t>Common shares</w:t>
            </w:r>
          </w:p>
        </w:tc>
        <w:tc>
          <w:tcPr>
            <w:tcW w:w="100" w:type="dxa"/>
            <w:vAlign w:val="bottom"/>
            <w:tcBorders>
              <w:top w:val="single" w:sz="8" w:color="CCEEFF"/>
              <w:bottom w:val="single" w:sz="8" w:color="CCEEFF"/>
            </w:tcBorders>
          </w:tcPr>
          <w:p>
            <w:pPr>
              <w:spacing w:after="0"/>
              <w:rPr>
                <w:sz w:val="15"/>
                <w:szCs w:val="15"/>
                <w:color w:val="auto"/>
              </w:rPr>
            </w:pPr>
          </w:p>
        </w:tc>
        <w:tc>
          <w:tcPr>
            <w:tcW w:w="228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jc w:val="center"/>
              <w:spacing w:after="0"/>
              <w:rPr>
                <w:sz w:val="20"/>
                <w:szCs w:val="20"/>
                <w:color w:val="auto"/>
              </w:rPr>
            </w:pPr>
            <w:r>
              <w:rPr>
                <w:rFonts w:ascii="Arial" w:cs="Arial" w:eastAsia="Arial" w:hAnsi="Arial"/>
                <w:sz w:val="14"/>
                <w:szCs w:val="14"/>
                <w:color w:val="auto"/>
                <w:w w:val="93"/>
              </w:rPr>
              <w:t>7/20/2011</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4"/>
                <w:szCs w:val="14"/>
                <w:color w:val="auto"/>
              </w:rPr>
              <w:t>770,934</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123,987</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890,340</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15"/>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shd w:val="clear" w:color="auto" w:fill="CCEEFF"/>
          </w:tcPr>
          <w:p>
            <w:pPr>
              <w:spacing w:after="0"/>
              <w:rPr>
                <w:sz w:val="16"/>
                <w:szCs w:val="16"/>
                <w:color w:val="auto"/>
              </w:rPr>
            </w:pP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2,383,703</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7,077,217</w:t>
            </w: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15"/>
          </w:tcPr>
          <w:p>
            <w:pPr>
              <w:spacing w:after="0" w:line="142" w:lineRule="exact"/>
              <w:rPr>
                <w:sz w:val="20"/>
                <w:szCs w:val="20"/>
                <w:color w:val="auto"/>
              </w:rPr>
            </w:pPr>
            <w:r>
              <w:rPr>
                <w:rFonts w:ascii="Arial" w:cs="Arial" w:eastAsia="Arial" w:hAnsi="Arial"/>
                <w:sz w:val="14"/>
                <w:szCs w:val="14"/>
                <w:b w:val="1"/>
                <w:bCs w:val="1"/>
                <w:color w:val="auto"/>
              </w:rPr>
              <w:t>Aspiration Partners, Inc.</w:t>
            </w:r>
          </w:p>
        </w:tc>
        <w:tc>
          <w:tcPr>
            <w:tcW w:w="100" w:type="dxa"/>
            <w:vAlign w:val="bottom"/>
          </w:tcPr>
          <w:p>
            <w:pPr>
              <w:spacing w:after="0"/>
              <w:rPr>
                <w:sz w:val="12"/>
                <w:szCs w:val="12"/>
                <w:color w:val="auto"/>
              </w:rPr>
            </w:pPr>
          </w:p>
        </w:tc>
        <w:tc>
          <w:tcPr>
            <w:tcW w:w="2280" w:type="dxa"/>
            <w:vAlign w:val="bottom"/>
          </w:tcPr>
          <w:p>
            <w:pPr>
              <w:jc w:val="center"/>
              <w:spacing w:after="0" w:line="142" w:lineRule="exact"/>
              <w:rPr>
                <w:sz w:val="20"/>
                <w:szCs w:val="20"/>
                <w:color w:val="auto"/>
              </w:rPr>
            </w:pPr>
            <w:r>
              <w:rPr>
                <w:rFonts w:ascii="Arial" w:cs="Arial" w:eastAsia="Arial" w:hAnsi="Arial"/>
                <w:sz w:val="14"/>
                <w:szCs w:val="14"/>
                <w:color w:val="auto"/>
                <w:w w:val="96"/>
              </w:rPr>
              <w:t>Marina Del Rey, CA</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w:t>
            </w:r>
          </w:p>
        </w:tc>
        <w:tc>
          <w:tcPr>
            <w:tcW w:w="100" w:type="dxa"/>
            <w:vAlign w:val="bottom"/>
            <w:shd w:val="clear" w:color="auto" w:fill="CCEEFF"/>
          </w:tcPr>
          <w:p>
            <w:pPr>
              <w:spacing w:after="0"/>
              <w:rPr>
                <w:sz w:val="18"/>
                <w:szCs w:val="18"/>
                <w:color w:val="auto"/>
              </w:rPr>
            </w:pPr>
          </w:p>
        </w:tc>
        <w:tc>
          <w:tcPr>
            <w:tcW w:w="22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Financial Services</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8/11/2015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1,001,815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4,471,678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80" w:type="dxa"/>
            <w:vAlign w:val="bottom"/>
            <w:gridSpan w:val="15"/>
          </w:tcPr>
          <w:p>
            <w:pPr>
              <w:spacing w:after="0" w:line="135" w:lineRule="exact"/>
              <w:rPr>
                <w:sz w:val="20"/>
                <w:szCs w:val="20"/>
                <w:color w:val="auto"/>
              </w:rPr>
            </w:pPr>
            <w:r>
              <w:rPr>
                <w:rFonts w:ascii="Arial" w:cs="Arial" w:eastAsia="Arial" w:hAnsi="Arial"/>
                <w:sz w:val="14"/>
                <w:szCs w:val="14"/>
                <w:color w:val="auto"/>
              </w:rPr>
              <w:t>Convertible Promissory Note 5%, Due</w:t>
            </w:r>
          </w:p>
        </w:tc>
        <w:tc>
          <w:tcPr>
            <w:tcW w:w="1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3"/>
              </w:rPr>
              <w:t>8/12/2019</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280,000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281,190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321,168</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0.16</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90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1/31/2021***</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4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shd w:val="clear" w:color="auto" w:fill="CCEEFF"/>
          </w:tcPr>
          <w:p>
            <w:pPr>
              <w:spacing w:after="0"/>
              <w:rPr>
                <w:sz w:val="16"/>
                <w:szCs w:val="16"/>
                <w:color w:val="auto"/>
              </w:rPr>
            </w:pPr>
          </w:p>
        </w:tc>
        <w:tc>
          <w:tcPr>
            <w:tcW w:w="2980" w:type="dxa"/>
            <w:vAlign w:val="bottom"/>
            <w:tcBorders>
              <w:bottom w:val="single" w:sz="8" w:color="CCEEFF"/>
            </w:tcBorders>
            <w:gridSpan w:val="15"/>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1,283,005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4,792,846</w:t>
            </w: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15"/>
          </w:tcPr>
          <w:p>
            <w:pPr>
              <w:spacing w:after="0" w:line="142" w:lineRule="exact"/>
              <w:rPr>
                <w:sz w:val="20"/>
                <w:szCs w:val="20"/>
                <w:color w:val="auto"/>
              </w:rPr>
            </w:pPr>
            <w:r>
              <w:rPr>
                <w:rFonts w:ascii="Arial" w:cs="Arial" w:eastAsia="Arial" w:hAnsi="Arial"/>
                <w:sz w:val="14"/>
                <w:szCs w:val="14"/>
                <w:b w:val="1"/>
                <w:bCs w:val="1"/>
                <w:color w:val="auto"/>
              </w:rPr>
              <w:t>Clever,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2" w:lineRule="exact"/>
              <w:rPr>
                <w:sz w:val="20"/>
                <w:szCs w:val="20"/>
                <w:color w:val="auto"/>
              </w:rPr>
            </w:pPr>
            <w:r>
              <w:rPr>
                <w:rFonts w:ascii="Arial" w:cs="Arial" w:eastAsia="Arial" w:hAnsi="Arial"/>
                <w:sz w:val="14"/>
                <w:szCs w:val="14"/>
                <w:color w:val="auto"/>
                <w:w w:val="92"/>
              </w:rPr>
              <w:t>San Francisco,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2980" w:type="dxa"/>
            <w:vAlign w:val="bottom"/>
            <w:tcBorders>
              <w:bottom w:val="single" w:sz="8" w:color="CCEEFF"/>
            </w:tcBorders>
            <w:gridSpan w:val="15"/>
            <w:shd w:val="clear" w:color="auto" w:fill="CCEEFF"/>
          </w:tcPr>
          <w:p>
            <w:pPr>
              <w:spacing w:after="0"/>
              <w:rPr>
                <w:sz w:val="20"/>
                <w:szCs w:val="20"/>
                <w:color w:val="auto"/>
              </w:rPr>
            </w:pPr>
            <w:r>
              <w:rPr>
                <w:rFonts w:ascii="Arial" w:cs="Arial" w:eastAsia="Arial" w:hAnsi="Arial"/>
                <w:sz w:val="14"/>
                <w:szCs w:val="14"/>
                <w:color w:val="auto"/>
              </w:rPr>
              <w:t>Preferred shares, Series B 8%</w:t>
            </w:r>
          </w:p>
        </w:tc>
        <w:tc>
          <w:tcPr>
            <w:tcW w:w="100" w:type="dxa"/>
            <w:vAlign w:val="bottom"/>
            <w:tcBorders>
              <w:bottom w:val="single" w:sz="8" w:color="CCEEFF"/>
            </w:tcBorders>
            <w:shd w:val="clear" w:color="auto" w:fill="CCEEFF"/>
          </w:tcPr>
          <w:p>
            <w:pPr>
              <w:spacing w:after="0"/>
              <w:rPr>
                <w:sz w:val="17"/>
                <w:szCs w:val="17"/>
                <w:color w:val="auto"/>
              </w:rPr>
            </w:pP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Education Software</w:t>
            </w:r>
          </w:p>
        </w:tc>
        <w:tc>
          <w:tcPr>
            <w:tcW w:w="100" w:type="dxa"/>
            <w:vAlign w:val="bottom"/>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12/5/2014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1,799,047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2,000,601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2,000,001</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80" w:type="dxa"/>
            <w:vAlign w:val="bottom"/>
            <w:gridSpan w:val="15"/>
          </w:tcPr>
          <w:p>
            <w:pPr>
              <w:spacing w:after="0" w:line="142" w:lineRule="exact"/>
              <w:rPr>
                <w:sz w:val="20"/>
                <w:szCs w:val="20"/>
                <w:color w:val="auto"/>
              </w:rPr>
            </w:pPr>
            <w:r>
              <w:rPr>
                <w:rFonts w:ascii="Arial" w:cs="Arial" w:eastAsia="Arial" w:hAnsi="Arial"/>
                <w:sz w:val="14"/>
                <w:szCs w:val="14"/>
                <w:b w:val="1"/>
                <w:bCs w:val="1"/>
                <w:color w:val="auto"/>
              </w:rPr>
              <w:t>A Place for Rover Inc. (f/k/a DogVacay, Inc.)</w:t>
            </w:r>
          </w:p>
        </w:tc>
        <w:tc>
          <w:tcPr>
            <w:tcW w:w="100" w:type="dxa"/>
            <w:vAlign w:val="bottom"/>
          </w:tcPr>
          <w:p>
            <w:pPr>
              <w:spacing w:after="0"/>
              <w:rPr>
                <w:sz w:val="12"/>
                <w:szCs w:val="12"/>
                <w:color w:val="auto"/>
              </w:rPr>
            </w:pPr>
          </w:p>
        </w:tc>
        <w:tc>
          <w:tcPr>
            <w:tcW w:w="2280" w:type="dxa"/>
            <w:vAlign w:val="bottom"/>
          </w:tcPr>
          <w:p>
            <w:pPr>
              <w:jc w:val="center"/>
              <w:spacing w:after="0" w:line="142" w:lineRule="exact"/>
              <w:rPr>
                <w:sz w:val="20"/>
                <w:szCs w:val="20"/>
                <w:color w:val="auto"/>
              </w:rPr>
            </w:pPr>
            <w:r>
              <w:rPr>
                <w:rFonts w:ascii="Arial" w:cs="Arial" w:eastAsia="Arial" w:hAnsi="Arial"/>
                <w:sz w:val="14"/>
                <w:szCs w:val="14"/>
                <w:color w:val="auto"/>
                <w:w w:val="91"/>
              </w:rPr>
              <w:t>Seattle, WA</w:t>
            </w: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88"/>
              </w:rPr>
              <w:t>Peer-to-Peer Pet Services</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11/3/2014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707,991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2,506,119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963,533</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Tynker (f/k/a Neuron Fuel,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Computer Software</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8/8/2012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534,162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309,310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789,491</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4C Insights (f/k/a The Echo Systems Corp.)</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Chicago, IL</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4"/>
              </w:rPr>
              <w:t>Social Data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3/30/2012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436,219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1,436,404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21,499</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980" w:type="dxa"/>
            <w:vAlign w:val="bottom"/>
            <w:gridSpan w:val="15"/>
          </w:tcPr>
          <w:p>
            <w:pPr>
              <w:spacing w:after="0" w:line="149" w:lineRule="exact"/>
              <w:rPr>
                <w:sz w:val="20"/>
                <w:szCs w:val="20"/>
                <w:color w:val="auto"/>
              </w:rPr>
            </w:pPr>
            <w:r>
              <w:rPr>
                <w:rFonts w:ascii="Arial" w:cs="Arial" w:eastAsia="Arial" w:hAnsi="Arial"/>
                <w:sz w:val="14"/>
                <w:szCs w:val="14"/>
                <w:b w:val="1"/>
                <w:bCs w:val="1"/>
                <w:color w:val="auto"/>
              </w:rPr>
              <w:t>Fullbridge, Inc.</w:t>
            </w:r>
          </w:p>
        </w:tc>
        <w:tc>
          <w:tcPr>
            <w:tcW w:w="100" w:type="dxa"/>
            <w:vAlign w:val="bottom"/>
          </w:tcPr>
          <w:p>
            <w:pPr>
              <w:spacing w:after="0"/>
              <w:rPr>
                <w:sz w:val="12"/>
                <w:szCs w:val="12"/>
                <w:color w:val="auto"/>
              </w:rPr>
            </w:pPr>
          </w:p>
        </w:tc>
        <w:tc>
          <w:tcPr>
            <w:tcW w:w="23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8"/>
              </w:rPr>
              <w:t>Cambridge, MA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spacing w:after="0"/>
              <w:rPr>
                <w:sz w:val="20"/>
                <w:szCs w:val="20"/>
                <w:color w:val="auto"/>
              </w:rPr>
            </w:pPr>
            <w:r>
              <w:rPr>
                <w:rFonts w:ascii="Arial" w:cs="Arial" w:eastAsia="Arial" w:hAnsi="Arial"/>
                <w:sz w:val="14"/>
                <w:szCs w:val="14"/>
                <w:color w:val="auto"/>
              </w:rPr>
              <w:t>Common shares</w:t>
            </w:r>
          </w:p>
        </w:tc>
        <w:tc>
          <w:tcPr>
            <w:tcW w:w="100" w:type="dxa"/>
            <w:vAlign w:val="bottom"/>
            <w:shd w:val="clear" w:color="auto" w:fill="CCEEFF"/>
          </w:tcPr>
          <w:p>
            <w:pPr>
              <w:spacing w:after="0"/>
              <w:rPr>
                <w:sz w:val="16"/>
                <w:szCs w:val="16"/>
                <w:color w:val="auto"/>
              </w:rPr>
            </w:pP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Business Education</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517,917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6,150,506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80" w:type="dxa"/>
            <w:vAlign w:val="bottom"/>
            <w:gridSpan w:val="15"/>
          </w:tcPr>
          <w:p>
            <w:pPr>
              <w:spacing w:after="0" w:line="189" w:lineRule="exact"/>
              <w:rPr>
                <w:sz w:val="20"/>
                <w:szCs w:val="20"/>
                <w:color w:val="auto"/>
              </w:rPr>
            </w:pPr>
            <w:r>
              <w:rPr>
                <w:rFonts w:ascii="Arial" w:cs="Arial" w:eastAsia="Arial" w:hAnsi="Arial"/>
                <w:sz w:val="14"/>
                <w:szCs w:val="14"/>
                <w:color w:val="auto"/>
              </w:rPr>
              <w:t>Promissory Note 1.47%, Due 11/9/2021</w:t>
            </w:r>
            <w:r>
              <w:rPr>
                <w:rFonts w:ascii="Arial" w:cs="Arial" w:eastAsia="Arial" w:hAnsi="Arial"/>
                <w:sz w:val="18"/>
                <w:szCs w:val="18"/>
                <w:color w:val="auto"/>
                <w:vertAlign w:val="superscript"/>
              </w:rPr>
              <w:t>(4)</w:t>
            </w:r>
          </w:p>
        </w:tc>
        <w:tc>
          <w:tcPr>
            <w:tcW w:w="1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3/3/2016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2,270,458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2,270,858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980" w:type="dxa"/>
            <w:vAlign w:val="bottom"/>
            <w:tcBorders>
              <w:top w:val="single" w:sz="8" w:color="CCEEFF"/>
              <w:bottom w:val="single" w:sz="8" w:color="CCEEFF"/>
            </w:tcBorders>
            <w:gridSpan w:val="15"/>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8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8,421,364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980" w:type="dxa"/>
            <w:vAlign w:val="bottom"/>
            <w:gridSpan w:val="15"/>
            <w:shd w:val="clear" w:color="auto" w:fill="CCEEFF"/>
          </w:tcPr>
          <w:p>
            <w:pPr>
              <w:ind w:left="120"/>
              <w:spacing w:after="0"/>
              <w:rPr>
                <w:sz w:val="20"/>
                <w:szCs w:val="20"/>
                <w:color w:val="auto"/>
              </w:rPr>
            </w:pPr>
            <w:r>
              <w:rPr>
                <w:rFonts w:ascii="Arial" w:cs="Arial" w:eastAsia="Arial" w:hAnsi="Arial"/>
                <w:sz w:val="14"/>
                <w:szCs w:val="14"/>
                <w:b w:val="1"/>
                <w:bCs w:val="1"/>
                <w:color w:val="auto"/>
              </w:rPr>
              <w:t>Total Non-controlled/Non-affiliate</w:t>
            </w:r>
          </w:p>
        </w:tc>
        <w:tc>
          <w:tcPr>
            <w:tcW w:w="100" w:type="dxa"/>
            <w:vAlign w:val="bottom"/>
            <w:shd w:val="clear" w:color="auto" w:fill="CCEEFF"/>
          </w:tcPr>
          <w:p>
            <w:pPr>
              <w:spacing w:after="0"/>
              <w:rPr>
                <w:sz w:val="16"/>
                <w:szCs w:val="16"/>
                <w:color w:val="auto"/>
              </w:rPr>
            </w:pPr>
          </w:p>
        </w:tc>
        <w:tc>
          <w:tcPr>
            <w:tcW w:w="2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90,567,041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152,866,112</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76.46 %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-471170</wp:posOffset>
            </wp:positionV>
            <wp:extent cx="420052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0052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-2039620</wp:posOffset>
            </wp:positionV>
            <wp:extent cx="4200525" cy="2228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0052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-2553970</wp:posOffset>
            </wp:positionV>
            <wp:extent cx="42005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0052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-3059430</wp:posOffset>
            </wp:positionV>
            <wp:extent cx="4200525"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00525" cy="137160"/>
                    </a:xfrm>
                    <a:prstGeom prst="rect">
                      <a:avLst/>
                    </a:prstGeom>
                    <a:noFill/>
                  </pic:spPr>
                </pic:pic>
              </a:graphicData>
            </a:graphic>
          </wp:anchor>
        </w:drawing>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21" w:right="339" w:bottom="1440" w:gutter="0" w:footer="0" w:header="0"/>
        </w:sectPr>
      </w:pPr>
    </w:p>
    <w:bookmarkStart w:id="87" w:name="page88"/>
    <w:bookmarkEnd w:id="87"/>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100" w:type="dxa"/>
            <w:vAlign w:val="bottom"/>
          </w:tcPr>
          <w:p>
            <w:pPr>
              <w:spacing w:after="0"/>
              <w:rPr>
                <w:sz w:val="14"/>
                <w:szCs w:val="14"/>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Headquarters/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Date of Initial</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Shares/</w:t>
            </w:r>
          </w:p>
        </w:tc>
        <w:tc>
          <w:tcPr>
            <w:tcW w:w="22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 of Net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60" w:type="dxa"/>
            <w:vAlign w:val="bottom"/>
            <w:gridSpan w:val="7"/>
            <w:vMerge w:val="continue"/>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Investment</w:t>
            </w: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Principal</w:t>
            </w: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Borders>
              <w:top w:val="single" w:sz="8" w:color="auto"/>
            </w:tcBorders>
            <w:shd w:val="clear" w:color="auto" w:fill="CCEEFF"/>
          </w:tcPr>
          <w:p>
            <w:pPr>
              <w:spacing w:after="0"/>
              <w:rPr>
                <w:sz w:val="15"/>
                <w:szCs w:val="15"/>
                <w:color w:val="auto"/>
              </w:rPr>
            </w:pPr>
          </w:p>
        </w:tc>
        <w:tc>
          <w:tcPr>
            <w:tcW w:w="3060" w:type="dxa"/>
            <w:vAlign w:val="bottom"/>
            <w:tcBorders>
              <w:top w:val="single" w:sz="8" w:color="auto"/>
            </w:tcBorders>
            <w:gridSpan w:val="7"/>
            <w:shd w:val="clear" w:color="auto" w:fill="CCEEFF"/>
          </w:tcPr>
          <w:p>
            <w:pPr>
              <w:spacing w:after="0" w:line="184" w:lineRule="exact"/>
              <w:rPr>
                <w:sz w:val="20"/>
                <w:szCs w:val="20"/>
                <w:color w:val="auto"/>
              </w:rPr>
            </w:pPr>
            <w:r>
              <w:rPr>
                <w:rFonts w:ascii="Arial" w:cs="Arial" w:eastAsia="Arial" w:hAnsi="Arial"/>
                <w:sz w:val="14"/>
                <w:szCs w:val="14"/>
                <w:b w:val="1"/>
                <w:bCs w:val="1"/>
                <w:color w:val="auto"/>
              </w:rPr>
              <w:t>NON-CONTROLLED/AFFILIATE</w:t>
            </w:r>
            <w:r>
              <w:rPr>
                <w:rFonts w:ascii="Arial" w:cs="Arial" w:eastAsia="Arial" w:hAnsi="Arial"/>
                <w:sz w:val="18"/>
                <w:szCs w:val="18"/>
                <w:color w:val="auto"/>
                <w:vertAlign w:val="superscript"/>
              </w:rPr>
              <w:t>(1)</w:t>
            </w:r>
          </w:p>
        </w:tc>
        <w:tc>
          <w:tcPr>
            <w:tcW w:w="100" w:type="dxa"/>
            <w:vAlign w:val="bottom"/>
            <w:tcBorders>
              <w:top w:val="single" w:sz="8" w:color="CCEEFF"/>
            </w:tcBorders>
            <w:shd w:val="clear" w:color="auto" w:fill="CCEEFF"/>
          </w:tcPr>
          <w:p>
            <w:pPr>
              <w:spacing w:after="0"/>
              <w:rPr>
                <w:sz w:val="15"/>
                <w:szCs w:val="15"/>
                <w:color w:val="auto"/>
              </w:rPr>
            </w:pPr>
          </w:p>
        </w:tc>
        <w:tc>
          <w:tcPr>
            <w:tcW w:w="22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60" w:type="dxa"/>
            <w:vAlign w:val="bottom"/>
            <w:gridSpan w:val="7"/>
          </w:tcPr>
          <w:p>
            <w:pPr>
              <w:spacing w:after="0" w:line="149" w:lineRule="exact"/>
              <w:rPr>
                <w:sz w:val="20"/>
                <w:szCs w:val="20"/>
                <w:color w:val="auto"/>
              </w:rPr>
            </w:pPr>
            <w:r>
              <w:rPr>
                <w:rFonts w:ascii="Arial" w:cs="Arial" w:eastAsia="Arial" w:hAnsi="Arial"/>
                <w:sz w:val="14"/>
                <w:szCs w:val="14"/>
                <w:b w:val="1"/>
                <w:bCs w:val="1"/>
                <w:color w:val="auto"/>
              </w:rPr>
              <w:t>Ozy Media, Inc.</w:t>
            </w:r>
          </w:p>
        </w:tc>
        <w:tc>
          <w:tcPr>
            <w:tcW w:w="10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Mountain View, CA</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line="189" w:lineRule="exact"/>
              <w:rPr>
                <w:sz w:val="20"/>
                <w:szCs w:val="20"/>
                <w:color w:val="auto"/>
              </w:rPr>
            </w:pPr>
            <w:r>
              <w:rPr>
                <w:rFonts w:ascii="Arial" w:cs="Arial" w:eastAsia="Arial" w:hAnsi="Arial"/>
                <w:sz w:val="14"/>
                <w:szCs w:val="14"/>
                <w:color w:val="auto"/>
              </w:rPr>
              <w:t>Preferred shares, Series C-2 6%</w:t>
            </w:r>
            <w:r>
              <w:rPr>
                <w:rFonts w:ascii="Arial" w:cs="Arial" w:eastAsia="Arial" w:hAnsi="Arial"/>
                <w:sz w:val="18"/>
                <w:szCs w:val="18"/>
                <w:color w:val="auto"/>
                <w:vertAlign w:val="superscript"/>
              </w:rPr>
              <w:t>(7)</w:t>
            </w:r>
          </w:p>
        </w:tc>
        <w:tc>
          <w:tcPr>
            <w:tcW w:w="10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9"/>
              </w:rPr>
              <w:t>Digital Media Platform</w:t>
            </w: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9/11/2019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683,482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2,414,178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2,970,252</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Arial" w:cs="Arial" w:eastAsia="Arial" w:hAnsi="Arial"/>
                <w:sz w:val="14"/>
                <w:szCs w:val="14"/>
                <w:color w:val="auto"/>
                <w:w w:val="99"/>
              </w:rPr>
              <w:t>Common Warrants, Strike Price $0.01, Expiration</w:t>
            </w: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5"/>
              </w:rPr>
              <w:t>4/9/2018</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295,565</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30,647</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1,182,260</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0.59</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Date 4/9/2028</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B 6%</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10/3/2014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922,509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4,999,999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5,001,420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Preferred shares, Series A 6%</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12/11/2013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1,090,909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3,000,200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4,528,107</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2.27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Seed 6%</w:t>
            </w:r>
          </w:p>
        </w:tc>
        <w:tc>
          <w:tcPr>
            <w:tcW w:w="10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11/2/2012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2,002,143</w:t>
            </w:r>
          </w:p>
        </w:tc>
        <w:tc>
          <w:tcPr>
            <w:tcW w:w="12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10,945,024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15,684,182</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StormWind, LLC</w:t>
            </w:r>
            <w:r>
              <w:rPr>
                <w:rFonts w:ascii="Arial" w:cs="Arial" w:eastAsia="Arial" w:hAnsi="Arial"/>
                <w:sz w:val="15"/>
                <w:szCs w:val="15"/>
                <w:color w:val="auto"/>
                <w:vertAlign w:val="superscript"/>
              </w:rPr>
              <w:t>(5)</w:t>
            </w:r>
          </w:p>
        </w:tc>
        <w:tc>
          <w:tcPr>
            <w:tcW w:w="1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4"/>
                <w:szCs w:val="14"/>
                <w:color w:val="auto"/>
                <w:w w:val="92"/>
              </w:rPr>
              <w:t>Scottsdale, AZ</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line="189" w:lineRule="exact"/>
              <w:rPr>
                <w:sz w:val="20"/>
                <w:szCs w:val="20"/>
                <w:color w:val="auto"/>
              </w:rPr>
            </w:pPr>
            <w:r>
              <w:rPr>
                <w:rFonts w:ascii="Arial" w:cs="Arial" w:eastAsia="Arial" w:hAnsi="Arial"/>
                <w:sz w:val="14"/>
                <w:szCs w:val="14"/>
                <w:color w:val="auto"/>
              </w:rPr>
              <w:t>Preferred shares, Series D 8%</w:t>
            </w:r>
            <w:r>
              <w:rPr>
                <w:rFonts w:ascii="Arial" w:cs="Arial" w:eastAsia="Arial" w:hAnsi="Arial"/>
                <w:sz w:val="18"/>
                <w:szCs w:val="18"/>
                <w:color w:val="auto"/>
                <w:vertAlign w:val="superscript"/>
              </w:rPr>
              <w:t>(10)</w:t>
            </w:r>
          </w:p>
        </w:tc>
        <w:tc>
          <w:tcPr>
            <w:tcW w:w="10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Interactive Learning</w:t>
            </w: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11/26/2019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329,337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257,267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503,120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2,779,134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4,000,787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5,391,000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Preferred shares, Series B 8%</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1"/>
              </w:rPr>
              <w:t>12/16/2011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3,279,629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2,019,687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3,248,804</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A 8%</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2/25/2014</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366,666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110,000</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157,949</w:t>
            </w: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6,387,741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9,300,873</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6"/>
        </w:trPr>
        <w:tc>
          <w:tcPr>
            <w:tcW w:w="20" w:type="dxa"/>
            <w:vAlign w:val="bottom"/>
            <w:tcBorders>
              <w:bottom w:val="single" w:sz="8" w:color="CCEEFF"/>
            </w:tcBorders>
            <w:shd w:val="clear" w:color="auto" w:fill="CCEEFF"/>
          </w:tcPr>
          <w:p>
            <w:pPr>
              <w:spacing w:after="0"/>
              <w:rPr>
                <w:sz w:val="14"/>
                <w:szCs w:val="14"/>
                <w:color w:val="auto"/>
              </w:rPr>
            </w:pPr>
          </w:p>
        </w:tc>
        <w:tc>
          <w:tcPr>
            <w:tcW w:w="2020" w:type="dxa"/>
            <w:vAlign w:val="bottom"/>
            <w:tcBorders>
              <w:bottom w:val="single" w:sz="8" w:color="auto"/>
            </w:tcBorders>
            <w:gridSpan w:val="5"/>
            <w:shd w:val="clear" w:color="auto" w:fill="CCEEFF"/>
          </w:tcPr>
          <w:p>
            <w:pPr>
              <w:spacing w:after="0" w:line="145" w:lineRule="exact"/>
              <w:rPr>
                <w:sz w:val="20"/>
                <w:szCs w:val="20"/>
                <w:color w:val="auto"/>
              </w:rPr>
            </w:pPr>
            <w:r>
              <w:rPr>
                <w:rFonts w:ascii="Arial" w:cs="Arial" w:eastAsia="Arial" w:hAnsi="Arial"/>
                <w:sz w:val="14"/>
                <w:szCs w:val="14"/>
                <w:b w:val="1"/>
                <w:bCs w:val="1"/>
                <w:color w:val="auto"/>
                <w:w w:val="92"/>
              </w:rPr>
              <w:t>GreenAcreage Real Estate Corp.</w:t>
            </w:r>
          </w:p>
        </w:tc>
        <w:tc>
          <w:tcPr>
            <w:tcW w:w="1040" w:type="dxa"/>
            <w:vAlign w:val="bottom"/>
            <w:tcBorders>
              <w:bottom w:val="single" w:sz="8" w:color="CCEEFF"/>
            </w:tcBorders>
            <w:gridSpan w:val="2"/>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0" w:type="dxa"/>
            <w:vAlign w:val="bottom"/>
            <w:tcBorders>
              <w:bottom w:val="single" w:sz="8" w:color="CCEEFF"/>
            </w:tcBorders>
            <w:shd w:val="clear" w:color="auto" w:fill="CCEEFF"/>
          </w:tcPr>
          <w:p>
            <w:pPr>
              <w:jc w:val="center"/>
              <w:spacing w:after="0" w:line="145" w:lineRule="exact"/>
              <w:rPr>
                <w:sz w:val="20"/>
                <w:szCs w:val="20"/>
                <w:color w:val="auto"/>
              </w:rPr>
            </w:pPr>
            <w:r>
              <w:rPr>
                <w:rFonts w:ascii="Arial" w:cs="Arial" w:eastAsia="Arial" w:hAnsi="Arial"/>
                <w:sz w:val="14"/>
                <w:szCs w:val="14"/>
                <w:color w:val="auto"/>
              </w:rPr>
              <w:t>New York, NY</w:t>
            </w:r>
          </w:p>
        </w:tc>
        <w:tc>
          <w:tcPr>
            <w:tcW w:w="10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Common shares</w:t>
            </w:r>
          </w:p>
        </w:tc>
        <w:tc>
          <w:tcPr>
            <w:tcW w:w="10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Cannabis REIT</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8/12/2019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375,000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7,501,530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7,500,000</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2280" w:type="dxa"/>
            <w:vAlign w:val="bottom"/>
            <w:tcBorders>
              <w:bottom w:val="single" w:sz="8" w:color="auto"/>
            </w:tcBorders>
            <w:gridSpan w:val="6"/>
            <w:shd w:val="clear" w:color="auto" w:fill="CCEEFF"/>
          </w:tcPr>
          <w:p>
            <w:pPr>
              <w:spacing w:after="0" w:line="152" w:lineRule="exact"/>
              <w:rPr>
                <w:sz w:val="20"/>
                <w:szCs w:val="20"/>
                <w:color w:val="auto"/>
              </w:rPr>
            </w:pPr>
            <w:r>
              <w:rPr>
                <w:rFonts w:ascii="Arial" w:cs="Arial" w:eastAsia="Arial" w:hAnsi="Arial"/>
                <w:sz w:val="14"/>
                <w:szCs w:val="14"/>
                <w:b w:val="1"/>
                <w:bCs w:val="1"/>
                <w:color w:val="auto"/>
                <w:w w:val="93"/>
              </w:rPr>
              <w:t>NestGSV, Inc. (d/b/a OneValley, Inc.)</w:t>
            </w: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300" w:type="dxa"/>
            <w:vAlign w:val="bottom"/>
            <w:tcBorders>
              <w:bottom w:val="single" w:sz="8" w:color="CCEEFF"/>
            </w:tcBorders>
            <w:gridSpan w:val="2"/>
            <w:shd w:val="clear" w:color="auto" w:fill="CCEEFF"/>
          </w:tcPr>
          <w:p>
            <w:pPr>
              <w:jc w:val="center"/>
              <w:ind w:right="100"/>
              <w:spacing w:after="0" w:line="152" w:lineRule="exact"/>
              <w:rPr>
                <w:sz w:val="20"/>
                <w:szCs w:val="20"/>
                <w:color w:val="auto"/>
              </w:rPr>
            </w:pPr>
            <w:r>
              <w:rPr>
                <w:rFonts w:ascii="Arial" w:cs="Arial" w:eastAsia="Arial" w:hAnsi="Arial"/>
                <w:sz w:val="14"/>
                <w:szCs w:val="14"/>
                <w:color w:val="auto"/>
                <w:w w:val="92"/>
              </w:rPr>
              <w:t>San Mateo, CA</w:t>
            </w:r>
          </w:p>
        </w:tc>
        <w:tc>
          <w:tcPr>
            <w:tcW w:w="1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line="189" w:lineRule="exact"/>
              <w:rPr>
                <w:sz w:val="20"/>
                <w:szCs w:val="20"/>
                <w:color w:val="auto"/>
              </w:rPr>
            </w:pPr>
            <w:r>
              <w:rPr>
                <w:rFonts w:ascii="Arial" w:cs="Arial" w:eastAsia="Arial" w:hAnsi="Arial"/>
                <w:sz w:val="14"/>
                <w:szCs w:val="14"/>
                <w:color w:val="auto"/>
              </w:rPr>
              <w:t>Derivative Security, Expiration Date 8/23/2024</w:t>
            </w:r>
            <w:r>
              <w:rPr>
                <w:rFonts w:ascii="Arial" w:cs="Arial" w:eastAsia="Arial" w:hAnsi="Arial"/>
                <w:sz w:val="18"/>
                <w:szCs w:val="18"/>
                <w:color w:val="auto"/>
                <w:vertAlign w:val="superscript"/>
              </w:rPr>
              <w:t>(9)</w:t>
            </w:r>
          </w:p>
        </w:tc>
        <w:tc>
          <w:tcPr>
            <w:tcW w:w="10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Global Innovation Platform</w:t>
            </w: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8/23/2019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8,555,124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3,880,621</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1.94</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color w:val="auto"/>
                <w:w w:val="96"/>
              </w:rPr>
              <w:t>Convertible Promissory Note 8% Due 8/23/2024***</w:t>
            </w:r>
          </w:p>
        </w:tc>
        <w:tc>
          <w:tcPr>
            <w:tcW w:w="1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2/17/2016</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1,010,198</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1,030,176</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1,010,198</w:t>
            </w:r>
          </w:p>
        </w:tc>
        <w:tc>
          <w:tcPr>
            <w:tcW w:w="12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5"/>
        </w:trPr>
        <w:tc>
          <w:tcPr>
            <w:tcW w:w="1000" w:type="dxa"/>
            <w:vAlign w:val="bottom"/>
            <w:gridSpan w:val="2"/>
            <w:shd w:val="clear" w:color="auto" w:fill="CCEEFF"/>
          </w:tcPr>
          <w:p>
            <w:pPr>
              <w:ind w:left="20"/>
              <w:spacing w:after="0"/>
              <w:rPr>
                <w:sz w:val="20"/>
                <w:szCs w:val="20"/>
                <w:color w:val="auto"/>
              </w:rPr>
            </w:pPr>
            <w:r>
              <w:rPr>
                <w:rFonts w:ascii="Arial" w:cs="Arial" w:eastAsia="Arial" w:hAnsi="Arial"/>
                <w:sz w:val="9"/>
                <w:szCs w:val="9"/>
                <w:color w:val="auto"/>
              </w:rPr>
              <w:t>(9)</w:t>
            </w: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Arial" w:cs="Arial" w:eastAsia="Arial" w:hAnsi="Arial"/>
                <w:sz w:val="14"/>
                <w:szCs w:val="14"/>
                <w:color w:val="auto"/>
                <w:w w:val="97"/>
              </w:rPr>
              <w:t>Preferred Warrants Series A-3, Strike Price $1.33,</w:t>
            </w: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5"/>
              </w:rPr>
              <w:t>4/4/2014</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187,500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20,625</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0.01</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Expiration Date 4/4/2021</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w w:val="97"/>
              </w:rPr>
              <w:t>Preferred Warrants Series A-4, Strike Price $1.33,</w:t>
            </w: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10/6/2014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135,000</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10/6/2021</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Arial" w:cs="Arial" w:eastAsia="Arial" w:hAnsi="Arial"/>
                <w:sz w:val="14"/>
                <w:szCs w:val="14"/>
                <w:color w:val="auto"/>
                <w:w w:val="97"/>
              </w:rPr>
              <w:t>Preferred Warrants Series A-4, Strike Price $1.33,</w:t>
            </w: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5"/>
              </w:rPr>
              <w:t>7/8/2016</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74,380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62,500</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0.03</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Expiration Date 7/18/2021</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Preferred Warrants Series B, Strike Price $2.31,</w:t>
            </w: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1"/>
              </w:rPr>
              <w:t>11/29/2016</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29,275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11/29/2021</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Arial" w:cs="Arial" w:eastAsia="Arial" w:hAnsi="Arial"/>
                <w:sz w:val="14"/>
                <w:szCs w:val="14"/>
                <w:color w:val="auto"/>
              </w:rPr>
              <w:t>Preferred Warrant Series B, Strike Price $2.31,</w:t>
            </w:r>
          </w:p>
        </w:tc>
        <w:tc>
          <w:tcPr>
            <w:tcW w:w="1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3"/>
              </w:rPr>
              <w:t>5/29/2017</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70,379</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Expiration Date 5/29/2022</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Preferred Warrant Series B, Strike Price $2.31,</w:t>
            </w: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4"/>
              </w:rPr>
              <w:t>12/31/2018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0.00</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12/31/2023</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9,764,414</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5,111,444</w:t>
            </w: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32"/>
        </w:trPr>
        <w:tc>
          <w:tcPr>
            <w:tcW w:w="20" w:type="dxa"/>
            <w:vAlign w:val="bottom"/>
            <w:shd w:val="clear" w:color="auto" w:fill="CCEEFF"/>
          </w:tcPr>
          <w:p>
            <w:pPr>
              <w:spacing w:after="0"/>
              <w:rPr>
                <w:sz w:val="11"/>
                <w:szCs w:val="11"/>
                <w:color w:val="auto"/>
              </w:rPr>
            </w:pPr>
          </w:p>
        </w:tc>
        <w:tc>
          <w:tcPr>
            <w:tcW w:w="3060" w:type="dxa"/>
            <w:vAlign w:val="bottom"/>
            <w:gridSpan w:val="7"/>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CUX, Inc. (d/b/a CorpU)</w:t>
            </w:r>
          </w:p>
        </w:tc>
        <w:tc>
          <w:tcPr>
            <w:tcW w:w="100" w:type="dxa"/>
            <w:vAlign w:val="bottom"/>
            <w:shd w:val="clear" w:color="auto" w:fill="CCEEFF"/>
          </w:tcPr>
          <w:p>
            <w:pPr>
              <w:spacing w:after="0"/>
              <w:rPr>
                <w:sz w:val="11"/>
                <w:szCs w:val="11"/>
                <w:color w:val="auto"/>
              </w:rPr>
            </w:pPr>
          </w:p>
        </w:tc>
        <w:tc>
          <w:tcPr>
            <w:tcW w:w="2300" w:type="dxa"/>
            <w:vAlign w:val="bottom"/>
            <w:gridSpan w:val="2"/>
            <w:shd w:val="clear" w:color="auto" w:fill="CCEEFF"/>
          </w:tcPr>
          <w:p>
            <w:pPr>
              <w:jc w:val="center"/>
              <w:ind w:right="100"/>
              <w:spacing w:after="0" w:line="132" w:lineRule="exact"/>
              <w:rPr>
                <w:sz w:val="20"/>
                <w:szCs w:val="20"/>
                <w:color w:val="auto"/>
              </w:rPr>
            </w:pPr>
            <w:r>
              <w:rPr>
                <w:rFonts w:ascii="Arial" w:cs="Arial" w:eastAsia="Arial" w:hAnsi="Arial"/>
                <w:sz w:val="14"/>
                <w:szCs w:val="14"/>
                <w:color w:val="auto"/>
                <w:w w:val="93"/>
              </w:rPr>
              <w:t>Philadelphia, PA</w:t>
            </w: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060" w:type="dxa"/>
            <w:vAlign w:val="bottom"/>
            <w:gridSpan w:val="7"/>
          </w:tcPr>
          <w:p>
            <w:pPr>
              <w:spacing w:after="0" w:line="135" w:lineRule="exact"/>
              <w:rPr>
                <w:sz w:val="20"/>
                <w:szCs w:val="20"/>
                <w:color w:val="auto"/>
              </w:rPr>
            </w:pPr>
            <w:r>
              <w:rPr>
                <w:rFonts w:ascii="Arial" w:cs="Arial" w:eastAsia="Arial" w:hAnsi="Arial"/>
                <w:sz w:val="14"/>
                <w:szCs w:val="14"/>
                <w:color w:val="auto"/>
                <w:w w:val="98"/>
              </w:rPr>
              <w:t>Senior Subordinated Convertible Promissory Note</w:t>
            </w:r>
          </w:p>
        </w:tc>
        <w:tc>
          <w:tcPr>
            <w:tcW w:w="100" w:type="dxa"/>
            <w:vAlign w:val="bottom"/>
          </w:tcPr>
          <w:p>
            <w:pPr>
              <w:spacing w:after="0"/>
              <w:rPr>
                <w:sz w:val="11"/>
                <w:szCs w:val="11"/>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3"/>
              </w:rPr>
              <w:t>Corporate Education</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auto"/>
                <w:w w:val="91"/>
              </w:rPr>
              <w:t>11/26/2014</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1,251,158</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1,256,191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312,789</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0.15</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60" w:type="dxa"/>
            <w:vAlign w:val="bottom"/>
            <w:gridSpan w:val="7"/>
          </w:tcPr>
          <w:p>
            <w:pPr>
              <w:spacing w:after="0" w:line="189" w:lineRule="exact"/>
              <w:rPr>
                <w:sz w:val="20"/>
                <w:szCs w:val="20"/>
                <w:color w:val="auto"/>
              </w:rPr>
            </w:pPr>
            <w:r>
              <w:rPr>
                <w:rFonts w:ascii="Arial" w:cs="Arial" w:eastAsia="Arial" w:hAnsi="Arial"/>
                <w:sz w:val="14"/>
                <w:szCs w:val="14"/>
                <w:color w:val="auto"/>
              </w:rPr>
              <w:t>4% Due 2/14/2023</w:t>
            </w:r>
            <w:r>
              <w:rPr>
                <w:rFonts w:ascii="Arial" w:cs="Arial" w:eastAsia="Arial" w:hAnsi="Arial"/>
                <w:sz w:val="18"/>
                <w:szCs w:val="18"/>
                <w:color w:val="auto"/>
                <w:vertAlign w:val="superscript"/>
              </w:rPr>
              <w:t>(4)(6)</w:t>
            </w:r>
          </w:p>
        </w:tc>
        <w:tc>
          <w:tcPr>
            <w:tcW w:w="100" w:type="dxa"/>
            <w:vAlign w:val="bottom"/>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Convertible preferred shares, Series D 6%</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169,033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778,607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34,980</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Convertible preferred shares, Series C 8%</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color w:val="auto"/>
                <w:w w:val="93"/>
              </w:rPr>
              <w:t>3/29/2012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615,763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2,006,077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060" w:type="dxa"/>
            <w:vAlign w:val="bottom"/>
            <w:gridSpan w:val="7"/>
            <w:shd w:val="clear" w:color="auto" w:fill="CCEEFF"/>
          </w:tcPr>
          <w:p>
            <w:pPr>
              <w:spacing w:after="0" w:line="139" w:lineRule="exact"/>
              <w:rPr>
                <w:sz w:val="20"/>
                <w:szCs w:val="20"/>
                <w:color w:val="auto"/>
              </w:rPr>
            </w:pPr>
            <w:r>
              <w:rPr>
                <w:rFonts w:ascii="Arial" w:cs="Arial" w:eastAsia="Arial" w:hAnsi="Arial"/>
                <w:sz w:val="14"/>
                <w:szCs w:val="14"/>
                <w:color w:val="auto"/>
              </w:rPr>
              <w:t>Preferred Warrants Series D, Strike Price $4.59,</w:t>
            </w:r>
          </w:p>
        </w:tc>
        <w:tc>
          <w:tcPr>
            <w:tcW w:w="100" w:type="dxa"/>
            <w:vAlign w:val="bottom"/>
            <w:shd w:val="clear" w:color="auto" w:fill="CCEEFF"/>
          </w:tcPr>
          <w:p>
            <w:pPr>
              <w:spacing w:after="0"/>
              <w:rPr>
                <w:sz w:val="12"/>
                <w:szCs w:val="12"/>
                <w:color w:val="auto"/>
              </w:rPr>
            </w:pPr>
          </w:p>
        </w:tc>
        <w:tc>
          <w:tcPr>
            <w:tcW w:w="2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3"/>
              </w:rPr>
              <w:t>5/31/2013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16,903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Expiration Date 2/14/2020</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7"/>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4,040,875</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347,769</w:t>
            </w:r>
          </w:p>
        </w:tc>
        <w:tc>
          <w:tcPr>
            <w:tcW w:w="120" w:type="dxa"/>
            <w:vAlign w:val="bottom"/>
            <w:tcBorders>
              <w:bottom w:val="single" w:sz="8" w:color="CCEEFF"/>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auto"/>
            </w:tcBorders>
            <w:gridSpan w:val="3"/>
            <w:shd w:val="clear" w:color="auto" w:fill="CCEEFF"/>
          </w:tcPr>
          <w:p>
            <w:pPr>
              <w:spacing w:after="0" w:line="132" w:lineRule="exact"/>
              <w:rPr>
                <w:sz w:val="20"/>
                <w:szCs w:val="20"/>
                <w:color w:val="auto"/>
              </w:rPr>
            </w:pPr>
            <w:r>
              <w:rPr>
                <w:rFonts w:ascii="Arial" w:cs="Arial" w:eastAsia="Arial" w:hAnsi="Arial"/>
                <w:sz w:val="14"/>
                <w:szCs w:val="14"/>
                <w:b w:val="1"/>
                <w:bCs w:val="1"/>
                <w:color w:val="auto"/>
                <w:w w:val="92"/>
              </w:rPr>
              <w:t>Maven Research, Inc.</w:t>
            </w:r>
          </w:p>
        </w:tc>
        <w:tc>
          <w:tcPr>
            <w:tcW w:w="1720" w:type="dxa"/>
            <w:vAlign w:val="bottom"/>
            <w:tcBorders>
              <w:bottom w:val="single" w:sz="8" w:color="CCEEFF"/>
            </w:tcBorders>
            <w:gridSpan w:val="4"/>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gridSpan w:val="2"/>
            <w:shd w:val="clear" w:color="auto" w:fill="CCEEFF"/>
          </w:tcPr>
          <w:p>
            <w:pPr>
              <w:jc w:val="center"/>
              <w:ind w:right="100"/>
              <w:spacing w:after="0" w:line="132" w:lineRule="exact"/>
              <w:rPr>
                <w:sz w:val="20"/>
                <w:szCs w:val="20"/>
                <w:color w:val="auto"/>
              </w:rPr>
            </w:pPr>
            <w:r>
              <w:rPr>
                <w:rFonts w:ascii="Arial" w:cs="Arial" w:eastAsia="Arial" w:hAnsi="Arial"/>
                <w:sz w:val="14"/>
                <w:szCs w:val="14"/>
                <w:color w:val="auto"/>
                <w:w w:val="92"/>
              </w:rPr>
              <w:t>San Francisco, CA</w:t>
            </w: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spacing w:after="0"/>
              <w:rPr>
                <w:sz w:val="20"/>
                <w:szCs w:val="20"/>
                <w:color w:val="auto"/>
              </w:rPr>
            </w:pPr>
            <w:r>
              <w:rPr>
                <w:rFonts w:ascii="Arial" w:cs="Arial" w:eastAsia="Arial" w:hAnsi="Arial"/>
                <w:sz w:val="14"/>
                <w:szCs w:val="14"/>
                <w:color w:val="auto"/>
              </w:rPr>
              <w:t>Preferred shares, Series C 8%</w:t>
            </w:r>
          </w:p>
        </w:tc>
        <w:tc>
          <w:tcPr>
            <w:tcW w:w="100" w:type="dxa"/>
            <w:vAlign w:val="bottom"/>
          </w:tcPr>
          <w:p>
            <w:pPr>
              <w:spacing w:after="0"/>
              <w:rPr>
                <w:sz w:val="16"/>
                <w:szCs w:val="16"/>
                <w:color w:val="auto"/>
              </w:rPr>
            </w:pPr>
          </w:p>
        </w:tc>
        <w:tc>
          <w:tcPr>
            <w:tcW w:w="2300" w:type="dxa"/>
            <w:vAlign w:val="bottom"/>
            <w:gridSpan w:val="2"/>
          </w:tcPr>
          <w:p>
            <w:pPr>
              <w:jc w:val="center"/>
              <w:ind w:right="80"/>
              <w:spacing w:after="0"/>
              <w:rPr>
                <w:sz w:val="20"/>
                <w:szCs w:val="20"/>
                <w:color w:val="auto"/>
              </w:rPr>
            </w:pPr>
            <w:r>
              <w:rPr>
                <w:rFonts w:ascii="Arial" w:cs="Arial" w:eastAsia="Arial" w:hAnsi="Arial"/>
                <w:sz w:val="14"/>
                <w:szCs w:val="14"/>
                <w:color w:val="auto"/>
                <w:w w:val="95"/>
              </w:rPr>
              <w:t>Knowledge Networks</w:t>
            </w:r>
          </w:p>
        </w:tc>
        <w:tc>
          <w:tcPr>
            <w:tcW w:w="1140" w:type="dxa"/>
            <w:vAlign w:val="bottom"/>
          </w:tcPr>
          <w:p>
            <w:pPr>
              <w:jc w:val="center"/>
              <w:spacing w:after="0"/>
              <w:rPr>
                <w:sz w:val="20"/>
                <w:szCs w:val="20"/>
                <w:color w:val="auto"/>
              </w:rPr>
            </w:pPr>
            <w:r>
              <w:rPr>
                <w:rFonts w:ascii="Arial" w:cs="Arial" w:eastAsia="Arial" w:hAnsi="Arial"/>
                <w:sz w:val="14"/>
                <w:szCs w:val="14"/>
                <w:color w:val="auto"/>
                <w:w w:val="95"/>
              </w:rPr>
              <w:t>7/2/2012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318,979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2,000,447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06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Preferred shares, Series B 5%</w:t>
            </w:r>
          </w:p>
        </w:tc>
        <w:tc>
          <w:tcPr>
            <w:tcW w:w="100" w:type="dxa"/>
            <w:vAlign w:val="bottom"/>
            <w:shd w:val="clear" w:color="auto" w:fill="CCEEFF"/>
          </w:tcPr>
          <w:p>
            <w:pPr>
              <w:spacing w:after="0"/>
              <w:rPr>
                <w:sz w:val="16"/>
                <w:szCs w:val="16"/>
                <w:color w:val="auto"/>
              </w:rPr>
            </w:pPr>
          </w:p>
        </w:tc>
        <w:tc>
          <w:tcPr>
            <w:tcW w:w="2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2/28/2012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217,206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79"/>
        </w:trPr>
        <w:tc>
          <w:tcPr>
            <w:tcW w:w="20" w:type="dxa"/>
            <w:vAlign w:val="bottom"/>
            <w:tcBorders>
              <w:top w:val="single" w:sz="8" w:color="CCEEFF"/>
              <w:bottom w:val="single" w:sz="8" w:color="CCEEFF"/>
            </w:tcBorders>
          </w:tcPr>
          <w:p>
            <w:pPr>
              <w:spacing w:after="0"/>
              <w:rPr>
                <w:sz w:val="15"/>
                <w:szCs w:val="15"/>
                <w:color w:val="auto"/>
              </w:rPr>
            </w:pPr>
          </w:p>
        </w:tc>
        <w:tc>
          <w:tcPr>
            <w:tcW w:w="3060" w:type="dxa"/>
            <w:vAlign w:val="bottom"/>
            <w:tcBorders>
              <w:top w:val="single" w:sz="8" w:color="CCEEFF"/>
              <w:bottom w:val="single" w:sz="8" w:color="CCEEFF"/>
            </w:tcBorders>
            <w:gridSpan w:val="7"/>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CCEEFF"/>
            </w:tcBorders>
          </w:tcPr>
          <w:p>
            <w:pPr>
              <w:spacing w:after="0"/>
              <w:rPr>
                <w:sz w:val="15"/>
                <w:szCs w:val="15"/>
                <w:color w:val="auto"/>
              </w:rPr>
            </w:pPr>
          </w:p>
        </w:tc>
        <w:tc>
          <w:tcPr>
            <w:tcW w:w="220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40" w:type="dxa"/>
            <w:vAlign w:val="bottom"/>
            <w:tcBorders>
              <w:top w:val="single" w:sz="8" w:color="CCEEFF"/>
              <w:bottom w:val="single" w:sz="8" w:color="CCEEFF"/>
            </w:tcBorders>
          </w:tcPr>
          <w:p>
            <w:pPr>
              <w:spacing w:after="0"/>
              <w:rPr>
                <w:sz w:val="15"/>
                <w:szCs w:val="15"/>
                <w:color w:val="auto"/>
              </w:rPr>
            </w:pPr>
          </w:p>
        </w:tc>
        <w:tc>
          <w:tcPr>
            <w:tcW w:w="120" w:type="dxa"/>
            <w:vAlign w:val="bottom"/>
            <w:tcBorders>
              <w:top w:val="single" w:sz="8" w:color="CCEEFF"/>
              <w:bottom w:val="single" w:sz="8" w:color="CCEEFF"/>
            </w:tcBorders>
          </w:tcPr>
          <w:p>
            <w:pPr>
              <w:spacing w:after="0"/>
              <w:rPr>
                <w:sz w:val="15"/>
                <w:szCs w:val="15"/>
                <w:color w:val="auto"/>
              </w:rPr>
            </w:pPr>
          </w:p>
        </w:tc>
        <w:tc>
          <w:tcPr>
            <w:tcW w:w="140" w:type="dxa"/>
            <w:vAlign w:val="bottom"/>
            <w:tcBorders>
              <w:top w:val="single" w:sz="8" w:color="CCEEFF"/>
              <w:bottom w:val="single" w:sz="8" w:color="CCEEFF"/>
            </w:tcBorders>
          </w:tcPr>
          <w:p>
            <w:pPr>
              <w:spacing w:after="0"/>
              <w:rPr>
                <w:sz w:val="15"/>
                <w:szCs w:val="15"/>
                <w:color w:val="auto"/>
              </w:rPr>
            </w:pPr>
          </w:p>
        </w:tc>
        <w:tc>
          <w:tcPr>
            <w:tcW w:w="840" w:type="dxa"/>
            <w:vAlign w:val="bottom"/>
            <w:tcBorders>
              <w:top w:val="single" w:sz="8" w:color="CCEEFF"/>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2,217,653</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3060" w:type="dxa"/>
            <w:vAlign w:val="bottom"/>
            <w:gridSpan w:val="7"/>
            <w:shd w:val="clear" w:color="auto" w:fill="CCEEFF"/>
          </w:tcPr>
          <w:p>
            <w:pPr>
              <w:spacing w:after="0" w:line="145" w:lineRule="exact"/>
              <w:rPr>
                <w:sz w:val="20"/>
                <w:szCs w:val="20"/>
                <w:color w:val="auto"/>
              </w:rPr>
            </w:pPr>
            <w:r>
              <w:rPr>
                <w:rFonts w:ascii="Arial" w:cs="Arial" w:eastAsia="Arial" w:hAnsi="Arial"/>
                <w:sz w:val="14"/>
                <w:szCs w:val="14"/>
                <w:b w:val="1"/>
                <w:bCs w:val="1"/>
                <w:color w:val="auto"/>
              </w:rPr>
              <w:t>Curious.com, Inc.</w:t>
            </w:r>
          </w:p>
        </w:tc>
        <w:tc>
          <w:tcPr>
            <w:tcW w:w="100" w:type="dxa"/>
            <w:vAlign w:val="bottom"/>
            <w:shd w:val="clear" w:color="auto" w:fill="CCEEFF"/>
          </w:tcPr>
          <w:p>
            <w:pPr>
              <w:spacing w:after="0"/>
              <w:rPr>
                <w:sz w:val="14"/>
                <w:szCs w:val="14"/>
                <w:color w:val="auto"/>
              </w:rPr>
            </w:pPr>
          </w:p>
        </w:tc>
        <w:tc>
          <w:tcPr>
            <w:tcW w:w="2200" w:type="dxa"/>
            <w:vAlign w:val="bottom"/>
            <w:shd w:val="clear" w:color="auto" w:fill="CCEEFF"/>
          </w:tcPr>
          <w:p>
            <w:pPr>
              <w:jc w:val="center"/>
              <w:spacing w:after="0" w:line="145" w:lineRule="exact"/>
              <w:rPr>
                <w:sz w:val="20"/>
                <w:szCs w:val="20"/>
                <w:color w:val="auto"/>
              </w:rPr>
            </w:pPr>
            <w:r>
              <w:rPr>
                <w:rFonts w:ascii="Arial" w:cs="Arial" w:eastAsia="Arial" w:hAnsi="Arial"/>
                <w:sz w:val="14"/>
                <w:szCs w:val="14"/>
                <w:color w:val="auto"/>
                <w:w w:val="97"/>
              </w:rPr>
              <w:t>Menlo Park, CA</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Borders>
              <w:top w:val="single" w:sz="8" w:color="CCEEFF"/>
            </w:tcBorders>
          </w:tcPr>
          <w:p>
            <w:pPr>
              <w:spacing w:after="0"/>
              <w:rPr>
                <w:sz w:val="16"/>
                <w:szCs w:val="16"/>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4"/>
                <w:szCs w:val="14"/>
                <w:color w:val="auto"/>
              </w:rPr>
              <w:t>Common shares</w:t>
            </w:r>
          </w:p>
        </w:tc>
        <w:tc>
          <w:tcPr>
            <w:tcW w:w="1960" w:type="dxa"/>
            <w:vAlign w:val="bottom"/>
            <w:tcBorders>
              <w:top w:val="single" w:sz="8" w:color="CCEEFF"/>
            </w:tcBorders>
            <w:gridSpan w:val="5"/>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300" w:type="dxa"/>
            <w:vAlign w:val="bottom"/>
            <w:tcBorders>
              <w:top w:val="single" w:sz="8" w:color="CCEEFF"/>
            </w:tcBorders>
            <w:gridSpan w:val="2"/>
          </w:tcPr>
          <w:p>
            <w:pPr>
              <w:jc w:val="center"/>
              <w:ind w:right="100"/>
              <w:spacing w:after="0"/>
              <w:rPr>
                <w:sz w:val="20"/>
                <w:szCs w:val="20"/>
                <w:color w:val="auto"/>
              </w:rPr>
            </w:pPr>
            <w:r>
              <w:rPr>
                <w:rFonts w:ascii="Arial" w:cs="Arial" w:eastAsia="Arial" w:hAnsi="Arial"/>
                <w:sz w:val="14"/>
                <w:szCs w:val="14"/>
                <w:color w:val="auto"/>
                <w:w w:val="93"/>
              </w:rPr>
              <w:t>Online Education</w:t>
            </w:r>
          </w:p>
        </w:tc>
        <w:tc>
          <w:tcPr>
            <w:tcW w:w="114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1"/>
              </w:rPr>
              <w:t>11/22/2013</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1,135,944</w:t>
            </w: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jc w:val="right"/>
              <w:spacing w:after="0"/>
              <w:rPr>
                <w:sz w:val="20"/>
                <w:szCs w:val="20"/>
                <w:color w:val="auto"/>
              </w:rPr>
            </w:pPr>
            <w:r>
              <w:rPr>
                <w:rFonts w:ascii="Arial" w:cs="Arial" w:eastAsia="Arial" w:hAnsi="Arial"/>
                <w:sz w:val="14"/>
                <w:szCs w:val="14"/>
                <w:color w:val="auto"/>
              </w:rPr>
              <w:t>12,000,006</w:t>
            </w: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8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CCEEFF"/>
            </w:tcBorders>
            <w:gridSpan w:val="2"/>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60" w:type="dxa"/>
            <w:vAlign w:val="bottom"/>
            <w:gridSpan w:val="7"/>
          </w:tcPr>
          <w:p>
            <w:pPr>
              <w:ind w:left="120"/>
              <w:spacing w:after="0"/>
              <w:rPr>
                <w:sz w:val="20"/>
                <w:szCs w:val="20"/>
                <w:color w:val="auto"/>
              </w:rPr>
            </w:pPr>
            <w:r>
              <w:rPr>
                <w:rFonts w:ascii="Arial" w:cs="Arial" w:eastAsia="Arial" w:hAnsi="Arial"/>
                <w:sz w:val="14"/>
                <w:szCs w:val="14"/>
                <w:b w:val="1"/>
                <w:bCs w:val="1"/>
                <w:color w:val="auto"/>
              </w:rPr>
              <w:t>Total Non-controlled/Affiliate</w:t>
            </w:r>
          </w:p>
        </w:tc>
        <w:tc>
          <w:tcPr>
            <w:tcW w:w="1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52,857,243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37,944,268</w:t>
            </w:r>
          </w:p>
        </w:tc>
        <w:tc>
          <w:tcPr>
            <w:tcW w:w="1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18.98 %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-5020945</wp:posOffset>
            </wp:positionV>
            <wp:extent cx="341185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11855" cy="128905"/>
                    </a:xfrm>
                    <a:prstGeom prst="rect">
                      <a:avLst/>
                    </a:prstGeom>
                    <a:noFill/>
                  </pic:spPr>
                </pic:pic>
              </a:graphicData>
            </a:graphic>
          </wp:anchor>
        </w:drawing>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21" w:right="339" w:bottom="1440" w:gutter="0" w:footer="0" w:header="0"/>
        </w:sectPr>
      </w:pPr>
    </w:p>
    <w:bookmarkStart w:id="88" w:name="page89"/>
    <w:bookmarkEnd w:id="88"/>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Portfolio Investments*</w:t>
            </w: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Headquarters/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5"/>
              </w:rPr>
              <w:t>Date of Initial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Shares/</w:t>
            </w:r>
          </w:p>
        </w:tc>
        <w:tc>
          <w:tcPr>
            <w:tcW w:w="20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1040" w:type="dxa"/>
            <w:vAlign w:val="bottom"/>
          </w:tcPr>
          <w:p>
            <w:pPr>
              <w:jc w:val="right"/>
              <w:ind w:right="168"/>
              <w:spacing w:after="0"/>
              <w:rPr>
                <w:sz w:val="20"/>
                <w:szCs w:val="20"/>
                <w:color w:val="auto"/>
              </w:rPr>
            </w:pPr>
            <w:r>
              <w:rPr>
                <w:rFonts w:ascii="Arial" w:cs="Arial" w:eastAsia="Arial" w:hAnsi="Arial"/>
                <w:sz w:val="14"/>
                <w:szCs w:val="14"/>
                <w:b w:val="1"/>
                <w:bCs w:val="1"/>
                <w:color w:val="auto"/>
              </w:rPr>
              <w:t>% of Net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80" w:type="dxa"/>
            <w:vAlign w:val="bottom"/>
            <w:gridSpan w:val="5"/>
            <w:vMerge w:val="continue"/>
          </w:tcPr>
          <w:p>
            <w:pPr>
              <w:spacing w:after="0"/>
              <w:rPr>
                <w:sz w:val="16"/>
                <w:szCs w:val="16"/>
                <w:color w:val="auto"/>
              </w:rPr>
            </w:pPr>
          </w:p>
        </w:tc>
        <w:tc>
          <w:tcPr>
            <w:tcW w:w="2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Industry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Principal</w:t>
            </w: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40" w:type="dxa"/>
            <w:vAlign w:val="bottom"/>
          </w:tcPr>
          <w:p>
            <w:pPr>
              <w:jc w:val="right"/>
              <w:ind w:right="2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84"/>
        </w:trPr>
        <w:tc>
          <w:tcPr>
            <w:tcW w:w="20" w:type="dxa"/>
            <w:vAlign w:val="bottom"/>
            <w:tcBorders>
              <w:top w:val="single" w:sz="8" w:color="auto"/>
            </w:tcBorders>
            <w:shd w:val="clear" w:color="auto" w:fill="CCEEFF"/>
          </w:tcPr>
          <w:p>
            <w:pPr>
              <w:spacing w:after="0"/>
              <w:rPr>
                <w:sz w:val="15"/>
                <w:szCs w:val="15"/>
                <w:color w:val="auto"/>
              </w:rPr>
            </w:pPr>
          </w:p>
        </w:tc>
        <w:tc>
          <w:tcPr>
            <w:tcW w:w="2980" w:type="dxa"/>
            <w:vAlign w:val="bottom"/>
            <w:tcBorders>
              <w:top w:val="single" w:sz="8" w:color="auto"/>
            </w:tcBorders>
            <w:gridSpan w:val="4"/>
            <w:shd w:val="clear" w:color="auto" w:fill="CCEEFF"/>
          </w:tcPr>
          <w:p>
            <w:pPr>
              <w:spacing w:after="0" w:line="184" w:lineRule="exact"/>
              <w:rPr>
                <w:sz w:val="20"/>
                <w:szCs w:val="20"/>
                <w:color w:val="auto"/>
              </w:rPr>
            </w:pPr>
            <w:r>
              <w:rPr>
                <w:rFonts w:ascii="Arial" w:cs="Arial" w:eastAsia="Arial" w:hAnsi="Arial"/>
                <w:sz w:val="14"/>
                <w:szCs w:val="14"/>
                <w:b w:val="1"/>
                <w:bCs w:val="1"/>
                <w:color w:val="auto"/>
              </w:rPr>
              <w:t>CONTROLLED</w:t>
            </w:r>
            <w:r>
              <w:rPr>
                <w:rFonts w:ascii="Arial" w:cs="Arial" w:eastAsia="Arial" w:hAnsi="Arial"/>
                <w:sz w:val="18"/>
                <w:szCs w:val="18"/>
                <w:b w:val="1"/>
                <w:bCs w:val="1"/>
                <w:color w:val="auto"/>
                <w:vertAlign w:val="superscript"/>
              </w:rPr>
              <w:t>(2)</w:t>
            </w: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8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SPBRX, INC. (f/k/a GSV Sustainability</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5"/>
              </w:rPr>
              <w:t>Cupertino, CA</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2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rPr>
              <w:t>Partners, Inc.)</w:t>
            </w:r>
          </w:p>
        </w:tc>
        <w:tc>
          <w:tcPr>
            <w:tcW w:w="660" w:type="dxa"/>
            <w:vAlign w:val="bottom"/>
            <w:gridSpan w:val="2"/>
          </w:tcPr>
          <w:p>
            <w:pPr>
              <w:spacing w:after="0"/>
              <w:rPr>
                <w:sz w:val="10"/>
                <w:szCs w:val="10"/>
                <w:color w:val="auto"/>
              </w:rPr>
            </w:pPr>
          </w:p>
        </w:tc>
        <w:tc>
          <w:tcPr>
            <w:tcW w:w="210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5"/>
            <w:shd w:val="clear" w:color="auto" w:fill="CCEEFF"/>
          </w:tcPr>
          <w:p>
            <w:pPr>
              <w:spacing w:after="0" w:line="189" w:lineRule="exact"/>
              <w:rPr>
                <w:sz w:val="20"/>
                <w:szCs w:val="20"/>
                <w:color w:val="auto"/>
              </w:rPr>
            </w:pPr>
            <w:r>
              <w:rPr>
                <w:rFonts w:ascii="Arial" w:cs="Arial" w:eastAsia="Arial" w:hAnsi="Arial"/>
                <w:sz w:val="14"/>
                <w:szCs w:val="14"/>
                <w:color w:val="auto"/>
              </w:rPr>
              <w:t>Preferred shares, Class A***</w:t>
            </w:r>
            <w:r>
              <w:rPr>
                <w:rFonts w:ascii="Arial" w:cs="Arial" w:eastAsia="Arial" w:hAnsi="Arial"/>
                <w:sz w:val="18"/>
                <w:szCs w:val="18"/>
                <w:color w:val="auto"/>
                <w:vertAlign w:val="superscript"/>
              </w:rPr>
              <w:t>(8)</w:t>
            </w:r>
          </w:p>
        </w:tc>
        <w:tc>
          <w:tcPr>
            <w:tcW w:w="21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2"/>
              </w:rPr>
              <w:t>Clean Technology</w:t>
            </w:r>
          </w:p>
        </w:tc>
        <w:tc>
          <w:tcPr>
            <w:tcW w:w="12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4/15/2014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14,300,000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7,151,412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775,198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0.39 %</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Common shares</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4/15/2014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3"/>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980" w:type="dxa"/>
            <w:vAlign w:val="bottom"/>
            <w:tcBorders>
              <w:top w:val="single" w:sz="8" w:color="CCEEFF"/>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CCEEFF"/>
            </w:tcBorders>
            <w:shd w:val="clear" w:color="auto" w:fill="CCEEFF"/>
          </w:tcPr>
          <w:p>
            <w:pPr>
              <w:spacing w:after="0"/>
              <w:rPr>
                <w:sz w:val="15"/>
                <w:szCs w:val="15"/>
                <w:color w:val="auto"/>
              </w:rPr>
            </w:pPr>
          </w:p>
        </w:tc>
        <w:tc>
          <w:tcPr>
            <w:tcW w:w="20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7,161,412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775,198</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0.39 %</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080" w:type="dxa"/>
            <w:vAlign w:val="bottom"/>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Total Controlled</w:t>
            </w: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7,161,412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775,198</w:t>
            </w: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0.39 %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52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080" w:type="dxa"/>
            <w:vAlign w:val="bottom"/>
            <w:gridSpan w:val="5"/>
            <w:shd w:val="clear" w:color="auto" w:fill="CCEEFF"/>
          </w:tcPr>
          <w:p>
            <w:pPr>
              <w:ind w:left="120"/>
              <w:spacing w:after="0"/>
              <w:rPr>
                <w:sz w:val="20"/>
                <w:szCs w:val="20"/>
                <w:color w:val="auto"/>
              </w:rPr>
            </w:pPr>
            <w:r>
              <w:rPr>
                <w:rFonts w:ascii="Arial" w:cs="Arial" w:eastAsia="Arial" w:hAnsi="Arial"/>
                <w:sz w:val="14"/>
                <w:szCs w:val="14"/>
                <w:b w:val="1"/>
                <w:bCs w:val="1"/>
                <w:color w:val="auto"/>
              </w:rPr>
              <w:t>Total Portfolio Investments</w:t>
            </w:r>
          </w:p>
        </w:tc>
        <w:tc>
          <w:tcPr>
            <w:tcW w:w="2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150,585,696</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191,585,578</w:t>
            </w: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95.83 %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308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U.S. Treasury</w:t>
            </w:r>
          </w:p>
        </w:tc>
        <w:tc>
          <w:tcPr>
            <w:tcW w:w="2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080" w:type="dxa"/>
            <w:vAlign w:val="bottom"/>
            <w:gridSpan w:val="5"/>
          </w:tcPr>
          <w:p>
            <w:pPr>
              <w:spacing w:after="0" w:line="189" w:lineRule="exact"/>
              <w:rPr>
                <w:sz w:val="20"/>
                <w:szCs w:val="20"/>
                <w:color w:val="auto"/>
              </w:rPr>
            </w:pPr>
            <w:r>
              <w:rPr>
                <w:rFonts w:ascii="Arial" w:cs="Arial" w:eastAsia="Arial" w:hAnsi="Arial"/>
                <w:sz w:val="14"/>
                <w:szCs w:val="14"/>
                <w:color w:val="auto"/>
              </w:rPr>
              <w:t>U.S. Treasury bill, 0%, due 1/2/2020***</w:t>
            </w:r>
            <w:r>
              <w:rPr>
                <w:rFonts w:ascii="Arial" w:cs="Arial" w:eastAsia="Arial" w:hAnsi="Arial"/>
                <w:sz w:val="18"/>
                <w:szCs w:val="18"/>
                <w:color w:val="auto"/>
                <w:vertAlign w:val="superscript"/>
              </w:rPr>
              <w:t>(3)</w:t>
            </w: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1"/>
              </w:rPr>
              <w:t>12/30/2019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50,000,000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49,996,667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50,000,000</w:t>
            </w:r>
          </w:p>
        </w:tc>
        <w:tc>
          <w:tcPr>
            <w:tcW w:w="1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25.01 %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80" w:type="dxa"/>
            <w:vAlign w:val="bottom"/>
            <w:gridSpan w:val="5"/>
          </w:tcPr>
          <w:p>
            <w:pPr>
              <w:spacing w:after="0"/>
              <w:rPr>
                <w:sz w:val="20"/>
                <w:szCs w:val="20"/>
                <w:color w:val="auto"/>
              </w:rPr>
            </w:pPr>
            <w:r>
              <w:rPr>
                <w:rFonts w:ascii="Arial" w:cs="Arial" w:eastAsia="Arial" w:hAnsi="Arial"/>
                <w:sz w:val="14"/>
                <w:szCs w:val="14"/>
                <w:b w:val="1"/>
                <w:bCs w:val="1"/>
                <w:color w:val="auto"/>
              </w:rPr>
              <w:t>TOTAL INVESTMENTS</w:t>
            </w: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200,582,363</w:t>
            </w:r>
          </w:p>
        </w:tc>
        <w:tc>
          <w:tcPr>
            <w:tcW w:w="120" w:type="dxa"/>
            <w:vAlign w:val="bottom"/>
          </w:tcPr>
          <w:p>
            <w:pPr>
              <w:spacing w:after="0"/>
              <w:rPr>
                <w:sz w:val="15"/>
                <w:szCs w:val="15"/>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241,585,578</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120.84 %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-299720</wp:posOffset>
            </wp:positionV>
            <wp:extent cx="7886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-419100</wp:posOffset>
            </wp:positionV>
            <wp:extent cx="190309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03095" cy="12890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-1447800</wp:posOffset>
            </wp:positionV>
            <wp:extent cx="479171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791710" cy="128905"/>
                    </a:xfrm>
                    <a:prstGeom prst="rect">
                      <a:avLst/>
                    </a:prstGeom>
                    <a:noFill/>
                  </pic:spPr>
                </pic:pic>
              </a:graphicData>
            </a:graphic>
          </wp:anchor>
        </w:drawing>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See accompanying notes to consolidated financial statements.</w:t>
      </w:r>
    </w:p>
    <w:p>
      <w:pPr>
        <w:spacing w:after="0" w:line="1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w:t>
      </w:r>
    </w:p>
    <w:p>
      <w:pPr>
        <w:spacing w:after="0" w:line="2" w:lineRule="exact"/>
        <w:rPr>
          <w:sz w:val="20"/>
          <w:szCs w:val="20"/>
          <w:color w:val="auto"/>
        </w:rPr>
      </w:pPr>
    </w:p>
    <w:p>
      <w:pPr>
        <w:jc w:val="right"/>
        <w:ind w:left="500" w:hanging="492"/>
        <w:spacing w:after="0" w:line="281" w:lineRule="auto"/>
        <w:tabs>
          <w:tab w:leader="none" w:pos="324" w:val="left"/>
        </w:tabs>
        <w:numPr>
          <w:ilvl w:val="0"/>
          <w:numId w:val="58"/>
        </w:numPr>
        <w:rPr>
          <w:rFonts w:ascii="Arial" w:cs="Arial" w:eastAsia="Arial" w:hAnsi="Arial"/>
          <w:sz w:val="16"/>
          <w:szCs w:val="16"/>
          <w:color w:val="auto"/>
        </w:rPr>
      </w:pPr>
      <w:r>
        <w:rPr>
          <w:rFonts w:ascii="Arial" w:cs="Arial" w:eastAsia="Arial" w:hAnsi="Arial"/>
          <w:sz w:val="14"/>
          <w:szCs w:val="14"/>
          <w:color w:val="auto"/>
        </w:rPr>
        <w:t>All portfolio investments are non-control/non-affiliated and non-income-producing, unless otherwise identified. Equity investments are subject to lock-up restrictions upon their initial public offering (“IPO”). Preferred dividends are generally only payable when declared and paid by the portfolio company's board of directors. The Company’s directors, officers, employees and staff, as applicable, may serve on the board of directors of the Company’s portfolio investments. (Refer to “Note 3— Related-Party Arrangements”). All portfolio investments are considered Level 3 and valued using significant unobservable inputs, unless otherwise noted. (Refer to “Note 4—Investments at Fair Value”). All of the Company's portfolio investments are restricted as to resale, unless otherwise noted, and were valued at fair value as</w:t>
      </w:r>
    </w:p>
    <w:p>
      <w:pPr>
        <w:spacing w:after="0" w:line="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determined in good faith by the Company’s Board of Directors.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w:t>
      </w:r>
    </w:p>
    <w:p>
      <w:pPr>
        <w:spacing w:after="0" w:line="5" w:lineRule="exact"/>
        <w:rPr>
          <w:sz w:val="20"/>
          <w:szCs w:val="20"/>
          <w:color w:val="auto"/>
        </w:rPr>
      </w:pPr>
    </w:p>
    <w:p>
      <w:pPr>
        <w:ind w:left="500" w:hanging="492"/>
        <w:spacing w:after="0" w:line="246" w:lineRule="auto"/>
        <w:tabs>
          <w:tab w:leader="none" w:pos="377"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December 31, 2019, 0.00% of its total investments are non-qualifying assets.</w:t>
      </w:r>
    </w:p>
    <w:p>
      <w:pPr>
        <w:ind w:left="420" w:hanging="412"/>
        <w:spacing w:after="0"/>
        <w:tabs>
          <w:tab w:leader="none" w:pos="42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34" w:lineRule="exact"/>
        <w:rPr>
          <w:sz w:val="20"/>
          <w:szCs w:val="20"/>
          <w:color w:val="auto"/>
        </w:rPr>
      </w:pPr>
    </w:p>
    <w:p>
      <w:pPr>
        <w:jc w:val="both"/>
        <w:ind w:left="500" w:hanging="492"/>
        <w:spacing w:after="0" w:line="256"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 For the Schedule of Investments In, and Advances To, Affiliates, as required by SEC Regulation S-X, Rule 12-14, refer to “Note 4—Investments at Fair Value”.</w:t>
      </w:r>
    </w:p>
    <w:p>
      <w:pPr>
        <w:spacing w:after="0" w:line="213" w:lineRule="exact"/>
        <w:rPr>
          <w:rFonts w:ascii="Arial" w:cs="Arial" w:eastAsia="Arial" w:hAnsi="Arial"/>
          <w:sz w:val="16"/>
          <w:szCs w:val="16"/>
          <w:color w:val="auto"/>
        </w:rPr>
      </w:pPr>
    </w:p>
    <w:p>
      <w:pPr>
        <w:jc w:val="both"/>
        <w:ind w:left="500" w:hanging="492"/>
        <w:spacing w:after="0" w:line="278" w:lineRule="auto"/>
        <w:tabs>
          <w:tab w:leader="none" w:pos="5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 For the Schedule of Investments In, and Advances To, Affiliates, as required by SEC Regulation S-X, Rule 12-14, refer to “Note 4—Investments at Fair Value”.</w:t>
      </w:r>
    </w:p>
    <w:p>
      <w:pPr>
        <w:spacing w:after="0" w:line="199" w:lineRule="exact"/>
        <w:rPr>
          <w:rFonts w:ascii="Arial" w:cs="Arial" w:eastAsia="Arial" w:hAnsi="Arial"/>
          <w:sz w:val="15"/>
          <w:szCs w:val="15"/>
          <w:color w:val="auto"/>
        </w:rPr>
      </w:pPr>
    </w:p>
    <w:p>
      <w:pPr>
        <w:ind w:left="500" w:hanging="492"/>
        <w:spacing w:after="0" w:line="275"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Denotes an investment considered Level 1 or Level 2 and valued using observable inputs. As of December 31, 2019, no portfolio investments held by SuRo Capital Corp. were considered Level 1 or Level 2. Refer to “Note 4—Investments at Fair Value”.</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of December 31, 2019,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October 24, 2019, CUX, Inc. (d/b/a CorpU) completed a recapitalization, which amended SuRo Capital Corp.'s investment in the Senior Subordinated Convertible Promissory Note. As a result of the recapitalization, the principal amount of SuRo Capital Corp.'s Senior Subordinated Convertible Promissory Note was reduced by $109,331, the interest rate was reduced to 4%, and the maturity was extended to February 14, 2023.</w:t>
      </w:r>
    </w:p>
    <w:p>
      <w:pPr>
        <w:spacing w:after="0" w:line="20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September 11, 2019, SuRo Capital Corp. agreed to convert its 5% Convertible Promissory Note due 12/31/2018 to Ozy Media, Inc. and all related accrued interest, into 683,482 shares of Ozy Media, Inc.'s Series C-2 preferred shares.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21" w:right="339" w:bottom="1440" w:gutter="0" w:footer="0" w:header="0"/>
        </w:sectPr>
      </w:pPr>
    </w:p>
    <w:bookmarkStart w:id="89" w:name="page90"/>
    <w:bookmarkEnd w:id="89"/>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285" w:lineRule="exact"/>
        <w:rPr>
          <w:sz w:val="20"/>
          <w:szCs w:val="20"/>
          <w:color w:val="auto"/>
        </w:rPr>
      </w:pPr>
    </w:p>
    <w:p>
      <w:pPr>
        <w:ind w:left="500" w:hanging="492"/>
        <w:spacing w:after="0" w:line="275"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During the year ended December 31, 2019, SPBRX, INC. (f/k/a GSV Sustainability Partners, Inc.) declared, and SuRo Capital Corp. received, an aggregate of $400,000 in dividend distributions.</w:t>
      </w:r>
    </w:p>
    <w:p>
      <w:pPr>
        <w:spacing w:after="0" w:line="199" w:lineRule="exact"/>
        <w:rPr>
          <w:rFonts w:ascii="Arial" w:cs="Arial" w:eastAsia="Arial" w:hAnsi="Arial"/>
          <w:sz w:val="16"/>
          <w:szCs w:val="16"/>
          <w:color w:val="auto"/>
        </w:rPr>
      </w:pPr>
    </w:p>
    <w:p>
      <w:pPr>
        <w:jc w:val="both"/>
        <w:ind w:left="500" w:hanging="492"/>
        <w:spacing w:after="0" w:line="250"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 As part of the agreement, previously accrued interest under SuRo Capital Corp’s 12% Convertible Promissory Note due 12/31/2019 will be capitalized into the principal of the extended Convertible Promissory Note, and the interest on the Convertible Promissory Note is reduced from 12% to 8%. The Convertible Promissory Note’s maturity was extended to August 23, 2024. Under the amended structure, SuRo Capital Corp.’s fully diluted ownership of voting securities in the company decreased from 50.0% to 8.5%. As such, SuRo Capital Corp.'s investments in NestGSV, Inc. (d/b/a OneValley, Inc.) have been recategorized from controlled investments to non-controlled/affiliated investments.</w:t>
      </w:r>
    </w:p>
    <w:p>
      <w:pPr>
        <w:spacing w:after="0" w:line="221" w:lineRule="exact"/>
        <w:rPr>
          <w:rFonts w:ascii="Arial" w:cs="Arial" w:eastAsia="Arial" w:hAnsi="Arial"/>
          <w:sz w:val="16"/>
          <w:szCs w:val="16"/>
          <w:color w:val="auto"/>
        </w:rPr>
      </w:pPr>
    </w:p>
    <w:p>
      <w:pPr>
        <w:jc w:val="both"/>
        <w:ind w:left="500" w:hanging="492"/>
        <w:spacing w:after="0" w:line="261" w:lineRule="auto"/>
        <w:tabs>
          <w:tab w:leader="none" w:pos="5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On November 26, 2019, SuRo Capital Corp. invested $250,000 in StormWind, LLC's Series D financing round. As part of the round, SuRo Capital Corp.'s fully diluted ownership of voting securities decreased from 25.6% to 23.4%. As such, SuRo Capital Corp.'s investments in StormWind, LLC have been recategorized from controlled investments to non-controlled/affiliated investments.</w:t>
      </w:r>
    </w:p>
    <w:p>
      <w:pPr>
        <w:spacing w:after="0" w:line="209" w:lineRule="exact"/>
        <w:rPr>
          <w:rFonts w:ascii="Arial" w:cs="Arial" w:eastAsia="Arial" w:hAnsi="Arial"/>
          <w:sz w:val="16"/>
          <w:szCs w:val="16"/>
          <w:color w:val="auto"/>
        </w:rPr>
      </w:pPr>
    </w:p>
    <w:p>
      <w:pPr>
        <w:ind w:left="500" w:hanging="492"/>
        <w:spacing w:after="0" w:line="275" w:lineRule="auto"/>
        <w:tabs>
          <w:tab w:leader="none" w:pos="494" w:val="left"/>
        </w:tabs>
        <w:numPr>
          <w:ilvl w:val="0"/>
          <w:numId w:val="62"/>
        </w:numPr>
        <w:rPr>
          <w:rFonts w:ascii="Arial" w:cs="Arial" w:eastAsia="Arial" w:hAnsi="Arial"/>
          <w:sz w:val="16"/>
          <w:szCs w:val="16"/>
          <w:color w:val="auto"/>
        </w:rPr>
      </w:pPr>
      <w:r>
        <w:rPr>
          <w:rFonts w:ascii="Arial" w:cs="Arial" w:eastAsia="Arial" w:hAnsi="Arial"/>
          <w:sz w:val="16"/>
          <w:szCs w:val="16"/>
          <w:color w:val="auto"/>
        </w:rPr>
        <w:t>During year ended December 31, 2019, Treehouse Real Estate Investment Trust Inc. declared, and SuRo Capital Corp. received an aggregate of $100,000 in dividend distributions.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SuRo Capital Corp. ("we", "us", "our", “Company” or “SuRo Capital”), formerly known as Sutter Rock Capital Corp. and as GSV Capital Corp. and formed in September 2010 as a Maryland corporation, is an internally-managed, non-diversified closed-end management investment company. The Company has elected to be regulated as a business development company ("BDC") under the Investment Company Act of 1940, as amended (the “1940 Act”), and has elected to be treated, and intends to qualify annually, as a regulated investment company (“RIC”) under Subchapter M of the Internal Revenue Code of 1986, as amended (the “Code”).</w:t>
      </w:r>
    </w:p>
    <w:p>
      <w:pPr>
        <w:spacing w:after="0" w:line="215"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On and effective March 12, 2019, our Board of Directors approved internalizing our operating structure ("Internalization") and we began operating as an internally-managed non-diversified closed-end management investment company that has elected to be regulated as a BDC under the 1940 Act. Prior to March 12, 2019, we were externally managed by our former investment adviser, GSV Asset Management, LLC (“GSV Asset Management”), pursuant to an investment advisory agreement (the “Investment Advisory Agreement”), and our former administrator, GSV Capital Service Company, LLC (“GSV Capital Service Company”), provided the administrative services necessary for our operations pursuant to an administration agreement (the “Administration Agreement”). Refer to "Note 3 — Related-Party Arrangements" for further detail.</w:t>
      </w:r>
    </w:p>
    <w:p>
      <w:pPr>
        <w:spacing w:after="0" w:line="205"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Company’s date of inception was January 6, 2011, which is the date it commenced its development stage activities. The Company’s common stock is currently listed on the Nasdaq Capital Market under the symbol “SSSS” (formerly "GSVC"). The Company began its investment operations during the second quarter of 2011.</w:t>
      </w:r>
    </w:p>
    <w:p>
      <w:pPr>
        <w:spacing w:after="0" w:line="211"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The table below displays the Company’s subsidiaries as of December 31, 2020, which, other than GSV Capital Lending, LLC (“GCL”), are collectively referred to as the “Taxable Subsidiaries.” The Taxable Subsidiaries were formed to hold portfolio investments. The Taxable Subsidiaries, including their associated portfolio investments, are consolidated with the Company for accounting purposes, but have elected to be treated as separate entities for U.S. federal income tax purposes. GCL was formed to originate portfolio loan investments within the state of California and is consolidated with the Company for accounting purposes. Refer to “Note 2—Significant Accounting Policies—</w:t>
      </w:r>
      <w:r>
        <w:rPr>
          <w:rFonts w:ascii="Arial" w:cs="Arial" w:eastAsia="Arial" w:hAnsi="Arial"/>
          <w:sz w:val="16"/>
          <w:szCs w:val="16"/>
          <w:i w:val="1"/>
          <w:iCs w:val="1"/>
          <w:color w:val="auto"/>
        </w:rPr>
        <w:t>Basis of Consolidation</w:t>
      </w:r>
      <w:r>
        <w:rPr>
          <w:rFonts w:ascii="Arial" w:cs="Arial" w:eastAsia="Arial" w:hAnsi="Arial"/>
          <w:sz w:val="16"/>
          <w:szCs w:val="16"/>
          <w:color w:val="auto"/>
        </w:rPr>
        <w:t>” below for further detail.</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4480" w:type="dxa"/>
            <w:vAlign w:val="bottom"/>
          </w:tcPr>
          <w:p>
            <w:pPr>
              <w:ind w:left="3080"/>
              <w:spacing w:after="0"/>
              <w:rPr>
                <w:sz w:val="20"/>
                <w:szCs w:val="20"/>
                <w:color w:val="auto"/>
              </w:rPr>
            </w:pPr>
            <w:r>
              <w:rPr>
                <w:rFonts w:ascii="Arial" w:cs="Arial" w:eastAsia="Arial" w:hAnsi="Arial"/>
                <w:sz w:val="14"/>
                <w:szCs w:val="14"/>
                <w:b w:val="1"/>
                <w:bCs w:val="1"/>
                <w:color w:val="auto"/>
              </w:rPr>
              <w:t>Jurisdiction of</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6"/>
              </w:rPr>
              <w:t>Formation</w:t>
            </w:r>
          </w:p>
        </w:tc>
        <w:tc>
          <w:tcPr>
            <w:tcW w:w="1140" w:type="dxa"/>
            <w:vAlign w:val="bottom"/>
          </w:tcPr>
          <w:p>
            <w:pPr>
              <w:jc w:val="center"/>
              <w:ind w:left="38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6"/>
        </w:trPr>
        <w:tc>
          <w:tcPr>
            <w:tcW w:w="3740" w:type="dxa"/>
            <w:vAlign w:val="bottom"/>
            <w:vMerge w:val="continue"/>
          </w:tcPr>
          <w:p>
            <w:pPr>
              <w:spacing w:after="0"/>
              <w:rPr>
                <w:sz w:val="16"/>
                <w:szCs w:val="16"/>
                <w:color w:val="auto"/>
              </w:rPr>
            </w:pPr>
          </w:p>
        </w:tc>
        <w:tc>
          <w:tcPr>
            <w:tcW w:w="4480" w:type="dxa"/>
            <w:vAlign w:val="bottom"/>
          </w:tcPr>
          <w:p>
            <w:pPr>
              <w:ind w:left="3100"/>
              <w:spacing w:after="0"/>
              <w:rPr>
                <w:sz w:val="20"/>
                <w:szCs w:val="20"/>
                <w:color w:val="auto"/>
              </w:rPr>
            </w:pPr>
            <w:r>
              <w:rPr>
                <w:rFonts w:ascii="Arial" w:cs="Arial" w:eastAsia="Arial" w:hAnsi="Arial"/>
                <w:sz w:val="14"/>
                <w:szCs w:val="14"/>
                <w:b w:val="1"/>
                <w:bCs w:val="1"/>
                <w:color w:val="auto"/>
              </w:rPr>
              <w:t>Incorporation</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1140" w:type="dxa"/>
            <w:vAlign w:val="bottom"/>
          </w:tcPr>
          <w:p>
            <w:pPr>
              <w:jc w:val="center"/>
              <w:ind w:left="388"/>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GCL</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13, 2012</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r>
      <w:tr>
        <w:trPr>
          <w:trHeight w:val="213"/>
        </w:trPr>
        <w:tc>
          <w:tcPr>
            <w:tcW w:w="6600" w:type="dxa"/>
            <w:vAlign w:val="bottom"/>
            <w:gridSpan w:val="2"/>
          </w:tcPr>
          <w:p>
            <w:pPr>
              <w:ind w:left="20"/>
              <w:spacing w:after="0"/>
              <w:rPr>
                <w:sz w:val="20"/>
                <w:szCs w:val="20"/>
                <w:color w:val="auto"/>
              </w:rPr>
            </w:pPr>
            <w:r>
              <w:rPr>
                <w:rFonts w:ascii="Arial" w:cs="Arial" w:eastAsia="Arial" w:hAnsi="Arial"/>
                <w:sz w:val="16"/>
                <w:szCs w:val="16"/>
                <w:b w:val="1"/>
                <w:bCs w:val="1"/>
                <w:color w:val="auto"/>
              </w:rPr>
              <w:t>Subsidiaries below are referred to collectively, as the “Taxable Subsidiaries”</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2"/>
        </w:trPr>
        <w:tc>
          <w:tcPr>
            <w:tcW w:w="6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GSVC AE Holdings, Inc. (“GAE”)</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GSVC AV Holdings, Inc. (“GAV”)</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100%</w:t>
            </w:r>
          </w:p>
        </w:tc>
      </w:tr>
      <w:tr>
        <w:trPr>
          <w:trHeight w:val="230"/>
        </w:trPr>
        <w:tc>
          <w:tcPr>
            <w:tcW w:w="6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GSVC NG Holdings, Inc. (“GNG”)</w:t>
            </w:r>
            <w:r>
              <w:rPr>
                <w:rFonts w:ascii="Arial" w:cs="Arial" w:eastAsia="Arial" w:hAnsi="Arial"/>
                <w:sz w:val="23"/>
                <w:szCs w:val="23"/>
                <w:color w:val="auto"/>
                <w:vertAlign w:val="superscript"/>
              </w:rPr>
              <w:t>(1)</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GSVC SW Holdings, Inc. (“GSW”)</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100%</w:t>
            </w:r>
          </w:p>
        </w:tc>
      </w:tr>
      <w:tr>
        <w:trPr>
          <w:trHeight w:val="229"/>
        </w:trPr>
        <w:tc>
          <w:tcPr>
            <w:tcW w:w="6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GSVC WS Holdings, Inc. (“GWS”)</w:t>
            </w:r>
            <w:r>
              <w:rPr>
                <w:rFonts w:ascii="Arial" w:cs="Arial" w:eastAsia="Arial" w:hAnsi="Arial"/>
                <w:sz w:val="23"/>
                <w:szCs w:val="23"/>
                <w:color w:val="auto"/>
                <w:vertAlign w:val="superscript"/>
              </w:rPr>
              <w:t>(1)</w:t>
            </w:r>
          </w:p>
        </w:tc>
        <w:tc>
          <w:tcPr>
            <w:tcW w:w="1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November 28, 2012</w:t>
            </w:r>
          </w:p>
        </w:tc>
        <w:tc>
          <w:tcPr>
            <w:tcW w:w="10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100%</w:t>
            </w:r>
          </w:p>
        </w:tc>
      </w:tr>
      <w:tr>
        <w:trPr>
          <w:trHeight w:val="230"/>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GSVC SVDS Holdings, Inc. (“SVDS”)</w:t>
            </w:r>
          </w:p>
        </w:tc>
        <w:tc>
          <w:tcPr>
            <w:tcW w:w="1480" w:type="dxa"/>
            <w:vAlign w:val="bottom"/>
            <w:gridSpan w:val="2"/>
          </w:tcPr>
          <w:p>
            <w:pPr>
              <w:ind w:left="340"/>
              <w:spacing w:after="0"/>
              <w:rPr>
                <w:sz w:val="20"/>
                <w:szCs w:val="20"/>
                <w:color w:val="auto"/>
              </w:rPr>
            </w:pPr>
            <w:r>
              <w:rPr>
                <w:rFonts w:ascii="Arial" w:cs="Arial" w:eastAsia="Arial" w:hAnsi="Arial"/>
                <w:sz w:val="18"/>
                <w:szCs w:val="18"/>
                <w:color w:val="auto"/>
              </w:rPr>
              <w:t>Delaware</w:t>
            </w:r>
          </w:p>
        </w:tc>
        <w:tc>
          <w:tcPr>
            <w:tcW w:w="208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August 13, 2013</w:t>
            </w:r>
          </w:p>
        </w:tc>
        <w:tc>
          <w:tcPr>
            <w:tcW w:w="1060" w:type="dxa"/>
            <w:vAlign w:val="bottom"/>
          </w:tcPr>
          <w:p>
            <w:pPr>
              <w:jc w:val="right"/>
              <w:ind w:right="230"/>
              <w:spacing w:after="0"/>
              <w:rPr>
                <w:sz w:val="20"/>
                <w:szCs w:val="20"/>
                <w:color w:val="auto"/>
              </w:rPr>
            </w:pPr>
            <w:r>
              <w:rPr>
                <w:rFonts w:ascii="Arial" w:cs="Arial" w:eastAsia="Arial" w:hAnsi="Arial"/>
                <w:sz w:val="18"/>
                <w:szCs w:val="18"/>
                <w:color w:val="auto"/>
              </w:rPr>
              <w:t>100%</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w:t>
      </w:r>
    </w:p>
    <w:p>
      <w:pPr>
        <w:spacing w:after="0" w:line="13"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This Taxable Subsidiary was dissolved on April 16, 2020.</w:t>
      </w:r>
    </w:p>
    <w:p>
      <w:pPr>
        <w:spacing w:after="0" w:line="236"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The Company’s investment objective is to maximize its portfolio’s total return, principally by seeking capital gains on its equity and equity-related investments, and to a lesser extent, income from debt investments. The Company invests principally in the equity securities of what it believes to be rapidly growing venture-capital-backed emerging companies. The Company may acquire its investments in these portfolio companies through: offerings of the prospective portfolio companies, transactions on secondary marketplaces for private companies, or negotiations with selling stockholders. In addition, we may invest in private credit and in the founders equity, founders warrants, forward purchase agreements, and private investment in public equity transactions of special purpose acquisition companies. The Company may also invest on an opportunistic basis in select publicly traded equity securities or certain non-U.S. companies that otherwise meet its investment criteria, subject to any applicable limitations under the 1940 Act.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 xml:space="preserve">The consolidated financial statements of the Company are prepared on the accrual basis of accounting in conformity with U.S. generally accepted accounting principles (“GAAP”) and pursuant to the requirements for reporting on Form 10-K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w:t>
      </w:r>
      <w:r>
        <w:rPr>
          <w:rFonts w:ascii="Arial" w:cs="Arial" w:eastAsia="Arial" w:hAnsi="Arial"/>
          <w:sz w:val="18"/>
          <w:szCs w:val="18"/>
          <w:i w:val="1"/>
          <w:iCs w:val="1"/>
          <w:color w:val="auto"/>
        </w:rPr>
        <w:t>Financial Services—Investment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Companies</w:t>
      </w:r>
      <w:r>
        <w:rPr>
          <w:rFonts w:ascii="Arial" w:cs="Arial" w:eastAsia="Arial" w:hAnsi="Arial"/>
          <w:sz w:val="18"/>
          <w:szCs w:val="18"/>
          <w:color w:val="auto"/>
        </w:rPr>
        <w:t>. In the opinion of management, all adjustments, all of which were of a normal recurring nature, were considered necessary for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of consolidated financial statements for the period have been included.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256"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Under Article 6 of Regulation S-X and the American Institute of Certified Public Accountants’ (“AICPA”) Audit and Accounting Guide for Investment Companies, the Company is precluded from consolidating any entity other than another investment company, a controlled operating company that provides substantially all of its services and benefits to the Company, and certain entities established for tax purposes where the Company holds a 100% interest. Accordingly, the Company’s consolidated financial statements include its accounts and the accounts of the Taxable Subsidiaries and GCL, its wholly-owned subsidiaries. All intercompany balances and transactions have been eliminated in consolidation.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preparation of consolidated financial statements in accordance with GAAP requires the Company’s management to make a number of significant estimates. These include estimates of the fair value of certain assets and liabilities and other estimates that affect the reported amounts of certain assets and liabilities as of the date of the consolidated financial statements and the reported amounts of certain revenues and expenses during the reporting period. It is likely that changes in these estimates will occur in the near term. The Company’s estimates are inherently subjective in nature and actual results could differ materially from such estimates.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Uncertainties and Risk Factors</w:t>
      </w:r>
    </w:p>
    <w:p>
      <w:pPr>
        <w:spacing w:after="0" w:line="256"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Company is subject to a number of risks and uncertainties in the nature of its operations, as well as vulnerability due to certain concentrations. Refer to "Risk Factors” in Part I, Item 1A of this Form 10-K for a detailed discussion of the risks and uncertainties inherent in the nature of the Company’s operations. Refer to “Note 4—Investments at Fair Value” for an overview of the Company’s industry and geographic concentrations.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at Fair Value</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Company applies fair value accounting in accordance with GAAP and the AICPA’s Audit and Accounting Guide for Investment Companies. The Company values its assets on a quarterly basis, or more frequently if required under the 1940 Act.</w:t>
      </w:r>
    </w:p>
    <w:p>
      <w:pPr>
        <w:spacing w:after="0" w:line="197"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GAAP establishes a framework for measuring fair value that includes a hierarchy used to classify the inputs used in measuring fair value. The hierarchy prioritizes the inputs to valuation techniques used to measure fair value into three levels. The level in the fair value hierarchy within which the fair value measurement falls is determined based on the lowest level input that is significant to the fair value measurement. The levels of the fair value hierarchy are as follows:</w:t>
      </w:r>
    </w:p>
    <w:p>
      <w:pPr>
        <w:spacing w:after="0" w:line="211" w:lineRule="exact"/>
        <w:rPr>
          <w:sz w:val="20"/>
          <w:szCs w:val="20"/>
          <w:color w:val="auto"/>
        </w:rPr>
      </w:pPr>
    </w:p>
    <w:p>
      <w:pPr>
        <w:jc w:val="both"/>
        <w:ind w:right="20" w:firstLine="364"/>
        <w:spacing w:after="0" w:line="282" w:lineRule="auto"/>
        <w:rPr>
          <w:sz w:val="20"/>
          <w:szCs w:val="20"/>
          <w:color w:val="auto"/>
        </w:rPr>
      </w:pPr>
      <w:r>
        <w:rPr>
          <w:rFonts w:ascii="Arial" w:cs="Arial" w:eastAsia="Arial" w:hAnsi="Arial"/>
          <w:sz w:val="18"/>
          <w:szCs w:val="18"/>
          <w:b w:val="1"/>
          <w:bCs w:val="1"/>
          <w:color w:val="auto"/>
        </w:rPr>
        <w:t>Level 1</w:t>
      </w:r>
      <w:r>
        <w:rPr>
          <w:rFonts w:ascii="Arial" w:cs="Arial" w:eastAsia="Arial" w:hAnsi="Arial"/>
          <w:sz w:val="18"/>
          <w:szCs w:val="18"/>
          <w:color w:val="auto"/>
        </w:rPr>
        <w:t>—Valuations based on unadjusted quoted prices for identical assets or liabilities in an active market that the Company has the ability to access</w:t>
      </w:r>
      <w:r>
        <w:rPr>
          <w:rFonts w:ascii="Arial" w:cs="Arial" w:eastAsia="Arial" w:hAnsi="Arial"/>
          <w:sz w:val="18"/>
          <w:szCs w:val="18"/>
          <w:b w:val="1"/>
          <w:bCs w:val="1"/>
          <w:color w:val="auto"/>
        </w:rPr>
        <w:t xml:space="preserve"> </w:t>
      </w:r>
      <w:r>
        <w:rPr>
          <w:rFonts w:ascii="Arial" w:cs="Arial" w:eastAsia="Arial" w:hAnsi="Arial"/>
          <w:sz w:val="18"/>
          <w:szCs w:val="18"/>
          <w:color w:val="auto"/>
        </w:rPr>
        <w:t>at the measurement 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21" w:right="339" w:bottom="1440" w:gutter="0" w:footer="0" w:header="0"/>
        </w:sectPr>
      </w:pPr>
    </w:p>
    <w:bookmarkStart w:id="92" w:name="page93"/>
    <w:bookmarkEnd w:id="9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jc w:val="both"/>
        <w:ind w:firstLine="364"/>
        <w:spacing w:after="0" w:line="266" w:lineRule="auto"/>
        <w:rPr>
          <w:sz w:val="20"/>
          <w:szCs w:val="20"/>
          <w:color w:val="auto"/>
        </w:rPr>
      </w:pPr>
      <w:r>
        <w:rPr>
          <w:rFonts w:ascii="Arial" w:cs="Arial" w:eastAsia="Arial" w:hAnsi="Arial"/>
          <w:sz w:val="18"/>
          <w:szCs w:val="18"/>
          <w:b w:val="1"/>
          <w:bCs w:val="1"/>
          <w:color w:val="auto"/>
        </w:rPr>
        <w:t>Level 2</w:t>
      </w:r>
      <w:r>
        <w:rPr>
          <w:rFonts w:ascii="Arial" w:cs="Arial" w:eastAsia="Arial" w:hAnsi="Arial"/>
          <w:sz w:val="18"/>
          <w:szCs w:val="18"/>
          <w:color w:val="auto"/>
        </w:rPr>
        <w:t>—Valuations based on observable inputs other than Level 1 prices, such as quoted prices for similar assets or liabilities; quoted prices in</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that are not active; or other inputs that are observable or can be corroborated by observable market data at the measurement date for substantially the full term of the assets or liabilities.</w:t>
      </w:r>
    </w:p>
    <w:p>
      <w:pPr>
        <w:spacing w:after="0" w:line="203" w:lineRule="exact"/>
        <w:rPr>
          <w:sz w:val="20"/>
          <w:szCs w:val="20"/>
          <w:color w:val="auto"/>
        </w:rPr>
      </w:pPr>
    </w:p>
    <w:p>
      <w:pPr>
        <w:jc w:val="both"/>
        <w:ind w:firstLine="364"/>
        <w:spacing w:after="0" w:line="314" w:lineRule="auto"/>
        <w:rPr>
          <w:sz w:val="20"/>
          <w:szCs w:val="20"/>
          <w:color w:val="auto"/>
        </w:rPr>
      </w:pPr>
      <w:r>
        <w:rPr>
          <w:rFonts w:ascii="Arial" w:cs="Arial" w:eastAsia="Arial" w:hAnsi="Arial"/>
          <w:sz w:val="16"/>
          <w:szCs w:val="16"/>
          <w:b w:val="1"/>
          <w:bCs w:val="1"/>
          <w:color w:val="auto"/>
        </w:rPr>
        <w:t>Level 3</w:t>
      </w:r>
      <w:r>
        <w:rPr>
          <w:rFonts w:ascii="Arial" w:cs="Arial" w:eastAsia="Arial" w:hAnsi="Arial"/>
          <w:sz w:val="16"/>
          <w:szCs w:val="16"/>
          <w:color w:val="auto"/>
        </w:rPr>
        <w:t>—Valuations based on unobservable inputs that reflect management’s best estimate of what market participants would use in pricing the asset</w:t>
      </w:r>
      <w:r>
        <w:rPr>
          <w:rFonts w:ascii="Arial" w:cs="Arial" w:eastAsia="Arial" w:hAnsi="Arial"/>
          <w:sz w:val="16"/>
          <w:szCs w:val="16"/>
          <w:b w:val="1"/>
          <w:bCs w:val="1"/>
          <w:color w:val="auto"/>
        </w:rPr>
        <w:t xml:space="preserve"> </w:t>
      </w:r>
      <w:r>
        <w:rPr>
          <w:rFonts w:ascii="Arial" w:cs="Arial" w:eastAsia="Arial" w:hAnsi="Arial"/>
          <w:sz w:val="16"/>
          <w:szCs w:val="16"/>
          <w:color w:val="auto"/>
        </w:rPr>
        <w:t>or liability at the measurement date. Consideration is given to the risk inherent in the valuation technique and the risk inherent in the inputs to the model. The majority of the Company’s investments are Level 3 investments and are subject to a high degree of judgment and uncertainty in determining fair value.</w:t>
      </w:r>
    </w:p>
    <w:p>
      <w:pPr>
        <w:spacing w:after="0" w:line="173"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When the inputs used to measure fair value fall within different levels of the hierarchy, the level within which the fair value measurement is categorized is based on the lowest level input that is significant to the fair value measurement in its entirety. For example, a Level 3 fair value measurement may include inputs that are observable (Levels 1 and 2) and unobservable (Level 3). Therefore, gains and losses for such assets and liabilities categorized within the Level 3 table set forth in “Note 4—Investments at Fair Value” may include changes in fair value that are attributable to both observable inputs (Levels 1 and 2) and unobservable inputs (Level 3).</w:t>
      </w:r>
    </w:p>
    <w:p>
      <w:pPr>
        <w:spacing w:after="0" w:line="215"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A review of fair value hierarchy classifications is conducted on a quarterly basis. Changes in the observability of valuation inputs may result in a reclassification for certain financial assets or liabilities. Reclassifications impacting Level 3 of the fair value hierarchy are reported as transfers in/out of the Level 3 category as of the beginning of the measurement period in which the reclassifications occur. Refer to “Levelling Policy” below for a detailed discussion of the levelling of the Company’s financial assets or liabilities and events that may cause a reclassification within the fair value hierarchy.</w:t>
      </w:r>
    </w:p>
    <w:p>
      <w:pPr>
        <w:spacing w:after="0" w:line="184"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Securities for which market quotations are readily available on an exchange are valued at the most recently available closing price of such security as of the valuation date, unless there are legal or contractual restrictions on the sale or use of such security that under ASC 820-10-35 should be incorporated into the security’s fair value measurement as a characteristic of the security that would transfer to market participants who would buy the security. The Company may also obtain quotes with respect to certain of its investments from pricing services, brokers or dealers in order to value assets. When doing so, the Company determines whether the quote obtained is sufficient according to GAAP to determine the fair value of the security. If determined to be adequate, the Company uses the quote obtained.</w:t>
      </w:r>
    </w:p>
    <w:p>
      <w:pPr>
        <w:spacing w:after="0" w:line="219"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Securities for which reliable market quotations are not readily available or for which the pricing source does not provide a valuation or methodology, or provides a valuation or methodology that, in the judgment of management, our Board of Directors or the valuation committee of the Company’s Board of Directors (the “Valuation Committee”), does not reliably represent fair value, shall each be valued as follows:</w:t>
      </w:r>
    </w:p>
    <w:p>
      <w:pPr>
        <w:spacing w:after="0" w:line="211" w:lineRule="exact"/>
        <w:rPr>
          <w:sz w:val="20"/>
          <w:szCs w:val="20"/>
          <w:color w:val="auto"/>
        </w:rPr>
      </w:pPr>
    </w:p>
    <w:p>
      <w:pPr>
        <w:ind w:left="660" w:right="20" w:hanging="328"/>
        <w:spacing w:after="0" w:line="277" w:lineRule="auto"/>
        <w:tabs>
          <w:tab w:leader="none" w:pos="79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or investment being initially valued by the investment professionals responsible for the portfolio investment;</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senior management;</w:t>
      </w:r>
    </w:p>
    <w:p>
      <w:pPr>
        <w:spacing w:after="0" w:line="252" w:lineRule="exact"/>
        <w:rPr>
          <w:rFonts w:ascii="Arial" w:cs="Arial" w:eastAsia="Arial" w:hAnsi="Arial"/>
          <w:sz w:val="18"/>
          <w:szCs w:val="18"/>
          <w:color w:val="auto"/>
        </w:rPr>
      </w:pPr>
    </w:p>
    <w:p>
      <w:pPr>
        <w:ind w:left="660" w:hanging="328"/>
        <w:spacing w:after="0" w:line="342" w:lineRule="auto"/>
        <w:tabs>
          <w:tab w:leader="none" w:pos="695" w:val="left"/>
        </w:tabs>
        <w:numPr>
          <w:ilvl w:val="0"/>
          <w:numId w:val="63"/>
        </w:numPr>
        <w:rPr>
          <w:rFonts w:ascii="Arial" w:cs="Arial" w:eastAsia="Arial" w:hAnsi="Arial"/>
          <w:sz w:val="16"/>
          <w:szCs w:val="16"/>
          <w:color w:val="auto"/>
        </w:rPr>
      </w:pPr>
      <w:r>
        <w:rPr>
          <w:rFonts w:ascii="Arial" w:cs="Arial" w:eastAsia="Arial" w:hAnsi="Arial"/>
          <w:sz w:val="16"/>
          <w:szCs w:val="16"/>
          <w:color w:val="auto"/>
        </w:rPr>
        <w:t>An independent third-party valuation firm is engaged by the Valuation Committee to conduct independent appraisals and review management’s preliminary valuations and make its own independent assessment, for all investments for which there are no readily available market quotations;</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82"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Valuation Committee discusses the valuations and recommends to the Company’s Board of Directors a fair value for each investment in the portfolio based on the input of management and the independent third-party valuation firm; and</w:t>
      </w:r>
    </w:p>
    <w:p>
      <w:pPr>
        <w:spacing w:after="0" w:line="197" w:lineRule="exact"/>
        <w:rPr>
          <w:rFonts w:ascii="Arial" w:cs="Arial" w:eastAsia="Arial" w:hAnsi="Arial"/>
          <w:sz w:val="18"/>
          <w:szCs w:val="18"/>
          <w:color w:val="auto"/>
        </w:rPr>
      </w:pPr>
    </w:p>
    <w:p>
      <w:pPr>
        <w:ind w:left="660" w:hanging="328"/>
        <w:spacing w:after="0" w:line="277" w:lineRule="auto"/>
        <w:tabs>
          <w:tab w:leader="none" w:pos="67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Company’s Board of Directors then discusses the valuations recommended by the Valuation Committee and determines in good faith the fair value of each investment in the portfolio.</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320" w:top="121" w:right="339" w:bottom="1440" w:gutter="0" w:footer="0" w:header="0"/>
        </w:sectPr>
      </w:pPr>
    </w:p>
    <w:bookmarkStart w:id="93" w:name="page94"/>
    <w:bookmarkEnd w:id="9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64"/>
        <w:spacing w:after="0" w:line="255" w:lineRule="auto"/>
        <w:rPr>
          <w:sz w:val="20"/>
          <w:szCs w:val="20"/>
          <w:color w:val="auto"/>
        </w:rPr>
      </w:pPr>
      <w:r>
        <w:rPr>
          <w:rFonts w:ascii="Arial" w:cs="Arial" w:eastAsia="Arial" w:hAnsi="Arial"/>
          <w:sz w:val="18"/>
          <w:szCs w:val="18"/>
          <w:color w:val="auto"/>
        </w:rPr>
        <w:t>In making a good faith determination of the fair value of investments, the Company considers valuation methodologies consistent with industry practice. Valuation methods utilized include, but are not limited to the following: comparisons to prices from secondary market transactions; venture capital financings; public offerings; purchase or sales transactions; as well as analysis of financial ratios and valuation metrics of the portfolio companies that issued such private equity securities to peer companies that are public, analysis of the portfolio companies’ most recent financial statements and forecasts, and the markets in which the portfolio company does business, and other relevant factors. The Company assigns a weighting based upon the relevance of each method to determine the fair value of each investment.</w:t>
      </w:r>
    </w:p>
    <w:p>
      <w:pPr>
        <w:spacing w:after="0" w:line="219"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For investments that are not publicly traded or that do not have readily available market quotations, the Valuation Committee generally engages an independent valuation firm to provide an independent valuation, which the Company’s Board of Directors considers, among other factors, in making its fair value determinations for these investments. For the current and prior fiscal year, the Valuation Committee engaged an independent valuation firm to perform valuations of 100% of the Company’s investments for which there were no readily available market quotations.</w:t>
      </w:r>
    </w:p>
    <w:p>
      <w:pPr>
        <w:spacing w:after="0" w:line="198"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Due to the inherent uncertainty of determining the fair value of investments that do not have a readily available market value, the fair value of the Company’s investments may fluctuate from period to period. Because of the inherent uncertainty of valuation, these estimated values may differ significantly from the values that would have been reported had a ready market for the investments existed, and it is reasonably possible that the difference could be material.</w:t>
      </w:r>
    </w:p>
    <w:p>
      <w:pPr>
        <w:spacing w:after="0" w:line="214"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In addition, changes in the market environment and other events that may occur over the life of the investments may cause the realized gains or losses on investments to be different from the net change in unrealized appreciation or depreciation currently reflected in the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Investments</w:t>
      </w:r>
    </w:p>
    <w:p>
      <w:pPr>
        <w:spacing w:after="0" w:line="252"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Equity investments for which market quotations are readily available in an active market are generally valued at the most recently available closing market prices and are classified as Level 1 assets. Equity investments with readily available market quotations that are subject to sales restrictions due to an initial public offering (“IPO”) by the portfolio company will be classified as Level 1. Any other equity investments with readily available market quotations that are subject to sales restrictions that would transfer to market participants who would buy the security may be valued at a discount for a lack of marketability (“DLOM”), to the most recently available closing market prices depending upon the nature of the sales restriction. These investments are generally classified as Level 2 assets. The DLOM used is generally based upon the market value of publicly traded put options with similar terms.</w:t>
      </w:r>
    </w:p>
    <w:p>
      <w:pPr>
        <w:spacing w:after="0" w:line="191" w:lineRule="exact"/>
        <w:rPr>
          <w:sz w:val="20"/>
          <w:szCs w:val="20"/>
          <w:color w:val="auto"/>
        </w:rPr>
      </w:pPr>
    </w:p>
    <w:p>
      <w:pPr>
        <w:jc w:val="both"/>
        <w:ind w:firstLine="364"/>
        <w:spacing w:after="0" w:line="291" w:lineRule="auto"/>
        <w:rPr>
          <w:sz w:val="20"/>
          <w:szCs w:val="20"/>
          <w:color w:val="auto"/>
        </w:rPr>
      </w:pPr>
      <w:r>
        <w:rPr>
          <w:rFonts w:ascii="Arial" w:cs="Arial" w:eastAsia="Arial" w:hAnsi="Arial"/>
          <w:sz w:val="16"/>
          <w:szCs w:val="16"/>
          <w:color w:val="auto"/>
        </w:rPr>
        <w:t>The fair values of the Company’s equity investments for which market quotations are not readily available are determined based on various factors and are classified as Level 3 assets. To determine the fair value of a portfolio company for which market quotations are not readily available, the Company may analyze the relevant portfolio company’s most recently available historical and projected financial results, public market comparables, and other factors. The Company may also consider other events, including the transaction in which the Company acquired its securities, subsequent equity sales by the portfolio company, and mergers or acquisitions affecting the portfolio company. In addition, the Company may consider the trends of the portfolio company’s basic financial metrics from the time of its original investment until the measurement date, with material improvement of these metrics indicating a possible increase in fair value, while material deterioration of these metrics may indicate a possible reduction in fair value.</w:t>
      </w:r>
    </w:p>
    <w:p>
      <w:pPr>
        <w:spacing w:after="0" w:line="193"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In determining the value of equity or equity-linked securities (including warrants to purchase common or preferred stock) in a portfolio company, the Company considers the rights, preferences and limitations of such securities. In cases where a portfolio company’s capital structure includes multiple classes of preferred and common stock and equity-linked securities with different rights and preferences, the Company may use an option pricing model to allocate value to each equity-linked security, unless it believes a liquidity event such as an acquisition or a dissolution is imminent, or the portfolio company is unlikely to continue as a going concern. When equity-linked securities expire worthless, any cost associated with these positions is recognized as a realized loss on investments in the Consolidated Statements of Operations and Consolidated Statements of Cash Flows. In the event these securities are exercised into common or preferred stock, the cost associated with these securities is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21" w:right="339" w:bottom="1440" w:gutter="0" w:footer="0" w:header="0"/>
        </w:sectPr>
      </w:pPr>
    </w:p>
    <w:bookmarkStart w:id="94" w:name="page95"/>
    <w:bookmarkEnd w:id="9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reassigned to the cost basis of the new common or preferred stock. These conversions are noted as non-cash operating items on the Consolidated Statements of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Investments</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Given the nature of the Company’s current debt investments (excluding U.S. Treasuries), principally convertible and promissory notes issued by venture-capital-backed portfolio companies, these investments are classified as Level 3 assets because there is no known or accessible market or market indexes for these investment securities to be traded or exchanged. The Company’s debt investments are valued at estimated fair value as determined by the Company’s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Company’s Board of Directors will ascribe value to options based on fair value analyses that can include discounted cash flow analyses, option pricing models, comparable analyses and other techniques as deemed appropriate. These investments are classified as Level 3 assets because there is no known or accessible market or market indexes for these investment securities to be traded or exchanged. The Company’s options are valued at estimated fair value as determined by the Company’s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Company Investment Classification</w:t>
      </w:r>
    </w:p>
    <w:p>
      <w:pPr>
        <w:spacing w:after="0" w:line="252"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power to exercise a controlling influence over the management or policies of a company. Control is generally deemed to exist when a company or individual directly or indirectly owns beneficially more than 25% of the voting securities of an investee company. Affiliated investments and affiliated companies are defined by a lesser degree of influence and are deemed to exist when a company or individual directly or indirectly owns, controls or holds the power to vote 5% or more of the outstanding voting securities of a portfolio company. Refer to the Consolidated Schedules of Investments as of December 31, 2020 and December 31, 2019, for details regarding the nature and composition of the Company’s investment portfolio.</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Levelling Policy</w:t>
      </w:r>
    </w:p>
    <w:p>
      <w:pPr>
        <w:spacing w:after="0" w:line="252"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portfolio companies in which the Company invests may offer their shares in IPOs. The Company’s shares in such portfolio companies are typically subject to lock-up agreements for 180 days following the IPO. Upon the IPO date, the Company transfers its investment from Level 3 to Level 1 due to the presence of an active market, or Level 2 if limited by the lock-up agreement. The Company prices the investment at the closing price on a public exchange as of the measurement date. In situations where there are lock-up restrictions, as well as legal or contractual restrictions on the sale or use of such security that under ASC 820-10-35 should be incorporated into the security’s fair value measurement as a characteristic of the security that would transfer to market participants who would buy the security, the Company will classify the investment as Level 2 subject to an appropriate DLOM to reflect the restrictions upon sale. The Company transfers investments between levels based on the fair value at the beginning of the measurement period in accordance with FASB ASC 820. For investments transferred out of Level 3 due to an IPO, the Company transfers these investments based on their fair value at the IPO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Transactions</w:t>
      </w:r>
    </w:p>
    <w:p>
      <w:pPr>
        <w:spacing w:after="0" w:line="25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Securities transactions are accounted for on the date the transaction for the purchase or sale of the securities is entered into by the Company (</w:t>
      </w:r>
      <w:r>
        <w:rPr>
          <w:rFonts w:ascii="Arial" w:cs="Arial" w:eastAsia="Arial" w:hAnsi="Arial"/>
          <w:sz w:val="18"/>
          <w:szCs w:val="18"/>
          <w:i w:val="1"/>
          <w:iCs w:val="1"/>
          <w:color w:val="auto"/>
        </w:rPr>
        <w:t>i.e.</w:t>
      </w:r>
      <w:r>
        <w:rPr>
          <w:rFonts w:ascii="Arial" w:cs="Arial" w:eastAsia="Arial" w:hAnsi="Arial"/>
          <w:sz w:val="18"/>
          <w:szCs w:val="18"/>
          <w:color w:val="auto"/>
        </w:rPr>
        <w:t>, trade date). Securities transactions outside conventional channels, such as private transactions, are recorded as of the date the Company obtains the right to demand the securities purchased or to collect the proceeds from a sale and incurs an obligation to pay for securities purchased or to deliver securities sold,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Other Financial Instruments</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carrying amounts of the Company’s other, non-investment financial instruments, consisting of cash, receivables, accounts payable, and accrued expenses, approximate fair value due to their short-term nature.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w:t>
      </w:r>
    </w:p>
    <w:p>
      <w:pPr>
        <w:spacing w:after="0" w:line="252"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Company places its cash with U.S. Bank, N.A., Bridge Bank (a subsidiary of Western Alliance Bank), and Silicon Valley Bank, and at times, cash held in these accounts may exceed the Federal Deposit Insurance Corporation insured limit. The Company believes that U.S. Bank, N.A., Western Alliance Bank, and Silicon Valley Bank are high-quality financial institutions and that the risk of loss associated with any uninsured balance is remote.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Escrow Proceeds Receivable</w:t>
      </w:r>
    </w:p>
    <w:p>
      <w:pPr>
        <w:spacing w:after="0" w:line="252"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A portion of the proceeds from the sale of portfolio investments are held in escrow as a recourse for indemnity claims that may arise under the sale agreement. Amounts held in escrow are held at estimated realizable value and included in net realized gains (losses) on investments in the Consolidated Statements of Operations for the period in which they occurred and are adjusted as needed. Any remaining escrow proceeds balances from these transactions reasonably expected to be received are reflected on the Consolidated Statement of Assets and Liabilities as escrow proceeds receivable. As of December 31, 2020 and December 31, 2019, the Company had $852,462 and $265,303, respectively, in escrow proceeds receivable.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252"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The Company records origination costs related to lines of credit as deferred financing costs. These costs are deferred and amortized as part of interest expense using the straight-line method over the respective life of the line of credit. For modifications to a line of credit, any unamortized origination costs are expensed. Included within deferred financing costs are offering costs incurred relating to the Company’s shelf registration statement on Form N-2. The Company defers these offering costs until capital is raised pursuant to the shelf registration statement or until the shelf registration statement expires. For equity capital raised, the offering costs reduce paid-in capital resulting from the offering. For debt capital raised, the associated offering costs are amortized over the life of the debt instrument. As of December 31, 2020 and December 31, 2019, the Company had deferred financing costs of $297,196 and $11,382, respectively, on the Consolidated Statement of Assets and Liabilities.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6"/>
                <w:szCs w:val="16"/>
                <w:color w:val="auto"/>
              </w:rPr>
            </w:pPr>
          </w:p>
        </w:tc>
        <w:tc>
          <w:tcPr>
            <w:tcW w:w="1520" w:type="dxa"/>
            <w:vAlign w:val="bottom"/>
          </w:tcPr>
          <w:p>
            <w:pPr>
              <w:jc w:val="right"/>
              <w:ind w:right="175"/>
              <w:spacing w:after="0"/>
              <w:rPr>
                <w:sz w:val="20"/>
                <w:szCs w:val="20"/>
                <w:color w:val="auto"/>
              </w:rPr>
            </w:pPr>
            <w:r>
              <w:rPr>
                <w:rFonts w:ascii="Arial" w:cs="Arial" w:eastAsia="Arial" w:hAnsi="Arial"/>
                <w:sz w:val="14"/>
                <w:szCs w:val="14"/>
                <w:b w:val="1"/>
                <w:bCs w:val="1"/>
                <w:color w:val="auto"/>
                <w:w w:val="98"/>
              </w:rPr>
              <w:t>December 31, 2019</w:t>
            </w:r>
          </w:p>
        </w:tc>
      </w:tr>
      <w:tr>
        <w:trPr>
          <w:trHeight w:val="229"/>
        </w:trPr>
        <w:tc>
          <w:tcPr>
            <w:tcW w:w="7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credit facility costs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offering costs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285,814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Financing Costs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11,382</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-334010</wp:posOffset>
            </wp:positionV>
            <wp:extent cx="490347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03470" cy="15430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Company accounts for its operating leases as prescribed by ASC 842, </w:t>
      </w:r>
      <w:r>
        <w:rPr>
          <w:rFonts w:ascii="Arial" w:cs="Arial" w:eastAsia="Arial" w:hAnsi="Arial"/>
          <w:sz w:val="18"/>
          <w:szCs w:val="18"/>
          <w:i w:val="1"/>
          <w:iCs w:val="1"/>
          <w:color w:val="auto"/>
        </w:rPr>
        <w:t>Leases</w:t>
      </w:r>
      <w:r>
        <w:rPr>
          <w:rFonts w:ascii="Arial" w:cs="Arial" w:eastAsia="Arial" w:hAnsi="Arial"/>
          <w:sz w:val="18"/>
          <w:szCs w:val="18"/>
          <w:color w:val="auto"/>
        </w:rPr>
        <w:t>, which requires lessees to recognize a right of use asset on the balance sheet, representing its right to use the underlying asset for the lease term, and a corresponding lease liability for all leases with terms greater than 12 months. The lease expense is presented as a single lease cost that is amortized on a straight-line basis over the life of the lease. Non-lease components (maintenance, property tax, insurance and parking) are not included in the lease cost. On June 3, 2019, the Company entered a 5-year operating lease for primary office space for which the Company has recorded a right-of-use asset and a corresponding lease liability for the operating lease obligation. These amounts have been discounted using the rate implicit in the lease. Refer to “Note 7—Commitments and Contingencies—</w:t>
      </w:r>
      <w:r>
        <w:rPr>
          <w:rFonts w:ascii="Arial" w:cs="Arial" w:eastAsia="Arial" w:hAnsi="Arial"/>
          <w:sz w:val="18"/>
          <w:szCs w:val="18"/>
          <w:i w:val="1"/>
          <w:iCs w:val="1"/>
          <w:color w:val="auto"/>
        </w:rPr>
        <w:t>Operating Leases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Deposits</w:t>
      </w:r>
      <w:r>
        <w:rPr>
          <w:rFonts w:ascii="Arial" w:cs="Arial" w:eastAsia="Arial" w:hAnsi="Arial"/>
          <w:sz w:val="18"/>
          <w:szCs w:val="18"/>
          <w:color w:val="auto"/>
        </w:rPr>
        <w:t>” for further detail.</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Using the fair value recognition provisions as prescribed by ASC 718, </w:t>
      </w:r>
      <w:r>
        <w:rPr>
          <w:rFonts w:ascii="Arial" w:cs="Arial" w:eastAsia="Arial" w:hAnsi="Arial"/>
          <w:sz w:val="18"/>
          <w:szCs w:val="18"/>
          <w:i w:val="1"/>
          <w:iCs w:val="1"/>
          <w:color w:val="auto"/>
        </w:rPr>
        <w:t>Stock Compensation</w:t>
      </w:r>
      <w:r>
        <w:rPr>
          <w:rFonts w:ascii="Arial" w:cs="Arial" w:eastAsia="Arial" w:hAnsi="Arial"/>
          <w:sz w:val="18"/>
          <w:szCs w:val="18"/>
          <w:color w:val="auto"/>
        </w:rPr>
        <w:t>, stock-based compensation cost is measured at the grant date based on the estimated fair value of the award and is recognized as expense over the appropriate service period. Determining the fair value of stock-based awards requires considerable judgment, including estimating the expected term of stock options and the expected volatility of our stock price. Differences between actual results and these estimates could have a material effect on our financial results. Forfeitures are accounted for as they occur. Refer to “Note 11—Stock-Based Compensation” for further detail.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The Company recognizes gains or losses on the sale of investments using the specific identification method. The Company recognizes interest income, adjusted for amortization of premium and accretion of discount, on an accrual basis. The Company recognizes dividend income on the ex-dividend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 Costs and Escrow Deposits</w:t>
      </w:r>
    </w:p>
    <w:p>
      <w:pPr>
        <w:spacing w:after="0" w:line="256" w:lineRule="exact"/>
        <w:rPr>
          <w:sz w:val="20"/>
          <w:szCs w:val="20"/>
          <w:color w:val="auto"/>
        </w:rPr>
      </w:pPr>
    </w:p>
    <w:p>
      <w:pPr>
        <w:jc w:val="both"/>
        <w:ind w:firstLine="364"/>
        <w:spacing w:after="0" w:line="273" w:lineRule="auto"/>
        <w:rPr>
          <w:sz w:val="20"/>
          <w:szCs w:val="20"/>
          <w:color w:val="auto"/>
        </w:rPr>
      </w:pPr>
      <w:r>
        <w:rPr>
          <w:rFonts w:ascii="Arial" w:cs="Arial" w:eastAsia="Arial" w:hAnsi="Arial"/>
          <w:sz w:val="17"/>
          <w:szCs w:val="17"/>
          <w:color w:val="auto"/>
        </w:rPr>
        <w:t>Commissions and other costs associated with an investment transaction, including legal expenses not reimbursed by the portfolio company, are included in the cost basis of purchases and deducted from the proceeds of sales. The Company makes certain acquisitions on secondary markets, which may involve making deposits to escrow accounts until certain conditions are met, including the underlying private company’s right of first refusal. If the underlying private company does not exercise or assign its right of first refusal and all other conditions are met, then the funds in the escrow account are delivered to the seller and the account is closed. Such transactions would be reflected on the Consolidated Statement of Assets and Liabilities as escrow deposits. As of December 31, 2020 and December 31, 2019, the Company had no material escrow deposits.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Unrealized Appreciation or Depreciation of Investments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Unrealized appreciation or depreciation is calculated as the difference between the fair value of the investment and the cost basis of such investment.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and State Income Taxes</w:t>
      </w:r>
    </w:p>
    <w:p>
      <w:pPr>
        <w:spacing w:after="0" w:line="256"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The Company elected to be treated as a regulated investment company (a “RIC”) under Subchapter M of the Internal Revenue Code of 1986, as amended (the “Code”), beginning with its taxable year ended December 31, 2014, has qualified to be treated as a RIC for subsequent taxable years and intends to continue to operate in a manner so as to qualify for the tax treatment applicable to RICs. To qualify for tax treatment as a RIC, among other things, the Company is required to meet certain source of income and asset diversification requirements and timely distribute to its stockholders at least 90% of the sum of investment company taxable income (“ICTI”) including payment-in-kind interest income, as defined by the Code, and net tax-exempt interest income (which is the excess of its gross tax-exempt interest income over certain disallowed deductions) for each taxable year (the "Annual Distribution Requirement"). Depending on the level of ICTI earned in a tax year, the Company may choose to carry forward into the next tax year ICTI in excess of current year dividend distributions. Any such carryforward ICTI must be distributed on or before December 31 of the subsequent tax year to which it was carried forward.</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Company meets the Annual Distribution Requirement, but does not distribute (or is not deemed to have distributed) each calendar year a sum of</w:t>
      </w:r>
    </w:p>
    <w:p>
      <w:pPr>
        <w:spacing w:after="0" w:line="46" w:lineRule="exact"/>
        <w:rPr>
          <w:sz w:val="20"/>
          <w:szCs w:val="20"/>
          <w:color w:val="auto"/>
        </w:rPr>
      </w:pPr>
    </w:p>
    <w:p>
      <w:pPr>
        <w:jc w:val="both"/>
        <w:ind w:firstLine="8"/>
        <w:spacing w:after="0" w:line="252" w:lineRule="auto"/>
        <w:tabs>
          <w:tab w:leader="none" w:pos="276" w:val="left"/>
        </w:tabs>
        <w:numPr>
          <w:ilvl w:val="0"/>
          <w:numId w:val="64"/>
        </w:numPr>
        <w:rPr>
          <w:rFonts w:ascii="Arial" w:cs="Arial" w:eastAsia="Arial" w:hAnsi="Arial"/>
          <w:sz w:val="18"/>
          <w:szCs w:val="18"/>
          <w:color w:val="auto"/>
        </w:rPr>
      </w:pPr>
      <w:r>
        <w:rPr>
          <w:rFonts w:ascii="Arial" w:cs="Arial" w:eastAsia="Arial" w:hAnsi="Arial"/>
          <w:sz w:val="18"/>
          <w:szCs w:val="18"/>
          <w:color w:val="auto"/>
        </w:rPr>
        <w:t>98% of its net ordinary income for each calendar year, (2) 98.2% of its capital gain net income for the one-year period ending October 31 in that calendar year and (3) any income recognized, but not distributed, in preceding years (the “Excise Tax Avoidance Requirement”), it generally will be required to pay an excise tax equal to 4% of the amount by which the Excise Tax Avoidance Requirement exceeds the distributions for the year. To the extent that the Company determines that its estimated current year annual taxable income will exceed estimated current year dividend distributions from such taxable income, the Company will accrue excise taxes, if any, on estimated excess taxable income as taxable income is earned using an annual effective excise tax rate. The annual effective excise tax rate is determined by dividing the estimated annual excise tax by the estimated annual taxable income.</w:t>
      </w:r>
    </w:p>
    <w:p>
      <w:pPr>
        <w:spacing w:after="0" w:line="219"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So long as the Company qualifies and maintains its tax treatment as a RIC, it generally will not pay corporate-level U.S. federal and state income taxes on any ordinary income or capital gains that it distributes at least annually to its stockholders as dividends. Rather, any tax liability related to income earned by the RIC will represent obligations of the Company’s investors and will not be reflected in the consolidated financial statements of the Company. Included in the Company’s consolidated financial statements, the Taxable Subsidiaries are taxable subsidiaries, regardless of whether the Company is a RIC. These taxable subsidiaries are not consolidated for income tax purposes and may generate income tax expenses as a result of their ownership of the portfolio companies. Such income tax expenses and deferred taxes, if any, will be reflected in the Company’s consolidated financial statements.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6"/>
          <w:szCs w:val="16"/>
          <w:color w:val="auto"/>
        </w:rPr>
        <w:t>If it is not treated as a RIC, the Company will be taxed as a regular corporation (a “C corporation”) under Subchapter C of the Code for such taxable year. If the Company has previously qualified as a RIC but is subsequently unable to qualify for treatment as a RIC, and certain amelioration provisions are not applicable, the Company would be subject to tax on all of its taxable income (including its net capital gains) at regular corporate rates. The Company would not be able to deduct distributions to stockholders, nor would it be required to make distributions. Distributions, including distributions of net long-term capital gain, would generally be taxable to its stockholders as ordinary dividend income to the extent of the Company’s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the Company’s current and accumulated earnings and profits would be treated first as a return of capital to the extent of the stockholder’s tax basis, and any remaining distributions would be treated as a capital gain.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for tax treatment as a RIC. If the Company fails to requalify for tax treatment as a RIC for a period greater than two taxable years, it may be subject to regular corporate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 The Company was taxed as a C Corporation for its 2012 and 2013 taxable years. Refer to “Note 9—Income Taxes” for further details.</w:t>
      </w:r>
    </w:p>
    <w:p>
      <w:pPr>
        <w:spacing w:after="0" w:line="1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elected to be treated as a RIC for the taxable year ended December 31, 2014 in connection with the filing of its 2014 tax return. As a result, the Company was required to pay a corporate-level U.S. federal income tax on the amount of the net built-in gains in its assets (the amount by which the net fair market value of the Company’s assets exceeds the net adjusted basis in its assets) either (1) as of the date it converted to a RIC (i.e., the beginning of the first taxable year that the Company qualifies as a RIC, which would be January 1, 2014), or (2) to the extent that the Company recognized such net built-in gains during the five-year recognition period beginning on the date of conversion. As of January 1, 2014, the Company had net unrealized built-in gains, but did not incur a built-in-gains tax for the 2014 tax year due to the fact that there were sufficient net capital loss carryforwards to completely offset recognized built-in gains as well as available net operating losses. The five-year recognition period ended on December 31, 2018.</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 Share Information</w:t>
      </w:r>
    </w:p>
    <w:p>
      <w:pPr>
        <w:spacing w:after="0" w:line="256"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Net change in net assets resulting from operations per basic common share is computed using the weighted-average number of shares outstanding for the period presented. Diluted net change in net assets resulting from operations per common share is computed by dividing net increase/(decrease) in net assets resulting from operations for the period adjusted to include the pre-tax effects of interest incurred on potentially dilutive securities, by the weighted-average number of common shares outstanding plus any potentially dilutive shares outstanding during the period. The Company used the if-converted method in accordance with FASB ASC 260</w:t>
      </w:r>
      <w:r>
        <w:rPr>
          <w:rFonts w:ascii="Arial" w:cs="Arial" w:eastAsia="Arial" w:hAnsi="Arial"/>
          <w:sz w:val="16"/>
          <w:szCs w:val="16"/>
          <w:i w:val="1"/>
          <w:iCs w:val="1"/>
          <w:color w:val="auto"/>
        </w:rPr>
        <w:t>, Earnings Per Share</w:t>
      </w:r>
      <w:r>
        <w:rPr>
          <w:rFonts w:ascii="Arial" w:cs="Arial" w:eastAsia="Arial" w:hAnsi="Arial"/>
          <w:sz w:val="16"/>
          <w:szCs w:val="16"/>
          <w:color w:val="auto"/>
        </w:rPr>
        <w:t xml:space="preserve"> (“ASC 260”) to determine the number of potentially dilutive shares outstanding. Refer to “Note 6—Net Increase in Net Assets Resulting from Operations per Common Share—Basic and Diluted” for further detail.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or Adopted Accounting Standards</w:t>
      </w:r>
    </w:p>
    <w:p>
      <w:pPr>
        <w:spacing w:after="0" w:line="25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w:t>
      </w:r>
      <w:r>
        <w:rPr>
          <w:rFonts w:ascii="Arial" w:cs="Arial" w:eastAsia="Arial" w:hAnsi="Arial"/>
          <w:sz w:val="16"/>
          <w:szCs w:val="16"/>
          <w:color w:val="auto"/>
        </w:rPr>
        <w:t>, which is intended to improve fair value and defined benefit disclosure requirements by removing disclosures that are not cost beneficial, clarifying disclosures' specific requirements, and adding relevant disclosure requirements. The amendments took effect for all organizations for fiscal years, and interim periods within those fiscal years, beginning after December 15, 2019. The Company adopted the eliminated and modified disclosure requirements during the year ended December 31, 2020. No significant changes to the fair value disclosures were necessary in the notes to the consolidated financial statements in order to comply with ASU 2018-13.</w:t>
      </w:r>
    </w:p>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In August 2018, the SEC issued Final Rule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xml:space="preserve"> amending certain disclosure requirements intended to eliminate redundant, duplicative, overlapping, outdated or superseded, in light of other SEC</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requirements, U.S. GAAP requirements, or changes in the information environment. In part, this final rule requires an investment company to present distributable earnings in total on the consolidated balance sheet, rather than showing the three components of distributable earnings as previously required. The Company decided not to adopt this change as the current, more detailed and expanded disclosure presentation was deemed to be most helpful, useful, and transparent for users of our consolidated financial statements. The impact of the adoption of this amendment on the Company's consolidated financial statements would not be material. Additionally, the final rule requires disclosure of changes in net assets within a registrant's Form 10-Q filing on a quarter-to-date and year-to-date basis for both the current year and prior year comparative periods.</w:t>
      </w:r>
    </w:p>
    <w:p>
      <w:pPr>
        <w:spacing w:after="0" w:line="20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2020, the SEC adopted a final rule under SEC Release No. 34-88365 ("SEC Rule 12b-2 Update"), amending the accelerated filer and large accelerated filer definitions in Exchange Act Rule 12b-2. The amendments include a provision under which a BDC will be excluded from the “accelerated filer” and “large accelerated filer” definitions if the BDC has (1) a public float of $75.0 million or more, but less than $700.0 million, and (2) has annual investment income of less than $100.0 million. In addition, BDCs are subject to the same transition provisions for accelerated filer and large accelerated filer status as other issuers, but instead substituting investment income for revenue. The amendments will reduce the number of issuers required to comply with the auditor attestation on the internal control over financial reporting requirement provided under Section 404(b) of the Sarbanes-Oxley Act of 2002. SEC Rule 12b-2 Update applies to annual report filings due on or after April 27, 2020. The adoption of this rule has resulted in the Company no longer being an accelerated filer. The Company is also not required to comply with the auditor attestation on the internal control over financial reporting requirement provided under Section 404(b) of the Sarbanes-Oxley Act of 2002.</w:t>
      </w:r>
    </w:p>
    <w:p>
      <w:pPr>
        <w:spacing w:after="0" w:line="20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 the definition of “significant subsidiary” in a manner that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The Company has elected to comply in advance of the effective date for the year ended December 31, 2020. The adoption of this rule has an impact on the consolidated financial statements in that far fewer subsidiaries require disclosure under the Final Rules as compared to the previous rules.</w:t>
      </w:r>
    </w:p>
    <w:p>
      <w:pPr>
        <w:spacing w:after="0" w:line="20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October 2020, the FASB issued ASU 2020-10, Codification Improvements, which made various technical changes and corrections intended to provide clarifications to existing guidance, as well as simplifications to wording or structure of existing guidance. The amendments in Sections B and C are effective for annual periods beginning after December 15, 2020, for public business entities. Early application of the amendments in this Update is permitted for public business entities for any annual or interim period for which financial statements have not been issued. The Company did not early adopt the modified disclosure requirements during the year ended December 31, 2020, but is evaluating the guidance of our adoption upon its effective date.</w:t>
      </w:r>
    </w:p>
    <w:p>
      <w:pPr>
        <w:spacing w:after="0" w:line="2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standards setting bodies that are adopted by the Company as of the specified effective date. The Company believes that the impact of recently issued standards and any that are not yet effective will not have a material impact on its consolidated financial statements upon adoption.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3—RELATED-PARTY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Internalization of Company’s Operating Structure</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and effective March 12, 2019 (the "Effective Date"), our Board of Directors approved internalizing our operating structure and we began operating as an internally managed non-diversified closed-end management investment company that has elected to be regulated as a BDC under the 1940 Act. Prior to the Effective Date, we were externally managed by our former investment adviser, GSV Asset Management, pursuant to the Investment Advisory Agreement, and our former administrator, GSV Capital Service Company, provided the administrative services necessary for our operations pursuant to the Administration Agreement.</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accounting implications and related controls associated with the Internalization were analyzed and updated for fiscal year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Investment Advisory Agreement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Investment Advisory Agreement was terminated by mutual agreement of GSV Asset Management and us in connection with our Internalization.</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Prior to our Internalization, GSV Asset Management served as our external investment adviser pursuant to the Investment Advisory Agreement. Pursuant to the terms of the Investment Advisory Agreement, we paid GSV Asset Management a fee for its services consisting of two components - a base management fee and an incentive fee. The base management fee was calculated at an annual rate of 2.00% of our gross assets (our total assets as reflected on our balance sheet with no deduction for liabilities). The incentive fee was determined and payable in arrears as of the end of each calendar year (or upon termination of the Investment Advisory Agreement, as of the termination date), and equaled the lesser of (i) 20% of our realized capital gains during such calendar year, if any, calculated on an investment-by-investment basis, subject to a non-compounded preferred return, or “hurdle” of 8.00% per year, and a “catch-up” feature, and (ii) 20% of our realized capital gains, if any, on a cumulative basis from inception through the end of each calendar year, computed net of all realized capital losses and unrealized capital depreciation on a cumulative basis, less the aggregate amount of any previously paid incentive fees. See “—Investment Advisory Agreement” below.</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fees or incentives fees payable to GSV Asset Management going forward.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Administration Agreement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and effective March 12, 2019, the Administration Agreement was terminated by mutual agreement of GSV Capital Service Company and us in connection with our Internalization.</w:t>
      </w:r>
    </w:p>
    <w:p>
      <w:pPr>
        <w:spacing w:after="0" w:line="197"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Prior to our Internalization, GSV Capital Service Company served as our external administrator and provided administrative services necessary for our operations, including but not limited to, furnishing us with office facilities, equipment and clerical, bookkeeping and record keeping services at such facilities, as well as providing us with certain other administrative services, including, but not limited to, assisting us with determining and publishing our net asset value, overseeing the preparation and filing of our tax returns and the printing and dissemination of reports to our stockholders.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Under the Administration Agreement, we did not pay any fees to GSV Capital Service Company but reimbursed GSV Capital Service Company for our allocable portion of overhead and other expenses incurred by GSV Capital Service Company in performing its services under the Administration Agreement, including, but not limited to, fees and expenses associated with performing compliance functions and our allocable portion of rent and compensation of our President, Chief Financial Officer, Chief Compliance Officer and other staff providing administrative services. See “—Administration Agreement” below.</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the Administration Agreement has been terminated, there will be no costs incurred by GSV Capital Service Company going forward.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Departure of Director and Reduction of Number of Directors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and effective March 12, 2019, Michael T. Moe resigned from our Board of Directors in connection with our Internalization. As a result of Mr. Moe’s resignation, our Board of Directors reduced the number of directors that constitute our full Board of Directors to five directors from six directors in accordance with our bylaws. Mr. Moe continued to provide certain services to us pursuant to the Consulting Agreement (as defined below). See “— Consulting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Agreement</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and effective March 12, 2019, we entered into a Consulting Agreement (the “Consulting Agreement”) with Michael T. Moe, the former Chairman of our Board of Directors and the Chief Executive Officer and Chief Investment Officer of GSV Asset Management, for the purpose of assisting us with certain transition services following the termination of the Investment Advisory Agreement and our Internalization. Pursuant to the Consulting Agreement, Mr. Moe provided certain transition services to us related to our existing portfolio investments for which Mr. Moe previously had oversight in his role as the Chief Executive Officer and Chief Investment Officer of GSV Asset Management. Such transition services included providing information to us regarding such portfolio companies, including as a member of a portfolio company’s board of directors, assisting with the transition of portfolio company board seats as requested by us, making appropriate introductions to representatives of portfolio companies, and providing other similar types of services that we may reasonably request.</w:t>
      </w:r>
    </w:p>
    <w:p>
      <w:pPr>
        <w:spacing w:after="0" w:line="21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term of the Consulting Agreement commenced on March 12, 2019 and continued for eighteen months in accordance with its terms. Pursuant to the Consulting Agreement, we paid Mr. Moe a total amount equal to $1,250,000. On September 12, 2020, the Consulting Agreement expired in accordance with its terms and was not renewed or extended.</w:t>
      </w:r>
    </w:p>
    <w:p>
      <w:pPr>
        <w:spacing w:after="0" w:line="211"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For the years ended December 31, 2020, 2019, and 2018, the Company incurred $582,438, $667,563, and $0 respectively, of consulting expense related to the Consulting Agreement, as included in "professional fees" on the Consolidated Statements of Operations. As of December 31, 2020 and December 31, 2019, the Company recorded $0 and $332,437, respectively, of prepaid expense related to the Consulting Agreement on the Consolidated Statement of Assets and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Trademark License Agreement</w:t>
      </w:r>
    </w:p>
    <w:p>
      <w:pPr>
        <w:spacing w:after="0" w:line="25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and effective March 12, 2019, we entered into an Amended and Restated Trademark License Agreement (the “Amended and Restated License Agreement”) with GSV Asset Management in connection with termination of the Investment Advisory Agreement. See “—Termination of Investment Advisory Agreement.”</w:t>
      </w:r>
    </w:p>
    <w:p>
      <w:pPr>
        <w:spacing w:after="0" w:line="21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GSV Asset Management is the owner of the trade name “GSV”, and other state or unregistered “GSV” marks, including the trading symbol “GSVC” (collectively, the “Licensed Marks”). Pursuant to the Amended and Restated License Agreement, GSV Asset Management granted us a non-transferable, non-sublicensable, and non-exclusive right and license to use the Licensed Marks, solely in connection with the operation of our existing business.</w:t>
      </w:r>
    </w:p>
    <w:p>
      <w:pPr>
        <w:spacing w:after="0" w:line="17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term of the Amended and Restated License Agreement commenced on March 12, 2019 and continued for eighteen months in accordance with its terms. Pursuant to the Amended and Restated License Agreement, we paid GSV Asset Management a total amount equal to $1,250,000. On September 12, 2020, the Amended and Restated License Agreement expired in accordance with its terms and was not renewed or extended.</w:t>
      </w:r>
    </w:p>
    <w:p>
      <w:pPr>
        <w:spacing w:after="0" w:line="19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For the years ended December 31, 2020, 2019, and 2018, the Company incurred $582,438, $667,563, and $0 respectively, of licensing expense, as included in "other expenses" on the Consolidated Statements of Operations. As of December 31, 2020 and December 31, 2019, the Company recorded $0 and $332,437, respectively, of prepaid expense related to the Amended and Restated Trademark License Agreement on the Consolidated Statement of Assets and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Advisory Agreement</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On March 12, 2019, in connection with the Company's Internalization, the Investment Advisory Agreement was terminated in accordance with its terms.</w:t>
      </w:r>
    </w:p>
    <w:p>
      <w:pPr>
        <w:spacing w:after="0" w:line="197"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Prior to our Internalization on March 12, 2019, the Company had entered into the Investment Advisory Agreement with GSV Asset Management. Under the terms of the Investment Advisory Agreement, GSV Asset Management was paid a quarterly management fee and an annual incentive fee. GSV Asset Management is controlled by Michael T. Moe, the former Chairman of the Company’s Board of Directors. Mr. Moe, through his ownership interest in GSV Asset Management, was entitled to a portion of any profits earned by GSV Asset Management in performing its services under the Investment Advisory Agreement. Mr. Moe serves as the principal of GSV Asset Management and manages the business and internal affairs of GSV</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Asset Management. Mark Klein, the Company’s Chief Executive Officer, President, and a member of the Company’s Board of Directors, or entities with which he is affiliated, received consulting fees from GSV Asset Management equal to a percentage of each of the base management fee and the incentive fee paid by the Company to GSV Asset Management pursuant to a consulting agreement with GSV Asset Management. As the Investment Advisory Agreement has been terminated, Mr. Klein no longer has a consulting agreement or any other affiliation with GSV Asset Management.</w:t>
      </w:r>
    </w:p>
    <w:p>
      <w:pPr>
        <w:spacing w:after="0" w:line="198"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Under the Investment Advisory Agreement, there were no restrictions on the right of any manager, partner, officer or employee of GSV Asset Management to engage in any other business or to devote his or her time and attention in part to any other business, whether of a similar or dissimilar nature, or to receive any fees or compensation in connection therewith (including fees for serving as a director of, or providing consulting services to, one or more of the Company’s portfolio companies). GSV Asset Management had, however, adopted an internal policy whereby any fees or compensation received by a manager, partner, officer or employee of GSV Asset Management in exchange for serving as a director of, or providing consulting services to, any of the Company’s portfolio companies would be transferred to the Company, net of any personal taxes incurred, upon such receipt for the benefit of the Company and its stockholders.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Under the terms of the Investment Advisory Agreement, GSV Asset Management was paid a base management fee of 2.00% of gross assets, which is the Company’s total assets reflected on its Consolidated Statement of Assets and Liabilities (with no deduction for liabilities) reduced by any non-portfolio investments. During the month of January 2018, pursuant to a voluntary waiver by GSV Asset Management, the Company paid GSV Asset Management a base management fee of 1.75%, a 0.25% reduction from the 2.00% base management fee payable under the Investment Advisory Agreement. On February 2, 2018 GSV Asset Management voluntarily agreed to reduce fees payable under the Investment Advisory Agreement (the “Waiver Agreement”). Pursuant to the Waiver Agreement, effective February 1, 2018, the base management fee is reduced to 1.75% of the Company’s gross assets, as further described below. The waiver of a portion of the base management fee is not subject to recourse against or reimbursement by the Company.</w:t>
      </w:r>
    </w:p>
    <w:p>
      <w:pPr>
        <w:spacing w:after="0" w:line="193"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For the year ended December 31, 2020, the Company did not accrue or waive any management fees due to the termination of the Investment Advisory Agreement, effective March 12, 2019. GSV Asset Management earned $848,723, and $5,199,900 in management fees for the years ended December 31, 2019 and 2018, respectively, and waived $0 and $892,421 in management fees for the years ended December 31, 2019 and 2018, respectively.</w:t>
      </w:r>
    </w:p>
    <w:p>
      <w:pPr>
        <w:spacing w:after="0" w:line="17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As the Investment Advisory Agreement has been terminated, there will be no base management fee payable to GSV Asset Management going forward.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52" w:lineRule="exact"/>
        <w:rPr>
          <w:sz w:val="20"/>
          <w:szCs w:val="20"/>
          <w:color w:val="auto"/>
        </w:rPr>
      </w:pPr>
    </w:p>
    <w:p>
      <w:pPr>
        <w:jc w:val="both"/>
        <w:ind w:firstLine="364"/>
        <w:spacing w:after="0" w:line="293" w:lineRule="auto"/>
        <w:rPr>
          <w:sz w:val="20"/>
          <w:szCs w:val="20"/>
          <w:color w:val="auto"/>
        </w:rPr>
      </w:pPr>
      <w:r>
        <w:rPr>
          <w:rFonts w:ascii="Arial" w:cs="Arial" w:eastAsia="Arial" w:hAnsi="Arial"/>
          <w:sz w:val="16"/>
          <w:szCs w:val="16"/>
          <w:color w:val="auto"/>
        </w:rPr>
        <w:t>Under the terms of the Investment Advisory Agreement, GSV Asset Management was paid an annual incentive fee equal to the lesser of (i) 20% of the Company’s realized capital gains during each calendar year, if any, calculated on an investment-by-investment basis, subject to a non-compounded preferred return, or “hurdle,” and a “catch-up” feature, and (ii) 20% of the Company’s realized capital gains, if any, on a cumulative basis from inception through the end of each calendar year, computed net of all realized capital losses and unrealized capital depreciation on a cumulative basis, less the aggregate amount of any previously paid incentive fees. Effective February 1, 2018, the incentive fee paid by the Company to GSV Asset Management under the Investment Advisory Agreement was modified pursuant to the terms of the Waiver Agreement, as further described below.</w:t>
      </w:r>
    </w:p>
    <w:p>
      <w:pPr>
        <w:spacing w:after="0" w:line="191"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 was required to accrue incentive fees for all periods as if the Company had fully liquidated its entire investment portfolio at the fair value stated on the Consolidated Statements of Assets and Liabilities as of December 31, 2018 or prior to the termination of the Investment Advisory Agreement. The accrual considered both the hypothetical liquidation of the Company’s portfolio described previously, as well as the Company’s actual cumulative realized gains and losses since inception, as well any previously paid incentive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For the year ended December 31, 2020, the Company did not accrue any incentive fees due to the termination of the Investment Advisory Agreement, effective March 12, 2019. For the year ended December 31, 2019, the Company reversed previously accrued incentive fees of $4,660,472, due to the termination of the Investment Advisory Agreement. As the Investment Advisory Agreement has been terminated, there will be no incentive fee payable to GSV Asset Management going forward. For the year ended December 31, 2018, the Company accrued incentive fees of $382,387. Pursuant to the Waiver Agreement, on February 2, 2018, GSV Asset Management forfeited $5.0 million of the accrued incentive fees.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 Waiver Agreement</w:t>
      </w:r>
    </w:p>
    <w:p>
      <w:pPr>
        <w:spacing w:after="0" w:line="252"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On February 2, 2018, GSV Asset Management voluntarily agreed to reduce the fees payable under the Investment Advisory Agreement pursuant to the Waiver Agreement. The Waiver Agreement was effective beginning February 1, 2018 and changed the fee structure set forth in the Investment Advisory Agreement by: (i) reducing the Company’s base management fee from 2.00% to 1.75%; and (ii) creating certain high-water marks that must be reached before any incentive fee is paid to GSV Asset Management.</w:t>
      </w:r>
    </w:p>
    <w:p>
      <w:pPr>
        <w:spacing w:after="0" w:line="214"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Pursuant to the Waiver Agreement, in addition to the “hurdle” feature in the incentive fee, GSV Asset Management had agreed to additional conditions on its ability to receive an incentive fee. Specifically, the Waiver Agreement provided that an incentive fee earned by GSV Asset Management under the Investment Advisory Agreement would be payable to GSV Asset Management only if, at the time that such incentive fee becomes payable under the Investment Advisory Agreement, both the Company’s stock price and its last reported net asset value per share were equal to, or greater than, $12.55 (the “High-Water Mark”). The High-Water Mark was based upon the volume weighted average price (VWAP) of all the Company’s equity offerings since its initial public offering, less the dollar amount of all dividends paid by the Company since inception. Upon such time that the High-Water Mark was achieved, and GSV Asset Management was paid an incentive fee, a new High-Water Mark would have been established. Each new High-Water Mark would have been equal to the most recent High-Water Mark, plus 10%. Any High-Water Mark then in effect would have been adjusted to reflect any dividends paid by the Company or any stock split effected by the Company.</w:t>
      </w:r>
    </w:p>
    <w:p>
      <w:pPr>
        <w:spacing w:after="0" w:line="208"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avoidance of doubt, after the effective date of the Waiver Agreement, under no circumstances would the aggregate fees earned by GSV Asset Management in any quarterly period have been higher than those aggregate fees that would have been earned prior to the effectiveness of the Waiver Agreement.</w:t>
      </w:r>
    </w:p>
    <w:p>
      <w:pPr>
        <w:spacing w:after="0" w:line="211" w:lineRule="exact"/>
        <w:rPr>
          <w:sz w:val="20"/>
          <w:szCs w:val="20"/>
          <w:color w:val="auto"/>
        </w:rPr>
      </w:pPr>
    </w:p>
    <w:p>
      <w:pPr>
        <w:jc w:val="both"/>
        <w:ind w:firstLine="364"/>
        <w:spacing w:after="0" w:line="308" w:lineRule="auto"/>
        <w:rPr>
          <w:sz w:val="20"/>
          <w:szCs w:val="20"/>
          <w:color w:val="auto"/>
        </w:rPr>
      </w:pPr>
      <w:r>
        <w:rPr>
          <w:rFonts w:ascii="Arial" w:cs="Arial" w:eastAsia="Arial" w:hAnsi="Arial"/>
          <w:sz w:val="17"/>
          <w:szCs w:val="17"/>
          <w:color w:val="auto"/>
        </w:rPr>
        <w:t>As of each of December 31, 2020 and December 31, 2019, there were no receivables owed to the Company by GSV Asset Management. As the Investment Advisory Agreement has been terminated, there will be no receivables owed to the Company by GSV Asset Management going forward.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25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On March 12, 2019, in connection with the Company's Internalization, the Administration Agreement was terminated in accordance with its terms.</w:t>
      </w:r>
    </w:p>
    <w:p>
      <w:pPr>
        <w:spacing w:after="0" w:line="275" w:lineRule="exact"/>
        <w:rPr>
          <w:sz w:val="20"/>
          <w:szCs w:val="20"/>
          <w:color w:val="auto"/>
        </w:rPr>
      </w:pPr>
    </w:p>
    <w:p>
      <w:pPr>
        <w:jc w:val="both"/>
        <w:ind w:firstLine="364"/>
        <w:spacing w:after="0" w:line="254" w:lineRule="auto"/>
        <w:rPr>
          <w:sz w:val="20"/>
          <w:szCs w:val="20"/>
          <w:color w:val="auto"/>
        </w:rPr>
      </w:pPr>
      <w:r>
        <w:rPr>
          <w:rFonts w:ascii="Arial" w:cs="Arial" w:eastAsia="Arial" w:hAnsi="Arial"/>
          <w:sz w:val="18"/>
          <w:szCs w:val="18"/>
          <w:color w:val="auto"/>
        </w:rPr>
        <w:t>Prior to the Internalization, the Company had entered into the Administration Agreement with GSV Capital Service Company to provide administrative services, including furnishing the Company with office facilities, equipment, clerical, bookkeeping, record keeping services, and other administrative services. The Company reimbursed GSV Capital Service Company an allocable portion of overhead and other expenses in performing its obligations under the Administration Agreement, including a portion of the rent and the compensation of the Company’s President, Chief Financial Officer, Chief Compliance Officer and other staff providing administrative services. While there was no limit on the total amount of expenses the Company may have been required to reimburse to GSV Capital Service Company, GSV Capital Service Company would only charge the Company for the actual expenses GSV Capital Service Company incurred on the Company’s behalf, or the Company’s allocable portion thereof, without any profit to GSV Capital Service Company.</w:t>
      </w:r>
    </w:p>
    <w:p>
      <w:pPr>
        <w:spacing w:after="0" w:line="219"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For the year ended December 31, 2020, the Company did not incur any costs under the Administration Agreement due to the termination of the Investment Advisory Agreement, effective March 12, 2019. For the years ended December 31, 2019 and 2018, the Company incurred $306,084 and $1,702,047 respectively, in such costs incurred under the Administration</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As the Administration Agreement has been terminated, there will be no costs incurred by GSV Capital Service Company on behalf of the Company going forward.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March 12, 2019, in connection with the Company's Internalization, as of the Effective Date, the Company entered into the Amended and Restated Trademark License Agreement to use the trade name “GSV”, and other state or unregistered “GSV” marks, including the trading symbol “GSVC.” for a period of up to eighteen months and a predetermined fee of $1,250,000. Other than with respect to this limited license, the Company has no legal right to the “GSV” name. On September 12, 2020, the Amended and Restated License Agreement expired in accordance with its terms and was not renewed or extended.</w:t>
      </w:r>
    </w:p>
    <w:p>
      <w:pPr>
        <w:spacing w:after="0" w:line="215"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Prior to the Internalization on March 12, 2019, the Company entered into a license agreement with GSV Asset Management pursuant to which GSV Asset Management had agreed to grant the Company a non-exclusive, royalty-free license to use the name “GSV.” Under this agreement, the Company had the right to use the GSV name for so long as the Investment Advisory Agreement with GSV Asset Management is in effect.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Arrangements</w:t>
      </w:r>
    </w:p>
    <w:p>
      <w:pPr>
        <w:spacing w:after="0" w:line="256"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Company’s executive officers and directors, and the principals of the Company’s former investment adviser, GSV Asset Management, serve or may serve as officers, directors, or managers of entities that operate in a line of business similar to the Company’s, including new entities that may be formed in the future. Accordingly, they may have obligations to investors in those entities, the fulfillment of which might not be in the best interests of the Company or the Company’s stockholders.</w:t>
      </w:r>
    </w:p>
    <w:p>
      <w:pPr>
        <w:spacing w:after="0" w:line="214"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1940 Act prohibits the Company from participating in certain negotiated co-investments with certain affiliates unless it receives an order from the SEC permitting it to do so. As a BDC, the Company is prohibited under the 1940 Act from participating in certain transactions with certain of its affiliates without the prior approval of the Board of Directors, including its independent directors, and, in some cases, the SEC. The affiliates with which the Company may be prohibited from transacting include its officers, directors, and employees and any person controlling or under common control with the Company, subject to certain exceptions.</w:t>
      </w:r>
    </w:p>
    <w:p>
      <w:pPr>
        <w:spacing w:after="0" w:line="215"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In the ordinary course of business, the Company may enter into transactions with portfolio companies that may be considered related-party transactions. To ensure that the Company does not engage in any prohibited transactions with any persons affiliated with the Company, the Company has implemented certain written policies and procedures whereby the Company’s executive officers screen each of the Company’s transactions for any possible affiliations between the proposed portfolio investment, the Company, companies controlled by the Company, and the Company’s executive officers and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 AT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 Composition</w:t>
      </w:r>
    </w:p>
    <w:p>
      <w:pPr>
        <w:spacing w:after="0" w:line="256" w:lineRule="exact"/>
        <w:rPr>
          <w:sz w:val="20"/>
          <w:szCs w:val="20"/>
          <w:color w:val="auto"/>
        </w:rPr>
      </w:pPr>
    </w:p>
    <w:p>
      <w:pPr>
        <w:jc w:val="both"/>
        <w:ind w:firstLine="364"/>
        <w:spacing w:after="0" w:line="301" w:lineRule="auto"/>
        <w:rPr>
          <w:sz w:val="20"/>
          <w:szCs w:val="20"/>
          <w:color w:val="auto"/>
        </w:rPr>
      </w:pPr>
      <w:r>
        <w:rPr>
          <w:rFonts w:ascii="Arial" w:cs="Arial" w:eastAsia="Arial" w:hAnsi="Arial"/>
          <w:sz w:val="16"/>
          <w:szCs w:val="16"/>
          <w:color w:val="auto"/>
        </w:rPr>
        <w:t>The Company’s investments in portfolio companies consist primarily of equity securities (such as common stock, preferred stock and options to purchase common and preferred stock) and to a lesser extent, debt securities, issued by private and publicly traded companies. The Company may also, from time to time, invest in U.S. Treasury securities. Non-portfolio investments represent investments in U.S. Treasury securities. As of December 31, 2020, the Company had 57 positions in 27 portfolio companies. As of December 31, 2019, the Company had 46 positions in 23 portfolio companies.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The following tables summarize the composition of the Company’s investment portfolio by security type at cost and fair value as of December 31, 2020 and December 31, 2019:</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December 31, 2020</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1"/>
              </w:rPr>
              <w:t>December 31, 2019</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1"/>
                <w:szCs w:val="11"/>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1"/>
                <w:szCs w:val="11"/>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360" w:type="dxa"/>
            <w:vAlign w:val="bottom"/>
          </w:tcPr>
          <w:p>
            <w:pPr>
              <w:jc w:val="right"/>
              <w:ind w:right="173"/>
              <w:spacing w:after="0" w:line="135" w:lineRule="exact"/>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88"/>
        </w:trPr>
        <w:tc>
          <w:tcPr>
            <w:tcW w:w="2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 Assets</w:t>
            </w:r>
          </w:p>
        </w:tc>
        <w:tc>
          <w:tcPr>
            <w:tcW w:w="26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360" w:type="dxa"/>
            <w:vAlign w:val="bottom"/>
          </w:tcPr>
          <w:p>
            <w:pPr>
              <w:jc w:val="right"/>
              <w:ind w:right="273"/>
              <w:spacing w:after="0"/>
              <w:rPr>
                <w:sz w:val="20"/>
                <w:szCs w:val="20"/>
                <w:color w:val="auto"/>
              </w:rPr>
            </w:pPr>
            <w:r>
              <w:rPr>
                <w:rFonts w:ascii="Arial" w:cs="Arial" w:eastAsia="Arial" w:hAnsi="Arial"/>
                <w:sz w:val="14"/>
                <w:szCs w:val="14"/>
                <w:b w:val="1"/>
                <w:bCs w:val="1"/>
                <w:color w:val="auto"/>
              </w:rPr>
              <w:t>Net Assets</w:t>
            </w:r>
          </w:p>
        </w:tc>
        <w:tc>
          <w:tcPr>
            <w:tcW w:w="0" w:type="dxa"/>
            <w:vAlign w:val="bottom"/>
          </w:tcPr>
          <w:p>
            <w:pPr>
              <w:spacing w:after="0"/>
              <w:rPr>
                <w:sz w:val="1"/>
                <w:szCs w:val="1"/>
                <w:color w:val="auto"/>
              </w:rPr>
            </w:pPr>
          </w:p>
        </w:tc>
      </w:tr>
      <w:tr>
        <w:trPr>
          <w:trHeight w:val="211"/>
        </w:trPr>
        <w:tc>
          <w:tcPr>
            <w:tcW w:w="2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3"/>
              </w:rPr>
              <w:t>Private Portfolio Companies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89,335,378</w:t>
            </w:r>
          </w:p>
        </w:tc>
        <w:tc>
          <w:tcPr>
            <w:tcW w:w="100" w:type="dxa"/>
            <w:vAlign w:val="bottom"/>
          </w:tcPr>
          <w:p>
            <w:pPr>
              <w:spacing w:after="0"/>
              <w:rPr>
                <w:sz w:val="19"/>
                <w:szCs w:val="19"/>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141,235,987</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46.9 %</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73,557,331</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125,448,358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62.8 %</w:t>
            </w: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46,802,917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34,190,839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63,425,065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59,209,559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0" w:type="dxa"/>
            <w:vAlign w:val="bottom"/>
          </w:tcPr>
          <w:p>
            <w:pPr>
              <w:spacing w:after="0"/>
              <w:rPr>
                <w:sz w:val="1"/>
                <w:szCs w:val="1"/>
                <w:color w:val="auto"/>
              </w:rPr>
            </w:pPr>
          </w:p>
        </w:tc>
      </w:tr>
      <w:tr>
        <w:trPr>
          <w:trHeight w:val="229"/>
        </w:trPr>
        <w:tc>
          <w:tcPr>
            <w:tcW w:w="2460" w:type="dxa"/>
            <w:vAlign w:val="bottom"/>
          </w:tcPr>
          <w:p>
            <w:pPr>
              <w:ind w:left="140"/>
              <w:spacing w:after="0"/>
              <w:rPr>
                <w:sz w:val="20"/>
                <w:szCs w:val="20"/>
                <w:color w:val="auto"/>
              </w:rPr>
            </w:pPr>
            <w:r>
              <w:rPr>
                <w:rFonts w:ascii="Arial" w:cs="Arial" w:eastAsia="Arial" w:hAnsi="Arial"/>
                <w:sz w:val="18"/>
                <w:szCs w:val="18"/>
                <w:color w:val="auto"/>
              </w:rPr>
              <w:t>Debt Investments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8,587,621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4,845,340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4,838,415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1,644,155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8,764,885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5,872,210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8,764,885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5,283,506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3"/>
        </w:trPr>
        <w:tc>
          <w:tcPr>
            <w:tcW w:w="246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w w:val="93"/>
              </w:rPr>
              <w:t>Private Portfolio Companies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153,490,801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150,585,696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191,585,578</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95.8 %</w:t>
            </w:r>
          </w:p>
        </w:tc>
        <w:tc>
          <w:tcPr>
            <w:tcW w:w="0" w:type="dxa"/>
            <w:vAlign w:val="bottom"/>
          </w:tcPr>
          <w:p>
            <w:pPr>
              <w:spacing w:after="0"/>
              <w:rPr>
                <w:sz w:val="1"/>
                <w:szCs w:val="1"/>
                <w:color w:val="auto"/>
              </w:rPr>
            </w:pPr>
          </w:p>
        </w:tc>
      </w:tr>
      <w:tr>
        <w:trPr>
          <w:trHeight w:val="156"/>
        </w:trPr>
        <w:tc>
          <w:tcPr>
            <w:tcW w:w="2460" w:type="dxa"/>
            <w:vAlign w:val="bottom"/>
            <w:shd w:val="clear" w:color="auto" w:fill="CCEEFF"/>
          </w:tcPr>
          <w:p>
            <w:pPr>
              <w:ind w:left="180"/>
              <w:spacing w:after="0" w:line="156" w:lineRule="exact"/>
              <w:rPr>
                <w:sz w:val="20"/>
                <w:szCs w:val="20"/>
                <w:color w:val="auto"/>
              </w:rPr>
            </w:pPr>
            <w:r>
              <w:rPr>
                <w:rFonts w:ascii="Arial" w:cs="Arial" w:eastAsia="Arial" w:hAnsi="Arial"/>
                <w:sz w:val="18"/>
                <w:szCs w:val="18"/>
                <w:b w:val="1"/>
                <w:bCs w:val="1"/>
                <w:color w:val="auto"/>
              </w:rPr>
              <w:t>Publicly Traded Portfolio</w:t>
            </w: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Companies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12,875,126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94,635,398</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31.4 %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4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w w:val="97"/>
              </w:rPr>
              <w:t>Total Portfolio Investments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166,365,927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280,779,774</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93.1 %</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150,585,696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191,585,578</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95.8 %</w:t>
            </w:r>
          </w:p>
        </w:tc>
        <w:tc>
          <w:tcPr>
            <w:tcW w:w="0" w:type="dxa"/>
            <w:vAlign w:val="bottom"/>
          </w:tcPr>
          <w:p>
            <w:pPr>
              <w:spacing w:after="0"/>
              <w:rPr>
                <w:sz w:val="1"/>
                <w:szCs w:val="1"/>
                <w:color w:val="auto"/>
              </w:rPr>
            </w:pPr>
          </w:p>
        </w:tc>
      </w:tr>
      <w:tr>
        <w:trPr>
          <w:trHeight w:val="210"/>
        </w:trPr>
        <w:tc>
          <w:tcPr>
            <w:tcW w:w="2460" w:type="dxa"/>
            <w:vAlign w:val="bottom"/>
          </w:tcPr>
          <w:p>
            <w:pPr>
              <w:ind w:left="180"/>
              <w:spacing w:after="0"/>
              <w:rPr>
                <w:sz w:val="20"/>
                <w:szCs w:val="20"/>
                <w:color w:val="auto"/>
              </w:rPr>
            </w:pPr>
            <w:r>
              <w:rPr>
                <w:rFonts w:ascii="Arial" w:cs="Arial" w:eastAsia="Arial" w:hAnsi="Arial"/>
                <w:sz w:val="18"/>
                <w:szCs w:val="18"/>
                <w:b w:val="1"/>
                <w:bCs w:val="1"/>
                <w:color w:val="auto"/>
              </w:rPr>
              <w:t>Non-Portfolio Investments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 Treasury bill</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49,996,667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3"/>
        </w:trPr>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316,365,927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430,779,774</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200,582,363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241,585,578</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120.8 %</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The geographic and industrial compositions of the Company’s portfolio at fair value as of December 31, 2020 and December 31, 2019 were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As of December 31, 2020</w:t>
            </w: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 2019</w:t>
            </w:r>
          </w:p>
        </w:tc>
        <w:tc>
          <w:tcPr>
            <w:tcW w:w="1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144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Percentage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4"/>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Percentage of</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Portfolio</w:t>
            </w:r>
          </w:p>
        </w:tc>
        <w:tc>
          <w:tcPr>
            <w:tcW w:w="14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Portfolio</w:t>
            </w:r>
          </w:p>
        </w:tc>
        <w:tc>
          <w:tcPr>
            <w:tcW w:w="1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Geographic Region</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West</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248,633,803</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color w:val="auto"/>
              </w:rPr>
              <w:t>88.5 %</w:t>
            </w: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82.4 %</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176,331,572</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92.0 %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Northeast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24,324,345</w:t>
            </w:r>
          </w:p>
        </w:tc>
        <w:tc>
          <w:tcPr>
            <w:tcW w:w="1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8.7 %</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7,847,769</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Mid-west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7,821,626</w:t>
            </w:r>
          </w:p>
        </w:tc>
        <w:tc>
          <w:tcPr>
            <w:tcW w:w="1600" w:type="dxa"/>
            <w:vAlign w:val="bottom"/>
            <w:gridSpan w:val="5"/>
          </w:tcPr>
          <w:p>
            <w:pPr>
              <w:jc w:val="right"/>
              <w:ind w:right="20"/>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7,406,237</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3.9 %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280,779,774</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191,585,578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December 31, 2020</w:t>
            </w: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As of December 31, 2019</w:t>
            </w: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320" w:type="dxa"/>
            <w:vAlign w:val="bottom"/>
          </w:tcPr>
          <w:p>
            <w:pPr>
              <w:jc w:val="right"/>
              <w:ind w:right="235"/>
              <w:spacing w:after="0" w:line="135" w:lineRule="exact"/>
              <w:rPr>
                <w:sz w:val="20"/>
                <w:szCs w:val="20"/>
                <w:color w:val="auto"/>
              </w:rPr>
            </w:pPr>
            <w:r>
              <w:rPr>
                <w:rFonts w:ascii="Arial" w:cs="Arial" w:eastAsia="Arial" w:hAnsi="Arial"/>
                <w:sz w:val="14"/>
                <w:szCs w:val="14"/>
                <w:b w:val="1"/>
                <w:bCs w:val="1"/>
                <w:color w:val="auto"/>
              </w:rPr>
              <w:t>Percentage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60" w:type="dxa"/>
            <w:vAlign w:val="bottom"/>
            <w:gridSpan w:val="4"/>
          </w:tcPr>
          <w:p>
            <w:pPr>
              <w:jc w:val="center"/>
              <w:ind w:right="20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146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88"/>
        </w:trPr>
        <w:tc>
          <w:tcPr>
            <w:tcW w:w="2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3"/>
              </w:rPr>
              <w:t>Portfolio</w:t>
            </w: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Net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Portfolio</w:t>
            </w:r>
          </w:p>
        </w:tc>
        <w:tc>
          <w:tcPr>
            <w:tcW w:w="14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Net Assets</w:t>
            </w:r>
          </w:p>
        </w:tc>
        <w:tc>
          <w:tcPr>
            <w:tcW w:w="0" w:type="dxa"/>
            <w:vAlign w:val="bottom"/>
          </w:tcPr>
          <w:p>
            <w:pPr>
              <w:spacing w:after="0"/>
              <w:rPr>
                <w:sz w:val="1"/>
                <w:szCs w:val="1"/>
                <w:color w:val="auto"/>
              </w:rPr>
            </w:pPr>
          </w:p>
        </w:tc>
      </w:tr>
      <w:tr>
        <w:trPr>
          <w:trHeight w:val="211"/>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Industry</w:t>
            </w:r>
          </w:p>
        </w:tc>
        <w:tc>
          <w:tcPr>
            <w:tcW w:w="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Education Technology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99,397,589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35.4 %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33.0 %</w:t>
            </w:r>
          </w:p>
        </w:tc>
        <w:tc>
          <w:tcPr>
            <w:tcW w:w="12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82,578,640</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43.1 %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41.3 %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Big Data/Cloud</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97,186,162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31,582,084</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Financial Technology</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25,614,522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9.1 %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26,754,801</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14.0 %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Social/Mobile</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22,930,589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26,573,046</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13.3 %</w:t>
            </w:r>
          </w:p>
        </w:tc>
        <w:tc>
          <w:tcPr>
            <w:tcW w:w="0" w:type="dxa"/>
            <w:vAlign w:val="bottom"/>
          </w:tcPr>
          <w:p>
            <w:pPr>
              <w:spacing w:after="0"/>
              <w:rPr>
                <w:sz w:val="1"/>
                <w:szCs w:val="1"/>
                <w:color w:val="auto"/>
              </w:rPr>
            </w:pP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Marketplaces</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34,841,714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12.4 %</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23,321,809</w:t>
            </w:r>
          </w:p>
        </w:tc>
        <w:tc>
          <w:tcPr>
            <w:tcW w:w="40" w:type="dxa"/>
            <w:vAlign w:val="bottom"/>
          </w:tcPr>
          <w:p>
            <w:pPr>
              <w:spacing w:after="0"/>
              <w:rPr>
                <w:sz w:val="19"/>
                <w:szCs w:val="19"/>
                <w:color w:val="auto"/>
              </w:rPr>
            </w:pP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12.2 %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Sustainability</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809,198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775,198</w:t>
            </w:r>
          </w:p>
        </w:tc>
        <w:tc>
          <w:tcPr>
            <w:tcW w:w="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280,779,774</w:t>
            </w:r>
          </w:p>
        </w:tc>
        <w:tc>
          <w:tcPr>
            <w:tcW w:w="1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93.1 %</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191,585,578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95.8 %</w:t>
            </w:r>
          </w:p>
        </w:tc>
        <w:tc>
          <w:tcPr>
            <w:tcW w:w="0" w:type="dxa"/>
            <w:vAlign w:val="bottom"/>
          </w:tcPr>
          <w:p>
            <w:pPr>
              <w:spacing w:after="0"/>
              <w:rPr>
                <w:sz w:val="1"/>
                <w:szCs w:val="1"/>
                <w:color w:val="auto"/>
              </w:rPr>
            </w:pPr>
          </w:p>
        </w:tc>
      </w:tr>
      <w:tr>
        <w:trPr>
          <w:trHeight w:val="21"/>
        </w:trPr>
        <w:tc>
          <w:tcPr>
            <w:tcW w:w="2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details the composition of the Company’s industrial themes presented in the preceding tables:</w:t>
      </w:r>
    </w:p>
    <w:p>
      <w:pPr>
        <w:sectPr>
          <w:pgSz w:w="11900" w:h="16838" w:orient="portrait"/>
          <w:cols w:equalWidth="0" w:num="1">
            <w:col w:w="10139"/>
          </w:cols>
          <w:pgMar w:left="320" w:top="121" w:right="1440" w:bottom="1440" w:gutter="0" w:footer="0" w:header="0"/>
        </w:sectPr>
      </w:pPr>
    </w:p>
    <w:p>
      <w:pPr>
        <w:spacing w:after="0" w:line="15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Industry Theme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2802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6"/>
          <w:szCs w:val="16"/>
          <w:color w:val="auto"/>
        </w:rPr>
        <w:t>Education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1049655</wp:posOffset>
            </wp:positionV>
            <wp:extent cx="22802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Big Data/Cloud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228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Marketplaces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1180465</wp:posOffset>
            </wp:positionV>
            <wp:extent cx="22802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Financial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22802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Social/Mobile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228028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Sustainability</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23495</wp:posOffset>
            </wp:positionV>
            <wp:extent cx="47834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Business Education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 Software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Education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Education Media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Education Software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E-Transcript Exchange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Interactive Learning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Online Education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Data Analysis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Cloud Computing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Social Cognitive Learning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783455" cy="889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Global Innovation Platform</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Pharmaceutical Technology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Knowledge Networks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On-Demand Commerce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Subscription Fashion Rental</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Micromobility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On-Demand Transportation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Real Estate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Peer-to-Peer Pet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Online Marketplace Finance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Services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Cannabis REIT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Digital Media Platform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Social Networking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On-Demand Music Streaming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Social Data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14605</wp:posOffset>
            </wp:positionV>
            <wp:extent cx="47834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83455"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Clean Technology</w:t>
      </w:r>
    </w:p>
    <w:p>
      <w:pPr>
        <w:spacing w:after="0" w:line="200" w:lineRule="exact"/>
        <w:rPr>
          <w:sz w:val="20"/>
          <w:szCs w:val="20"/>
          <w:color w:val="auto"/>
        </w:rPr>
      </w:pPr>
    </w:p>
    <w:p>
      <w:pPr>
        <w:sectPr>
          <w:pgSz w:w="11900" w:h="16838" w:orient="portrait"/>
          <w:cols w:equalWidth="0" w:num="2">
            <w:col w:w="3000" w:space="720"/>
            <w:col w:w="6419"/>
          </w:cols>
          <w:pgMar w:left="320" w:top="12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0139"/>
          </w:cols>
          <w:pgMar w:left="320" w:top="121" w:right="1440" w:bottom="1440" w:gutter="0" w:footer="0" w:header="0"/>
          <w:type w:val="continuous"/>
        </w:sectPr>
      </w:pPr>
    </w:p>
    <w:bookmarkStart w:id="106" w:name="page107"/>
    <w:bookmarkEnd w:id="10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 Inputs</w:t>
      </w:r>
    </w:p>
    <w:p>
      <w:pPr>
        <w:spacing w:after="0" w:line="256"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The fair values of the Company’s investments disaggregated into the three levels of the fair value hierarchy based upon the lowest level of significant input used in the valuation as of December 31, 2020 and December 31, 2019 are as follows: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As of December 31, 2020</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1"/>
                <w:szCs w:val="11"/>
                <w:color w:val="auto"/>
              </w:rPr>
            </w:pPr>
          </w:p>
        </w:tc>
        <w:tc>
          <w:tcPr>
            <w:tcW w:w="15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Identical Securities</w:t>
            </w: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141,235,987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141,235,987</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34,190,839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34,190,839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Investments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4,845,340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4,845,340</w:t>
            </w:r>
          </w:p>
        </w:tc>
        <w:tc>
          <w:tcPr>
            <w:tcW w:w="0" w:type="dxa"/>
            <w:vAlign w:val="bottom"/>
          </w:tcPr>
          <w:p>
            <w:pPr>
              <w:spacing w:after="0"/>
              <w:rPr>
                <w:sz w:val="1"/>
                <w:szCs w:val="1"/>
                <w:color w:val="auto"/>
              </w:rPr>
            </w:pPr>
          </w:p>
        </w:tc>
      </w:tr>
      <w:tr>
        <w:trPr>
          <w:trHeight w:val="229"/>
        </w:trPr>
        <w:tc>
          <w:tcPr>
            <w:tcW w:w="4320" w:type="dxa"/>
            <w:vAlign w:val="bottom"/>
          </w:tcPr>
          <w:p>
            <w:pPr>
              <w:ind w:left="14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5,872,210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5,872,210</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186,144,376</w:t>
            </w:r>
          </w:p>
        </w:tc>
        <w:tc>
          <w:tcPr>
            <w:tcW w:w="0" w:type="dxa"/>
            <w:vAlign w:val="bottom"/>
          </w:tcPr>
          <w:p>
            <w:pPr>
              <w:spacing w:after="0"/>
              <w:rPr>
                <w:sz w:val="1"/>
                <w:szCs w:val="1"/>
                <w:color w:val="auto"/>
              </w:rPr>
            </w:pPr>
          </w:p>
        </w:tc>
      </w:tr>
      <w:tr>
        <w:trPr>
          <w:trHeight w:val="209"/>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94,635,398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94,635,398</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94,635,398</w:t>
            </w:r>
          </w:p>
        </w:tc>
        <w:tc>
          <w:tcPr>
            <w:tcW w:w="120" w:type="dxa"/>
            <w:vAlign w:val="bottom"/>
            <w:tcBorders>
              <w:top w:val="single" w:sz="8" w:color="CCEEFF"/>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280,779,774</w:t>
            </w:r>
          </w:p>
        </w:tc>
        <w:tc>
          <w:tcPr>
            <w:tcW w:w="0" w:type="dxa"/>
            <w:vAlign w:val="bottom"/>
          </w:tcPr>
          <w:p>
            <w:pPr>
              <w:spacing w:after="0"/>
              <w:rPr>
                <w:sz w:val="1"/>
                <w:szCs w:val="1"/>
                <w:color w:val="auto"/>
              </w:rPr>
            </w:pPr>
          </w:p>
        </w:tc>
      </w:tr>
      <w:tr>
        <w:trPr>
          <w:trHeight w:val="20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U.S. Treasury bills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94,635,398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186,144,376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430,779,774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3"/>
        </w:trPr>
        <w:tc>
          <w:tcPr>
            <w:tcW w:w="4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As of December 31, 2019</w:t>
            </w:r>
          </w:p>
        </w:tc>
        <w:tc>
          <w:tcPr>
            <w:tcW w:w="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Significant Other</w:t>
            </w:r>
          </w:p>
        </w:tc>
        <w:tc>
          <w:tcPr>
            <w:tcW w:w="240" w:type="dxa"/>
            <w:vAlign w:val="bottom"/>
          </w:tcPr>
          <w:p>
            <w:pPr>
              <w:spacing w:after="0"/>
              <w:rPr>
                <w:sz w:val="11"/>
                <w:szCs w:val="11"/>
                <w:color w:val="auto"/>
              </w:rPr>
            </w:pPr>
          </w:p>
        </w:tc>
        <w:tc>
          <w:tcPr>
            <w:tcW w:w="150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1"/>
              </w:rPr>
              <w:t>Observable</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4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Identical Securities</w:t>
            </w:r>
          </w:p>
        </w:tc>
        <w:tc>
          <w:tcPr>
            <w:tcW w:w="200" w:type="dxa"/>
            <w:vAlign w:val="bottom"/>
          </w:tcPr>
          <w:p>
            <w:pPr>
              <w:spacing w:after="0"/>
              <w:rPr>
                <w:sz w:val="11"/>
                <w:szCs w:val="11"/>
                <w:color w:val="auto"/>
              </w:rPr>
            </w:pPr>
          </w:p>
        </w:tc>
        <w:tc>
          <w:tcPr>
            <w:tcW w:w="15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5"/>
              </w:rPr>
              <w:t>Inputs</w:t>
            </w:r>
          </w:p>
        </w:tc>
        <w:tc>
          <w:tcPr>
            <w:tcW w:w="240" w:type="dxa"/>
            <w:vAlign w:val="bottom"/>
          </w:tcPr>
          <w:p>
            <w:pPr>
              <w:spacing w:after="0"/>
              <w:rPr>
                <w:sz w:val="11"/>
                <w:szCs w:val="11"/>
                <w:color w:val="auto"/>
              </w:rPr>
            </w:pPr>
          </w:p>
        </w:tc>
        <w:tc>
          <w:tcPr>
            <w:tcW w:w="15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Inputs</w:t>
            </w:r>
          </w:p>
        </w:tc>
        <w:tc>
          <w:tcPr>
            <w:tcW w:w="400" w:type="dxa"/>
            <w:vAlign w:val="bottom"/>
          </w:tcPr>
          <w:p>
            <w:pPr>
              <w:spacing w:after="0"/>
              <w:rPr>
                <w:sz w:val="11"/>
                <w:szCs w:val="11"/>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2)</w:t>
            </w:r>
          </w:p>
        </w:tc>
        <w:tc>
          <w:tcPr>
            <w:tcW w:w="24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3)</w:t>
            </w: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Investments at Fair Value</w:t>
            </w: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125,448,358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125,448,358</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59,209,559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59,209,559</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Investments</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1,644,155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1,644,155</w:t>
            </w:r>
          </w:p>
        </w:tc>
        <w:tc>
          <w:tcPr>
            <w:tcW w:w="0" w:type="dxa"/>
            <w:vAlign w:val="bottom"/>
          </w:tcPr>
          <w:p>
            <w:pPr>
              <w:spacing w:after="0"/>
              <w:rPr>
                <w:sz w:val="1"/>
                <w:szCs w:val="1"/>
                <w:color w:val="auto"/>
              </w:rPr>
            </w:pPr>
          </w:p>
        </w:tc>
      </w:tr>
      <w:tr>
        <w:trPr>
          <w:trHeight w:val="230"/>
        </w:trPr>
        <w:tc>
          <w:tcPr>
            <w:tcW w:w="4320" w:type="dxa"/>
            <w:vAlign w:val="bottom"/>
          </w:tcPr>
          <w:p>
            <w:pPr>
              <w:ind w:left="140"/>
              <w:spacing w:after="0"/>
              <w:rPr>
                <w:sz w:val="20"/>
                <w:szCs w:val="20"/>
                <w:color w:val="auto"/>
              </w:rPr>
            </w:pPr>
            <w:r>
              <w:rPr>
                <w:rFonts w:ascii="Arial" w:cs="Arial" w:eastAsia="Arial" w:hAnsi="Arial"/>
                <w:sz w:val="18"/>
                <w:szCs w:val="18"/>
                <w:color w:val="auto"/>
              </w:rPr>
              <w:t>Options</w:t>
            </w:r>
          </w:p>
        </w:tc>
        <w:tc>
          <w:tcPr>
            <w:tcW w:w="18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5,283,506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5,283,506</w:t>
            </w:r>
          </w:p>
        </w:tc>
        <w:tc>
          <w:tcPr>
            <w:tcW w:w="0" w:type="dxa"/>
            <w:vAlign w:val="bottom"/>
          </w:tcPr>
          <w:p>
            <w:pPr>
              <w:spacing w:after="0"/>
              <w:rPr>
                <w:sz w:val="1"/>
                <w:szCs w:val="1"/>
                <w:color w:val="auto"/>
              </w:rPr>
            </w:pPr>
          </w:p>
        </w:tc>
      </w:tr>
      <w:tr>
        <w:trPr>
          <w:trHeight w:val="22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Private Portfolio Companies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191,585,578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10"/>
        </w:trPr>
        <w:tc>
          <w:tcPr>
            <w:tcW w:w="4320" w:type="dxa"/>
            <w:vAlign w:val="bottom"/>
          </w:tcPr>
          <w:p>
            <w:pPr>
              <w:ind w:left="20"/>
              <w:spacing w:after="0"/>
              <w:rPr>
                <w:sz w:val="20"/>
                <w:szCs w:val="20"/>
                <w:color w:val="auto"/>
              </w:rPr>
            </w:pPr>
            <w:r>
              <w:rPr>
                <w:rFonts w:ascii="Arial" w:cs="Arial" w:eastAsia="Arial" w:hAnsi="Arial"/>
                <w:sz w:val="18"/>
                <w:szCs w:val="18"/>
                <w:b w:val="1"/>
                <w:bCs w:val="1"/>
                <w:color w:val="auto"/>
              </w:rPr>
              <w:t>Publicly Traded Portfolio Companies</w:t>
            </w: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Portfolio Investments</w:t>
            </w:r>
          </w:p>
        </w:tc>
        <w:tc>
          <w:tcPr>
            <w:tcW w:w="18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191,585,578</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Non-Portfolio Investments</w:t>
            </w: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U.S. Treasury bills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Investments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191,585,578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241,585,578</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ind w:right="115"/>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-3505200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-3505200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-3796665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-3796665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-4396740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-4396740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Unobservable Inputs for Level 3 Assets and Liabilities</w:t>
      </w:r>
    </w:p>
    <w:p>
      <w:pPr>
        <w:spacing w:after="0" w:line="252" w:lineRule="exact"/>
        <w:rPr>
          <w:sz w:val="20"/>
          <w:szCs w:val="20"/>
          <w:color w:val="auto"/>
        </w:rPr>
      </w:pPr>
    </w:p>
    <w:p>
      <w:pPr>
        <w:jc w:val="both"/>
        <w:ind w:right="20" w:firstLine="364"/>
        <w:spacing w:after="0" w:line="267" w:lineRule="auto"/>
        <w:rPr>
          <w:sz w:val="20"/>
          <w:szCs w:val="20"/>
          <w:color w:val="auto"/>
        </w:rPr>
      </w:pPr>
      <w:r>
        <w:rPr>
          <w:rFonts w:ascii="Arial" w:cs="Arial" w:eastAsia="Arial" w:hAnsi="Arial"/>
          <w:sz w:val="17"/>
          <w:szCs w:val="17"/>
          <w:color w:val="auto"/>
        </w:rPr>
        <w:t xml:space="preserve">In accordance with FASB ASC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the tables below provide quantitative information about the Company’s fair value measurements of its Level 3 assets as of December 31, 2020 and December 31, 2019. In addition to the techniques and inputs noted in the tables below, according to the Company’s valuation policy, the Company may also use other valuation techniques and methodologies when determining the Company’s fair value measurements. The tables below are not intended to be all-inclusive, but rather provide information on the significant Level 3 inputs as they relate to the Company’s fair value measurements. To the extent an unobservable input is not reflected in the tables below, such input is deemed insignificant with respect to the Company’s Level 3 fair value measurements as of December 31, 2020 and December 31, 2019. Significant changes in the inputs in isolation would result in a significant change in the fair value measurement, depending on the input and the materiality of the investment. Refer to “Note 2 —Significant Accounting Policies—</w:t>
      </w:r>
      <w:r>
        <w:rPr>
          <w:rFonts w:ascii="Arial" w:cs="Arial" w:eastAsia="Arial" w:hAnsi="Arial"/>
          <w:sz w:val="17"/>
          <w:szCs w:val="17"/>
          <w:i w:val="1"/>
          <w:iCs w:val="1"/>
          <w:color w:val="auto"/>
        </w:rPr>
        <w:t>Investments at Fair Value</w:t>
      </w:r>
      <w:r>
        <w:rPr>
          <w:rFonts w:ascii="Arial" w:cs="Arial" w:eastAsia="Arial" w:hAnsi="Arial"/>
          <w:sz w:val="17"/>
          <w:szCs w:val="17"/>
          <w:color w:val="auto"/>
        </w:rPr>
        <w:t>” for more detail.</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2020</w:t>
      </w:r>
    </w:p>
    <w:p>
      <w:pPr>
        <w:spacing w:after="0" w:line="111" w:lineRule="exact"/>
        <w:rPr>
          <w:sz w:val="20"/>
          <w:szCs w:val="20"/>
          <w:color w:val="auto"/>
        </w:rPr>
      </w:pPr>
    </w:p>
    <w:tbl>
      <w:tblPr>
        <w:tblLayout w:type="fixed"/>
        <w:tblInd w:w="10" w:type="dxa"/>
        <w:tblCellMar>
          <w:top w:w="0" w:type="dxa"/>
          <w:left w:w="0" w:type="dxa"/>
          <w:bottom w:w="0" w:type="dxa"/>
          <w:right w:w="0" w:type="dxa"/>
        </w:tblCellMar>
      </w:tblPr>
      <w:tr>
        <w:trPr>
          <w:trHeight w:val="148"/>
        </w:trPr>
        <w:tc>
          <w:tcPr>
            <w:tcW w:w="3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1880" w:type="dxa"/>
            <w:vAlign w:val="bottom"/>
            <w:tcBorders>
              <w:top w:val="single" w:sz="8" w:color="auto"/>
              <w:right w:val="single" w:sz="8" w:color="auto"/>
            </w:tcBorders>
            <w:vMerge w:val="restart"/>
          </w:tcPr>
          <w:p>
            <w:pPr>
              <w:ind w:left="600"/>
              <w:spacing w:after="0"/>
              <w:rPr>
                <w:sz w:val="20"/>
                <w:szCs w:val="20"/>
                <w:color w:val="auto"/>
              </w:rPr>
            </w:pPr>
            <w:r>
              <w:rPr>
                <w:rFonts w:ascii="Arial" w:cs="Arial" w:eastAsia="Arial" w:hAnsi="Arial"/>
                <w:sz w:val="14"/>
                <w:szCs w:val="14"/>
                <w:b w:val="1"/>
                <w:bCs w:val="1"/>
                <w:color w:val="auto"/>
              </w:rPr>
              <w:t>Fair Value</w:t>
            </w:r>
          </w:p>
        </w:tc>
        <w:tc>
          <w:tcPr>
            <w:tcW w:w="190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r>
              <w:rPr>
                <w:rFonts w:ascii="Arial" w:cs="Arial" w:eastAsia="Arial" w:hAnsi="Arial"/>
                <w:sz w:val="18"/>
                <w:szCs w:val="18"/>
                <w:b w:val="1"/>
                <w:bCs w:val="1"/>
                <w:color w:val="auto"/>
                <w:w w:val="90"/>
                <w:vertAlign w:val="superscript"/>
              </w:rPr>
              <w:t>(2)</w:t>
            </w:r>
          </w:p>
        </w:tc>
        <w:tc>
          <w:tcPr>
            <w:tcW w:w="1500" w:type="dxa"/>
            <w:vAlign w:val="bottom"/>
            <w:tcBorders>
              <w:top w:val="single" w:sz="8" w:color="auto"/>
            </w:tcBorders>
            <w:vMerge w:val="restart"/>
          </w:tcPr>
          <w:p>
            <w:pPr>
              <w:jc w:val="center"/>
              <w:ind w:left="292"/>
              <w:spacing w:after="0"/>
              <w:rPr>
                <w:sz w:val="20"/>
                <w:szCs w:val="20"/>
                <w:color w:val="auto"/>
              </w:rPr>
            </w:pPr>
            <w:r>
              <w:rPr>
                <w:rFonts w:ascii="Arial" w:cs="Arial" w:eastAsia="Arial" w:hAnsi="Arial"/>
                <w:sz w:val="14"/>
                <w:szCs w:val="14"/>
                <w:b w:val="1"/>
                <w:bCs w:val="1"/>
                <w:color w:val="auto"/>
                <w:w w:val="93"/>
              </w:rPr>
              <w:t>Range</w:t>
            </w:r>
          </w:p>
        </w:tc>
        <w:tc>
          <w:tcPr>
            <w:tcW w:w="4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Approach/</w:t>
            </w:r>
          </w:p>
        </w:tc>
        <w:tc>
          <w:tcPr>
            <w:tcW w:w="188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jc w:val="right"/>
              <w:ind w:right="253"/>
              <w:spacing w:after="0"/>
              <w:rPr>
                <w:sz w:val="20"/>
                <w:szCs w:val="20"/>
                <w:color w:val="auto"/>
              </w:rPr>
            </w:pPr>
            <w:r>
              <w:rPr>
                <w:rFonts w:ascii="Arial" w:cs="Arial" w:eastAsia="Arial" w:hAnsi="Arial"/>
                <w:sz w:val="9"/>
                <w:szCs w:val="9"/>
                <w:b w:val="1"/>
                <w:bCs w:val="1"/>
                <w:color w:val="auto"/>
                <w:w w:val="72"/>
              </w:rPr>
              <w:t>(3)</w:t>
            </w:r>
          </w:p>
        </w:tc>
        <w:tc>
          <w:tcPr>
            <w:tcW w:w="0" w:type="dxa"/>
            <w:vAlign w:val="bottom"/>
          </w:tcPr>
          <w:p>
            <w:pPr>
              <w:spacing w:after="0"/>
              <w:rPr>
                <w:sz w:val="1"/>
                <w:szCs w:val="1"/>
                <w:color w:val="auto"/>
              </w:rPr>
            </w:pPr>
          </w:p>
        </w:tc>
      </w:tr>
      <w:tr>
        <w:trPr>
          <w:trHeight w:val="189"/>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Technique</w:t>
            </w:r>
            <w:r>
              <w:rPr>
                <w:rFonts w:ascii="Arial" w:cs="Arial" w:eastAsia="Arial" w:hAnsi="Arial"/>
                <w:sz w:val="18"/>
                <w:szCs w:val="18"/>
                <w:b w:val="1"/>
                <w:bCs w:val="1"/>
                <w:color w:val="auto"/>
                <w:w w:val="87"/>
                <w:vertAlign w:val="superscript"/>
              </w:rPr>
              <w:t>(1)</w:t>
            </w:r>
          </w:p>
        </w:tc>
        <w:tc>
          <w:tcPr>
            <w:tcW w:w="18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(Weighted Average)</w:t>
            </w:r>
          </w:p>
        </w:tc>
        <w:tc>
          <w:tcPr>
            <w:tcW w:w="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AFFO</w:t>
            </w:r>
            <w:r>
              <w:rPr>
                <w:rFonts w:ascii="Arial" w:cs="Arial" w:eastAsia="Arial" w:hAnsi="Arial"/>
                <w:sz w:val="23"/>
                <w:szCs w:val="23"/>
                <w:color w:val="auto"/>
                <w:w w:val="92"/>
                <w:vertAlign w:val="superscript"/>
              </w:rPr>
              <w:t>(4)</w:t>
            </w:r>
            <w:r>
              <w:rPr>
                <w:rFonts w:ascii="Arial" w:cs="Arial" w:eastAsia="Arial" w:hAnsi="Arial"/>
                <w:sz w:val="18"/>
                <w:szCs w:val="18"/>
                <w:color w:val="auto"/>
                <w:w w:val="92"/>
              </w:rPr>
              <w:t xml:space="preserve"> multiple</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27.53x (27.53x)</w:t>
            </w:r>
          </w:p>
        </w:tc>
        <w:tc>
          <w:tcPr>
            <w:tcW w:w="0" w:type="dxa"/>
            <w:vAlign w:val="bottom"/>
          </w:tcPr>
          <w:p>
            <w:pPr>
              <w:spacing w:after="0"/>
              <w:rPr>
                <w:sz w:val="1"/>
                <w:szCs w:val="1"/>
                <w:color w:val="auto"/>
              </w:rPr>
            </w:pPr>
          </w:p>
        </w:tc>
      </w:tr>
      <w:tr>
        <w:trPr>
          <w:trHeight w:val="26"/>
        </w:trPr>
        <w:tc>
          <w:tcPr>
            <w:tcW w:w="3700" w:type="dxa"/>
            <w:vAlign w:val="bottom"/>
            <w:tcBorders>
              <w:left w:val="single" w:sz="8" w:color="auto"/>
              <w:right w:val="single" w:sz="8" w:color="auto"/>
            </w:tcBorders>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$34,190,839</w:t>
            </w:r>
          </w:p>
        </w:tc>
        <w:tc>
          <w:tcPr>
            <w:tcW w:w="1900" w:type="dxa"/>
            <w:vAlign w:val="bottom"/>
            <w:tcBorders>
              <w:right w:val="single" w:sz="8" w:color="auto"/>
            </w:tcBorders>
            <w:vMerge w:val="continue"/>
          </w:tcPr>
          <w:p>
            <w:pPr>
              <w:spacing w:after="0"/>
              <w:rPr>
                <w:sz w:val="19"/>
                <w:szCs w:val="19"/>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2.12x -6.95x (6.39x)</w:t>
            </w:r>
          </w:p>
        </w:tc>
        <w:tc>
          <w:tcPr>
            <w:tcW w:w="0" w:type="dxa"/>
            <w:vAlign w:val="bottom"/>
          </w:tcPr>
          <w:p>
            <w:pPr>
              <w:spacing w:after="0"/>
              <w:rPr>
                <w:sz w:val="1"/>
                <w:szCs w:val="1"/>
                <w:color w:val="auto"/>
              </w:rPr>
            </w:pPr>
          </w:p>
        </w:tc>
      </w:tr>
      <w:tr>
        <w:trPr>
          <w:trHeight w:val="41"/>
        </w:trPr>
        <w:tc>
          <w:tcPr>
            <w:tcW w:w="3700" w:type="dxa"/>
            <w:vAlign w:val="bottom"/>
            <w:tcBorders>
              <w:left w:val="single" w:sz="8" w:color="auto"/>
              <w:right w:val="single" w:sz="8" w:color="auto"/>
            </w:tcBorders>
            <w:vMerge w:val="continue"/>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4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700" w:type="dxa"/>
            <w:vAlign w:val="bottom"/>
            <w:tcBorders>
              <w:left w:val="single" w:sz="8" w:color="auto"/>
              <w:right w:val="single" w:sz="8" w:color="auto"/>
            </w:tcBorders>
            <w:vMerge w:val="continue"/>
          </w:tcPr>
          <w:p>
            <w:pPr>
              <w:spacing w:after="0"/>
              <w:rPr>
                <w:sz w:val="6"/>
                <w:szCs w:val="6"/>
                <w:color w:val="auto"/>
              </w:rPr>
            </w:pPr>
          </w:p>
        </w:tc>
        <w:tc>
          <w:tcPr>
            <w:tcW w:w="1880" w:type="dxa"/>
            <w:vAlign w:val="bottom"/>
            <w:tcBorders>
              <w:right w:val="single" w:sz="8" w:color="auto"/>
            </w:tcBorders>
          </w:tcPr>
          <w:p>
            <w:pPr>
              <w:spacing w:after="0"/>
              <w:rPr>
                <w:sz w:val="6"/>
                <w:szCs w:val="6"/>
                <w:color w:val="auto"/>
              </w:rPr>
            </w:pPr>
          </w:p>
        </w:tc>
        <w:tc>
          <w:tcPr>
            <w:tcW w:w="1900" w:type="dxa"/>
            <w:vAlign w:val="bottom"/>
            <w:tcBorders>
              <w:right w:val="single" w:sz="8" w:color="auto"/>
            </w:tcBorders>
          </w:tcPr>
          <w:p>
            <w:pPr>
              <w:spacing w:after="0"/>
              <w:rPr>
                <w:sz w:val="6"/>
                <w:szCs w:val="6"/>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3700" w:type="dxa"/>
            <w:vAlign w:val="bottom"/>
            <w:tcBorders>
              <w:left w:val="single" w:sz="8" w:color="auto"/>
              <w:right w:val="single" w:sz="8" w:color="auto"/>
            </w:tcBorders>
          </w:tcPr>
          <w:p>
            <w:pPr>
              <w:spacing w:after="0"/>
              <w:rPr>
                <w:sz w:val="13"/>
                <w:szCs w:val="13"/>
                <w:color w:val="auto"/>
              </w:rPr>
            </w:pPr>
          </w:p>
        </w:tc>
        <w:tc>
          <w:tcPr>
            <w:tcW w:w="1880" w:type="dxa"/>
            <w:vAlign w:val="bottom"/>
            <w:tcBorders>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1880" w:type="dxa"/>
            <w:vAlign w:val="bottom"/>
            <w:tcBorders>
              <w:bottom w:val="single" w:sz="8" w:color="auto"/>
              <w:right w:val="single" w:sz="8" w:color="auto"/>
            </w:tcBorders>
            <w:vMerge w:val="continue"/>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3"/>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Discount rate</w:t>
            </w:r>
          </w:p>
        </w:tc>
        <w:tc>
          <w:tcPr>
            <w:tcW w:w="1500" w:type="dxa"/>
            <w:vAlign w:val="bottom"/>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1.03x - 4.35x (2.66x)</w:t>
            </w:r>
          </w:p>
        </w:tc>
        <w:tc>
          <w:tcPr>
            <w:tcW w:w="0" w:type="dxa"/>
            <w:vAlign w:val="bottom"/>
          </w:tcPr>
          <w:p>
            <w:pPr>
              <w:spacing w:after="0"/>
              <w:rPr>
                <w:sz w:val="1"/>
                <w:szCs w:val="1"/>
                <w:color w:val="auto"/>
              </w:rPr>
            </w:pPr>
          </w:p>
        </w:tc>
      </w:tr>
      <w:tr>
        <w:trPr>
          <w:trHeight w:val="68"/>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9"/>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restart"/>
          </w:tcPr>
          <w:p>
            <w:pPr>
              <w:jc w:val="center"/>
              <w:spacing w:after="0" w:line="169" w:lineRule="exact"/>
              <w:rPr>
                <w:sz w:val="20"/>
                <w:szCs w:val="20"/>
                <w:color w:val="auto"/>
              </w:rPr>
            </w:pPr>
            <w:r>
              <w:rPr>
                <w:rFonts w:ascii="Arial" w:cs="Arial" w:eastAsia="Arial" w:hAnsi="Arial"/>
                <w:sz w:val="18"/>
                <w:szCs w:val="18"/>
                <w:color w:val="auto"/>
                <w:w w:val="85"/>
              </w:rPr>
              <w:t>Precedent</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3700" w:type="dxa"/>
            <w:vAlign w:val="bottom"/>
            <w:tcBorders>
              <w:left w:val="single" w:sz="8" w:color="auto"/>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700" w:type="dxa"/>
            <w:vAlign w:val="bottom"/>
            <w:tcBorders>
              <w:left w:val="single" w:sz="8" w:color="auto"/>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$141,235,987</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880" w:type="dxa"/>
            <w:vAlign w:val="bottom"/>
            <w:tcBorders>
              <w:right w:val="single" w:sz="8" w:color="auto"/>
            </w:tcBorders>
            <w:vMerge w:val="continue"/>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vMerge w:val="continue"/>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1.28x - 2.27x (2.06x)</w:t>
            </w:r>
          </w:p>
        </w:tc>
        <w:tc>
          <w:tcPr>
            <w:tcW w:w="0" w:type="dxa"/>
            <w:vAlign w:val="bottom"/>
          </w:tcPr>
          <w:p>
            <w:pPr>
              <w:spacing w:after="0"/>
              <w:rPr>
                <w:sz w:val="1"/>
                <w:szCs w:val="1"/>
                <w:color w:val="auto"/>
              </w:rPr>
            </w:pPr>
          </w:p>
        </w:tc>
      </w:tr>
      <w:tr>
        <w:trPr>
          <w:trHeight w:val="68"/>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vMerge w:val="continue"/>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37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3700" w:type="dxa"/>
            <w:vAlign w:val="bottom"/>
            <w:tcBorders>
              <w:left w:val="single" w:sz="8" w:color="auto"/>
              <w:right w:val="single" w:sz="8" w:color="auto"/>
            </w:tcBorders>
          </w:tcPr>
          <w:p>
            <w:pPr>
              <w:spacing w:after="0"/>
              <w:rPr>
                <w:sz w:val="9"/>
                <w:szCs w:val="9"/>
                <w:color w:val="auto"/>
              </w:rPr>
            </w:pPr>
          </w:p>
        </w:tc>
        <w:tc>
          <w:tcPr>
            <w:tcW w:w="1880" w:type="dxa"/>
            <w:vAlign w:val="bottom"/>
            <w:tcBorders>
              <w:right w:val="single" w:sz="8" w:color="auto"/>
            </w:tcBorders>
          </w:tcPr>
          <w:p>
            <w:pPr>
              <w:spacing w:after="0"/>
              <w:rPr>
                <w:sz w:val="9"/>
                <w:szCs w:val="9"/>
                <w:color w:val="auto"/>
              </w:rPr>
            </w:pPr>
          </w:p>
        </w:tc>
        <w:tc>
          <w:tcPr>
            <w:tcW w:w="1900" w:type="dxa"/>
            <w:vAlign w:val="bottom"/>
            <w:tcBorders>
              <w:right w:val="single" w:sz="8" w:color="auto"/>
            </w:tcBorders>
          </w:tcPr>
          <w:p>
            <w:pPr>
              <w:spacing w:after="0"/>
              <w:rPr>
                <w:sz w:val="9"/>
                <w:szCs w:val="9"/>
                <w:color w:val="auto"/>
              </w:rPr>
            </w:pPr>
          </w:p>
        </w:tc>
        <w:tc>
          <w:tcPr>
            <w:tcW w:w="1880" w:type="dxa"/>
            <w:vAlign w:val="bottom"/>
            <w:tcBorders>
              <w:right w:val="single" w:sz="8" w:color="auto"/>
            </w:tcBorders>
            <w:vMerge w:val="continue"/>
          </w:tcPr>
          <w:p>
            <w:pPr>
              <w:spacing w:after="0"/>
              <w:rPr>
                <w:sz w:val="9"/>
                <w:szCs w:val="9"/>
                <w:color w:val="auto"/>
              </w:rPr>
            </w:pPr>
          </w:p>
        </w:tc>
        <w:tc>
          <w:tcPr>
            <w:tcW w:w="1500" w:type="dxa"/>
            <w:vAlign w:val="bottom"/>
            <w:vMerge w:val="continue"/>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2.12x - 4.35x (2.32x)</w:t>
            </w: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Debt investments</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$4,845,340</w:t>
            </w: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70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Term to expiration</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0.26 - 7.36 (4.51)</w:t>
            </w: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Options</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$5,872,210</w:t>
            </w: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34.9% - 56.3% (36.8%)</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500" w:type="dxa"/>
            <w:vAlign w:val="bottom"/>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122" w:lineRule="exact"/>
        <w:rPr>
          <w:sz w:val="20"/>
          <w:szCs w:val="20"/>
          <w:color w:val="auto"/>
        </w:rPr>
      </w:pPr>
    </w:p>
    <w:p>
      <w:pPr>
        <w:ind w:left="660" w:right="20" w:hanging="652"/>
        <w:spacing w:after="0" w:line="266" w:lineRule="auto"/>
        <w:tabs>
          <w:tab w:leader="none" w:pos="363" w:val="left"/>
        </w:tabs>
        <w:numPr>
          <w:ilvl w:val="0"/>
          <w:numId w:val="65"/>
        </w:numPr>
        <w:rPr>
          <w:rFonts w:ascii="Arial" w:cs="Arial" w:eastAsia="Arial" w:hAnsi="Arial"/>
          <w:sz w:val="15"/>
          <w:szCs w:val="15"/>
          <w:color w:val="auto"/>
        </w:rPr>
      </w:pPr>
      <w:r>
        <w:rPr>
          <w:rFonts w:ascii="Arial" w:cs="Arial" w:eastAsia="Arial" w:hAnsi="Arial"/>
          <w:sz w:val="15"/>
          <w:szCs w:val="15"/>
          <w:color w:val="auto"/>
        </w:rPr>
        <w:t>As of December 31, 2020,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3" w:lineRule="exact"/>
        <w:rPr>
          <w:rFonts w:ascii="Arial" w:cs="Arial" w:eastAsia="Arial" w:hAnsi="Arial"/>
          <w:sz w:val="15"/>
          <w:szCs w:val="15"/>
          <w:color w:val="auto"/>
        </w:rPr>
      </w:pPr>
    </w:p>
    <w:p>
      <w:pPr>
        <w:ind w:left="660" w:right="20" w:hanging="652"/>
        <w:spacing w:after="0" w:line="250" w:lineRule="auto"/>
        <w:tabs>
          <w:tab w:leader="none" w:pos="391"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260"/>
          </w:cols>
          <w:pgMar w:left="320" w:top="121" w:right="319" w:bottom="1440" w:gutter="0" w:footer="0" w:header="0"/>
          <w:type w:val="continuous"/>
        </w:sectPr>
      </w:pPr>
    </w:p>
    <w:bookmarkStart w:id="108" w:name="page109"/>
    <w:bookmarkEnd w:id="10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4" w:lineRule="exact"/>
        <w:rPr>
          <w:sz w:val="20"/>
          <w:szCs w:val="20"/>
          <w:color w:val="auto"/>
        </w:rPr>
      </w:pPr>
    </w:p>
    <w:p>
      <w:pPr>
        <w:jc w:val="both"/>
        <w:ind w:left="660" w:right="20"/>
        <w:spacing w:after="0" w:line="266" w:lineRule="auto"/>
        <w:rPr>
          <w:sz w:val="20"/>
          <w:szCs w:val="20"/>
          <w:color w:val="auto"/>
        </w:rPr>
      </w:pPr>
      <w:r>
        <w:rPr>
          <w:rFonts w:ascii="Arial" w:cs="Arial" w:eastAsia="Arial" w:hAnsi="Arial"/>
          <w:sz w:val="15"/>
          <w:szCs w:val="15"/>
          <w:color w:val="auto"/>
        </w:rPr>
        <w:t>values all else equal. Decreases (increases) in discount rates, volatility, and annual risk rates, would result in higher (lower) fair values all else equal. The market approach utilizes market value (revenue and EBIT) multiples of publicly traded comparable 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spacing w:after="0" w:line="1" w:lineRule="exact"/>
        <w:rPr>
          <w:sz w:val="20"/>
          <w:szCs w:val="20"/>
          <w:color w:val="auto"/>
        </w:rPr>
      </w:pPr>
    </w:p>
    <w:p>
      <w:pPr>
        <w:ind w:left="360" w:hanging="352"/>
        <w:spacing w:after="0"/>
        <w:tabs>
          <w:tab w:leader="none" w:pos="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weighted averages are calculated based on the fair market value of each investment.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Adjusted Funds From Operations, or "AFFO"</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Probability-Weighted Expected Return Method, or "PWERM"</w:t>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As of December 31, 2019</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37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Asset</w:t>
            </w:r>
          </w:p>
        </w:tc>
        <w:tc>
          <w:tcPr>
            <w:tcW w:w="1880" w:type="dxa"/>
            <w:vAlign w:val="bottom"/>
            <w:tcBorders>
              <w:top w:val="single" w:sz="8" w:color="auto"/>
              <w:right w:val="single" w:sz="8" w:color="auto"/>
            </w:tcBorders>
            <w:vMerge w:val="restart"/>
          </w:tcPr>
          <w:p>
            <w:pPr>
              <w:ind w:left="600"/>
              <w:spacing w:after="0"/>
              <w:rPr>
                <w:sz w:val="20"/>
                <w:szCs w:val="20"/>
                <w:color w:val="auto"/>
              </w:rPr>
            </w:pPr>
            <w:r>
              <w:rPr>
                <w:rFonts w:ascii="Arial" w:cs="Arial" w:eastAsia="Arial" w:hAnsi="Arial"/>
                <w:sz w:val="14"/>
                <w:szCs w:val="14"/>
                <w:b w:val="1"/>
                <w:bCs w:val="1"/>
                <w:color w:val="auto"/>
              </w:rPr>
              <w:t>Fair Value</w:t>
            </w:r>
          </w:p>
        </w:tc>
        <w:tc>
          <w:tcPr>
            <w:tcW w:w="1900" w:type="dxa"/>
            <w:vAlign w:val="bottom"/>
            <w:tcBorders>
              <w:top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Valuation</w:t>
            </w:r>
          </w:p>
        </w:tc>
        <w:tc>
          <w:tcPr>
            <w:tcW w:w="18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Unobservable Inputs</w:t>
            </w:r>
            <w:r>
              <w:rPr>
                <w:rFonts w:ascii="Arial" w:cs="Arial" w:eastAsia="Arial" w:hAnsi="Arial"/>
                <w:sz w:val="18"/>
                <w:szCs w:val="18"/>
                <w:b w:val="1"/>
                <w:bCs w:val="1"/>
                <w:color w:val="auto"/>
                <w:w w:val="90"/>
                <w:vertAlign w:val="superscript"/>
              </w:rPr>
              <w:t>(2)</w:t>
            </w:r>
          </w:p>
        </w:tc>
        <w:tc>
          <w:tcPr>
            <w:tcW w:w="1500" w:type="dxa"/>
            <w:vAlign w:val="bottom"/>
            <w:tcBorders>
              <w:top w:val="single" w:sz="8" w:color="auto"/>
            </w:tcBorders>
            <w:vMerge w:val="restart"/>
          </w:tcPr>
          <w:p>
            <w:pPr>
              <w:jc w:val="center"/>
              <w:ind w:left="292"/>
              <w:spacing w:after="0"/>
              <w:rPr>
                <w:sz w:val="20"/>
                <w:szCs w:val="20"/>
                <w:color w:val="auto"/>
              </w:rPr>
            </w:pPr>
            <w:r>
              <w:rPr>
                <w:rFonts w:ascii="Arial" w:cs="Arial" w:eastAsia="Arial" w:hAnsi="Arial"/>
                <w:sz w:val="14"/>
                <w:szCs w:val="14"/>
                <w:b w:val="1"/>
                <w:bCs w:val="1"/>
                <w:color w:val="auto"/>
                <w:w w:val="93"/>
              </w:rPr>
              <w:t>Range</w:t>
            </w:r>
          </w:p>
        </w:tc>
        <w:tc>
          <w:tcPr>
            <w:tcW w:w="40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b w:val="1"/>
                <w:bCs w:val="1"/>
                <w:color w:val="auto"/>
                <w:w w:val="92"/>
              </w:rPr>
              <w:t>Approach/</w:t>
            </w:r>
          </w:p>
        </w:tc>
        <w:tc>
          <w:tcPr>
            <w:tcW w:w="188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jc w:val="right"/>
              <w:ind w:right="253"/>
              <w:spacing w:after="0"/>
              <w:rPr>
                <w:sz w:val="20"/>
                <w:szCs w:val="20"/>
                <w:color w:val="auto"/>
              </w:rPr>
            </w:pPr>
            <w:r>
              <w:rPr>
                <w:rFonts w:ascii="Arial" w:cs="Arial" w:eastAsia="Arial" w:hAnsi="Arial"/>
                <w:sz w:val="9"/>
                <w:szCs w:val="9"/>
                <w:b w:val="1"/>
                <w:bCs w:val="1"/>
                <w:color w:val="auto"/>
                <w:w w:val="72"/>
              </w:rPr>
              <w:t>(3)</w:t>
            </w:r>
          </w:p>
        </w:tc>
        <w:tc>
          <w:tcPr>
            <w:tcW w:w="0" w:type="dxa"/>
            <w:vAlign w:val="bottom"/>
          </w:tcPr>
          <w:p>
            <w:pPr>
              <w:spacing w:after="0"/>
              <w:rPr>
                <w:sz w:val="1"/>
                <w:szCs w:val="1"/>
                <w:color w:val="auto"/>
              </w:rPr>
            </w:pPr>
          </w:p>
        </w:tc>
      </w:tr>
      <w:tr>
        <w:trPr>
          <w:trHeight w:val="189"/>
        </w:trPr>
        <w:tc>
          <w:tcPr>
            <w:tcW w:w="3700" w:type="dxa"/>
            <w:vAlign w:val="bottom"/>
            <w:tcBorders>
              <w:left w:val="single" w:sz="8" w:color="auto"/>
              <w:bottom w:val="single" w:sz="8" w:color="auto"/>
              <w:right w:val="single" w:sz="8" w:color="auto"/>
            </w:tcBorders>
          </w:tcPr>
          <w:p>
            <w:pPr>
              <w:spacing w:after="0"/>
              <w:rPr>
                <w:sz w:val="16"/>
                <w:szCs w:val="16"/>
                <w:color w:val="auto"/>
              </w:rPr>
            </w:pPr>
          </w:p>
        </w:tc>
        <w:tc>
          <w:tcPr>
            <w:tcW w:w="1880" w:type="dxa"/>
            <w:vAlign w:val="bottom"/>
            <w:tcBorders>
              <w:bottom w:val="single" w:sz="8" w:color="auto"/>
              <w:right w:val="single" w:sz="8" w:color="auto"/>
            </w:tcBorders>
          </w:tcPr>
          <w:p>
            <w:pPr>
              <w:spacing w:after="0"/>
              <w:rPr>
                <w:sz w:val="16"/>
                <w:szCs w:val="16"/>
                <w:color w:val="auto"/>
              </w:rPr>
            </w:pPr>
          </w:p>
        </w:tc>
        <w:tc>
          <w:tcPr>
            <w:tcW w:w="1900" w:type="dxa"/>
            <w:vAlign w:val="bottom"/>
            <w:tcBorders>
              <w:bottom w:val="single" w:sz="8" w:color="auto"/>
              <w:right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7"/>
              </w:rPr>
              <w:t>Technique</w:t>
            </w:r>
            <w:r>
              <w:rPr>
                <w:rFonts w:ascii="Arial" w:cs="Arial" w:eastAsia="Arial" w:hAnsi="Arial"/>
                <w:sz w:val="18"/>
                <w:szCs w:val="18"/>
                <w:b w:val="1"/>
                <w:bCs w:val="1"/>
                <w:color w:val="auto"/>
                <w:w w:val="87"/>
                <w:vertAlign w:val="superscript"/>
              </w:rPr>
              <w:t>(1)</w:t>
            </w:r>
          </w:p>
        </w:tc>
        <w:tc>
          <w:tcPr>
            <w:tcW w:w="1880" w:type="dxa"/>
            <w:vAlign w:val="bottom"/>
            <w:tcBorders>
              <w:bottom w:val="single" w:sz="8" w:color="auto"/>
              <w:right w:val="single" w:sz="8" w:color="auto"/>
            </w:tcBorders>
          </w:tcPr>
          <w:p>
            <w:pPr>
              <w:spacing w:after="0"/>
              <w:rPr>
                <w:sz w:val="16"/>
                <w:szCs w:val="16"/>
                <w:color w:val="auto"/>
              </w:rPr>
            </w:pPr>
          </w:p>
        </w:tc>
        <w:tc>
          <w:tcPr>
            <w:tcW w:w="15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w w:val="91"/>
              </w:rPr>
              <w:t>(Weighted Average)</w:t>
            </w:r>
          </w:p>
        </w:tc>
        <w:tc>
          <w:tcPr>
            <w:tcW w:w="4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5"/>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AFFO</w:t>
            </w:r>
            <w:r>
              <w:rPr>
                <w:rFonts w:ascii="Arial" w:cs="Arial" w:eastAsia="Arial" w:hAnsi="Arial"/>
                <w:sz w:val="23"/>
                <w:szCs w:val="23"/>
                <w:color w:val="auto"/>
                <w:w w:val="92"/>
                <w:vertAlign w:val="superscript"/>
              </w:rPr>
              <w:t>(4)</w:t>
            </w:r>
            <w:r>
              <w:rPr>
                <w:rFonts w:ascii="Arial" w:cs="Arial" w:eastAsia="Arial" w:hAnsi="Arial"/>
                <w:sz w:val="18"/>
                <w:szCs w:val="18"/>
                <w:color w:val="auto"/>
                <w:w w:val="92"/>
              </w:rPr>
              <w:t xml:space="preserve"> multiple</w:t>
            </w:r>
          </w:p>
        </w:tc>
        <w:tc>
          <w:tcPr>
            <w:tcW w:w="19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16.67x - 37.32 (25.09x)</w:t>
            </w: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 in</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$59,209,559</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1.45x - 3.23x (2.86x)</w:t>
            </w:r>
          </w:p>
        </w:tc>
        <w:tc>
          <w:tcPr>
            <w:tcW w:w="0" w:type="dxa"/>
            <w:vAlign w:val="bottom"/>
          </w:tcPr>
          <w:p>
            <w:pPr>
              <w:spacing w:after="0"/>
              <w:rPr>
                <w:sz w:val="1"/>
                <w:szCs w:val="1"/>
                <w:color w:val="auto"/>
              </w:rPr>
            </w:pPr>
          </w:p>
        </w:tc>
      </w:tr>
      <w:tr>
        <w:trPr>
          <w:trHeight w:val="41"/>
        </w:trPr>
        <w:tc>
          <w:tcPr>
            <w:tcW w:w="3700" w:type="dxa"/>
            <w:vAlign w:val="bottom"/>
            <w:tcBorders>
              <w:left w:val="single" w:sz="8" w:color="auto"/>
              <w:right w:val="single" w:sz="8" w:color="auto"/>
            </w:tcBorders>
            <w:vMerge w:val="continue"/>
          </w:tcPr>
          <w:p>
            <w:pPr>
              <w:spacing w:after="0"/>
              <w:rPr>
                <w:sz w:val="3"/>
                <w:szCs w:val="3"/>
                <w:color w:val="auto"/>
              </w:rPr>
            </w:pPr>
          </w:p>
        </w:tc>
        <w:tc>
          <w:tcPr>
            <w:tcW w:w="1880" w:type="dxa"/>
            <w:vAlign w:val="bottom"/>
            <w:tcBorders>
              <w:right w:val="single" w:sz="8" w:color="auto"/>
            </w:tcBorders>
            <w:vMerge w:val="continue"/>
          </w:tcPr>
          <w:p>
            <w:pPr>
              <w:spacing w:after="0"/>
              <w:rPr>
                <w:sz w:val="3"/>
                <w:szCs w:val="3"/>
                <w:color w:val="auto"/>
              </w:rPr>
            </w:pPr>
          </w:p>
        </w:tc>
        <w:tc>
          <w:tcPr>
            <w:tcW w:w="1900" w:type="dxa"/>
            <w:vAlign w:val="bottom"/>
            <w:tcBorders>
              <w:right w:val="single" w:sz="8" w:color="auto"/>
            </w:tcBorders>
          </w:tcPr>
          <w:p>
            <w:pPr>
              <w:spacing w:after="0"/>
              <w:rPr>
                <w:sz w:val="3"/>
                <w:szCs w:val="3"/>
                <w:color w:val="auto"/>
              </w:rPr>
            </w:pPr>
          </w:p>
        </w:tc>
        <w:tc>
          <w:tcPr>
            <w:tcW w:w="1880" w:type="dxa"/>
            <w:vAlign w:val="bottom"/>
            <w:tcBorders>
              <w:right w:val="single" w:sz="8" w:color="auto"/>
            </w:tcBorders>
          </w:tcPr>
          <w:p>
            <w:pPr>
              <w:spacing w:after="0"/>
              <w:rPr>
                <w:sz w:val="3"/>
                <w:szCs w:val="3"/>
                <w:color w:val="auto"/>
              </w:rPr>
            </w:pPr>
          </w:p>
        </w:tc>
        <w:tc>
          <w:tcPr>
            <w:tcW w:w="1500" w:type="dxa"/>
            <w:vAlign w:val="bottom"/>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private companies</w:t>
            </w:r>
          </w:p>
        </w:tc>
        <w:tc>
          <w:tcPr>
            <w:tcW w:w="1880" w:type="dxa"/>
            <w:vAlign w:val="bottom"/>
            <w:tcBorders>
              <w:right w:val="single" w:sz="8" w:color="auto"/>
            </w:tcBorders>
            <w:vMerge w:val="continue"/>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188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vMerge w:val="continue"/>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3700" w:type="dxa"/>
            <w:vAlign w:val="bottom"/>
            <w:tcBorders>
              <w:left w:val="single" w:sz="8" w:color="auto"/>
              <w:right w:val="single" w:sz="8" w:color="auto"/>
            </w:tcBorders>
            <w:vMerge w:val="continue"/>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1880" w:type="dxa"/>
            <w:vAlign w:val="bottom"/>
            <w:tcBorders>
              <w:right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4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tcPr>
          <w:p>
            <w:pPr>
              <w:spacing w:after="0"/>
              <w:rPr>
                <w:sz w:val="8"/>
                <w:szCs w:val="8"/>
                <w:color w:val="auto"/>
              </w:rPr>
            </w:pPr>
          </w:p>
        </w:tc>
        <w:tc>
          <w:tcPr>
            <w:tcW w:w="1880" w:type="dxa"/>
            <w:vAlign w:val="bottom"/>
            <w:tcBorders>
              <w:right w:val="single" w:sz="8" w:color="auto"/>
            </w:tcBorders>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Discount rate</w:t>
            </w:r>
          </w:p>
        </w:tc>
        <w:tc>
          <w:tcPr>
            <w:tcW w:w="1500" w:type="dxa"/>
            <w:vAlign w:val="bottom"/>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1.89x - 5.43x (3.77x)</w:t>
            </w: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line="169" w:lineRule="exact"/>
              <w:rPr>
                <w:sz w:val="20"/>
                <w:szCs w:val="20"/>
                <w:color w:val="auto"/>
              </w:rPr>
            </w:pPr>
            <w:r>
              <w:rPr>
                <w:rFonts w:ascii="Arial" w:cs="Arial" w:eastAsia="Arial" w:hAnsi="Arial"/>
                <w:sz w:val="18"/>
                <w:szCs w:val="18"/>
                <w:color w:val="auto"/>
                <w:w w:val="85"/>
              </w:rPr>
              <w:t>Precedent</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700" w:type="dxa"/>
            <w:vAlign w:val="bottom"/>
            <w:tcBorders>
              <w:left w:val="single" w:sz="8" w:color="auto"/>
              <w:right w:val="single" w:sz="8" w:color="auto"/>
            </w:tcBorders>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right w:val="single" w:sz="8" w:color="auto"/>
            </w:tcBorders>
          </w:tcPr>
          <w:p>
            <w:pPr>
              <w:spacing w:after="0"/>
              <w:rPr>
                <w:sz w:val="5"/>
                <w:szCs w:val="5"/>
                <w:color w:val="auto"/>
              </w:rPr>
            </w:pPr>
          </w:p>
        </w:tc>
        <w:tc>
          <w:tcPr>
            <w:tcW w:w="1880" w:type="dxa"/>
            <w:vAlign w:val="bottom"/>
            <w:tcBorders>
              <w:right w:val="single" w:sz="8" w:color="auto"/>
            </w:tcBorders>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4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transactions</w:t>
            </w: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Preferred stock in</w:t>
            </w: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$125,448,358</w:t>
            </w: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Discount rate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vMerge w:val="restart"/>
          </w:tcPr>
          <w:p>
            <w:pPr>
              <w:jc w:val="center"/>
              <w:spacing w:after="0" w:line="202" w:lineRule="exact"/>
              <w:rPr>
                <w:sz w:val="20"/>
                <w:szCs w:val="20"/>
                <w:color w:val="auto"/>
              </w:rPr>
            </w:pPr>
            <w:r>
              <w:rPr>
                <w:rFonts w:ascii="Arial" w:cs="Arial" w:eastAsia="Arial" w:hAnsi="Arial"/>
                <w:sz w:val="18"/>
                <w:szCs w:val="18"/>
                <w:color w:val="auto"/>
                <w:w w:val="88"/>
              </w:rPr>
              <w:t>private companies</w:t>
            </w: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4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700" w:type="dxa"/>
            <w:vAlign w:val="bottom"/>
            <w:tcBorders>
              <w:left w:val="single" w:sz="8" w:color="auto"/>
              <w:right w:val="single" w:sz="8" w:color="auto"/>
            </w:tcBorders>
            <w:vMerge w:val="continue"/>
          </w:tcPr>
          <w:p>
            <w:pPr>
              <w:spacing w:after="0"/>
              <w:rPr>
                <w:sz w:val="5"/>
                <w:szCs w:val="5"/>
                <w:color w:val="auto"/>
              </w:rPr>
            </w:pPr>
          </w:p>
        </w:tc>
        <w:tc>
          <w:tcPr>
            <w:tcW w:w="1880" w:type="dxa"/>
            <w:vAlign w:val="bottom"/>
            <w:tcBorders>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1.23x - 2.05x (1.83x)</w:t>
            </w: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3700" w:type="dxa"/>
            <w:vAlign w:val="bottom"/>
            <w:tcBorders>
              <w:left w:val="single" w:sz="8" w:color="auto"/>
              <w:right w:val="single" w:sz="8" w:color="auto"/>
            </w:tcBorders>
          </w:tcPr>
          <w:p>
            <w:pPr>
              <w:spacing w:after="0"/>
              <w:rPr>
                <w:sz w:val="14"/>
                <w:szCs w:val="14"/>
                <w:color w:val="auto"/>
              </w:rPr>
            </w:pPr>
          </w:p>
        </w:tc>
        <w:tc>
          <w:tcPr>
            <w:tcW w:w="1880" w:type="dxa"/>
            <w:vAlign w:val="bottom"/>
            <w:tcBorders>
              <w:right w:val="single" w:sz="8" w:color="auto"/>
            </w:tcBorders>
          </w:tcPr>
          <w:p>
            <w:pPr>
              <w:spacing w:after="0"/>
              <w:rPr>
                <w:sz w:val="14"/>
                <w:szCs w:val="14"/>
                <w:color w:val="auto"/>
              </w:rPr>
            </w:pPr>
          </w:p>
        </w:tc>
        <w:tc>
          <w:tcPr>
            <w:tcW w:w="1900" w:type="dxa"/>
            <w:vAlign w:val="bottom"/>
            <w:tcBorders>
              <w:right w:val="single" w:sz="8" w:color="auto"/>
            </w:tcBorders>
            <w:vMerge w:val="continue"/>
          </w:tcPr>
          <w:p>
            <w:pPr>
              <w:spacing w:after="0"/>
              <w:rPr>
                <w:sz w:val="14"/>
                <w:szCs w:val="14"/>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Precedent transactions</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2"/>
              </w:rPr>
              <w:t>2.97x - 3.23x (3.10x)</w:t>
            </w:r>
          </w:p>
        </w:tc>
        <w:tc>
          <w:tcPr>
            <w:tcW w:w="0" w:type="dxa"/>
            <w:vAlign w:val="bottom"/>
          </w:tcPr>
          <w:p>
            <w:pPr>
              <w:spacing w:after="0"/>
              <w:rPr>
                <w:sz w:val="1"/>
                <w:szCs w:val="1"/>
                <w:color w:val="auto"/>
              </w:rPr>
            </w:pPr>
          </w:p>
        </w:tc>
      </w:tr>
      <w:tr>
        <w:trPr>
          <w:trHeight w:val="134"/>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tcPr>
          <w:p>
            <w:pPr>
              <w:spacing w:after="0"/>
              <w:rPr>
                <w:sz w:val="11"/>
                <w:szCs w:val="11"/>
                <w:color w:val="auto"/>
              </w:rPr>
            </w:pPr>
          </w:p>
        </w:tc>
        <w:tc>
          <w:tcPr>
            <w:tcW w:w="188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Market approach</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Revenue multiples</w:t>
            </w:r>
          </w:p>
        </w:tc>
        <w:tc>
          <w:tcPr>
            <w:tcW w:w="19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2"/>
              </w:rPr>
              <w:t>1.45x - 1.57x (1.51x)</w:t>
            </w: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Debt investments</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$1,644,155</w:t>
            </w: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3700" w:type="dxa"/>
            <w:vAlign w:val="bottom"/>
            <w:tcBorders>
              <w:left w:val="single" w:sz="8" w:color="auto"/>
              <w:right w:val="single" w:sz="8" w:color="auto"/>
            </w:tcBorders>
            <w:vMerge w:val="continue"/>
          </w:tcPr>
          <w:p>
            <w:pPr>
              <w:spacing w:after="0"/>
              <w:rPr>
                <w:sz w:val="12"/>
                <w:szCs w:val="12"/>
                <w:color w:val="auto"/>
              </w:rPr>
            </w:pPr>
          </w:p>
        </w:tc>
        <w:tc>
          <w:tcPr>
            <w:tcW w:w="1880" w:type="dxa"/>
            <w:vAlign w:val="bottom"/>
            <w:tcBorders>
              <w:right w:val="single" w:sz="8" w:color="auto"/>
            </w:tcBorders>
            <w:vMerge w:val="continue"/>
          </w:tcPr>
          <w:p>
            <w:pPr>
              <w:spacing w:after="0"/>
              <w:rPr>
                <w:sz w:val="12"/>
                <w:szCs w:val="12"/>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PWERM</w:t>
            </w:r>
            <w:r>
              <w:rPr>
                <w:rFonts w:ascii="Arial" w:cs="Arial" w:eastAsia="Arial" w:hAnsi="Arial"/>
                <w:sz w:val="23"/>
                <w:szCs w:val="23"/>
                <w:color w:val="auto"/>
                <w:w w:val="91"/>
                <w:vertAlign w:val="superscript"/>
              </w:rPr>
              <w:t>(5)</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Revenue multiples</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700" w:type="dxa"/>
            <w:vAlign w:val="bottom"/>
            <w:tcBorders>
              <w:left w:val="single" w:sz="8" w:color="auto"/>
              <w:right w:val="single" w:sz="8" w:color="auto"/>
            </w:tcBorders>
          </w:tcPr>
          <w:p>
            <w:pPr>
              <w:spacing w:after="0"/>
              <w:rPr>
                <w:sz w:val="7"/>
                <w:szCs w:val="7"/>
                <w:color w:val="auto"/>
              </w:rPr>
            </w:pPr>
          </w:p>
        </w:tc>
        <w:tc>
          <w:tcPr>
            <w:tcW w:w="1880" w:type="dxa"/>
            <w:vAlign w:val="bottom"/>
            <w:tcBorders>
              <w:right w:val="single" w:sz="8" w:color="auto"/>
            </w:tcBorders>
          </w:tcPr>
          <w:p>
            <w:pPr>
              <w:spacing w:after="0"/>
              <w:rPr>
                <w:sz w:val="7"/>
                <w:szCs w:val="7"/>
                <w:color w:val="auto"/>
              </w:rPr>
            </w:pPr>
          </w:p>
        </w:tc>
        <w:tc>
          <w:tcPr>
            <w:tcW w:w="1900" w:type="dxa"/>
            <w:vAlign w:val="bottom"/>
            <w:tcBorders>
              <w:right w:val="single" w:sz="8" w:color="auto"/>
            </w:tcBorders>
            <w:vMerge w:val="continue"/>
          </w:tcPr>
          <w:p>
            <w:pPr>
              <w:spacing w:after="0"/>
              <w:rPr>
                <w:sz w:val="7"/>
                <w:szCs w:val="7"/>
                <w:color w:val="auto"/>
              </w:rPr>
            </w:pPr>
          </w:p>
        </w:tc>
        <w:tc>
          <w:tcPr>
            <w:tcW w:w="1880" w:type="dxa"/>
            <w:vAlign w:val="bottom"/>
            <w:tcBorders>
              <w:bottom w:val="single" w:sz="8" w:color="auto"/>
              <w:right w:val="single" w:sz="8" w:color="auto"/>
            </w:tcBorders>
            <w:vMerge w:val="continue"/>
          </w:tcPr>
          <w:p>
            <w:pPr>
              <w:spacing w:after="0"/>
              <w:rPr>
                <w:sz w:val="7"/>
                <w:szCs w:val="7"/>
                <w:color w:val="auto"/>
              </w:rPr>
            </w:pPr>
          </w:p>
        </w:tc>
        <w:tc>
          <w:tcPr>
            <w:tcW w:w="1500" w:type="dxa"/>
            <w:vAlign w:val="bottom"/>
            <w:tcBorders>
              <w:bottom w:val="single" w:sz="8" w:color="auto"/>
            </w:tcBorders>
            <w:vMerge w:val="continue"/>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vMerge w:val="continue"/>
          </w:tcPr>
          <w:p>
            <w:pPr>
              <w:spacing w:after="0"/>
              <w:rPr>
                <w:sz w:val="15"/>
                <w:szCs w:val="15"/>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Liquidation value</w:t>
            </w:r>
          </w:p>
        </w:tc>
        <w:tc>
          <w:tcPr>
            <w:tcW w:w="1500" w:type="dxa"/>
            <w:vAlign w:val="bottom"/>
            <w:vMerge w:val="restart"/>
          </w:tcPr>
          <w:p>
            <w:pPr>
              <w:jc w:val="center"/>
              <w:ind w:left="292"/>
              <w:spacing w:after="0"/>
              <w:rPr>
                <w:sz w:val="20"/>
                <w:szCs w:val="20"/>
                <w:color w:val="auto"/>
              </w:rPr>
            </w:pPr>
            <w:r>
              <w:rPr>
                <w:rFonts w:ascii="Arial" w:cs="Arial" w:eastAsia="Arial" w:hAnsi="Arial"/>
                <w:sz w:val="18"/>
                <w:szCs w:val="18"/>
                <w:color w:val="auto"/>
              </w:rPr>
              <w:t>N/A</w:t>
            </w:r>
          </w:p>
        </w:tc>
        <w:tc>
          <w:tcPr>
            <w:tcW w:w="4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3700" w:type="dxa"/>
            <w:vAlign w:val="bottom"/>
            <w:tcBorders>
              <w:left w:val="single" w:sz="8" w:color="auto"/>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880" w:type="dxa"/>
            <w:vAlign w:val="bottom"/>
            <w:tcBorders>
              <w:bottom w:val="single" w:sz="8" w:color="auto"/>
              <w:right w:val="single" w:sz="8" w:color="auto"/>
            </w:tcBorders>
            <w:vMerge w:val="continue"/>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4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700" w:type="dxa"/>
            <w:vAlign w:val="bottom"/>
            <w:tcBorders>
              <w:left w:val="single" w:sz="8" w:color="auto"/>
              <w:right w:val="single" w:sz="8" w:color="auto"/>
            </w:tcBorders>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1900" w:type="dxa"/>
            <w:vAlign w:val="bottom"/>
            <w:tcBorders>
              <w:right w:val="single" w:sz="8" w:color="auto"/>
            </w:tcBorders>
          </w:tcPr>
          <w:p>
            <w:pPr>
              <w:spacing w:after="0"/>
              <w:rPr>
                <w:sz w:val="15"/>
                <w:szCs w:val="15"/>
                <w:color w:val="auto"/>
              </w:rPr>
            </w:pPr>
          </w:p>
        </w:tc>
        <w:tc>
          <w:tcPr>
            <w:tcW w:w="188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Term to expiration</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0.13 - 8.30 (5.35)</w:t>
            </w:r>
          </w:p>
        </w:tc>
        <w:tc>
          <w:tcPr>
            <w:tcW w:w="0" w:type="dxa"/>
            <w:vAlign w:val="bottom"/>
          </w:tcPr>
          <w:p>
            <w:pPr>
              <w:spacing w:after="0"/>
              <w:rPr>
                <w:sz w:val="1"/>
                <w:szCs w:val="1"/>
                <w:color w:val="auto"/>
              </w:rPr>
            </w:pPr>
          </w:p>
        </w:tc>
      </w:tr>
      <w:tr>
        <w:trPr>
          <w:trHeight w:val="135"/>
        </w:trPr>
        <w:tc>
          <w:tcPr>
            <w:tcW w:w="3700" w:type="dxa"/>
            <w:vAlign w:val="bottom"/>
            <w:tcBorders>
              <w:left w:val="single" w:sz="8" w:color="auto"/>
              <w:right w:val="single" w:sz="8" w:color="auto"/>
            </w:tcBorders>
          </w:tcPr>
          <w:p>
            <w:pPr>
              <w:spacing w:after="0"/>
              <w:rPr>
                <w:sz w:val="11"/>
                <w:szCs w:val="11"/>
                <w:color w:val="auto"/>
              </w:rPr>
            </w:pPr>
          </w:p>
        </w:tc>
        <w:tc>
          <w:tcPr>
            <w:tcW w:w="1880" w:type="dxa"/>
            <w:vAlign w:val="bottom"/>
            <w:tcBorders>
              <w:right w:val="single" w:sz="8" w:color="auto"/>
            </w:tcBorders>
          </w:tcPr>
          <w:p>
            <w:pPr>
              <w:spacing w:after="0"/>
              <w:rPr>
                <w:sz w:val="11"/>
                <w:szCs w:val="11"/>
                <w:color w:val="auto"/>
              </w:rPr>
            </w:pPr>
          </w:p>
        </w:tc>
        <w:tc>
          <w:tcPr>
            <w:tcW w:w="1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Option pricing model</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(Years)</w:t>
            </w:r>
          </w:p>
        </w:tc>
        <w:tc>
          <w:tcPr>
            <w:tcW w:w="1900" w:type="dxa"/>
            <w:vAlign w:val="bottom"/>
            <w:tcBorders>
              <w:right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bottom w:val="single" w:sz="8" w:color="auto"/>
              <w:right w:val="single" w:sz="8" w:color="auto"/>
            </w:tcBorders>
            <w:vMerge w:val="continue"/>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7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Options</w:t>
            </w: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$5,283,506</w:t>
            </w:r>
          </w:p>
        </w:tc>
        <w:tc>
          <w:tcPr>
            <w:tcW w:w="1900" w:type="dxa"/>
            <w:vAlign w:val="bottom"/>
            <w:tcBorders>
              <w:right w:val="single" w:sz="8" w:color="auto"/>
            </w:tcBorders>
            <w:vMerge w:val="continue"/>
          </w:tcPr>
          <w:p>
            <w:pPr>
              <w:spacing w:after="0"/>
              <w:rPr>
                <w:sz w:val="8"/>
                <w:szCs w:val="8"/>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Volatility</w:t>
            </w:r>
          </w:p>
        </w:tc>
        <w:tc>
          <w:tcPr>
            <w:tcW w:w="19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1"/>
              </w:rPr>
              <w:t>30.0%-48.0% (36.0%)</w:t>
            </w:r>
          </w:p>
        </w:tc>
        <w:tc>
          <w:tcPr>
            <w:tcW w:w="0" w:type="dxa"/>
            <w:vAlign w:val="bottom"/>
          </w:tcPr>
          <w:p>
            <w:pPr>
              <w:spacing w:after="0"/>
              <w:rPr>
                <w:sz w:val="1"/>
                <w:szCs w:val="1"/>
                <w:color w:val="auto"/>
              </w:rPr>
            </w:pPr>
          </w:p>
        </w:tc>
      </w:tr>
      <w:tr>
        <w:trPr>
          <w:trHeight w:val="203"/>
        </w:trPr>
        <w:tc>
          <w:tcPr>
            <w:tcW w:w="3700" w:type="dxa"/>
            <w:vAlign w:val="bottom"/>
            <w:tcBorders>
              <w:left w:val="single" w:sz="8" w:color="auto"/>
              <w:right w:val="single" w:sz="8" w:color="auto"/>
            </w:tcBorders>
            <w:vMerge w:val="continue"/>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tcPr>
          <w:p>
            <w:pPr>
              <w:spacing w:after="0"/>
              <w:rPr>
                <w:sz w:val="17"/>
                <w:szCs w:val="17"/>
                <w:color w:val="auto"/>
              </w:rPr>
            </w:pPr>
          </w:p>
        </w:tc>
        <w:tc>
          <w:tcPr>
            <w:tcW w:w="1880" w:type="dxa"/>
            <w:vAlign w:val="bottom"/>
            <w:tcBorders>
              <w:right w:val="single" w:sz="8" w:color="auto"/>
            </w:tcBorders>
            <w:vMerge w:val="continue"/>
          </w:tcPr>
          <w:p>
            <w:pPr>
              <w:spacing w:after="0"/>
              <w:rPr>
                <w:sz w:val="17"/>
                <w:szCs w:val="17"/>
                <w:color w:val="auto"/>
              </w:rPr>
            </w:pPr>
          </w:p>
        </w:tc>
        <w:tc>
          <w:tcPr>
            <w:tcW w:w="190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right w:val="single" w:sz="8" w:color="auto"/>
            </w:tcBorders>
          </w:tcPr>
          <w:p>
            <w:pPr>
              <w:spacing w:after="0"/>
              <w:rPr>
                <w:sz w:val="8"/>
                <w:szCs w:val="8"/>
                <w:color w:val="auto"/>
              </w:rPr>
            </w:pPr>
          </w:p>
        </w:tc>
        <w:tc>
          <w:tcPr>
            <w:tcW w:w="1880" w:type="dxa"/>
            <w:vAlign w:val="bottom"/>
            <w:tcBorders>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3700" w:type="dxa"/>
            <w:vAlign w:val="bottom"/>
            <w:tcBorders>
              <w:left w:val="single" w:sz="8" w:color="auto"/>
              <w:right w:val="single" w:sz="8" w:color="auto"/>
            </w:tcBorders>
          </w:tcPr>
          <w:p>
            <w:pPr>
              <w:spacing w:after="0"/>
              <w:rPr>
                <w:sz w:val="24"/>
                <w:szCs w:val="24"/>
                <w:color w:val="auto"/>
              </w:rPr>
            </w:pPr>
          </w:p>
        </w:tc>
        <w:tc>
          <w:tcPr>
            <w:tcW w:w="1880" w:type="dxa"/>
            <w:vAlign w:val="bottom"/>
            <w:tcBorders>
              <w:right w:val="single" w:sz="8" w:color="auto"/>
            </w:tcBorders>
          </w:tcPr>
          <w:p>
            <w:pPr>
              <w:spacing w:after="0"/>
              <w:rPr>
                <w:sz w:val="24"/>
                <w:szCs w:val="24"/>
                <w:color w:val="auto"/>
              </w:rPr>
            </w:pP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Discounted cash flow</w:t>
            </w:r>
          </w:p>
        </w:tc>
        <w:tc>
          <w:tcPr>
            <w:tcW w:w="18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Discount Rate</w:t>
            </w:r>
          </w:p>
        </w:tc>
        <w:tc>
          <w:tcPr>
            <w:tcW w:w="1500" w:type="dxa"/>
            <w:vAlign w:val="bottom"/>
          </w:tcPr>
          <w:p>
            <w:pPr>
              <w:jc w:val="center"/>
              <w:ind w:left="292"/>
              <w:spacing w:after="0"/>
              <w:rPr>
                <w:sz w:val="20"/>
                <w:szCs w:val="20"/>
                <w:color w:val="auto"/>
              </w:rPr>
            </w:pPr>
            <w:r>
              <w:rPr>
                <w:rFonts w:ascii="Arial" w:cs="Arial" w:eastAsia="Arial" w:hAnsi="Arial"/>
                <w:sz w:val="18"/>
                <w:szCs w:val="18"/>
                <w:color w:val="auto"/>
                <w:w w:val="90"/>
              </w:rPr>
              <w:t>12.0% (12.0%)</w:t>
            </w:r>
          </w:p>
        </w:tc>
        <w:tc>
          <w:tcPr>
            <w:tcW w:w="4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3700" w:type="dxa"/>
            <w:vAlign w:val="bottom"/>
            <w:tcBorders>
              <w:left w:val="single" w:sz="8" w:color="auto"/>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900" w:type="dxa"/>
            <w:vAlign w:val="bottom"/>
            <w:tcBorders>
              <w:bottom w:val="single" w:sz="8" w:color="auto"/>
              <w:right w:val="single" w:sz="8" w:color="auto"/>
            </w:tcBorders>
          </w:tcPr>
          <w:p>
            <w:pPr>
              <w:spacing w:after="0"/>
              <w:rPr>
                <w:sz w:val="8"/>
                <w:szCs w:val="8"/>
                <w:color w:val="auto"/>
              </w:rPr>
            </w:pPr>
          </w:p>
        </w:tc>
        <w:tc>
          <w:tcPr>
            <w:tcW w:w="1880" w:type="dxa"/>
            <w:vAlign w:val="bottom"/>
            <w:tcBorders>
              <w:bottom w:val="single" w:sz="8" w:color="auto"/>
              <w:right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ind w:left="660" w:right="20" w:hanging="652"/>
        <w:spacing w:after="0" w:line="264" w:lineRule="auto"/>
        <w:tabs>
          <w:tab w:leader="none" w:pos="363" w:val="left"/>
        </w:tabs>
        <w:numPr>
          <w:ilvl w:val="0"/>
          <w:numId w:val="67"/>
        </w:numPr>
        <w:rPr>
          <w:rFonts w:ascii="Arial" w:cs="Arial" w:eastAsia="Arial" w:hAnsi="Arial"/>
          <w:sz w:val="15"/>
          <w:szCs w:val="15"/>
          <w:color w:val="auto"/>
        </w:rPr>
      </w:pPr>
      <w:r>
        <w:rPr>
          <w:rFonts w:ascii="Arial" w:cs="Arial" w:eastAsia="Arial" w:hAnsi="Arial"/>
          <w:sz w:val="15"/>
          <w:szCs w:val="15"/>
          <w:color w:val="auto"/>
        </w:rPr>
        <w:t>As of December 31, 2019, the Company used a hybrid market and income approach to value certain common and preferred stock investments as the Company felt this approach better reflected the fair value of these investments. By considering multiple valuation approaches (and consequently, multiple valuation techniques), the valuation approaches and techniques are not likely to change from one period of measurement to the next; however, the weighting of each in determining the final fair value of a Level 3 investment may change based on recent events or transactions. The hybrid approach may also consider certain risk weightings to account for the uncertainty of future events. Refer to “Note 2—Significant Accounting Policies—</w:t>
      </w:r>
      <w:r>
        <w:rPr>
          <w:rFonts w:ascii="Arial" w:cs="Arial" w:eastAsia="Arial" w:hAnsi="Arial"/>
          <w:sz w:val="15"/>
          <w:szCs w:val="15"/>
          <w:i w:val="1"/>
          <w:iCs w:val="1"/>
          <w:color w:val="auto"/>
        </w:rPr>
        <w:t>Investments at Fair Value</w:t>
      </w:r>
      <w:r>
        <w:rPr>
          <w:rFonts w:ascii="Arial" w:cs="Arial" w:eastAsia="Arial" w:hAnsi="Arial"/>
          <w:sz w:val="15"/>
          <w:szCs w:val="15"/>
          <w:color w:val="auto"/>
        </w:rPr>
        <w:t>” for more detail.</w:t>
      </w:r>
    </w:p>
    <w:p>
      <w:pPr>
        <w:ind w:left="660" w:right="20" w:hanging="652"/>
        <w:spacing w:after="0" w:line="269" w:lineRule="auto"/>
        <w:tabs>
          <w:tab w:leader="none" w:pos="391" w:val="left"/>
        </w:tabs>
        <w:numPr>
          <w:ilvl w:val="0"/>
          <w:numId w:val="67"/>
        </w:numPr>
        <w:rPr>
          <w:rFonts w:ascii="Arial" w:cs="Arial" w:eastAsia="Arial" w:hAnsi="Arial"/>
          <w:sz w:val="15"/>
          <w:szCs w:val="15"/>
          <w:color w:val="auto"/>
        </w:rPr>
      </w:pPr>
      <w:r>
        <w:rPr>
          <w:rFonts w:ascii="Arial" w:cs="Arial" w:eastAsia="Arial" w:hAnsi="Arial"/>
          <w:sz w:val="15"/>
          <w:szCs w:val="15"/>
          <w:color w:val="auto"/>
        </w:rPr>
        <w:t>The Company considers all relevant information that can reasonably be obtained when determining the fair value of Level 3 investments. Due to any given portfolio company’s information rights, changes in capital structure, recent events, transactions, or liquidity events, the type and availability of unobservable inputs may change. Increases/(decreases) in revenue multiples, earnings before interest and taxes (“EBIT”) multiples, time to expiration, and stock price/strike price would result in higher (lower) fair values all else equal. Decreases (increases) in discount rates, volatility, and annual risk rates, would result in higher (lower) fair values all else equal. The market approach utilizes market value (revenue and EBIT) multiples of publicly traded comparable</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260"/>
          </w:cols>
          <w:pgMar w:left="320" w:top="121" w:right="319" w:bottom="1440" w:gutter="0" w:footer="0" w:header="0"/>
          <w:type w:val="continuous"/>
        </w:sectPr>
      </w:pPr>
    </w:p>
    <w:bookmarkStart w:id="109" w:name="page110"/>
    <w:bookmarkEnd w:id="10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4" w:lineRule="exact"/>
        <w:rPr>
          <w:sz w:val="20"/>
          <w:szCs w:val="20"/>
          <w:color w:val="auto"/>
        </w:rPr>
      </w:pPr>
    </w:p>
    <w:p>
      <w:pPr>
        <w:jc w:val="both"/>
        <w:ind w:left="660"/>
        <w:spacing w:after="0" w:line="250" w:lineRule="auto"/>
        <w:rPr>
          <w:sz w:val="20"/>
          <w:szCs w:val="20"/>
          <w:color w:val="auto"/>
        </w:rPr>
      </w:pPr>
      <w:r>
        <w:rPr>
          <w:rFonts w:ascii="Arial" w:cs="Arial" w:eastAsia="Arial" w:hAnsi="Arial"/>
          <w:sz w:val="16"/>
          <w:szCs w:val="16"/>
          <w:color w:val="auto"/>
        </w:rPr>
        <w:t>companies and available precedent sales transactions of comparable companies. The Company carefully considers numerous factors when selecting the appropriate companies whose multiples are used to value its portfolio companies. These factors include, but are not limited to, the type of organization, similarity to the business being valued, relevant risk factors, as well as size, profitability and growth expectations. In general, precedent transactions include recent rounds of financing, recent purchases made by the Company, and tender offers. Refer to “Note 2—Significant Accounting Policies—</w:t>
      </w:r>
      <w:r>
        <w:rPr>
          <w:rFonts w:ascii="Arial" w:cs="Arial" w:eastAsia="Arial" w:hAnsi="Arial"/>
          <w:sz w:val="16"/>
          <w:szCs w:val="16"/>
          <w:i w:val="1"/>
          <w:iCs w:val="1"/>
          <w:color w:val="auto"/>
        </w:rPr>
        <w:t>Investments at Fair Value</w:t>
      </w:r>
      <w:r>
        <w:rPr>
          <w:rFonts w:ascii="Arial" w:cs="Arial" w:eastAsia="Arial" w:hAnsi="Arial"/>
          <w:sz w:val="16"/>
          <w:szCs w:val="16"/>
          <w:color w:val="auto"/>
        </w:rPr>
        <w:t>” for more detail.</w:t>
      </w:r>
    </w:p>
    <w:p>
      <w:pPr>
        <w:spacing w:after="0" w:line="1" w:lineRule="exact"/>
        <w:rPr>
          <w:sz w:val="20"/>
          <w:szCs w:val="20"/>
          <w:color w:val="auto"/>
        </w:rPr>
      </w:pPr>
    </w:p>
    <w:p>
      <w:pPr>
        <w:ind w:left="360" w:hanging="352"/>
        <w:spacing w:after="0"/>
        <w:tabs>
          <w:tab w:leader="none" w:pos="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weighted averages are calculated based on the fair market value of each investment.</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Adjusted Funds From Operations, or "AFFO"</w:t>
      </w:r>
    </w:p>
    <w:p>
      <w:pPr>
        <w:spacing w:after="0" w:line="5" w:lineRule="exact"/>
        <w:rPr>
          <w:rFonts w:ascii="Arial" w:cs="Arial" w:eastAsia="Arial" w:hAnsi="Arial"/>
          <w:sz w:val="16"/>
          <w:szCs w:val="16"/>
          <w:color w:val="auto"/>
        </w:rPr>
      </w:pPr>
    </w:p>
    <w:p>
      <w:pPr>
        <w:ind w:left="360" w:hanging="352"/>
        <w:spacing w:after="0"/>
        <w:tabs>
          <w:tab w:leader="none" w:pos="3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Probability-Weighted Expected Return Method, or "PWERM"</w:t>
      </w:r>
    </w:p>
    <w:p>
      <w:pPr>
        <w:spacing w:after="0" w:line="94" w:lineRule="exact"/>
        <w:rPr>
          <w:rFonts w:ascii="Arial" w:cs="Arial" w:eastAsia="Arial" w:hAnsi="Arial"/>
          <w:sz w:val="16"/>
          <w:szCs w:val="16"/>
          <w:color w:val="auto"/>
        </w:rPr>
      </w:pPr>
    </w:p>
    <w:p>
      <w:pPr>
        <w:ind w:left="380"/>
        <w:spacing w:after="0"/>
        <w:rPr>
          <w:rFonts w:ascii="Arial" w:cs="Arial" w:eastAsia="Arial" w:hAnsi="Arial"/>
          <w:sz w:val="16"/>
          <w:szCs w:val="16"/>
          <w:color w:val="auto"/>
        </w:rPr>
      </w:pPr>
      <w:r>
        <w:rPr>
          <w:rFonts w:ascii="Arial" w:cs="Arial" w:eastAsia="Arial" w:hAnsi="Arial"/>
          <w:sz w:val="18"/>
          <w:szCs w:val="18"/>
          <w:color w:val="auto"/>
        </w:rPr>
        <w:t>The aggregate values of Level 3 assets and liabilities changed during the year ended December 31, 2020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775"/>
              <w:spacing w:after="0"/>
              <w:rPr>
                <w:sz w:val="20"/>
                <w:szCs w:val="20"/>
                <w:color w:val="auto"/>
              </w:rPr>
            </w:pPr>
            <w:r>
              <w:rPr>
                <w:rFonts w:ascii="Arial" w:cs="Arial" w:eastAsia="Arial" w:hAnsi="Arial"/>
                <w:sz w:val="14"/>
                <w:szCs w:val="14"/>
                <w:b w:val="1"/>
                <w:bCs w:val="1"/>
                <w:color w:val="auto"/>
                <w:w w:val="92"/>
              </w:rPr>
              <w:t>Year Ended December 31, 2020</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Debt</w:t>
            </w:r>
          </w:p>
        </w:tc>
        <w:tc>
          <w:tcPr>
            <w:tcW w:w="30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1"/>
                <w:szCs w:val="11"/>
                <w:color w:val="auto"/>
              </w:rPr>
            </w:pPr>
          </w:p>
        </w:tc>
        <w:tc>
          <w:tcPr>
            <w:tcW w:w="11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6"/>
                <w:szCs w:val="16"/>
                <w:color w:val="auto"/>
              </w:rPr>
              <w:t>Fair Value as of December 31, 2019</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59,209,559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125,448,358</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1,644,155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5,283,506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(57,736,900)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(57,736,900)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Purchases, capitalized fees, and interest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1,004,190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19,497,839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10,930,996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31,433,025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Sales/Maturity of investments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(10,876,624)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(6,899,999)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(19,574,070)</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281,190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(281,190)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Realized gains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6,875,639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989,494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7,236,079</w:t>
            </w:r>
          </w:p>
        </w:tc>
        <w:tc>
          <w:tcPr>
            <w:tcW w:w="0" w:type="dxa"/>
            <w:vAlign w:val="bottom"/>
          </w:tcPr>
          <w:p>
            <w:pPr>
              <w:spacing w:after="0"/>
              <w:rPr>
                <w:sz w:val="1"/>
                <w:szCs w:val="1"/>
                <w:color w:val="auto"/>
              </w:rPr>
            </w:pPr>
          </w:p>
        </w:tc>
      </w:tr>
      <w:tr>
        <w:trPr>
          <w:trHeight w:val="176"/>
        </w:trPr>
        <w:tc>
          <w:tcPr>
            <w:tcW w:w="3700" w:type="dxa"/>
            <w:vAlign w:val="bottom"/>
          </w:tcPr>
          <w:p>
            <w:pPr>
              <w:ind w:left="20"/>
              <w:spacing w:after="0" w:line="176" w:lineRule="exact"/>
              <w:rPr>
                <w:sz w:val="20"/>
                <w:szCs w:val="20"/>
                <w:color w:val="auto"/>
              </w:rPr>
            </w:pPr>
            <w:r>
              <w:rPr>
                <w:rFonts w:ascii="Arial" w:cs="Arial" w:eastAsia="Arial" w:hAnsi="Arial"/>
                <w:sz w:val="18"/>
                <w:szCs w:val="18"/>
                <w:color w:val="auto"/>
              </w:rPr>
              <w:t>Net change in unrealized</w:t>
            </w: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33,150,395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9,585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(548,020)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588,704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33,200,664</w:t>
            </w: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appreciation/(depreciation) included in earnings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as of December 31, 2020</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34,190,839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141,235,987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4,845,340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5,872,210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186,144,376</w:t>
            </w: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Net change in unrealized appreciation/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700" w:type="dxa"/>
            <w:vAlign w:val="bottom"/>
          </w:tcPr>
          <w:p>
            <w:pPr>
              <w:ind w:left="20"/>
              <w:spacing w:after="0" w:line="176" w:lineRule="exact"/>
              <w:rPr>
                <w:sz w:val="20"/>
                <w:szCs w:val="20"/>
                <w:color w:val="auto"/>
              </w:rPr>
            </w:pPr>
            <w:r>
              <w:rPr>
                <w:rFonts w:ascii="Arial" w:cs="Arial" w:eastAsia="Arial" w:hAnsi="Arial"/>
                <w:sz w:val="18"/>
                <w:szCs w:val="18"/>
                <w:color w:val="auto"/>
                <w:w w:val="94"/>
              </w:rPr>
              <w:t>(depreciation) of Level 3 investments still held as</w:t>
            </w: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6,347,026</w:t>
            </w:r>
          </w:p>
        </w:tc>
        <w:tc>
          <w:tcPr>
            <w:tcW w:w="10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10,825,549</w:t>
            </w:r>
          </w:p>
        </w:tc>
        <w:tc>
          <w:tcPr>
            <w:tcW w:w="12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(508,045)</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588,704</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17,253,234</w:t>
            </w:r>
          </w:p>
        </w:tc>
        <w:tc>
          <w:tcPr>
            <w:tcW w:w="0" w:type="dxa"/>
            <w:vAlign w:val="bottom"/>
          </w:tcPr>
          <w:p>
            <w:pPr>
              <w:spacing w:after="0"/>
              <w:rPr>
                <w:sz w:val="1"/>
                <w:szCs w:val="1"/>
                <w:color w:val="auto"/>
              </w:rPr>
            </w:pPr>
          </w:p>
        </w:tc>
      </w:tr>
      <w:tr>
        <w:trPr>
          <w:trHeight w:val="208"/>
        </w:trPr>
        <w:tc>
          <w:tcPr>
            <w:tcW w:w="3700" w:type="dxa"/>
            <w:vAlign w:val="bottom"/>
          </w:tcPr>
          <w:p>
            <w:pPr>
              <w:ind w:left="20"/>
              <w:spacing w:after="0" w:line="202" w:lineRule="exact"/>
              <w:rPr>
                <w:sz w:val="20"/>
                <w:szCs w:val="20"/>
                <w:color w:val="auto"/>
              </w:rPr>
            </w:pPr>
            <w:r>
              <w:rPr>
                <w:rFonts w:ascii="Arial" w:cs="Arial" w:eastAsia="Arial" w:hAnsi="Arial"/>
                <w:sz w:val="18"/>
                <w:szCs w:val="18"/>
                <w:color w:val="auto"/>
              </w:rPr>
              <w:t>of December 31, 2020</w:t>
            </w: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During the year ended December 31, 2020, the Company’s portfolio investments had the following corporate actions which are reflected above:</w:t>
      </w:r>
    </w:p>
    <w:p>
      <w:pPr>
        <w:sectPr>
          <w:pgSz w:w="11900" w:h="16838" w:orient="portrait"/>
          <w:cols w:equalWidth="0" w:num="1">
            <w:col w:w="11240"/>
          </w:cols>
          <w:pgMar w:left="320" w:top="121" w:right="339" w:bottom="1440" w:gutter="0" w:footer="0" w:header="0"/>
        </w:sectPr>
      </w:pP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Portfolio Company</w:t>
            </w:r>
          </w:p>
        </w:tc>
        <w:tc>
          <w:tcPr>
            <w:tcW w:w="100" w:type="dxa"/>
            <w:vAlign w:val="bottom"/>
          </w:tcPr>
          <w:p>
            <w:pPr>
              <w:spacing w:after="0"/>
              <w:rPr>
                <w:sz w:val="18"/>
                <w:szCs w:val="18"/>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Conversion from</w:t>
            </w:r>
          </w:p>
        </w:tc>
      </w:tr>
      <w:tr>
        <w:trPr>
          <w:trHeight w:val="28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Neutron Holdings, Inc. (d/b/a/ Lime)</w:t>
            </w:r>
          </w:p>
        </w:tc>
        <w:tc>
          <w:tcPr>
            <w:tcW w:w="2860" w:type="dxa"/>
            <w:vAlign w:val="bottom"/>
          </w:tcPr>
          <w:p>
            <w:pPr>
              <w:jc w:val="center"/>
              <w:spacing w:after="0"/>
              <w:rPr>
                <w:sz w:val="20"/>
                <w:szCs w:val="20"/>
                <w:color w:val="auto"/>
              </w:rPr>
            </w:pPr>
            <w:r>
              <w:rPr>
                <w:rFonts w:ascii="Arial" w:cs="Arial" w:eastAsia="Arial" w:hAnsi="Arial"/>
                <w:sz w:val="16"/>
                <w:szCs w:val="16"/>
                <w:color w:val="auto"/>
                <w:w w:val="88"/>
              </w:rPr>
              <w:t>Preferred shares, Series D</w:t>
            </w:r>
          </w:p>
        </w:tc>
      </w:tr>
      <w:tr>
        <w:trPr>
          <w:trHeight w:val="29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Aspiration Partners, Inc.</w:t>
            </w:r>
          </w:p>
        </w:tc>
        <w:tc>
          <w:tcPr>
            <w:tcW w:w="2860" w:type="dxa"/>
            <w:vAlign w:val="bottom"/>
          </w:tcPr>
          <w:p>
            <w:pPr>
              <w:jc w:val="center"/>
              <w:spacing w:after="0"/>
              <w:rPr>
                <w:sz w:val="20"/>
                <w:szCs w:val="20"/>
                <w:color w:val="auto"/>
              </w:rPr>
            </w:pPr>
            <w:r>
              <w:rPr>
                <w:rFonts w:ascii="Arial" w:cs="Arial" w:eastAsia="Arial" w:hAnsi="Arial"/>
                <w:sz w:val="16"/>
                <w:szCs w:val="16"/>
                <w:color w:val="auto"/>
                <w:w w:val="93"/>
              </w:rPr>
              <w:t>Convertible Promissory Note</w:t>
            </w:r>
          </w:p>
        </w:tc>
      </w:tr>
      <w:tr>
        <w:trPr>
          <w:trHeight w:val="216"/>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Palantir Technologies, Inc.</w:t>
            </w:r>
          </w:p>
        </w:tc>
        <w:tc>
          <w:tcPr>
            <w:tcW w:w="2860" w:type="dxa"/>
            <w:vAlign w:val="bottom"/>
          </w:tcPr>
          <w:p>
            <w:pPr>
              <w:jc w:val="center"/>
              <w:spacing w:after="0"/>
              <w:rPr>
                <w:sz w:val="20"/>
                <w:szCs w:val="20"/>
                <w:color w:val="auto"/>
              </w:rPr>
            </w:pPr>
            <w:r>
              <w:rPr>
                <w:rFonts w:ascii="Arial" w:cs="Arial" w:eastAsia="Arial" w:hAnsi="Arial"/>
                <w:sz w:val="16"/>
                <w:szCs w:val="16"/>
                <w:color w:val="auto"/>
                <w:w w:val="90"/>
              </w:rPr>
              <w:t>Common shares, Class A</w:t>
            </w:r>
          </w:p>
        </w:tc>
      </w:tr>
      <w:tr>
        <w:trPr>
          <w:trHeight w:val="297"/>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SharesPost, Inc.</w:t>
            </w:r>
          </w:p>
        </w:tc>
        <w:tc>
          <w:tcPr>
            <w:tcW w:w="2860" w:type="dxa"/>
            <w:vAlign w:val="bottom"/>
          </w:tcPr>
          <w:p>
            <w:pPr>
              <w:jc w:val="center"/>
              <w:spacing w:after="0"/>
              <w:rPr>
                <w:sz w:val="20"/>
                <w:szCs w:val="20"/>
                <w:color w:val="auto"/>
              </w:rPr>
            </w:pPr>
            <w:r>
              <w:rPr>
                <w:rFonts w:ascii="Arial" w:cs="Arial" w:eastAsia="Arial" w:hAnsi="Arial"/>
                <w:sz w:val="16"/>
                <w:szCs w:val="16"/>
                <w:color w:val="auto"/>
                <w:w w:val="88"/>
              </w:rPr>
              <w:t>Preferred shares, Series B</w:t>
            </w:r>
          </w:p>
        </w:tc>
      </w:tr>
      <w:tr>
        <w:trPr>
          <w:trHeight w:val="459"/>
        </w:trPr>
        <w:tc>
          <w:tcPr>
            <w:tcW w:w="3300" w:type="dxa"/>
            <w:vAlign w:val="bottom"/>
            <w:gridSpan w:val="2"/>
          </w:tcPr>
          <w:p>
            <w:pPr>
              <w:ind w:left="20"/>
              <w:spacing w:after="0"/>
              <w:rPr>
                <w:sz w:val="20"/>
                <w:szCs w:val="20"/>
                <w:color w:val="auto"/>
              </w:rPr>
            </w:pPr>
            <w:r>
              <w:rPr>
                <w:rFonts w:ascii="Arial" w:cs="Arial" w:eastAsia="Arial" w:hAnsi="Arial"/>
                <w:sz w:val="16"/>
                <w:szCs w:val="16"/>
                <w:color w:val="auto"/>
              </w:rPr>
              <w:t>SharesPost, Inc</w:t>
            </w:r>
          </w:p>
        </w:tc>
        <w:tc>
          <w:tcPr>
            <w:tcW w:w="2860" w:type="dxa"/>
            <w:vAlign w:val="bottom"/>
          </w:tcPr>
          <w:p>
            <w:pPr>
              <w:jc w:val="center"/>
              <w:spacing w:after="0"/>
              <w:rPr>
                <w:sz w:val="20"/>
                <w:szCs w:val="20"/>
                <w:color w:val="auto"/>
              </w:rPr>
            </w:pPr>
            <w:r>
              <w:rPr>
                <w:rFonts w:ascii="Arial" w:cs="Arial" w:eastAsia="Arial" w:hAnsi="Arial"/>
                <w:sz w:val="16"/>
                <w:szCs w:val="16"/>
                <w:color w:val="auto"/>
                <w:w w:val="90"/>
              </w:rPr>
              <w:t>Common shares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-612775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-998220</wp:posOffset>
            </wp:positionV>
            <wp:extent cx="7132320" cy="2482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ind w:left="1860"/>
        <w:spacing w:after="0"/>
        <w:rPr>
          <w:sz w:val="20"/>
          <w:szCs w:val="20"/>
          <w:color w:val="auto"/>
        </w:rPr>
      </w:pPr>
      <w:r>
        <w:rPr>
          <w:rFonts w:ascii="Arial" w:cs="Arial" w:eastAsia="Arial" w:hAnsi="Arial"/>
          <w:sz w:val="16"/>
          <w:szCs w:val="16"/>
          <w:b w:val="1"/>
          <w:bCs w:val="1"/>
          <w:color w:val="auto"/>
        </w:rPr>
        <w:t>Conversion to</w:t>
      </w:r>
    </w:p>
    <w:p>
      <w:pPr>
        <w:spacing w:after="0" w:line="42"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Junior Preferred shares, Series 1-D</w:t>
      </w:r>
    </w:p>
    <w:p>
      <w:pPr>
        <w:ind w:left="220"/>
        <w:spacing w:after="0"/>
        <w:rPr>
          <w:sz w:val="20"/>
          <w:szCs w:val="20"/>
          <w:color w:val="auto"/>
        </w:rPr>
      </w:pPr>
      <w:r>
        <w:rPr>
          <w:rFonts w:ascii="Arial" w:cs="Arial" w:eastAsia="Arial" w:hAnsi="Arial"/>
          <w:sz w:val="15"/>
          <w:szCs w:val="15"/>
          <w:color w:val="auto"/>
        </w:rPr>
        <w:t>Common warrants, Strike price $0.01, Expiration Date 5/11/2027</w:t>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Preferred shares, Series C-3</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Public Common shares (Level 2)</w:t>
      </w:r>
    </w:p>
    <w:p>
      <w:pPr>
        <w:spacing w:after="0" w:line="2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Forge Global Inc. Junior Preferred shares</w:t>
      </w:r>
    </w:p>
    <w:p>
      <w:pPr>
        <w:ind w:left="700"/>
        <w:spacing w:after="0"/>
        <w:rPr>
          <w:sz w:val="20"/>
          <w:szCs w:val="20"/>
          <w:color w:val="auto"/>
        </w:rPr>
      </w:pPr>
      <w:r>
        <w:rPr>
          <w:rFonts w:ascii="Arial" w:cs="Arial" w:eastAsia="Arial" w:hAnsi="Arial"/>
          <w:sz w:val="16"/>
          <w:szCs w:val="16"/>
          <w:color w:val="auto"/>
        </w:rPr>
        <w:t>SP Holdings Group, Inc. Preferred shares Series B</w:t>
      </w:r>
    </w:p>
    <w:p>
      <w:pPr>
        <w:spacing w:after="0" w:line="10"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Forge Global Inc. Common shares, Class AA</w:t>
      </w:r>
    </w:p>
    <w:p>
      <w:pPr>
        <w:jc w:val="center"/>
        <w:ind w:right="180"/>
        <w:spacing w:after="0" w:line="231" w:lineRule="auto"/>
        <w:rPr>
          <w:sz w:val="20"/>
          <w:szCs w:val="20"/>
          <w:color w:val="auto"/>
        </w:rPr>
      </w:pPr>
      <w:r>
        <w:rPr>
          <w:rFonts w:ascii="Arial" w:cs="Arial" w:eastAsia="Arial" w:hAnsi="Arial"/>
          <w:sz w:val="16"/>
          <w:szCs w:val="16"/>
          <w:color w:val="auto"/>
        </w:rPr>
        <w:t>Forge Junior Warrants, Strike price $12.42, Expiration Date 11/09/2025 SP Holdings Group, Inc. Common Shares</w:t>
      </w:r>
    </w:p>
    <w:p>
      <w:pPr>
        <w:spacing w:after="0" w:line="200" w:lineRule="exact"/>
        <w:rPr>
          <w:sz w:val="20"/>
          <w:szCs w:val="20"/>
          <w:color w:val="auto"/>
        </w:rPr>
      </w:pPr>
    </w:p>
    <w:p>
      <w:pPr>
        <w:sectPr>
          <w:pgSz w:w="11900" w:h="16838" w:orient="portrait"/>
          <w:cols w:equalWidth="0" w:num="2">
            <w:col w:w="6160" w:space="260"/>
            <w:col w:w="4820"/>
          </w:cols>
          <w:pgMar w:left="320" w:top="121" w:right="33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240"/>
          </w:cols>
          <w:pgMar w:left="320" w:top="121" w:right="339" w:bottom="1440" w:gutter="0" w:footer="0" w:header="0"/>
          <w:type w:val="continuous"/>
        </w:sectPr>
      </w:pPr>
    </w:p>
    <w:bookmarkStart w:id="110" w:name="page111"/>
    <w:bookmarkEnd w:id="1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aggregate values of Level 3 assets and liabilities changed during the year ended December 31, 2019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774"/>
              <w:spacing w:after="0"/>
              <w:rPr>
                <w:sz w:val="20"/>
                <w:szCs w:val="20"/>
                <w:color w:val="auto"/>
              </w:rPr>
            </w:pPr>
            <w:r>
              <w:rPr>
                <w:rFonts w:ascii="Arial" w:cs="Arial" w:eastAsia="Arial" w:hAnsi="Arial"/>
                <w:sz w:val="14"/>
                <w:szCs w:val="14"/>
                <w:b w:val="1"/>
                <w:bCs w:val="1"/>
                <w:color w:val="auto"/>
                <w:w w:val="92"/>
              </w:rPr>
              <w:t>Year Ended December 31, 2019</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2"/>
              </w:rPr>
              <w:t>Common</w:t>
            </w:r>
          </w:p>
        </w:tc>
        <w:tc>
          <w:tcPr>
            <w:tcW w:w="260" w:type="dxa"/>
            <w:vAlign w:val="bottom"/>
          </w:tcPr>
          <w:p>
            <w:pPr>
              <w:spacing w:after="0"/>
              <w:rPr>
                <w:sz w:val="11"/>
                <w:szCs w:val="11"/>
                <w:color w:val="auto"/>
              </w:rPr>
            </w:pPr>
          </w:p>
        </w:tc>
        <w:tc>
          <w:tcPr>
            <w:tcW w:w="12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Preferred</w:t>
            </w:r>
          </w:p>
        </w:tc>
        <w:tc>
          <w:tcPr>
            <w:tcW w:w="220" w:type="dxa"/>
            <w:vAlign w:val="bottom"/>
          </w:tcPr>
          <w:p>
            <w:pPr>
              <w:spacing w:after="0"/>
              <w:rPr>
                <w:sz w:val="11"/>
                <w:szCs w:val="11"/>
                <w:color w:val="auto"/>
              </w:rPr>
            </w:pPr>
          </w:p>
        </w:tc>
        <w:tc>
          <w:tcPr>
            <w:tcW w:w="13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6"/>
              </w:rPr>
              <w:t>Debt</w:t>
            </w:r>
          </w:p>
        </w:tc>
        <w:tc>
          <w:tcPr>
            <w:tcW w:w="30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1"/>
                <w:szCs w:val="11"/>
                <w:color w:val="auto"/>
              </w:rPr>
            </w:pPr>
          </w:p>
        </w:tc>
        <w:tc>
          <w:tcPr>
            <w:tcW w:w="114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Stock</w:t>
            </w: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Fair Value as of December 31, 2018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48,517,824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99,856,159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5,584,994</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267,446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154,226,423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Transfers out of Level 3</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(21,947,688)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Purchases, capitalized fees, and interest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15,001,530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10,576,421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359,095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25,953,664</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Sales/Maturity of investments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(51,511)</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line="230" w:lineRule="exact"/>
              <w:rPr>
                <w:sz w:val="20"/>
                <w:szCs w:val="20"/>
                <w:color w:val="auto"/>
              </w:rPr>
            </w:pPr>
            <w:r>
              <w:rPr>
                <w:rFonts w:ascii="Arial" w:cs="Arial" w:eastAsia="Arial" w:hAnsi="Arial"/>
                <w:sz w:val="18"/>
                <w:szCs w:val="18"/>
                <w:color w:val="auto"/>
              </w:rPr>
              <w:t>Exercises and conversions</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(6,435,123)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(2,102,384)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8,538,507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Amortization of fixed income security premiums</w:t>
            </w:r>
          </w:p>
        </w:tc>
        <w:tc>
          <w:tcPr>
            <w:tcW w:w="260" w:type="dxa"/>
            <w:vAlign w:val="bottom"/>
            <w:shd w:val="clear" w:color="auto" w:fill="CCEEFF"/>
          </w:tcPr>
          <w:p>
            <w:pPr>
              <w:spacing w:after="0"/>
              <w:rPr>
                <w:sz w:val="15"/>
                <w:szCs w:val="15"/>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discounts</w:t>
            </w:r>
          </w:p>
        </w:tc>
        <w:tc>
          <w:tcPr>
            <w:tcW w:w="26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Realized losses</w:t>
            </w: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(16,002,159)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(2,527,865)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(18,530,024)</w:t>
            </w:r>
          </w:p>
        </w:tc>
        <w:tc>
          <w:tcPr>
            <w:tcW w:w="0" w:type="dxa"/>
            <w:vAlign w:val="bottom"/>
          </w:tcPr>
          <w:p>
            <w:pPr>
              <w:spacing w:after="0"/>
              <w:rPr>
                <w:sz w:val="1"/>
                <w:szCs w:val="1"/>
                <w:color w:val="auto"/>
              </w:rPr>
            </w:pPr>
          </w:p>
        </w:tc>
      </w:tr>
      <w:tr>
        <w:trPr>
          <w:trHeight w:val="176"/>
        </w:trPr>
        <w:tc>
          <w:tcPr>
            <w:tcW w:w="3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Net change in unrealized</w:t>
            </w: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(4,308,795)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59,400,748</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376,761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(3,539,065)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51,929,649</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appreciation/(depreciation) included in earnings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color w:val="auto"/>
              </w:rPr>
              <w:t>Fair Value as of December 31, 2019</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59,209,559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125,448,358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1,644,155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5,283,506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191,585,578</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change in unrealized appreciation/</w:t>
            </w: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(depreciation) of Level 3 investments still held as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(4,309,794)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38,560,931</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(907,009)</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(3,539,066)</w:t>
            </w:r>
          </w:p>
        </w:tc>
        <w:tc>
          <w:tcPr>
            <w:tcW w:w="10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29,805,062</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of December 31, 2019</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color w:val="auto"/>
        </w:rPr>
        <w:t>(1)</w:t>
      </w:r>
      <w:r>
        <w:rPr>
          <w:sz w:val="20"/>
          <w:szCs w:val="20"/>
          <w:color w:val="auto"/>
        </w:rPr>
        <w:tab/>
      </w:r>
      <w:r>
        <w:rPr>
          <w:rFonts w:ascii="Arial" w:cs="Arial" w:eastAsia="Arial" w:hAnsi="Arial"/>
          <w:sz w:val="14"/>
          <w:szCs w:val="14"/>
          <w:color w:val="auto"/>
        </w:rPr>
        <w:t>During the year ended December 31, 2019, the Company’s portfolio investments had the following corporate actions which are reflected above:</w:t>
      </w:r>
    </w:p>
    <w:p>
      <w:pPr>
        <w:sectPr>
          <w:pgSz w:w="11900" w:h="16838" w:orient="portrait"/>
          <w:cols w:equalWidth="0" w:num="1">
            <w:col w:w="11240"/>
          </w:cols>
          <w:pgMar w:left="320" w:top="121" w:right="339" w:bottom="1440" w:gutter="0" w:footer="0" w:header="0"/>
        </w:sectPr>
      </w:pPr>
    </w:p>
    <w:p>
      <w:pPr>
        <w:spacing w:after="0" w:line="1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Portfolio Company</w:t>
      </w:r>
    </w:p>
    <w:p>
      <w:pPr>
        <w:spacing w:after="0" w:line="131" w:lineRule="exact"/>
        <w:rPr>
          <w:sz w:val="20"/>
          <w:szCs w:val="20"/>
          <w:color w:val="auto"/>
        </w:rPr>
      </w:pPr>
    </w:p>
    <w:p>
      <w:pPr>
        <w:ind w:left="20"/>
        <w:spacing w:after="0"/>
        <w:rPr>
          <w:sz w:val="20"/>
          <w:szCs w:val="20"/>
          <w:color w:val="auto"/>
        </w:rPr>
      </w:pPr>
      <w:r>
        <w:rPr>
          <w:rFonts w:ascii="Arial" w:cs="Arial" w:eastAsia="Arial" w:hAnsi="Arial"/>
          <w:sz w:val="16"/>
          <w:szCs w:val="16"/>
          <w:color w:val="auto"/>
        </w:rPr>
        <w:t>Lyft, Inc.</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6"/>
          <w:szCs w:val="16"/>
          <w:color w:val="auto"/>
        </w:rPr>
        <w:t>Ozy Media, Inc.</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NestGSV, Inc (d/b/a OneValley, Inc.)</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1440"/>
        <w:spacing w:after="0"/>
        <w:rPr>
          <w:sz w:val="20"/>
          <w:szCs w:val="20"/>
          <w:color w:val="auto"/>
        </w:rPr>
      </w:pPr>
      <w:r>
        <w:rPr>
          <w:rFonts w:ascii="Arial" w:cs="Arial" w:eastAsia="Arial" w:hAnsi="Arial"/>
          <w:sz w:val="16"/>
          <w:szCs w:val="16"/>
          <w:b w:val="1"/>
          <w:bCs w:val="1"/>
          <w:color w:val="auto"/>
        </w:rPr>
        <w:t>Conversion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20320</wp:posOffset>
            </wp:positionV>
            <wp:extent cx="7115175" cy="2489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248920"/>
                    </a:xfrm>
                    <a:prstGeom prst="rect">
                      <a:avLst/>
                    </a:prstGeom>
                    <a:noFill/>
                  </pic:spPr>
                </pic:pic>
              </a:graphicData>
            </a:graphic>
          </wp:anchor>
        </w:drawing>
      </w:r>
    </w:p>
    <w:p>
      <w:pPr>
        <w:spacing w:after="0" w:line="3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Preferred shares, Series D</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5"/>
          <w:szCs w:val="15"/>
          <w:color w:val="auto"/>
        </w:rPr>
        <w:t>Preferred shares, Series E</w:t>
      </w:r>
    </w:p>
    <w:p>
      <w:pPr>
        <w:spacing w:after="0" w:line="30" w:lineRule="exact"/>
        <w:rPr>
          <w:sz w:val="20"/>
          <w:szCs w:val="20"/>
          <w:color w:val="auto"/>
        </w:rPr>
      </w:pPr>
    </w:p>
    <w:p>
      <w:pPr>
        <w:jc w:val="center"/>
        <w:ind w:right="1440"/>
        <w:spacing w:after="0"/>
        <w:rPr>
          <w:sz w:val="20"/>
          <w:szCs w:val="20"/>
          <w:color w:val="auto"/>
        </w:rPr>
      </w:pPr>
      <w:r>
        <w:rPr>
          <w:rFonts w:ascii="Arial" w:cs="Arial" w:eastAsia="Arial" w:hAnsi="Arial"/>
          <w:sz w:val="14"/>
          <w:szCs w:val="14"/>
          <w:color w:val="auto"/>
        </w:rPr>
        <w:t>Convertible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-2750185</wp:posOffset>
            </wp:positionH>
            <wp:positionV relativeFrom="paragraph">
              <wp:posOffset>32385</wp:posOffset>
            </wp:positionV>
            <wp:extent cx="7115175" cy="548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548640"/>
                    </a:xfrm>
                    <a:prstGeom prst="rect">
                      <a:avLst/>
                    </a:prstGeom>
                    <a:noFill/>
                  </pic:spPr>
                </pic:pic>
              </a:graphicData>
            </a:graphic>
          </wp:anchor>
        </w:drawing>
      </w:r>
    </w:p>
    <w:p>
      <w:pPr>
        <w:spacing w:after="0" w:line="27" w:lineRule="exact"/>
        <w:rPr>
          <w:sz w:val="20"/>
          <w:szCs w:val="20"/>
          <w:color w:val="auto"/>
        </w:rPr>
      </w:pPr>
    </w:p>
    <w:p>
      <w:pPr>
        <w:jc w:val="center"/>
        <w:ind w:right="1440"/>
        <w:spacing w:after="0"/>
        <w:rPr>
          <w:sz w:val="20"/>
          <w:szCs w:val="20"/>
          <w:color w:val="auto"/>
        </w:rPr>
      </w:pPr>
      <w:r>
        <w:rPr>
          <w:rFonts w:ascii="Arial" w:cs="Arial" w:eastAsia="Arial" w:hAnsi="Arial"/>
          <w:sz w:val="16"/>
          <w:szCs w:val="16"/>
          <w:color w:val="auto"/>
        </w:rPr>
        <w:t>Common shares</w:t>
      </w:r>
    </w:p>
    <w:p>
      <w:pPr>
        <w:ind w:left="40"/>
        <w:spacing w:after="0"/>
        <w:rPr>
          <w:sz w:val="20"/>
          <w:szCs w:val="20"/>
          <w:color w:val="auto"/>
        </w:rPr>
      </w:pPr>
      <w:r>
        <w:rPr>
          <w:rFonts w:ascii="Arial" w:cs="Arial" w:eastAsia="Arial" w:hAnsi="Arial"/>
          <w:sz w:val="14"/>
          <w:szCs w:val="14"/>
          <w:color w:val="auto"/>
        </w:rPr>
        <w:t>Preferred shares, Series A-1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A-2</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A-3</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color w:val="auto"/>
        </w:rPr>
        <w:t>Preferred shares, Series A-4</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jc w:val="center"/>
        <w:ind w:right="680"/>
        <w:spacing w:after="0"/>
        <w:rPr>
          <w:sz w:val="20"/>
          <w:szCs w:val="20"/>
          <w:color w:val="auto"/>
        </w:rPr>
      </w:pPr>
      <w:r>
        <w:rPr>
          <w:rFonts w:ascii="Arial" w:cs="Arial" w:eastAsia="Arial" w:hAnsi="Arial"/>
          <w:sz w:val="16"/>
          <w:szCs w:val="16"/>
          <w:b w:val="1"/>
          <w:bCs w:val="1"/>
          <w:color w:val="auto"/>
        </w:rPr>
        <w:t>Conversion to</w:t>
      </w:r>
    </w:p>
    <w:p>
      <w:pPr>
        <w:spacing w:after="0" w:line="131" w:lineRule="exact"/>
        <w:rPr>
          <w:sz w:val="20"/>
          <w:szCs w:val="20"/>
          <w:color w:val="auto"/>
        </w:rPr>
      </w:pPr>
    </w:p>
    <w:p>
      <w:pPr>
        <w:jc w:val="center"/>
        <w:ind w:right="680"/>
        <w:spacing w:after="0"/>
        <w:rPr>
          <w:sz w:val="20"/>
          <w:szCs w:val="20"/>
          <w:color w:val="auto"/>
        </w:rPr>
      </w:pPr>
      <w:r>
        <w:rPr>
          <w:rFonts w:ascii="Arial" w:cs="Arial" w:eastAsia="Arial" w:hAnsi="Arial"/>
          <w:sz w:val="14"/>
          <w:szCs w:val="14"/>
          <w:color w:val="auto"/>
        </w:rPr>
        <w:t>Public Common Shares (Level 2)</w:t>
      </w:r>
    </w:p>
    <w:p>
      <w:pPr>
        <w:spacing w:after="0" w:line="136"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Preferred shares, Series C-2</w:t>
      </w:r>
    </w:p>
    <w:p>
      <w:pPr>
        <w:spacing w:after="0" w:line="3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Derivative Security</w:t>
      </w:r>
    </w:p>
    <w:p>
      <w:pPr>
        <w:spacing w:after="0" w:line="515" w:lineRule="exact"/>
        <w:rPr>
          <w:sz w:val="20"/>
          <w:szCs w:val="20"/>
          <w:color w:val="auto"/>
        </w:rPr>
      </w:pPr>
    </w:p>
    <w:p>
      <w:pPr>
        <w:sectPr>
          <w:pgSz w:w="11900" w:h="16838" w:orient="portrait"/>
          <w:cols w:equalWidth="0" w:num="3">
            <w:col w:w="3620" w:space="720"/>
            <w:col w:w="3340" w:space="720"/>
            <w:col w:w="2840"/>
          </w:cols>
          <w:pgMar w:left="320" w:top="121" w:right="339" w:bottom="1440" w:gutter="0" w:footer="0" w:header="0"/>
          <w:type w:val="continuous"/>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56" w:lineRule="exact"/>
        <w:rPr>
          <w:sz w:val="20"/>
          <w:szCs w:val="20"/>
          <w:color w:val="auto"/>
        </w:rPr>
      </w:pPr>
    </w:p>
    <w:p>
      <w:pPr>
        <w:ind w:right="20" w:firstLine="364"/>
        <w:spacing w:after="0" w:line="277" w:lineRule="auto"/>
        <w:rPr>
          <w:sz w:val="20"/>
          <w:szCs w:val="20"/>
          <w:color w:val="auto"/>
        </w:rPr>
      </w:pPr>
      <w:r>
        <w:rPr>
          <w:rFonts w:ascii="Arial" w:cs="Arial" w:eastAsia="Arial" w:hAnsi="Arial"/>
          <w:sz w:val="18"/>
          <w:szCs w:val="18"/>
          <w:color w:val="auto"/>
        </w:rPr>
        <w:t>Transactions during the year ended December 31, 2020 involving the Company’s controlled investments and non-controlled/affiliate investments were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Interest, Fees,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or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at</w:t>
            </w:r>
          </w:p>
        </w:tc>
        <w:tc>
          <w:tcPr>
            <w:tcW w:w="9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Dividends</w:t>
            </w: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Type/Industry/Portfolio Company/Investment</w:t>
            </w:r>
          </w:p>
        </w:tc>
        <w:tc>
          <w:tcPr>
            <w:tcW w:w="8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1"/>
                <w:szCs w:val="11"/>
                <w:color w:val="auto"/>
              </w:rPr>
            </w:pPr>
          </w:p>
        </w:tc>
        <w:tc>
          <w:tcPr>
            <w:tcW w:w="84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December</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98"/>
              </w:rPr>
              <w:t>December 31,</w:t>
            </w:r>
          </w:p>
        </w:tc>
        <w:tc>
          <w:tcPr>
            <w:tcW w:w="900" w:type="dxa"/>
            <w:vAlign w:val="bottom"/>
          </w:tcPr>
          <w:p>
            <w:pPr>
              <w:jc w:val="right"/>
              <w:ind w:right="181"/>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30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Quantity</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Income</w:t>
            </w:r>
          </w:p>
        </w:tc>
        <w:tc>
          <w:tcPr>
            <w:tcW w:w="120" w:type="dxa"/>
            <w:vAlign w:val="bottom"/>
          </w:tcPr>
          <w:p>
            <w:pPr>
              <w:spacing w:after="0"/>
              <w:rPr>
                <w:sz w:val="16"/>
                <w:szCs w:val="16"/>
                <w:color w:val="auto"/>
              </w:rPr>
            </w:pPr>
          </w:p>
        </w:tc>
        <w:tc>
          <w:tcPr>
            <w:tcW w:w="760" w:type="dxa"/>
            <w:vAlign w:val="bottom"/>
          </w:tcPr>
          <w:p>
            <w:pPr>
              <w:jc w:val="right"/>
              <w:ind w:right="100"/>
              <w:spacing w:after="0"/>
              <w:rPr>
                <w:sz w:val="20"/>
                <w:szCs w:val="20"/>
                <w:color w:val="auto"/>
              </w:rPr>
            </w:pPr>
            <w:r>
              <w:rPr>
                <w:rFonts w:ascii="Arial" w:cs="Arial" w:eastAsia="Arial" w:hAnsi="Arial"/>
                <w:sz w:val="14"/>
                <w:szCs w:val="14"/>
                <w:b w:val="1"/>
                <w:bCs w:val="1"/>
                <w:color w:val="auto"/>
              </w:rPr>
              <w:t>31, 2019</w:t>
            </w:r>
          </w:p>
        </w:tc>
        <w:tc>
          <w:tcPr>
            <w:tcW w:w="80" w:type="dxa"/>
            <w:vAlign w:val="bottom"/>
          </w:tcPr>
          <w:p>
            <w:pPr>
              <w:spacing w:after="0"/>
              <w:rPr>
                <w:sz w:val="16"/>
                <w:szCs w:val="16"/>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Amortization</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80" w:type="dxa"/>
            <w:vAlign w:val="bottom"/>
          </w:tcPr>
          <w:p>
            <w:pPr>
              <w:spacing w:after="0"/>
              <w:rPr>
                <w:sz w:val="16"/>
                <w:szCs w:val="16"/>
                <w:color w:val="auto"/>
              </w:rPr>
            </w:pPr>
          </w:p>
        </w:tc>
        <w:tc>
          <w:tcPr>
            <w:tcW w:w="680" w:type="dxa"/>
            <w:vAlign w:val="bottom"/>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900" w:type="dxa"/>
            <w:vAlign w:val="bottom"/>
          </w:tcPr>
          <w:p>
            <w:pPr>
              <w:jc w:val="right"/>
              <w:ind w:right="18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91"/>
        </w:trPr>
        <w:tc>
          <w:tcPr>
            <w:tcW w:w="20" w:type="dxa"/>
            <w:vAlign w:val="bottom"/>
            <w:tcBorders>
              <w:top w:val="single" w:sz="8" w:color="auto"/>
            </w:tcBorders>
            <w:shd w:val="clear" w:color="auto" w:fill="CCEEFF"/>
          </w:tcPr>
          <w:p>
            <w:pPr>
              <w:spacing w:after="0"/>
              <w:rPr>
                <w:sz w:val="16"/>
                <w:szCs w:val="16"/>
                <w:color w:val="auto"/>
              </w:rPr>
            </w:pPr>
          </w:p>
        </w:tc>
        <w:tc>
          <w:tcPr>
            <w:tcW w:w="3300" w:type="dxa"/>
            <w:vAlign w:val="bottom"/>
            <w:tcBorders>
              <w:top w:val="single" w:sz="8" w:color="auto"/>
            </w:tcBorders>
            <w:gridSpan w:val="4"/>
            <w:shd w:val="clear" w:color="auto" w:fill="CCEEFF"/>
          </w:tcPr>
          <w:p>
            <w:pPr>
              <w:spacing w:after="0" w:line="171" w:lineRule="exact"/>
              <w:rPr>
                <w:sz w:val="20"/>
                <w:szCs w:val="20"/>
                <w:color w:val="auto"/>
              </w:rPr>
            </w:pPr>
            <w:r>
              <w:rPr>
                <w:rFonts w:ascii="Arial" w:cs="Arial" w:eastAsia="Arial" w:hAnsi="Arial"/>
                <w:sz w:val="15"/>
                <w:szCs w:val="15"/>
                <w:b w:val="1"/>
                <w:bCs w:val="1"/>
                <w:color w:val="auto"/>
              </w:rPr>
              <w:t>CONTROLLED INVESTMENTS*</w:t>
            </w:r>
            <w:r>
              <w:rPr>
                <w:rFonts w:ascii="Arial" w:cs="Arial" w:eastAsia="Arial" w:hAnsi="Arial"/>
                <w:sz w:val="19"/>
                <w:szCs w:val="19"/>
                <w:b w:val="1"/>
                <w:bCs w:val="1"/>
                <w:color w:val="auto"/>
                <w:vertAlign w:val="superscript"/>
              </w:rPr>
              <w:t>(2)</w:t>
            </w:r>
          </w:p>
        </w:tc>
        <w:tc>
          <w:tcPr>
            <w:tcW w:w="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38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Preferred Stock</w:t>
            </w:r>
          </w:p>
        </w:tc>
        <w:tc>
          <w:tcPr>
            <w:tcW w:w="920" w:type="dxa"/>
            <w:vAlign w:val="bottom"/>
            <w:tcBorders>
              <w:top w:val="single" w:sz="8" w:color="CCEEFF"/>
            </w:tcBorders>
            <w:gridSpan w:val="2"/>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Clean Technology</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00" w:type="dxa"/>
            <w:vAlign w:val="bottom"/>
            <w:gridSpan w:val="4"/>
          </w:tcPr>
          <w:p>
            <w:pPr>
              <w:ind w:left="200"/>
              <w:spacing w:after="0" w:line="162" w:lineRule="exact"/>
              <w:rPr>
                <w:sz w:val="20"/>
                <w:szCs w:val="20"/>
                <w:color w:val="auto"/>
              </w:rPr>
            </w:pPr>
            <w:r>
              <w:rPr>
                <w:rFonts w:ascii="Arial" w:cs="Arial" w:eastAsia="Arial" w:hAnsi="Arial"/>
                <w:sz w:val="16"/>
                <w:szCs w:val="16"/>
                <w:color w:val="auto"/>
              </w:rPr>
              <w:t>SPBRX, INC. (f/k/a GSV Sustainability</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14,300,000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775,198</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tcPr>
          <w:p>
            <w:pPr>
              <w:spacing w:after="0"/>
              <w:rPr>
                <w:sz w:val="14"/>
                <w:szCs w:val="14"/>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809,198</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4"/>
          </w:tcPr>
          <w:p>
            <w:pPr>
              <w:ind w:left="200"/>
              <w:spacing w:after="0" w:line="216" w:lineRule="exact"/>
              <w:rPr>
                <w:sz w:val="20"/>
                <w:szCs w:val="20"/>
                <w:color w:val="auto"/>
              </w:rPr>
            </w:pPr>
            <w:r>
              <w:rPr>
                <w:rFonts w:ascii="Arial" w:cs="Arial" w:eastAsia="Arial" w:hAnsi="Arial"/>
                <w:sz w:val="16"/>
                <w:szCs w:val="16"/>
                <w:color w:val="auto"/>
                <w:w w:val="93"/>
              </w:rPr>
              <w:t>Partners, Inc.)–Preferred shares, Class A***</w:t>
            </w:r>
            <w:r>
              <w:rPr>
                <w:rFonts w:ascii="Arial" w:cs="Arial" w:eastAsia="Arial" w:hAnsi="Arial"/>
                <w:sz w:val="21"/>
                <w:szCs w:val="21"/>
                <w:color w:val="auto"/>
                <w:w w:val="93"/>
                <w:vertAlign w:val="superscript"/>
              </w:rPr>
              <w:t>(4)</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Preferred Stock</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775,198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809,198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Clean Technology</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SPBRX, INC. (f/k/a GSV Sustainability</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gridSpan w:val="4"/>
          </w:tcPr>
          <w:p>
            <w:pPr>
              <w:ind w:left="200"/>
              <w:spacing w:after="0"/>
              <w:rPr>
                <w:sz w:val="20"/>
                <w:szCs w:val="20"/>
                <w:color w:val="auto"/>
              </w:rPr>
            </w:pPr>
            <w:r>
              <w:rPr>
                <w:rFonts w:ascii="Arial" w:cs="Arial" w:eastAsia="Arial" w:hAnsi="Arial"/>
                <w:sz w:val="16"/>
                <w:szCs w:val="16"/>
                <w:color w:val="auto"/>
              </w:rPr>
              <w:t>Partners, Inc.)–Common shares</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Common Stock</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tcPr>
          <w:p>
            <w:pPr>
              <w:spacing w:after="0"/>
              <w:rPr>
                <w:sz w:val="18"/>
                <w:szCs w:val="18"/>
                <w:color w:val="auto"/>
              </w:rPr>
            </w:pPr>
          </w:p>
        </w:tc>
        <w:tc>
          <w:tcPr>
            <w:tcW w:w="3300" w:type="dxa"/>
            <w:vAlign w:val="bottom"/>
            <w:tcBorders>
              <w:top w:val="single" w:sz="8" w:color="CCEEFF"/>
            </w:tcBorders>
            <w:gridSpan w:val="4"/>
          </w:tcPr>
          <w:p>
            <w:pPr>
              <w:spacing w:after="0" w:line="213" w:lineRule="exact"/>
              <w:rPr>
                <w:sz w:val="20"/>
                <w:szCs w:val="20"/>
                <w:color w:val="auto"/>
              </w:rPr>
            </w:pPr>
            <w:r>
              <w:rPr>
                <w:rFonts w:ascii="Arial" w:cs="Arial" w:eastAsia="Arial" w:hAnsi="Arial"/>
                <w:sz w:val="16"/>
                <w:szCs w:val="16"/>
                <w:b w:val="1"/>
                <w:bCs w:val="1"/>
                <w:color w:val="auto"/>
              </w:rPr>
              <w:t>TOTAL CONTROLLED INVESTMENTS*</w:t>
            </w:r>
            <w:r>
              <w:rPr>
                <w:rFonts w:ascii="Arial" w:cs="Arial" w:eastAsia="Arial" w:hAnsi="Arial"/>
                <w:sz w:val="21"/>
                <w:szCs w:val="21"/>
                <w:b w:val="1"/>
                <w:bCs w:val="1"/>
                <w:color w:val="auto"/>
                <w:vertAlign w:val="superscript"/>
              </w:rPr>
              <w:t>(2)</w:t>
            </w:r>
          </w:p>
        </w:tc>
        <w:tc>
          <w:tcPr>
            <w:tcW w:w="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450,000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775,198</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b w:val="1"/>
                <w:bCs w:val="1"/>
                <w:color w:val="auto"/>
              </w:rPr>
              <w:t>—</w:t>
            </w: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34,000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809,198</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0.27 %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shd w:val="clear" w:color="auto" w:fill="CCEEFF"/>
          </w:tcPr>
          <w:p>
            <w:pPr>
              <w:spacing w:after="0"/>
              <w:rPr>
                <w:sz w:val="12"/>
                <w:szCs w:val="12"/>
                <w:color w:val="auto"/>
              </w:rPr>
            </w:pPr>
          </w:p>
        </w:tc>
        <w:tc>
          <w:tcPr>
            <w:tcW w:w="3300" w:type="dxa"/>
            <w:vAlign w:val="bottom"/>
            <w:gridSpan w:val="4"/>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NON-CONTROLLED/AFFILIATE</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4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6"/>
                <w:szCs w:val="16"/>
                <w:b w:val="1"/>
                <w:bCs w:val="1"/>
                <w:color w:val="auto"/>
                <w:vertAlign w:val="superscript"/>
              </w:rPr>
              <w:t>(1)</w:t>
            </w: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auto"/>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6"/>
                <w:szCs w:val="16"/>
                <w:b w:val="1"/>
                <w:bCs w:val="1"/>
                <w:color w:val="auto"/>
              </w:rPr>
              <w:t>Debt Investments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Corporate Education</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4"/>
          </w:tcPr>
          <w:p>
            <w:pPr>
              <w:ind w:left="200"/>
              <w:spacing w:after="0" w:line="166" w:lineRule="exact"/>
              <w:rPr>
                <w:sz w:val="20"/>
                <w:szCs w:val="20"/>
                <w:color w:val="auto"/>
              </w:rPr>
            </w:pPr>
            <w:r>
              <w:rPr>
                <w:rFonts w:ascii="Arial" w:cs="Arial" w:eastAsia="Arial" w:hAnsi="Arial"/>
                <w:sz w:val="16"/>
                <w:szCs w:val="16"/>
                <w:color w:val="auto"/>
                <w:w w:val="94"/>
              </w:rPr>
              <w:t>CUX, Inc. (d/b/a CorpU)–Senior Subordinated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00" w:type="dxa"/>
            <w:vAlign w:val="bottom"/>
            <w:gridSpan w:val="4"/>
          </w:tcPr>
          <w:p>
            <w:pPr>
              <w:ind w:left="200"/>
              <w:spacing w:after="0" w:line="158" w:lineRule="exact"/>
              <w:rPr>
                <w:sz w:val="20"/>
                <w:szCs w:val="20"/>
                <w:color w:val="auto"/>
              </w:rPr>
            </w:pPr>
            <w:r>
              <w:rPr>
                <w:rFonts w:ascii="Arial" w:cs="Arial" w:eastAsia="Arial" w:hAnsi="Arial"/>
                <w:sz w:val="16"/>
                <w:szCs w:val="16"/>
                <w:color w:val="auto"/>
              </w:rPr>
              <w:t>Convertible Promissory Note 4% Due</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$1,251,158</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312,789</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180" w:type="dxa"/>
            <w:vAlign w:val="bottom"/>
            <w:vMerge w:val="restart"/>
          </w:tcPr>
          <w:p>
            <w:pPr>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312,790</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0.10 %</w:t>
            </w:r>
          </w:p>
        </w:tc>
        <w:tc>
          <w:tcPr>
            <w:tcW w:w="0" w:type="dxa"/>
            <w:vAlign w:val="bottom"/>
          </w:tcPr>
          <w:p>
            <w:pPr>
              <w:spacing w:after="0"/>
              <w:rPr>
                <w:sz w:val="1"/>
                <w:szCs w:val="1"/>
                <w:color w:val="auto"/>
              </w:rPr>
            </w:pPr>
          </w:p>
        </w:tc>
      </w:tr>
      <w:tr>
        <w:trPr>
          <w:trHeight w:val="216"/>
        </w:trPr>
        <w:tc>
          <w:tcPr>
            <w:tcW w:w="120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2/14/2023</w:t>
            </w:r>
            <w:r>
              <w:rPr>
                <w:rFonts w:ascii="Arial" w:cs="Arial" w:eastAsia="Arial" w:hAnsi="Arial"/>
                <w:sz w:val="21"/>
                <w:szCs w:val="21"/>
                <w:color w:val="auto"/>
                <w:vertAlign w:val="superscript"/>
              </w:rPr>
              <w:t>(3)</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Global Innovation Platform</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NestGSV, Inc. (d/b/a OneValley, Inc.) –</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300" w:type="dxa"/>
            <w:vAlign w:val="bottom"/>
            <w:gridSpan w:val="4"/>
          </w:tcPr>
          <w:p>
            <w:pPr>
              <w:ind w:left="200"/>
              <w:spacing w:after="0" w:line="158" w:lineRule="exact"/>
              <w:rPr>
                <w:sz w:val="20"/>
                <w:szCs w:val="20"/>
                <w:color w:val="auto"/>
              </w:rPr>
            </w:pPr>
            <w:r>
              <w:rPr>
                <w:rFonts w:ascii="Arial" w:cs="Arial" w:eastAsia="Arial" w:hAnsi="Arial"/>
                <w:sz w:val="16"/>
                <w:szCs w:val="16"/>
                <w:color w:val="auto"/>
              </w:rPr>
              <w:t>Convertible Promissory Note 8% Due</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$1,010,198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(29,184)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1,010,198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(505,099)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505,099</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0.17 %</w:t>
            </w:r>
          </w:p>
        </w:tc>
        <w:tc>
          <w:tcPr>
            <w:tcW w:w="0" w:type="dxa"/>
            <w:vAlign w:val="bottom"/>
          </w:tcPr>
          <w:p>
            <w:pPr>
              <w:spacing w:after="0"/>
              <w:rPr>
                <w:sz w:val="1"/>
                <w:szCs w:val="1"/>
                <w:color w:val="auto"/>
              </w:rPr>
            </w:pPr>
          </w:p>
        </w:tc>
      </w:tr>
      <w:tr>
        <w:trPr>
          <w:trHeight w:val="216"/>
        </w:trPr>
        <w:tc>
          <w:tcPr>
            <w:tcW w:w="1200" w:type="dxa"/>
            <w:vAlign w:val="bottom"/>
            <w:gridSpan w:val="2"/>
          </w:tcPr>
          <w:p>
            <w:pPr>
              <w:ind w:left="220"/>
              <w:spacing w:after="0" w:line="216" w:lineRule="exact"/>
              <w:rPr>
                <w:sz w:val="20"/>
                <w:szCs w:val="20"/>
                <w:color w:val="auto"/>
              </w:rPr>
            </w:pPr>
            <w:r>
              <w:rPr>
                <w:rFonts w:ascii="Arial" w:cs="Arial" w:eastAsia="Arial" w:hAnsi="Arial"/>
                <w:sz w:val="16"/>
                <w:szCs w:val="16"/>
                <w:color w:val="auto"/>
                <w:w w:val="91"/>
              </w:rPr>
              <w:t>8/23/2024</w:t>
            </w:r>
            <w:r>
              <w:rPr>
                <w:rFonts w:ascii="Arial" w:cs="Arial" w:eastAsia="Arial" w:hAnsi="Arial"/>
                <w:sz w:val="21"/>
                <w:szCs w:val="21"/>
                <w:color w:val="auto"/>
                <w:w w:val="91"/>
                <w:vertAlign w:val="superscript"/>
              </w:rPr>
              <w:t>(3)(6)</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300" w:type="dxa"/>
            <w:vAlign w:val="bottom"/>
            <w:gridSpan w:val="4"/>
            <w:shd w:val="clear" w:color="auto" w:fill="CCEEFF"/>
          </w:tcPr>
          <w:p>
            <w:pPr>
              <w:spacing w:after="0"/>
              <w:rPr>
                <w:sz w:val="20"/>
                <w:szCs w:val="20"/>
                <w:color w:val="auto"/>
              </w:rPr>
            </w:pPr>
            <w:r>
              <w:rPr>
                <w:rFonts w:ascii="Arial" w:cs="Arial" w:eastAsia="Arial" w:hAnsi="Arial"/>
                <w:sz w:val="16"/>
                <w:szCs w:val="16"/>
                <w:b w:val="1"/>
                <w:bCs w:val="1"/>
                <w:color w:val="auto"/>
              </w:rPr>
              <w:t>Total Debt Investments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(29,184)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1,322,987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(505,098)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817,889</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300" w:type="dxa"/>
            <w:vAlign w:val="bottom"/>
            <w:gridSpan w:val="4"/>
          </w:tcPr>
          <w:p>
            <w:pPr>
              <w:spacing w:after="0"/>
              <w:rPr>
                <w:sz w:val="20"/>
                <w:szCs w:val="20"/>
                <w:color w:val="auto"/>
              </w:rPr>
            </w:pPr>
            <w:r>
              <w:rPr>
                <w:rFonts w:ascii="Arial" w:cs="Arial" w:eastAsia="Arial" w:hAnsi="Arial"/>
                <w:sz w:val="16"/>
                <w:szCs w:val="16"/>
                <w:b w:val="1"/>
                <w:bCs w:val="1"/>
                <w:color w:val="auto"/>
              </w:rPr>
              <w:t>Preferred 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300" w:type="dxa"/>
            <w:vAlign w:val="bottom"/>
            <w:gridSpan w:val="4"/>
            <w:shd w:val="clear" w:color="auto" w:fill="CCEEFF"/>
          </w:tcPr>
          <w:p>
            <w:pPr>
              <w:ind w:left="120"/>
              <w:spacing w:after="0"/>
              <w:rPr>
                <w:sz w:val="20"/>
                <w:szCs w:val="20"/>
                <w:color w:val="auto"/>
              </w:rPr>
            </w:pPr>
            <w:r>
              <w:rPr>
                <w:rFonts w:ascii="Arial" w:cs="Arial" w:eastAsia="Arial" w:hAnsi="Arial"/>
                <w:sz w:val="16"/>
                <w:szCs w:val="16"/>
                <w:i w:val="1"/>
                <w:iCs w:val="1"/>
                <w:color w:val="auto"/>
              </w:rPr>
              <w:t>Corporate Education</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300" w:type="dxa"/>
            <w:vAlign w:val="bottom"/>
            <w:gridSpan w:val="4"/>
          </w:tcPr>
          <w:p>
            <w:pPr>
              <w:ind w:left="200"/>
              <w:spacing w:after="0" w:line="166" w:lineRule="exact"/>
              <w:rPr>
                <w:sz w:val="20"/>
                <w:szCs w:val="20"/>
                <w:color w:val="auto"/>
              </w:rPr>
            </w:pPr>
            <w:r>
              <w:rPr>
                <w:rFonts w:ascii="Arial" w:cs="Arial" w:eastAsia="Arial" w:hAnsi="Arial"/>
                <w:sz w:val="16"/>
                <w:szCs w:val="16"/>
                <w:color w:val="auto"/>
              </w:rPr>
              <w:t>CUX, Inc. (d/b/a CorpU)–Convertible</w:t>
            </w:r>
          </w:p>
        </w:tc>
        <w:tc>
          <w:tcPr>
            <w:tcW w:w="920" w:type="dxa"/>
            <w:vAlign w:val="bottom"/>
            <w:gridSpan w:val="2"/>
            <w:vMerge w:val="restart"/>
          </w:tcPr>
          <w:p>
            <w:pPr>
              <w:jc w:val="right"/>
              <w:ind w:right="8"/>
              <w:spacing w:after="0"/>
              <w:rPr>
                <w:sz w:val="20"/>
                <w:szCs w:val="20"/>
                <w:color w:val="auto"/>
              </w:rPr>
            </w:pPr>
            <w:r>
              <w:rPr>
                <w:rFonts w:ascii="Arial" w:cs="Arial" w:eastAsia="Arial" w:hAnsi="Arial"/>
                <w:sz w:val="16"/>
                <w:szCs w:val="16"/>
                <w:color w:val="auto"/>
              </w:rPr>
              <w:t>169,033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34,980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38,902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73,882</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00" w:type="dxa"/>
            <w:vAlign w:val="bottom"/>
            <w:gridSpan w:val="4"/>
          </w:tcPr>
          <w:p>
            <w:pPr>
              <w:ind w:left="200"/>
              <w:spacing w:after="0"/>
              <w:rPr>
                <w:sz w:val="20"/>
                <w:szCs w:val="20"/>
                <w:color w:val="auto"/>
              </w:rPr>
            </w:pPr>
            <w:r>
              <w:rPr>
                <w:rFonts w:ascii="Arial" w:cs="Arial" w:eastAsia="Arial" w:hAnsi="Arial"/>
                <w:sz w:val="16"/>
                <w:szCs w:val="16"/>
                <w:color w:val="auto"/>
              </w:rPr>
              <w:t>preferred shares, Series D 6%</w:t>
            </w:r>
          </w:p>
        </w:tc>
        <w:tc>
          <w:tcPr>
            <w:tcW w:w="9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3300" w:type="dxa"/>
            <w:vAlign w:val="bottom"/>
            <w:gridSpan w:val="4"/>
            <w:shd w:val="clear" w:color="auto" w:fill="CCEEFF"/>
          </w:tcPr>
          <w:p>
            <w:pPr>
              <w:ind w:left="200"/>
              <w:spacing w:after="0" w:line="169" w:lineRule="exact"/>
              <w:rPr>
                <w:sz w:val="20"/>
                <w:szCs w:val="20"/>
                <w:color w:val="auto"/>
              </w:rPr>
            </w:pPr>
            <w:r>
              <w:rPr>
                <w:rFonts w:ascii="Arial" w:cs="Arial" w:eastAsia="Arial" w:hAnsi="Arial"/>
                <w:sz w:val="16"/>
                <w:szCs w:val="16"/>
                <w:color w:val="auto"/>
              </w:rPr>
              <w:t>CUX, Inc. (d/b/a CorpU) -Convertible</w:t>
            </w:r>
          </w:p>
        </w:tc>
        <w:tc>
          <w:tcPr>
            <w:tcW w:w="92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6"/>
                <w:szCs w:val="16"/>
                <w:color w:val="auto"/>
              </w:rPr>
              <w:t>615,763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300" w:type="dxa"/>
            <w:vAlign w:val="bottom"/>
            <w:tcBorders>
              <w:bottom w:val="single" w:sz="8" w:color="CCEEFF"/>
            </w:tcBorders>
            <w:gridSpan w:val="4"/>
            <w:shd w:val="clear" w:color="auto" w:fill="CCEEFF"/>
          </w:tcPr>
          <w:p>
            <w:pPr>
              <w:ind w:left="200"/>
              <w:spacing w:after="0"/>
              <w:rPr>
                <w:sz w:val="20"/>
                <w:szCs w:val="20"/>
                <w:color w:val="auto"/>
              </w:rPr>
            </w:pPr>
            <w:r>
              <w:rPr>
                <w:rFonts w:ascii="Arial" w:cs="Arial" w:eastAsia="Arial" w:hAnsi="Arial"/>
                <w:sz w:val="16"/>
                <w:szCs w:val="16"/>
                <w:color w:val="auto"/>
              </w:rPr>
              <w:t>preferred shares, Series C 8%</w:t>
            </w:r>
          </w:p>
        </w:tc>
        <w:tc>
          <w:tcPr>
            <w:tcW w:w="920" w:type="dxa"/>
            <w:vAlign w:val="bottom"/>
            <w:tcBorders>
              <w:bottom w:val="single" w:sz="8" w:color="CCEEFF"/>
            </w:tcBorders>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00" w:type="dxa"/>
            <w:vAlign w:val="bottom"/>
            <w:gridSpan w:val="4"/>
          </w:tcPr>
          <w:p>
            <w:pPr>
              <w:ind w:left="120"/>
              <w:spacing w:after="0"/>
              <w:rPr>
                <w:sz w:val="20"/>
                <w:szCs w:val="20"/>
                <w:color w:val="auto"/>
              </w:rPr>
            </w:pPr>
            <w:r>
              <w:rPr>
                <w:rFonts w:ascii="Arial" w:cs="Arial" w:eastAsia="Arial" w:hAnsi="Arial"/>
                <w:sz w:val="16"/>
                <w:szCs w:val="16"/>
                <w:i w:val="1"/>
                <w:iCs w:val="1"/>
                <w:color w:val="auto"/>
              </w:rPr>
              <w:t>Total Corporate Education</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34,980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38,902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73,882</w:t>
            </w: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5"/>
              </w:rPr>
              <w:t>Interest, Fees,</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9"/>
              </w:rPr>
              <w:t>or</w:t>
            </w: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8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2"/>
              </w:rPr>
              <w:t>Dividends</w:t>
            </w:r>
          </w:p>
        </w:tc>
        <w:tc>
          <w:tcPr>
            <w:tcW w:w="9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Type/Industry/Portfolio Company/Investment</w:t>
            </w:r>
          </w:p>
        </w:tc>
        <w:tc>
          <w:tcPr>
            <w:tcW w:w="80" w:type="dxa"/>
            <w:vAlign w:val="bottom"/>
            <w:vMerge w:val="restart"/>
          </w:tcPr>
          <w:p>
            <w:pPr>
              <w:spacing w:after="0"/>
              <w:rPr>
                <w:sz w:val="11"/>
                <w:szCs w:val="11"/>
                <w:color w:val="auto"/>
              </w:rPr>
            </w:pPr>
          </w:p>
        </w:tc>
        <w:tc>
          <w:tcPr>
            <w:tcW w:w="8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Credited</w:t>
            </w:r>
          </w:p>
        </w:tc>
        <w:tc>
          <w:tcPr>
            <w:tcW w:w="9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860" w:type="dxa"/>
            <w:vAlign w:val="bottom"/>
          </w:tcPr>
          <w:p>
            <w:pPr>
              <w:jc w:val="right"/>
              <w:ind w:right="16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33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Quantity</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4"/>
              </w:rPr>
              <w:t>in Income</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1"/>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Knowledge Networks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40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Maven Research, Inc.–Preferred shares,</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318,979</w:t>
            </w:r>
          </w:p>
        </w:tc>
        <w:tc>
          <w:tcPr>
            <w:tcW w:w="2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400" w:type="dxa"/>
            <w:vAlign w:val="bottom"/>
            <w:gridSpan w:val="2"/>
          </w:tcPr>
          <w:p>
            <w:pPr>
              <w:ind w:left="220"/>
              <w:spacing w:after="0"/>
              <w:rPr>
                <w:sz w:val="20"/>
                <w:szCs w:val="20"/>
                <w:color w:val="auto"/>
              </w:rPr>
            </w:pPr>
            <w:r>
              <w:rPr>
                <w:rFonts w:ascii="Arial" w:cs="Arial" w:eastAsia="Arial" w:hAnsi="Arial"/>
                <w:sz w:val="16"/>
                <w:szCs w:val="16"/>
                <w:color w:val="auto"/>
              </w:rPr>
              <w:t>Series C</w:t>
            </w:r>
          </w:p>
        </w:tc>
        <w:tc>
          <w:tcPr>
            <w:tcW w:w="80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Maven Research, Inc.–Preferred shares,</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49,505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Series B</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Knowledge Networks</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340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8"/>
              </w:rPr>
              <w:t>OzyMedia, Inc.–Preferred shares, Series C-2</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683,482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2,970,252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(1,104,705)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1,865,547</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0.62 %</w:t>
            </w:r>
          </w:p>
        </w:tc>
        <w:tc>
          <w:tcPr>
            <w:tcW w:w="0" w:type="dxa"/>
            <w:vAlign w:val="bottom"/>
          </w:tcPr>
          <w:p>
            <w:pPr>
              <w:spacing w:after="0"/>
              <w:rPr>
                <w:sz w:val="1"/>
                <w:szCs w:val="1"/>
                <w:color w:val="auto"/>
              </w:rPr>
            </w:pPr>
          </w:p>
        </w:tc>
      </w:tr>
      <w:tr>
        <w:trPr>
          <w:trHeight w:val="209"/>
        </w:trPr>
        <w:tc>
          <w:tcPr>
            <w:tcW w:w="3320" w:type="dxa"/>
            <w:vAlign w:val="bottom"/>
          </w:tcPr>
          <w:p>
            <w:pPr>
              <w:ind w:left="22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5"/>
              </w:rPr>
              <w:t>OzyMedia, Inc.–Preferred shares, Series B 6%</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922,509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5,001,420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(1,650,468)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3,350,952</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20"/>
              <w:spacing w:after="0"/>
              <w:rPr>
                <w:sz w:val="20"/>
                <w:szCs w:val="20"/>
                <w:color w:val="auto"/>
              </w:rPr>
            </w:pPr>
            <w:r>
              <w:rPr>
                <w:rFonts w:ascii="Arial" w:cs="Arial" w:eastAsia="Arial" w:hAnsi="Arial"/>
                <w:sz w:val="16"/>
                <w:szCs w:val="16"/>
                <w:color w:val="auto"/>
                <w:w w:val="95"/>
              </w:rPr>
              <w:t>OzyMedia, Inc.–Preferred shares, Series A 6%</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1,090,909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4,528,107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(1,703,428)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2,824,679</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0.94 %</w:t>
            </w: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5"/>
              </w:rPr>
              <w:t>OzyMedia, Inc.–Preferred shares, Series Seed</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2,002,143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(707,498)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1,294,645</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0.43 %</w:t>
            </w:r>
          </w:p>
        </w:tc>
        <w:tc>
          <w:tcPr>
            <w:tcW w:w="0" w:type="dxa"/>
            <w:vAlign w:val="bottom"/>
          </w:tcPr>
          <w:p>
            <w:pPr>
              <w:spacing w:after="0"/>
              <w:rPr>
                <w:sz w:val="1"/>
                <w:szCs w:val="1"/>
                <w:color w:val="auto"/>
              </w:rPr>
            </w:pPr>
          </w:p>
        </w:tc>
      </w:tr>
      <w:tr>
        <w:trPr>
          <w:trHeight w:val="212"/>
        </w:trPr>
        <w:tc>
          <w:tcPr>
            <w:tcW w:w="33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Digital Media Platform</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7"/>
              </w:rPr>
              <w:t>14,501,922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(5,166,099)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9,335,823</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3.10 %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StormWind, LLC–Preferred shares, Series D</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329,337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503,120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(62,605)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440,515</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0.15 %</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line="216"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9"/>
                <w:szCs w:val="9"/>
                <w:color w:val="auto"/>
              </w:rPr>
              <w:t>(5)</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StormWind, LLC–Preferred shares, Series C</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2,779,134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5,391,000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(586,782)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4,804,218</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line="216"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9"/>
                <w:szCs w:val="9"/>
                <w:color w:val="auto"/>
              </w:rPr>
              <w:t>(5)</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StormWind, LLC–Preferred shares, Series B</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3,279,629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3,248,804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(623,439)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8"/>
              </w:rPr>
              <w:t>2,625,365</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0.87 %</w:t>
            </w:r>
          </w:p>
        </w:tc>
        <w:tc>
          <w:tcPr>
            <w:tcW w:w="0" w:type="dxa"/>
            <w:vAlign w:val="bottom"/>
          </w:tcPr>
          <w:p>
            <w:pPr>
              <w:spacing w:after="0"/>
              <w:rPr>
                <w:sz w:val="1"/>
                <w:szCs w:val="1"/>
                <w:color w:val="auto"/>
              </w:rPr>
            </w:pPr>
          </w:p>
        </w:tc>
      </w:tr>
      <w:tr>
        <w:trPr>
          <w:trHeight w:val="216"/>
        </w:trPr>
        <w:tc>
          <w:tcPr>
            <w:tcW w:w="3320" w:type="dxa"/>
            <w:vAlign w:val="bottom"/>
          </w:tcPr>
          <w:p>
            <w:pPr>
              <w:ind w:left="220"/>
              <w:spacing w:after="0" w:line="216"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9"/>
                <w:szCs w:val="9"/>
                <w:color w:val="auto"/>
              </w:rPr>
              <w:t>(5)</w:t>
            </w: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StormWind, LLC–Preferred shares, Series A</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366,666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157,949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(69,701)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88,248</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220"/>
              <w:spacing w:after="0" w:line="216" w:lineRule="exact"/>
              <w:rPr>
                <w:sz w:val="20"/>
                <w:szCs w:val="20"/>
                <w:color w:val="auto"/>
              </w:rPr>
            </w:pPr>
            <w:r>
              <w:rPr>
                <w:rFonts w:ascii="Arial" w:cs="Arial" w:eastAsia="Arial" w:hAnsi="Arial"/>
                <w:sz w:val="25"/>
                <w:szCs w:val="25"/>
                <w:color w:val="auto"/>
                <w:vertAlign w:val="subscript"/>
              </w:rPr>
              <w:t>8%</w:t>
            </w:r>
            <w:r>
              <w:rPr>
                <w:rFonts w:ascii="Arial" w:cs="Arial" w:eastAsia="Arial" w:hAnsi="Arial"/>
                <w:sz w:val="9"/>
                <w:szCs w:val="9"/>
                <w:color w:val="auto"/>
              </w:rPr>
              <w:t>(5)</w:t>
            </w: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40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Interactive Learning</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9,300,873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(1,342,527)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7,958,346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Preferred Stock</w:t>
            </w: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23,837,775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(6,469,724)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17,368,051</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5.76 %</w:t>
            </w:r>
          </w:p>
        </w:tc>
        <w:tc>
          <w:tcPr>
            <w:tcW w:w="0" w:type="dxa"/>
            <w:vAlign w:val="bottom"/>
          </w:tcPr>
          <w:p>
            <w:pPr>
              <w:spacing w:after="0"/>
              <w:rPr>
                <w:sz w:val="1"/>
                <w:szCs w:val="1"/>
                <w:color w:val="auto"/>
              </w:rPr>
            </w:pPr>
          </w:p>
        </w:tc>
      </w:tr>
      <w:tr>
        <w:trPr>
          <w:trHeight w:val="213"/>
        </w:trPr>
        <w:tc>
          <w:tcPr>
            <w:tcW w:w="3400" w:type="dxa"/>
            <w:vAlign w:val="bottom"/>
            <w:gridSpan w:val="2"/>
          </w:tcPr>
          <w:p>
            <w:pPr>
              <w:ind w:left="20"/>
              <w:spacing w:after="0"/>
              <w:rPr>
                <w:sz w:val="20"/>
                <w:szCs w:val="20"/>
                <w:color w:val="auto"/>
              </w:rPr>
            </w:pPr>
            <w:r>
              <w:rPr>
                <w:rFonts w:ascii="Arial" w:cs="Arial" w:eastAsia="Arial" w:hAnsi="Arial"/>
                <w:sz w:val="16"/>
                <w:szCs w:val="16"/>
                <w:b w:val="1"/>
                <w:bCs w:val="1"/>
                <w:color w:val="auto"/>
              </w:rPr>
              <w:t>Options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3400" w:type="dxa"/>
            <w:vAlign w:val="bottom"/>
            <w:gridSpan w:val="2"/>
          </w:tcPr>
          <w:p>
            <w:pPr>
              <w:ind w:left="220"/>
              <w:spacing w:after="0" w:line="159" w:lineRule="exact"/>
              <w:rPr>
                <w:sz w:val="20"/>
                <w:szCs w:val="20"/>
                <w:color w:val="auto"/>
              </w:rPr>
            </w:pPr>
            <w:r>
              <w:rPr>
                <w:rFonts w:ascii="Arial" w:cs="Arial" w:eastAsia="Arial" w:hAnsi="Arial"/>
                <w:sz w:val="16"/>
                <w:szCs w:val="16"/>
                <w:color w:val="auto"/>
              </w:rPr>
              <w:t>OzyMedia, Inc.–Common Warrants, Strike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295,565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1,182,260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(419,702)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762,558</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0.25 %</w:t>
            </w:r>
          </w:p>
        </w:tc>
        <w:tc>
          <w:tcPr>
            <w:tcW w:w="0" w:type="dxa"/>
            <w:vAlign w:val="bottom"/>
          </w:tcPr>
          <w:p>
            <w:pPr>
              <w:spacing w:after="0"/>
              <w:rPr>
                <w:sz w:val="1"/>
                <w:szCs w:val="1"/>
                <w:color w:val="auto"/>
              </w:rPr>
            </w:pPr>
          </w:p>
        </w:tc>
      </w:tr>
      <w:tr>
        <w:trPr>
          <w:trHeight w:val="209"/>
        </w:trPr>
        <w:tc>
          <w:tcPr>
            <w:tcW w:w="3400" w:type="dxa"/>
            <w:vAlign w:val="bottom"/>
            <w:gridSpan w:val="2"/>
          </w:tcPr>
          <w:p>
            <w:pPr>
              <w:ind w:left="220"/>
              <w:spacing w:after="0"/>
              <w:rPr>
                <w:sz w:val="20"/>
                <w:szCs w:val="20"/>
                <w:color w:val="auto"/>
              </w:rPr>
            </w:pPr>
            <w:r>
              <w:rPr>
                <w:rFonts w:ascii="Arial" w:cs="Arial" w:eastAsia="Arial" w:hAnsi="Arial"/>
                <w:sz w:val="16"/>
                <w:szCs w:val="16"/>
                <w:color w:val="auto"/>
              </w:rPr>
              <w:t>Price $0.01, Expiration Date 4/9/2028</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40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220"/>
              <w:spacing w:after="0" w:line="146" w:lineRule="exact"/>
              <w:rPr>
                <w:sz w:val="20"/>
                <w:szCs w:val="20"/>
                <w:color w:val="auto"/>
              </w:rPr>
            </w:pPr>
            <w:r>
              <w:rPr>
                <w:rFonts w:ascii="Arial" w:cs="Arial" w:eastAsia="Arial" w:hAnsi="Arial"/>
                <w:sz w:val="16"/>
                <w:szCs w:val="16"/>
                <w:color w:val="auto"/>
              </w:rPr>
              <w:t>NestGSV, Inc. (d/b/a OneValley, Inc.)–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Preferred Warrant Series A-3, Strike Price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187,500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20,625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(15,938)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4,687</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400" w:type="dxa"/>
            <w:vAlign w:val="bottom"/>
            <w:gridSpan w:val="2"/>
          </w:tcPr>
          <w:p>
            <w:pPr>
              <w:ind w:left="220"/>
              <w:spacing w:after="0"/>
              <w:rPr>
                <w:sz w:val="20"/>
                <w:szCs w:val="20"/>
                <w:color w:val="auto"/>
              </w:rPr>
            </w:pPr>
            <w:r>
              <w:rPr>
                <w:rFonts w:ascii="Arial" w:cs="Arial" w:eastAsia="Arial" w:hAnsi="Arial"/>
                <w:sz w:val="16"/>
                <w:szCs w:val="16"/>
                <w:color w:val="auto"/>
              </w:rPr>
              <w:t>$1.33, Expiration Date 4/4/2021</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NestGSV, Inc. (d/b/a OneValley, Inc.)–</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Preferred Warrant Series A-4, Strike Price</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(70,000)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17"/>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$1.33, Expiration Date 10/6/2021</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3400" w:type="dxa"/>
            <w:vAlign w:val="bottom"/>
            <w:gridSpan w:val="2"/>
          </w:tcPr>
          <w:p>
            <w:pPr>
              <w:ind w:left="220"/>
              <w:spacing w:after="0" w:line="146" w:lineRule="exact"/>
              <w:rPr>
                <w:sz w:val="20"/>
                <w:szCs w:val="20"/>
                <w:color w:val="auto"/>
              </w:rPr>
            </w:pPr>
            <w:r>
              <w:rPr>
                <w:rFonts w:ascii="Arial" w:cs="Arial" w:eastAsia="Arial" w:hAnsi="Arial"/>
                <w:sz w:val="16"/>
                <w:szCs w:val="16"/>
                <w:color w:val="auto"/>
              </w:rPr>
              <w:t>NestGSV, Inc. (d/b/a OneValley, Inc.)–</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40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Preferred Warrant Series A-4, Strike Price</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62,500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(35,000)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27,500</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09"/>
        </w:trPr>
        <w:tc>
          <w:tcPr>
            <w:tcW w:w="3400" w:type="dxa"/>
            <w:vAlign w:val="bottom"/>
            <w:gridSpan w:val="2"/>
          </w:tcPr>
          <w:p>
            <w:pPr>
              <w:ind w:left="220"/>
              <w:spacing w:after="0"/>
              <w:rPr>
                <w:sz w:val="20"/>
                <w:szCs w:val="20"/>
                <w:color w:val="auto"/>
              </w:rPr>
            </w:pPr>
            <w:r>
              <w:rPr>
                <w:rFonts w:ascii="Arial" w:cs="Arial" w:eastAsia="Arial" w:hAnsi="Arial"/>
                <w:sz w:val="16"/>
                <w:szCs w:val="16"/>
                <w:color w:val="auto"/>
              </w:rPr>
              <w:t>$1.33, Expiration Date 7/18/2021</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40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NestGSV, Inc. (d/b/a OneValley, Inc.)–</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w w:val="95"/>
              </w:rPr>
              <w:t>Preferred Warrant Series B, Strike Price $2.31,</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34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Expiration Date 11/29/2021</w:t>
            </w: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-1765300</wp:posOffset>
            </wp:positionV>
            <wp:extent cx="2099945" cy="2571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0999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Interest, Fees,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or</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9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3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Dividends</w:t>
            </w:r>
          </w:p>
        </w:tc>
        <w:tc>
          <w:tcPr>
            <w:tcW w:w="10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10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Type/Industry/Portfolio Company/Investment</w:t>
            </w:r>
          </w:p>
        </w:tc>
        <w:tc>
          <w:tcPr>
            <w:tcW w:w="80" w:type="dxa"/>
            <w:vAlign w:val="bottom"/>
            <w:vMerge w:val="restart"/>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Credited</w:t>
            </w:r>
          </w:p>
        </w:tc>
        <w:tc>
          <w:tcPr>
            <w:tcW w:w="10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2"/>
              </w:rPr>
              <w:t>December 31,</w:t>
            </w:r>
          </w:p>
        </w:tc>
        <w:tc>
          <w:tcPr>
            <w:tcW w:w="900" w:type="dxa"/>
            <w:vAlign w:val="bottom"/>
          </w:tcPr>
          <w:p>
            <w:pPr>
              <w:jc w:val="right"/>
              <w:ind w:right="181"/>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32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8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Quantity</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in Income</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80" w:type="dxa"/>
            <w:vAlign w:val="bottom"/>
          </w:tcPr>
          <w:p>
            <w:pPr>
              <w:spacing w:after="0"/>
              <w:rPr>
                <w:sz w:val="16"/>
                <w:szCs w:val="16"/>
                <w:color w:val="auto"/>
              </w:rPr>
            </w:pPr>
          </w:p>
        </w:tc>
        <w:tc>
          <w:tcPr>
            <w:tcW w:w="9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Gains/(Losses)</w:t>
            </w:r>
          </w:p>
        </w:tc>
        <w:tc>
          <w:tcPr>
            <w:tcW w:w="80" w:type="dxa"/>
            <w:vAlign w:val="bottom"/>
          </w:tcPr>
          <w:p>
            <w:pPr>
              <w:spacing w:after="0"/>
              <w:rPr>
                <w:sz w:val="16"/>
                <w:szCs w:val="16"/>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7"/>
              </w:rPr>
              <w:t>Gains/(Losses)</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61"/>
        </w:trPr>
        <w:tc>
          <w:tcPr>
            <w:tcW w:w="3360" w:type="dxa"/>
            <w:vAlign w:val="bottom"/>
            <w:gridSpan w:val="2"/>
          </w:tcPr>
          <w:p>
            <w:pPr>
              <w:ind w:left="220"/>
              <w:spacing w:after="0" w:line="161" w:lineRule="exact"/>
              <w:rPr>
                <w:sz w:val="20"/>
                <w:szCs w:val="20"/>
                <w:color w:val="auto"/>
              </w:rPr>
            </w:pPr>
            <w:r>
              <w:rPr>
                <w:rFonts w:ascii="Arial" w:cs="Arial" w:eastAsia="Arial" w:hAnsi="Arial"/>
                <w:sz w:val="16"/>
                <w:szCs w:val="16"/>
                <w:color w:val="auto"/>
              </w:rPr>
              <w:t>NestGSV, Inc. (d/b/a OneValley, Inc.)–</w:t>
            </w: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Preferred Warrant Series B, Strike Price</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125,000</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3360" w:type="dxa"/>
            <w:vAlign w:val="bottom"/>
            <w:gridSpan w:val="2"/>
          </w:tcPr>
          <w:p>
            <w:pPr>
              <w:ind w:left="220"/>
              <w:spacing w:after="0"/>
              <w:rPr>
                <w:sz w:val="20"/>
                <w:szCs w:val="20"/>
                <w:color w:val="auto"/>
              </w:rPr>
            </w:pPr>
            <w:r>
              <w:rPr>
                <w:rFonts w:ascii="Arial" w:cs="Arial" w:eastAsia="Arial" w:hAnsi="Arial"/>
                <w:sz w:val="16"/>
                <w:szCs w:val="16"/>
                <w:color w:val="auto"/>
              </w:rPr>
              <w:t>$2.31, Expiration Date 5/29/2022</w:t>
            </w: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3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NestGSV, Inc. (d/b/a OneValley, Inc.)–</w:t>
            </w: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Preferred Warrant Series B, Strike Price</w:t>
            </w: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6,750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9,250</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7"/>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$2.31, Expiration Date 12/31/2023</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360" w:type="dxa"/>
            <w:vAlign w:val="bottom"/>
            <w:gridSpan w:val="2"/>
          </w:tcPr>
          <w:p>
            <w:pPr>
              <w:ind w:left="220"/>
              <w:spacing w:after="0" w:line="142" w:lineRule="exact"/>
              <w:rPr>
                <w:sz w:val="20"/>
                <w:szCs w:val="20"/>
                <w:color w:val="auto"/>
              </w:rPr>
            </w:pPr>
            <w:r>
              <w:rPr>
                <w:rFonts w:ascii="Arial" w:cs="Arial" w:eastAsia="Arial" w:hAnsi="Arial"/>
                <w:sz w:val="16"/>
                <w:szCs w:val="16"/>
                <w:color w:val="auto"/>
              </w:rPr>
              <w:t>Derivative Security, Expiration Date</w:t>
            </w: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3,880,621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ind w:left="54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(1,707,473)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2,173,148</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0.72 %</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220"/>
              <w:spacing w:after="0" w:line="216" w:lineRule="exact"/>
              <w:rPr>
                <w:sz w:val="20"/>
                <w:szCs w:val="20"/>
                <w:color w:val="auto"/>
              </w:rPr>
            </w:pPr>
            <w:r>
              <w:rPr>
                <w:rFonts w:ascii="Arial" w:cs="Arial" w:eastAsia="Arial" w:hAnsi="Arial"/>
                <w:sz w:val="16"/>
                <w:szCs w:val="16"/>
                <w:color w:val="auto"/>
              </w:rPr>
              <w:t>8/23/2024</w:t>
            </w:r>
            <w:r>
              <w:rPr>
                <w:rFonts w:ascii="Arial" w:cs="Arial" w:eastAsia="Arial" w:hAnsi="Arial"/>
                <w:sz w:val="21"/>
                <w:szCs w:val="21"/>
                <w:color w:val="auto"/>
                <w:vertAlign w:val="superscript"/>
              </w:rPr>
              <w:t>(6)</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4,101,246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(1,821,661)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2,279,585</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0.75 %</w:t>
            </w:r>
          </w:p>
        </w:tc>
        <w:tc>
          <w:tcPr>
            <w:tcW w:w="0" w:type="dxa"/>
            <w:vAlign w:val="bottom"/>
          </w:tcPr>
          <w:p>
            <w:pPr>
              <w:spacing w:after="0"/>
              <w:rPr>
                <w:sz w:val="1"/>
                <w:szCs w:val="1"/>
                <w:color w:val="auto"/>
              </w:rPr>
            </w:pPr>
          </w:p>
        </w:tc>
      </w:tr>
      <w:tr>
        <w:trPr>
          <w:trHeight w:val="213"/>
        </w:trPr>
        <w:tc>
          <w:tcPr>
            <w:tcW w:w="336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Options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5,283,506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(2,241,363)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3,042,143</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32"/>
        </w:trPr>
        <w:tc>
          <w:tcPr>
            <w:tcW w:w="33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Common Stock</w:t>
            </w: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360" w:type="dxa"/>
            <w:vAlign w:val="bottom"/>
            <w:gridSpan w:val="2"/>
          </w:tcPr>
          <w:p>
            <w:pPr>
              <w:ind w:left="140"/>
              <w:spacing w:after="0"/>
              <w:rPr>
                <w:sz w:val="20"/>
                <w:szCs w:val="20"/>
                <w:color w:val="auto"/>
              </w:rPr>
            </w:pPr>
            <w:r>
              <w:rPr>
                <w:rFonts w:ascii="Arial" w:cs="Arial" w:eastAsia="Arial" w:hAnsi="Arial"/>
                <w:sz w:val="16"/>
                <w:szCs w:val="16"/>
                <w:i w:val="1"/>
                <w:iCs w:val="1"/>
                <w:color w:val="auto"/>
              </w:rPr>
              <w:t>Online Education</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3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Curious.com, Inc.–Common shares</w:t>
            </w:r>
          </w:p>
        </w:tc>
        <w:tc>
          <w:tcPr>
            <w:tcW w:w="8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98"/>
              </w:rPr>
              <w:t>1,135,944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93"/>
        </w:trPr>
        <w:tc>
          <w:tcPr>
            <w:tcW w:w="3360" w:type="dxa"/>
            <w:vAlign w:val="bottom"/>
            <w:gridSpan w:val="2"/>
          </w:tcPr>
          <w:p>
            <w:pPr>
              <w:ind w:left="140"/>
              <w:spacing w:after="0"/>
              <w:rPr>
                <w:sz w:val="20"/>
                <w:szCs w:val="20"/>
                <w:color w:val="auto"/>
              </w:rPr>
            </w:pPr>
            <w:r>
              <w:rPr>
                <w:rFonts w:ascii="Arial" w:cs="Arial" w:eastAsia="Arial" w:hAnsi="Arial"/>
                <w:sz w:val="16"/>
                <w:szCs w:val="16"/>
                <w:i w:val="1"/>
                <w:iCs w:val="1"/>
                <w:color w:val="auto"/>
              </w:rPr>
              <w:t>Cannabis REIT</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36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GreenAcreage Real Estate Corp. -Common</w:t>
            </w:r>
          </w:p>
        </w:tc>
        <w:tc>
          <w:tcPr>
            <w:tcW w:w="8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422,586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317,617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1,008,103</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429,587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8,937,690</w:t>
            </w:r>
          </w:p>
        </w:tc>
        <w:tc>
          <w:tcPr>
            <w:tcW w:w="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2.96 %</w:t>
            </w:r>
          </w:p>
        </w:tc>
        <w:tc>
          <w:tcPr>
            <w:tcW w:w="0" w:type="dxa"/>
            <w:vAlign w:val="bottom"/>
          </w:tcPr>
          <w:p>
            <w:pPr>
              <w:spacing w:after="0"/>
              <w:rPr>
                <w:sz w:val="1"/>
                <w:szCs w:val="1"/>
                <w:color w:val="auto"/>
              </w:rPr>
            </w:pPr>
          </w:p>
        </w:tc>
      </w:tr>
      <w:tr>
        <w:trPr>
          <w:trHeight w:val="221"/>
        </w:trPr>
        <w:tc>
          <w:tcPr>
            <w:tcW w:w="336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shares***</w:t>
            </w:r>
            <w:r>
              <w:rPr>
                <w:rFonts w:ascii="Arial" w:cs="Arial" w:eastAsia="Arial" w:hAnsi="Arial"/>
                <w:sz w:val="21"/>
                <w:szCs w:val="21"/>
                <w:color w:val="auto"/>
                <w:vertAlign w:val="superscript"/>
              </w:rPr>
              <w:t>(7)</w:t>
            </w:r>
          </w:p>
        </w:tc>
        <w:tc>
          <w:tcPr>
            <w:tcW w:w="80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3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b w:val="1"/>
                <w:bCs w:val="1"/>
                <w:color w:val="auto"/>
              </w:rPr>
              <w:t>Total Common Stock</w:t>
            </w:r>
          </w:p>
        </w:tc>
        <w:tc>
          <w:tcPr>
            <w:tcW w:w="8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317,617</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1,008,103</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429,587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8,937,690</w:t>
            </w:r>
          </w:p>
        </w:tc>
        <w:tc>
          <w:tcPr>
            <w:tcW w:w="8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2.96 %</w:t>
            </w:r>
          </w:p>
        </w:tc>
        <w:tc>
          <w:tcPr>
            <w:tcW w:w="0" w:type="dxa"/>
            <w:vAlign w:val="bottom"/>
          </w:tcPr>
          <w:p>
            <w:pPr>
              <w:spacing w:after="0"/>
              <w:rPr>
                <w:sz w:val="1"/>
                <w:szCs w:val="1"/>
                <w:color w:val="auto"/>
              </w:rPr>
            </w:pPr>
          </w:p>
        </w:tc>
      </w:tr>
      <w:tr>
        <w:trPr>
          <w:trHeight w:val="158"/>
        </w:trPr>
        <w:tc>
          <w:tcPr>
            <w:tcW w:w="3280" w:type="dxa"/>
            <w:vAlign w:val="bottom"/>
            <w:shd w:val="clear" w:color="auto" w:fill="CCEEFF"/>
          </w:tcPr>
          <w:p>
            <w:pPr>
              <w:ind w:left="20"/>
              <w:spacing w:after="0" w:line="158" w:lineRule="exact"/>
              <w:rPr>
                <w:sz w:val="20"/>
                <w:szCs w:val="20"/>
                <w:color w:val="auto"/>
              </w:rPr>
            </w:pPr>
            <w:r>
              <w:rPr>
                <w:rFonts w:ascii="Arial" w:cs="Arial" w:eastAsia="Arial" w:hAnsi="Arial"/>
                <w:sz w:val="16"/>
                <w:szCs w:val="16"/>
                <w:b w:val="1"/>
                <w:bCs w:val="1"/>
                <w:color w:val="auto"/>
              </w:rPr>
              <w:t>TOTAL NON-CONTROLLED/AFFILIATE</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288,433</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37,944,268</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1,008,103</w:t>
            </w:r>
          </w:p>
        </w:tc>
        <w:tc>
          <w:tcPr>
            <w:tcW w:w="8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vMerge w:val="restart"/>
            <w:shd w:val="clear" w:color="auto" w:fill="CCEEFF"/>
          </w:tcPr>
          <w:p>
            <w:pPr>
              <w:ind w:left="540"/>
              <w:spacing w:after="0"/>
              <w:rPr>
                <w:sz w:val="20"/>
                <w:szCs w:val="20"/>
                <w:color w:val="auto"/>
              </w:rPr>
            </w:pPr>
            <w:r>
              <w:rPr>
                <w:rFonts w:ascii="Arial" w:cs="Arial" w:eastAsia="Arial" w:hAnsi="Arial"/>
                <w:sz w:val="16"/>
                <w:szCs w:val="16"/>
                <w:b w:val="1"/>
                <w:bCs w:val="1"/>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(8,786,598)</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30,165,773</w:t>
            </w:r>
          </w:p>
        </w:tc>
        <w:tc>
          <w:tcPr>
            <w:tcW w:w="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10.00 %</w:t>
            </w:r>
          </w:p>
        </w:tc>
        <w:tc>
          <w:tcPr>
            <w:tcW w:w="0" w:type="dxa"/>
            <w:vAlign w:val="bottom"/>
          </w:tcPr>
          <w:p>
            <w:pPr>
              <w:spacing w:after="0"/>
              <w:rPr>
                <w:sz w:val="1"/>
                <w:szCs w:val="1"/>
                <w:color w:val="auto"/>
              </w:rPr>
            </w:pPr>
          </w:p>
        </w:tc>
      </w:tr>
      <w:tr>
        <w:trPr>
          <w:trHeight w:val="249"/>
        </w:trPr>
        <w:tc>
          <w:tcPr>
            <w:tcW w:w="32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2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vMerge w:val="continue"/>
            <w:shd w:val="clear" w:color="auto" w:fill="CCEEFF"/>
          </w:tcPr>
          <w:p>
            <w:pPr>
              <w:spacing w:after="0"/>
              <w:rPr>
                <w:sz w:val="21"/>
                <w:szCs w:val="21"/>
                <w:color w:val="auto"/>
              </w:rPr>
            </w:pPr>
          </w:p>
        </w:tc>
        <w:tc>
          <w:tcPr>
            <w:tcW w:w="86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vMerge w:val="continue"/>
            <w:shd w:val="clear" w:color="auto" w:fill="CCEEFF"/>
          </w:tcPr>
          <w:p>
            <w:pPr>
              <w:spacing w:after="0"/>
              <w:rPr>
                <w:sz w:val="21"/>
                <w:szCs w:val="21"/>
                <w:color w:val="auto"/>
              </w:rPr>
            </w:pPr>
          </w:p>
        </w:tc>
        <w:tc>
          <w:tcPr>
            <w:tcW w:w="7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vMerge w:val="continue"/>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vMerge w:val="continue"/>
            <w:shd w:val="clear" w:color="auto" w:fill="CCEEFF"/>
          </w:tcPr>
          <w:p>
            <w:pPr>
              <w:spacing w:after="0"/>
              <w:rPr>
                <w:sz w:val="21"/>
                <w:szCs w:val="21"/>
                <w:color w:val="auto"/>
              </w:rPr>
            </w:pPr>
          </w:p>
        </w:tc>
        <w:tc>
          <w:tcPr>
            <w:tcW w:w="80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6520180</wp:posOffset>
            </wp:positionH>
            <wp:positionV relativeFrom="paragraph">
              <wp:posOffset>-1490980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-1490980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-1490980</wp:posOffset>
            </wp:positionV>
            <wp:extent cx="55753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753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31" w:lineRule="exact"/>
        <w:rPr>
          <w:sz w:val="20"/>
          <w:szCs w:val="20"/>
          <w:color w:val="auto"/>
        </w:rPr>
      </w:pPr>
    </w:p>
    <w:p>
      <w:pPr>
        <w:jc w:val="both"/>
        <w:ind w:left="340" w:hanging="332"/>
        <w:spacing w:after="0" w:line="249" w:lineRule="auto"/>
        <w:tabs>
          <w:tab w:leader="none" w:pos="380" w:val="left"/>
        </w:tabs>
        <w:numPr>
          <w:ilvl w:val="0"/>
          <w:numId w:val="69"/>
        </w:numPr>
        <w:rPr>
          <w:rFonts w:ascii="Arial" w:cs="Arial" w:eastAsia="Arial" w:hAnsi="Arial"/>
          <w:sz w:val="18"/>
          <w:szCs w:val="18"/>
          <w:color w:val="auto"/>
        </w:rPr>
      </w:pPr>
      <w:r>
        <w:rPr>
          <w:rFonts w:ascii="Arial" w:cs="Arial" w:eastAsia="Arial" w:hAnsi="Arial"/>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19" w:lineRule="exact"/>
        <w:rPr>
          <w:sz w:val="20"/>
          <w:szCs w:val="20"/>
          <w:color w:val="auto"/>
        </w:rPr>
      </w:pPr>
    </w:p>
    <w:p>
      <w:pPr>
        <w:ind w:left="340" w:hanging="332"/>
        <w:spacing w:after="0" w:line="275" w:lineRule="auto"/>
        <w:tabs>
          <w:tab w:leader="none" w:pos="232"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December 31, 2020, 22.56% of its total investments are non-qualifying assets.</w:t>
      </w:r>
    </w:p>
    <w:p>
      <w:pPr>
        <w:spacing w:after="0" w:line="199" w:lineRule="exact"/>
        <w:rPr>
          <w:rFonts w:ascii="Arial" w:cs="Arial" w:eastAsia="Arial" w:hAnsi="Arial"/>
          <w:sz w:val="16"/>
          <w:szCs w:val="16"/>
          <w:color w:val="auto"/>
        </w:rPr>
      </w:pPr>
    </w:p>
    <w:p>
      <w:pPr>
        <w:ind w:left="420" w:hanging="412"/>
        <w:spacing w:after="0"/>
        <w:tabs>
          <w:tab w:leader="none" w:pos="4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48" w:lineRule="exact"/>
        <w:rPr>
          <w:sz w:val="20"/>
          <w:szCs w:val="20"/>
          <w:color w:val="auto"/>
        </w:rPr>
      </w:pPr>
    </w:p>
    <w:p>
      <w:pPr>
        <w:ind w:left="500" w:hanging="492"/>
        <w:spacing w:after="0" w:line="261" w:lineRule="auto"/>
        <w:tabs>
          <w:tab w:leader="none" w:pos="3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42" w:lineRule="exact"/>
        <w:rPr>
          <w:sz w:val="20"/>
          <w:szCs w:val="20"/>
          <w:color w:val="auto"/>
        </w:rPr>
      </w:pPr>
    </w:p>
    <w:p>
      <w:pPr>
        <w:ind w:left="500" w:hanging="492"/>
        <w:spacing w:after="0" w:line="261" w:lineRule="auto"/>
        <w:tabs>
          <w:tab w:leader="none" w:pos="396"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9" w:lineRule="exact"/>
        <w:rPr>
          <w:rFonts w:ascii="Arial" w:cs="Arial" w:eastAsia="Arial" w:hAnsi="Arial"/>
          <w:sz w:val="16"/>
          <w:szCs w:val="16"/>
          <w:color w:val="auto"/>
        </w:rPr>
      </w:pPr>
    </w:p>
    <w:p>
      <w:pPr>
        <w:ind w:left="360" w:hanging="352"/>
        <w:spacing w:after="0"/>
        <w:tabs>
          <w:tab w:leader="none" w:pos="3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As of December 31, 2020, the investments noted had been placed on non-accrual status.</w:t>
      </w:r>
    </w:p>
    <w:p>
      <w:pPr>
        <w:spacing w:after="0" w:line="248" w:lineRule="exact"/>
        <w:rPr>
          <w:rFonts w:ascii="Arial" w:cs="Arial" w:eastAsia="Arial" w:hAnsi="Arial"/>
          <w:sz w:val="16"/>
          <w:szCs w:val="16"/>
          <w:color w:val="auto"/>
        </w:rPr>
      </w:pPr>
    </w:p>
    <w:p>
      <w:pPr>
        <w:ind w:left="500" w:hanging="492"/>
        <w:spacing w:after="0" w:line="256" w:lineRule="auto"/>
        <w:tabs>
          <w:tab w:leader="none" w:pos="371"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SPBRX, INC. (f/k/a GSV Sustainability Partners, Inc.) preferred shares held by SuRo Capital Corp. do not entitle SuRo Capital Corp. to a preferred dividend rate. During the year ended December 31, 2020, SPBRX, INC. (f/k/a GSV Sustainability Partners, Inc.) declared, and SuRo Capital Corp. received, an aggregate of $450,000 in dividend distributions. SuRo Capital Corp. does not anticipate that SPBRX, INC. will pay distributions on a quarterly or regular basis or become a predictable distributor of distributions.</w:t>
      </w:r>
    </w:p>
    <w:p>
      <w:pPr>
        <w:spacing w:after="0" w:line="213" w:lineRule="exact"/>
        <w:rPr>
          <w:rFonts w:ascii="Arial" w:cs="Arial" w:eastAsia="Arial" w:hAnsi="Arial"/>
          <w:sz w:val="16"/>
          <w:szCs w:val="16"/>
          <w:color w:val="auto"/>
        </w:rPr>
      </w:pPr>
    </w:p>
    <w:p>
      <w:pPr>
        <w:ind w:left="360" w:hanging="352"/>
        <w:spacing w:after="0"/>
        <w:tabs>
          <w:tab w:leader="none" w:pos="36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ind w:left="500" w:hanging="492"/>
        <w:spacing w:after="0" w:line="315" w:lineRule="auto"/>
        <w:tabs>
          <w:tab w:leader="none" w:pos="411" w:val="left"/>
        </w:tabs>
        <w:numPr>
          <w:ilvl w:val="0"/>
          <w:numId w:val="73"/>
        </w:numPr>
        <w:rPr>
          <w:rFonts w:ascii="Arial" w:cs="Arial" w:eastAsia="Arial" w:hAnsi="Arial"/>
          <w:sz w:val="14"/>
          <w:szCs w:val="14"/>
          <w:color w:val="auto"/>
        </w:rPr>
      </w:pPr>
      <w:r>
        <w:rPr>
          <w:rFonts w:ascii="Arial" w:cs="Arial" w:eastAsia="Arial" w:hAnsi="Arial"/>
          <w:sz w:val="14"/>
          <w:szCs w:val="14"/>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w:t>
      </w:r>
    </w:p>
    <w:p>
      <w:pPr>
        <w:spacing w:after="0" w:line="176" w:lineRule="exact"/>
        <w:rPr>
          <w:rFonts w:ascii="Arial" w:cs="Arial" w:eastAsia="Arial" w:hAnsi="Arial"/>
          <w:sz w:val="14"/>
          <w:szCs w:val="14"/>
          <w:color w:val="auto"/>
        </w:rPr>
      </w:pPr>
    </w:p>
    <w:p>
      <w:pPr>
        <w:ind w:left="500" w:hanging="492"/>
        <w:spacing w:after="0" w:line="310" w:lineRule="auto"/>
        <w:tabs>
          <w:tab w:leader="none" w:pos="377" w:val="left"/>
        </w:tabs>
        <w:numPr>
          <w:ilvl w:val="0"/>
          <w:numId w:val="73"/>
        </w:numPr>
        <w:rPr>
          <w:rFonts w:ascii="Arial" w:cs="Arial" w:eastAsia="Arial" w:hAnsi="Arial"/>
          <w:sz w:val="15"/>
          <w:szCs w:val="15"/>
          <w:color w:val="auto"/>
        </w:rPr>
      </w:pPr>
      <w:r>
        <w:rPr>
          <w:rFonts w:ascii="Arial" w:cs="Arial" w:eastAsia="Arial" w:hAnsi="Arial"/>
          <w:sz w:val="15"/>
          <w:szCs w:val="15"/>
          <w:color w:val="auto"/>
        </w:rPr>
        <w:t>During the year ended December 31, 2020, GreenAcreage Real Estate Corp. declared an aggregate of $317,617 in dividend distributions. SuRo Capital Corp. does not anticipate that Green Acreage Real Estate Corp. will pay distributions on a recurring or regular basis or become a predictable distributor of distributions.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of Investments In, and Advances to, Affiliates</w:t>
      </w:r>
    </w:p>
    <w:p>
      <w:pPr>
        <w:spacing w:after="0" w:line="256" w:lineRule="exact"/>
        <w:rPr>
          <w:sz w:val="20"/>
          <w:szCs w:val="20"/>
          <w:color w:val="auto"/>
        </w:rPr>
      </w:pPr>
    </w:p>
    <w:p>
      <w:pPr>
        <w:ind w:firstLine="364"/>
        <w:spacing w:after="0" w:line="277" w:lineRule="auto"/>
        <w:rPr>
          <w:sz w:val="20"/>
          <w:szCs w:val="20"/>
          <w:color w:val="auto"/>
        </w:rPr>
      </w:pPr>
      <w:r>
        <w:rPr>
          <w:rFonts w:ascii="Arial" w:cs="Arial" w:eastAsia="Arial" w:hAnsi="Arial"/>
          <w:sz w:val="18"/>
          <w:szCs w:val="18"/>
          <w:color w:val="auto"/>
        </w:rPr>
        <w:t>Transactions during the year ended December 31, 2019 involving the Company’s controlled investments and non-controlled/affiliate investments were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Investments In, and Advances to, Affiliate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Interest, Fees,</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or</w:t>
            </w:r>
          </w:p>
        </w:tc>
        <w:tc>
          <w:tcPr>
            <w:tcW w:w="9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9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1"/>
                <w:szCs w:val="11"/>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Dividends</w:t>
            </w:r>
          </w:p>
        </w:tc>
        <w:tc>
          <w:tcPr>
            <w:tcW w:w="12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December</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9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Credited</w:t>
            </w:r>
          </w:p>
        </w:tc>
        <w:tc>
          <w:tcPr>
            <w:tcW w:w="120" w:type="dxa"/>
            <w:vAlign w:val="bottom"/>
          </w:tcPr>
          <w:p>
            <w:pPr>
              <w:spacing w:after="0"/>
              <w:rPr>
                <w:sz w:val="11"/>
                <w:szCs w:val="11"/>
                <w:color w:val="auto"/>
              </w:rPr>
            </w:pPr>
          </w:p>
        </w:tc>
        <w:tc>
          <w:tcPr>
            <w:tcW w:w="740" w:type="dxa"/>
            <w:vAlign w:val="bottom"/>
          </w:tcPr>
          <w:p>
            <w:pPr>
              <w:jc w:val="right"/>
              <w:ind w:right="261"/>
              <w:spacing w:after="0" w:line="135" w:lineRule="exact"/>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at December</w:t>
            </w:r>
          </w:p>
        </w:tc>
        <w:tc>
          <w:tcPr>
            <w:tcW w:w="900" w:type="dxa"/>
            <w:vAlign w:val="bottom"/>
          </w:tcPr>
          <w:p>
            <w:pPr>
              <w:jc w:val="right"/>
              <w:ind w:right="181"/>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Pr>
          <w:p>
            <w:pPr>
              <w:spacing w:after="0"/>
              <w:rPr>
                <w:sz w:val="16"/>
                <w:szCs w:val="16"/>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Quantity</w:t>
            </w: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Income</w:t>
            </w:r>
          </w:p>
        </w:tc>
        <w:tc>
          <w:tcPr>
            <w:tcW w:w="12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Action</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Amortization</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Gains/(Losses)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700" w:type="dxa"/>
            <w:vAlign w:val="bottom"/>
          </w:tcPr>
          <w:p>
            <w:pPr>
              <w:jc w:val="right"/>
              <w:ind w:right="80"/>
              <w:spacing w:after="0"/>
              <w:rPr>
                <w:sz w:val="20"/>
                <w:szCs w:val="20"/>
                <w:color w:val="auto"/>
              </w:rPr>
            </w:pPr>
            <w:r>
              <w:rPr>
                <w:rFonts w:ascii="Arial" w:cs="Arial" w:eastAsia="Arial" w:hAnsi="Arial"/>
                <w:sz w:val="14"/>
                <w:szCs w:val="14"/>
                <w:b w:val="1"/>
                <w:bCs w:val="1"/>
                <w:color w:val="auto"/>
                <w:w w:val="95"/>
              </w:rPr>
              <w:t>31, 2019</w:t>
            </w:r>
          </w:p>
        </w:tc>
        <w:tc>
          <w:tcPr>
            <w:tcW w:w="80" w:type="dxa"/>
            <w:vAlign w:val="bottom"/>
          </w:tcPr>
          <w:p>
            <w:pPr>
              <w:spacing w:after="0"/>
              <w:rPr>
                <w:sz w:val="16"/>
                <w:szCs w:val="16"/>
                <w:color w:val="auto"/>
              </w:rPr>
            </w:pPr>
          </w:p>
        </w:tc>
        <w:tc>
          <w:tcPr>
            <w:tcW w:w="900" w:type="dxa"/>
            <w:vAlign w:val="bottom"/>
          </w:tcPr>
          <w:p>
            <w:pPr>
              <w:jc w:val="right"/>
              <w:ind w:right="18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64"/>
        </w:trPr>
        <w:tc>
          <w:tcPr>
            <w:tcW w:w="20" w:type="dxa"/>
            <w:vAlign w:val="bottom"/>
            <w:tcBorders>
              <w:top w:val="single" w:sz="8" w:color="auto"/>
            </w:tcBorders>
            <w:shd w:val="clear" w:color="auto" w:fill="CCEEFF"/>
          </w:tcPr>
          <w:p>
            <w:pPr>
              <w:spacing w:after="0"/>
              <w:rPr>
                <w:sz w:val="14"/>
                <w:szCs w:val="14"/>
                <w:color w:val="auto"/>
              </w:rPr>
            </w:pPr>
          </w:p>
        </w:tc>
        <w:tc>
          <w:tcPr>
            <w:tcW w:w="2300" w:type="dxa"/>
            <w:vAlign w:val="bottom"/>
            <w:tcBorders>
              <w:top w:val="single" w:sz="8" w:color="auto"/>
            </w:tcBorders>
            <w:gridSpan w:val="3"/>
            <w:shd w:val="clear" w:color="auto" w:fill="CCEEFF"/>
          </w:tcPr>
          <w:p>
            <w:pPr>
              <w:spacing w:after="0" w:line="157" w:lineRule="exact"/>
              <w:rPr>
                <w:sz w:val="20"/>
                <w:szCs w:val="20"/>
                <w:color w:val="auto"/>
              </w:rPr>
            </w:pPr>
            <w:r>
              <w:rPr>
                <w:rFonts w:ascii="Arial" w:cs="Arial" w:eastAsia="Arial" w:hAnsi="Arial"/>
                <w:sz w:val="16"/>
                <w:szCs w:val="16"/>
                <w:b w:val="1"/>
                <w:bCs w:val="1"/>
                <w:color w:val="auto"/>
              </w:rPr>
              <w:t>CONTROLLED</w:t>
            </w: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spacing w:after="0" w:line="148" w:lineRule="exact"/>
              <w:rPr>
                <w:sz w:val="20"/>
                <w:szCs w:val="20"/>
                <w:color w:val="auto"/>
              </w:rPr>
            </w:pPr>
            <w:r>
              <w:rPr>
                <w:rFonts w:ascii="Arial" w:cs="Arial" w:eastAsia="Arial" w:hAnsi="Arial"/>
                <w:sz w:val="16"/>
                <w:szCs w:val="16"/>
                <w:b w:val="1"/>
                <w:bCs w:val="1"/>
                <w:color w:val="auto"/>
              </w:rPr>
              <w:t>INVESTMENTS</w:t>
            </w:r>
          </w:p>
        </w:tc>
        <w:tc>
          <w:tcPr>
            <w:tcW w:w="20" w:type="dxa"/>
            <w:vAlign w:val="bottom"/>
            <w:tcBorders>
              <w:top w:val="single" w:sz="8" w:color="CCEEFF"/>
              <w:bottom w:val="single" w:sz="8" w:color="auto"/>
            </w:tcBorders>
            <w:shd w:val="clear" w:color="auto" w:fill="CCEEFF"/>
          </w:tcPr>
          <w:p>
            <w:pPr>
              <w:spacing w:after="0"/>
              <w:rPr>
                <w:sz w:val="14"/>
                <w:szCs w:val="14"/>
                <w:color w:val="auto"/>
              </w:rPr>
            </w:pPr>
          </w:p>
        </w:tc>
        <w:tc>
          <w:tcPr>
            <w:tcW w:w="1120" w:type="dxa"/>
            <w:vAlign w:val="bottom"/>
            <w:tcBorders>
              <w:top w:val="single" w:sz="8" w:color="CCEEFF"/>
              <w:bottom w:val="single" w:sz="8" w:color="CCEEFF"/>
            </w:tcBorders>
            <w:shd w:val="clear" w:color="auto" w:fill="CCEEFF"/>
          </w:tcPr>
          <w:p>
            <w:pPr>
              <w:jc w:val="right"/>
              <w:ind w:right="880"/>
              <w:spacing w:after="0" w:line="149" w:lineRule="exact"/>
              <w:rPr>
                <w:sz w:val="20"/>
                <w:szCs w:val="20"/>
                <w:color w:val="auto"/>
              </w:rPr>
            </w:pPr>
            <w:r>
              <w:rPr>
                <w:rFonts w:ascii="Arial" w:cs="Arial" w:eastAsia="Arial" w:hAnsi="Arial"/>
                <w:sz w:val="17"/>
                <w:szCs w:val="17"/>
                <w:b w:val="1"/>
                <w:bCs w:val="1"/>
                <w:color w:val="auto"/>
                <w:vertAlign w:val="subscript"/>
              </w:rPr>
              <w:t>*</w:t>
            </w:r>
            <w:r>
              <w:rPr>
                <w:rFonts w:ascii="Arial" w:cs="Arial" w:eastAsia="Arial" w:hAnsi="Arial"/>
                <w:sz w:val="8"/>
                <w:szCs w:val="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8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7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Clean Technology</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00" w:type="dxa"/>
            <w:vAlign w:val="bottom"/>
            <w:gridSpan w:val="3"/>
          </w:tcPr>
          <w:p>
            <w:pPr>
              <w:ind w:left="200"/>
              <w:spacing w:after="0" w:line="166" w:lineRule="exact"/>
              <w:rPr>
                <w:sz w:val="20"/>
                <w:szCs w:val="20"/>
                <w:color w:val="auto"/>
              </w:rPr>
            </w:pPr>
            <w:r>
              <w:rPr>
                <w:rFonts w:ascii="Arial" w:cs="Arial" w:eastAsia="Arial" w:hAnsi="Arial"/>
                <w:sz w:val="16"/>
                <w:szCs w:val="16"/>
                <w:color w:val="auto"/>
              </w:rPr>
              <w:t>SPBRX, INC. (f/k/a GSV</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00" w:type="dxa"/>
            <w:vAlign w:val="bottom"/>
            <w:gridSpan w:val="3"/>
          </w:tcPr>
          <w:p>
            <w:pPr>
              <w:ind w:left="200"/>
              <w:spacing w:after="0" w:line="158" w:lineRule="exact"/>
              <w:rPr>
                <w:sz w:val="20"/>
                <w:szCs w:val="20"/>
                <w:color w:val="auto"/>
              </w:rPr>
            </w:pPr>
            <w:r>
              <w:rPr>
                <w:rFonts w:ascii="Arial" w:cs="Arial" w:eastAsia="Arial" w:hAnsi="Arial"/>
                <w:sz w:val="16"/>
                <w:szCs w:val="16"/>
                <w:color w:val="auto"/>
                <w:w w:val="99"/>
              </w:rPr>
              <w:t>Sustainability Partners, Inc.)–</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14,300,000</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400,000</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750,198</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25,000</w:t>
            </w:r>
          </w:p>
        </w:tc>
        <w:tc>
          <w:tcPr>
            <w:tcW w:w="10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775,198</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0.39 %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200"/>
              <w:spacing w:after="0" w:line="216" w:lineRule="exact"/>
              <w:rPr>
                <w:sz w:val="20"/>
                <w:szCs w:val="20"/>
                <w:color w:val="auto"/>
              </w:rPr>
            </w:pPr>
            <w:r>
              <w:rPr>
                <w:rFonts w:ascii="Arial" w:cs="Arial" w:eastAsia="Arial" w:hAnsi="Arial"/>
                <w:sz w:val="16"/>
                <w:szCs w:val="16"/>
                <w:color w:val="auto"/>
                <w:w w:val="94"/>
              </w:rPr>
              <w:t>Preferred shares, Class A***</w:t>
            </w:r>
            <w:r>
              <w:rPr>
                <w:rFonts w:ascii="Arial" w:cs="Arial" w:eastAsia="Arial" w:hAnsi="Arial"/>
                <w:sz w:val="21"/>
                <w:szCs w:val="21"/>
                <w:color w:val="auto"/>
                <w:w w:val="94"/>
                <w:vertAlign w:val="superscript"/>
              </w:rPr>
              <w:t>(3)</w:t>
            </w: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00" w:type="dxa"/>
            <w:vAlign w:val="bottom"/>
            <w:gridSpan w:val="3"/>
          </w:tcPr>
          <w:p>
            <w:pPr>
              <w:ind w:left="200"/>
              <w:spacing w:after="0" w:line="166" w:lineRule="exact"/>
              <w:rPr>
                <w:sz w:val="20"/>
                <w:szCs w:val="20"/>
                <w:color w:val="auto"/>
              </w:rPr>
            </w:pPr>
            <w:r>
              <w:rPr>
                <w:rFonts w:ascii="Arial" w:cs="Arial" w:eastAsia="Arial" w:hAnsi="Arial"/>
                <w:sz w:val="16"/>
                <w:szCs w:val="16"/>
                <w:color w:val="auto"/>
              </w:rPr>
              <w:t>NestGSV, Inc. (d/b/a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00" w:type="dxa"/>
            <w:vAlign w:val="bottom"/>
            <w:gridSpan w:val="3"/>
          </w:tcPr>
          <w:p>
            <w:pPr>
              <w:ind w:left="200"/>
              <w:spacing w:after="0" w:line="158" w:lineRule="exact"/>
              <w:rPr>
                <w:sz w:val="20"/>
                <w:szCs w:val="20"/>
                <w:color w:val="auto"/>
              </w:rPr>
            </w:pPr>
            <w:r>
              <w:rPr>
                <w:rFonts w:ascii="Arial" w:cs="Arial" w:eastAsia="Arial" w:hAnsi="Arial"/>
                <w:sz w:val="16"/>
                <w:szCs w:val="16"/>
                <w:color w:val="auto"/>
              </w:rPr>
              <w:t>OneValley, Inc.)–Preferred</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0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2"/>
              </w:rPr>
              <w:t>4,960,553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2"/>
              </w:rPr>
              <w:t>(4,904,498)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(56,055)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stock Series A-4 </w:t>
            </w:r>
            <w:r>
              <w:rPr>
                <w:rFonts w:ascii="Arial" w:cs="Arial" w:eastAsia="Arial" w:hAnsi="Arial"/>
                <w:sz w:val="21"/>
                <w:szCs w:val="21"/>
                <w:color w:val="auto"/>
                <w:vertAlign w:val="superscript"/>
              </w:rPr>
              <w:t>(7)</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00"/>
              <w:spacing w:after="0" w:line="166" w:lineRule="exact"/>
              <w:rPr>
                <w:sz w:val="20"/>
                <w:szCs w:val="20"/>
                <w:color w:val="auto"/>
              </w:rPr>
            </w:pPr>
            <w:r>
              <w:rPr>
                <w:rFonts w:ascii="Arial" w:cs="Arial" w:eastAsia="Arial" w:hAnsi="Arial"/>
                <w:sz w:val="16"/>
                <w:szCs w:val="16"/>
                <w:color w:val="auto"/>
              </w:rPr>
              <w:t>NestGSV, Inc. (d/b/a</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00"/>
              <w:spacing w:after="0" w:line="158" w:lineRule="exact"/>
              <w:rPr>
                <w:sz w:val="20"/>
                <w:szCs w:val="20"/>
                <w:color w:val="auto"/>
              </w:rPr>
            </w:pPr>
            <w:r>
              <w:rPr>
                <w:rFonts w:ascii="Arial" w:cs="Arial" w:eastAsia="Arial" w:hAnsi="Arial"/>
                <w:sz w:val="16"/>
                <w:szCs w:val="16"/>
                <w:color w:val="auto"/>
              </w:rPr>
              <w:t>OneValley, Inc.)–Preferred</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1,735,134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(2,005,730)</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270,596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00"/>
              <w:spacing w:after="0" w:line="216" w:lineRule="exact"/>
              <w:rPr>
                <w:sz w:val="20"/>
                <w:szCs w:val="20"/>
                <w:color w:val="auto"/>
              </w:rPr>
            </w:pPr>
            <w:r>
              <w:rPr>
                <w:rFonts w:ascii="Arial" w:cs="Arial" w:eastAsia="Arial" w:hAnsi="Arial"/>
                <w:sz w:val="16"/>
                <w:szCs w:val="16"/>
                <w:color w:val="auto"/>
              </w:rPr>
              <w:t xml:space="preserve">stock Series A-3 </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00" w:type="dxa"/>
            <w:vAlign w:val="bottom"/>
            <w:gridSpan w:val="3"/>
          </w:tcPr>
          <w:p>
            <w:pPr>
              <w:ind w:left="200"/>
              <w:spacing w:after="0" w:line="166" w:lineRule="exact"/>
              <w:rPr>
                <w:sz w:val="20"/>
                <w:szCs w:val="20"/>
                <w:color w:val="auto"/>
              </w:rPr>
            </w:pPr>
            <w:r>
              <w:rPr>
                <w:rFonts w:ascii="Arial" w:cs="Arial" w:eastAsia="Arial" w:hAnsi="Arial"/>
                <w:sz w:val="16"/>
                <w:szCs w:val="16"/>
                <w:color w:val="auto"/>
              </w:rPr>
              <w:t>NestGSV, Inc. (d/b/a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00" w:type="dxa"/>
            <w:vAlign w:val="bottom"/>
            <w:gridSpan w:val="3"/>
          </w:tcPr>
          <w:p>
            <w:pPr>
              <w:ind w:left="200"/>
              <w:spacing w:after="0" w:line="158" w:lineRule="exact"/>
              <w:rPr>
                <w:sz w:val="20"/>
                <w:szCs w:val="20"/>
                <w:color w:val="auto"/>
              </w:rPr>
            </w:pPr>
            <w:r>
              <w:rPr>
                <w:rFonts w:ascii="Arial" w:cs="Arial" w:eastAsia="Arial" w:hAnsi="Arial"/>
                <w:sz w:val="16"/>
                <w:szCs w:val="16"/>
                <w:color w:val="auto"/>
              </w:rPr>
              <w:t>OneValley, Inc.)–Preferred</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0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300,000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(605,500)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305,500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stock Series A-2 </w:t>
            </w:r>
            <w:r>
              <w:rPr>
                <w:rFonts w:ascii="Arial" w:cs="Arial" w:eastAsia="Arial" w:hAnsi="Arial"/>
                <w:sz w:val="21"/>
                <w:szCs w:val="21"/>
                <w:color w:val="auto"/>
                <w:vertAlign w:val="superscript"/>
              </w:rPr>
              <w:t>(7)</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2300" w:type="dxa"/>
            <w:vAlign w:val="bottom"/>
            <w:gridSpan w:val="3"/>
            <w:shd w:val="clear" w:color="auto" w:fill="CCEEFF"/>
          </w:tcPr>
          <w:p>
            <w:pPr>
              <w:ind w:left="200"/>
              <w:spacing w:after="0" w:line="166" w:lineRule="exact"/>
              <w:rPr>
                <w:sz w:val="20"/>
                <w:szCs w:val="20"/>
                <w:color w:val="auto"/>
              </w:rPr>
            </w:pPr>
            <w:r>
              <w:rPr>
                <w:rFonts w:ascii="Arial" w:cs="Arial" w:eastAsia="Arial" w:hAnsi="Arial"/>
                <w:sz w:val="16"/>
                <w:szCs w:val="16"/>
                <w:color w:val="auto"/>
              </w:rPr>
              <w:t>NestGSV, Inc. (d/b/a</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shd w:val="clear" w:color="auto" w:fill="CCEEFF"/>
          </w:tcPr>
          <w:p>
            <w:pPr>
              <w:spacing w:after="0"/>
              <w:rPr>
                <w:sz w:val="13"/>
                <w:szCs w:val="13"/>
                <w:color w:val="auto"/>
              </w:rPr>
            </w:pPr>
          </w:p>
        </w:tc>
        <w:tc>
          <w:tcPr>
            <w:tcW w:w="2300" w:type="dxa"/>
            <w:vAlign w:val="bottom"/>
            <w:gridSpan w:val="3"/>
            <w:shd w:val="clear" w:color="auto" w:fill="CCEEFF"/>
          </w:tcPr>
          <w:p>
            <w:pPr>
              <w:ind w:left="200"/>
              <w:spacing w:after="0" w:line="158" w:lineRule="exact"/>
              <w:rPr>
                <w:sz w:val="20"/>
                <w:szCs w:val="20"/>
                <w:color w:val="auto"/>
              </w:rPr>
            </w:pPr>
            <w:r>
              <w:rPr>
                <w:rFonts w:ascii="Arial" w:cs="Arial" w:eastAsia="Arial" w:hAnsi="Arial"/>
                <w:sz w:val="16"/>
                <w:szCs w:val="16"/>
                <w:color w:val="auto"/>
              </w:rPr>
              <w:t>OneValley, Inc.)–Preferred</w:t>
            </w:r>
          </w:p>
        </w:tc>
        <w:tc>
          <w:tcPr>
            <w:tcW w:w="10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w w:val="99"/>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499,999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(1,021,778)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w w:val="99"/>
              </w:rPr>
              <w:t>—</w:t>
            </w:r>
          </w:p>
        </w:tc>
        <w:tc>
          <w:tcPr>
            <w:tcW w:w="80" w:type="dxa"/>
            <w:vAlign w:val="bottom"/>
            <w:vMerge w:val="restart"/>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521,779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ind w:left="200"/>
              <w:spacing w:after="0" w:line="216" w:lineRule="exact"/>
              <w:rPr>
                <w:sz w:val="20"/>
                <w:szCs w:val="20"/>
                <w:color w:val="auto"/>
              </w:rPr>
            </w:pPr>
            <w:r>
              <w:rPr>
                <w:rFonts w:ascii="Arial" w:cs="Arial" w:eastAsia="Arial" w:hAnsi="Arial"/>
                <w:sz w:val="16"/>
                <w:szCs w:val="16"/>
                <w:color w:val="auto"/>
              </w:rPr>
              <w:t xml:space="preserve">stock Series A-1 </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300" w:type="dxa"/>
            <w:vAlign w:val="bottom"/>
            <w:gridSpan w:val="3"/>
          </w:tcPr>
          <w:p>
            <w:pPr>
              <w:ind w:left="120"/>
              <w:spacing w:after="0" w:line="146" w:lineRule="exact"/>
              <w:rPr>
                <w:sz w:val="20"/>
                <w:szCs w:val="20"/>
                <w:color w:val="auto"/>
              </w:rPr>
            </w:pPr>
            <w:r>
              <w:rPr>
                <w:rFonts w:ascii="Arial" w:cs="Arial" w:eastAsia="Arial" w:hAnsi="Arial"/>
                <w:sz w:val="16"/>
                <w:szCs w:val="16"/>
                <w:i w:val="1"/>
                <w:iCs w:val="1"/>
                <w:color w:val="auto"/>
              </w:rPr>
              <w:t>Total Global Innovation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2"/>
              </w:rPr>
              <w:t>7,495,686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2"/>
              </w:rPr>
              <w:t>(8,537,506)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1,041,820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gridSpan w:val="3"/>
          </w:tcPr>
          <w:p>
            <w:pPr>
              <w:ind w:left="120"/>
              <w:spacing w:after="0"/>
              <w:rPr>
                <w:sz w:val="20"/>
                <w:szCs w:val="20"/>
                <w:color w:val="auto"/>
              </w:rPr>
            </w:pPr>
            <w:r>
              <w:rPr>
                <w:rFonts w:ascii="Arial" w:cs="Arial" w:eastAsia="Arial" w:hAnsi="Arial"/>
                <w:sz w:val="16"/>
                <w:szCs w:val="16"/>
                <w:i w:val="1"/>
                <w:iCs w:val="1"/>
                <w:color w:val="auto"/>
              </w:rPr>
              <w:t>Platform</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Total Preferred Stock</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8,245,884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(8,537,506)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1,066,820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775,198</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0.39 %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00" w:type="dxa"/>
            <w:vAlign w:val="bottom"/>
            <w:gridSpan w:val="3"/>
          </w:tcPr>
          <w:p>
            <w:pPr>
              <w:spacing w:after="0"/>
              <w:rPr>
                <w:sz w:val="20"/>
                <w:szCs w:val="20"/>
                <w:color w:val="auto"/>
              </w:rPr>
            </w:pPr>
            <w:r>
              <w:rPr>
                <w:rFonts w:ascii="Arial" w:cs="Arial" w:eastAsia="Arial" w:hAnsi="Arial"/>
                <w:sz w:val="16"/>
                <w:szCs w:val="16"/>
                <w:b w:val="1"/>
                <w:bCs w:val="1"/>
                <w:color w:val="auto"/>
              </w:rPr>
              <w:t>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Clean Technology</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00" w:type="dxa"/>
            <w:vAlign w:val="bottom"/>
            <w:gridSpan w:val="3"/>
          </w:tcPr>
          <w:p>
            <w:pPr>
              <w:ind w:left="200"/>
              <w:spacing w:after="0" w:line="166" w:lineRule="exact"/>
              <w:rPr>
                <w:sz w:val="20"/>
                <w:szCs w:val="20"/>
                <w:color w:val="auto"/>
              </w:rPr>
            </w:pPr>
            <w:r>
              <w:rPr>
                <w:rFonts w:ascii="Arial" w:cs="Arial" w:eastAsia="Arial" w:hAnsi="Arial"/>
                <w:sz w:val="16"/>
                <w:szCs w:val="16"/>
                <w:color w:val="auto"/>
              </w:rPr>
              <w:t>SPBRX, INC. (f/k/a GSV</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300" w:type="dxa"/>
            <w:vAlign w:val="bottom"/>
            <w:gridSpan w:val="3"/>
          </w:tcPr>
          <w:p>
            <w:pPr>
              <w:ind w:left="200"/>
              <w:spacing w:after="0" w:line="162" w:lineRule="exact"/>
              <w:rPr>
                <w:sz w:val="20"/>
                <w:szCs w:val="20"/>
                <w:color w:val="auto"/>
              </w:rPr>
            </w:pPr>
            <w:r>
              <w:rPr>
                <w:rFonts w:ascii="Arial" w:cs="Arial" w:eastAsia="Arial" w:hAnsi="Arial"/>
                <w:sz w:val="16"/>
                <w:szCs w:val="16"/>
                <w:color w:val="auto"/>
                <w:w w:val="99"/>
              </w:rPr>
              <w:t>Sustainability Partners, Inc.)–</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ind w:left="5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00" w:type="dxa"/>
            <w:vAlign w:val="bottom"/>
            <w:gridSpan w:val="3"/>
          </w:tcPr>
          <w:p>
            <w:pPr>
              <w:ind w:left="200"/>
              <w:spacing w:after="0"/>
              <w:rPr>
                <w:sz w:val="20"/>
                <w:szCs w:val="20"/>
                <w:color w:val="auto"/>
              </w:rPr>
            </w:pPr>
            <w:r>
              <w:rPr>
                <w:rFonts w:ascii="Arial" w:cs="Arial" w:eastAsia="Arial" w:hAnsi="Arial"/>
                <w:sz w:val="16"/>
                <w:szCs w:val="16"/>
                <w:color w:val="auto"/>
              </w:rPr>
              <w:t>Common shares</w:t>
            </w:r>
          </w:p>
        </w:tc>
        <w:tc>
          <w:tcPr>
            <w:tcW w:w="9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300" w:type="dxa"/>
            <w:vAlign w:val="bottom"/>
            <w:gridSpan w:val="3"/>
            <w:shd w:val="clear" w:color="auto" w:fill="CCEEFF"/>
          </w:tcPr>
          <w:p>
            <w:pPr>
              <w:ind w:left="12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300" w:type="dxa"/>
            <w:vAlign w:val="bottom"/>
            <w:gridSpan w:val="3"/>
          </w:tcPr>
          <w:p>
            <w:pPr>
              <w:ind w:left="200"/>
              <w:spacing w:after="0" w:line="166" w:lineRule="exact"/>
              <w:rPr>
                <w:sz w:val="20"/>
                <w:szCs w:val="20"/>
                <w:color w:val="auto"/>
              </w:rPr>
            </w:pPr>
            <w:r>
              <w:rPr>
                <w:rFonts w:ascii="Arial" w:cs="Arial" w:eastAsia="Arial" w:hAnsi="Arial"/>
                <w:sz w:val="16"/>
                <w:szCs w:val="16"/>
                <w:color w:val="auto"/>
              </w:rPr>
              <w:t>NestGSV, Inc. (d/b/a</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00" w:type="dxa"/>
            <w:vAlign w:val="bottom"/>
            <w:gridSpan w:val="3"/>
          </w:tcPr>
          <w:p>
            <w:pPr>
              <w:ind w:left="200"/>
              <w:spacing w:after="0" w:line="158" w:lineRule="exact"/>
              <w:rPr>
                <w:sz w:val="20"/>
                <w:szCs w:val="20"/>
                <w:color w:val="auto"/>
              </w:rPr>
            </w:pPr>
            <w:r>
              <w:rPr>
                <w:rFonts w:ascii="Arial" w:cs="Arial" w:eastAsia="Arial" w:hAnsi="Arial"/>
                <w:sz w:val="16"/>
                <w:szCs w:val="16"/>
                <w:color w:val="auto"/>
              </w:rPr>
              <w:t>OneValley, Inc.)–Common</w:t>
            </w:r>
          </w:p>
        </w:tc>
        <w:tc>
          <w:tcPr>
            <w:tcW w:w="100" w:type="dxa"/>
            <w:vAlign w:val="bottom"/>
          </w:tcPr>
          <w:p>
            <w:pPr>
              <w:spacing w:after="0"/>
              <w:rPr>
                <w:sz w:val="13"/>
                <w:szCs w:val="13"/>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0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2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shares </w:t>
            </w:r>
            <w:r>
              <w:rPr>
                <w:rFonts w:ascii="Arial" w:cs="Arial" w:eastAsia="Arial" w:hAnsi="Arial"/>
                <w:sz w:val="21"/>
                <w:szCs w:val="21"/>
                <w:color w:val="auto"/>
                <w:vertAlign w:val="superscript"/>
              </w:rPr>
              <w:t>(7)</w:t>
            </w: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shd w:val="clear" w:color="auto" w:fill="CCEEFF"/>
          </w:tcPr>
          <w:p>
            <w:pPr>
              <w:spacing w:after="0"/>
              <w:rPr>
                <w:sz w:val="18"/>
                <w:szCs w:val="18"/>
                <w:color w:val="auto"/>
              </w:rPr>
            </w:pPr>
          </w:p>
        </w:tc>
        <w:tc>
          <w:tcPr>
            <w:tcW w:w="23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Total Common Stock</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30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TOTAL CONTROLLED</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400,000</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8,245,884</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2"/>
              </w:rPr>
              <w:t>(8,538,506)</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1,067,820</w:t>
            </w:r>
          </w:p>
        </w:tc>
        <w:tc>
          <w:tcPr>
            <w:tcW w:w="100" w:type="dxa"/>
            <w:vAlign w:val="bottom"/>
          </w:tcPr>
          <w:p>
            <w:pPr>
              <w:spacing w:after="0"/>
              <w:rPr>
                <w:sz w:val="13"/>
                <w:szCs w:val="13"/>
                <w:color w:val="auto"/>
              </w:rPr>
            </w:pPr>
          </w:p>
        </w:tc>
        <w:tc>
          <w:tcPr>
            <w:tcW w:w="120" w:type="dxa"/>
            <w:vAlign w:val="bottom"/>
            <w:vMerge w:val="restart"/>
          </w:tcPr>
          <w:p>
            <w:pPr>
              <w:spacing w:after="0"/>
              <w:rPr>
                <w:sz w:val="20"/>
                <w:szCs w:val="20"/>
                <w:color w:val="auto"/>
              </w:rPr>
            </w:pPr>
            <w:r>
              <w:rPr>
                <w:rFonts w:ascii="Arial" w:cs="Arial" w:eastAsia="Arial" w:hAnsi="Arial"/>
                <w:sz w:val="16"/>
                <w:szCs w:val="16"/>
                <w:b w:val="1"/>
                <w:bCs w:val="1"/>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775,198</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0.39 %</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2300" w:type="dxa"/>
            <w:vAlign w:val="bottom"/>
            <w:gridSpan w:val="3"/>
          </w:tcPr>
          <w:p>
            <w:pPr>
              <w:spacing w:after="0"/>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(2)</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vMerge w:val="continue"/>
          </w:tcPr>
          <w:p>
            <w:pPr>
              <w:spacing w:after="0"/>
              <w:rPr>
                <w:sz w:val="24"/>
                <w:szCs w:val="24"/>
                <w:color w:val="auto"/>
              </w:rPr>
            </w:pPr>
          </w:p>
        </w:tc>
        <w:tc>
          <w:tcPr>
            <w:tcW w:w="940" w:type="dxa"/>
            <w:vAlign w:val="bottom"/>
            <w:gridSpan w:val="2"/>
            <w:vMerge w:val="continue"/>
          </w:tcPr>
          <w:p>
            <w:pPr>
              <w:spacing w:after="0"/>
              <w:rPr>
                <w:sz w:val="24"/>
                <w:szCs w:val="24"/>
                <w:color w:val="auto"/>
              </w:rPr>
            </w:pPr>
          </w:p>
        </w:tc>
        <w:tc>
          <w:tcPr>
            <w:tcW w:w="160" w:type="dxa"/>
            <w:vAlign w:val="bottom"/>
            <w:vMerge w:val="continue"/>
          </w:tcPr>
          <w:p>
            <w:pPr>
              <w:spacing w:after="0"/>
              <w:rPr>
                <w:sz w:val="24"/>
                <w:szCs w:val="24"/>
                <w:color w:val="auto"/>
              </w:rPr>
            </w:pPr>
          </w:p>
        </w:tc>
        <w:tc>
          <w:tcPr>
            <w:tcW w:w="860" w:type="dxa"/>
            <w:vAlign w:val="bottom"/>
            <w:gridSpan w:val="2"/>
            <w:vMerge w:val="continue"/>
          </w:tcPr>
          <w:p>
            <w:pPr>
              <w:spacing w:after="0"/>
              <w:rPr>
                <w:sz w:val="24"/>
                <w:szCs w:val="24"/>
                <w:color w:val="auto"/>
              </w:rPr>
            </w:pPr>
          </w:p>
        </w:tc>
        <w:tc>
          <w:tcPr>
            <w:tcW w:w="120" w:type="dxa"/>
            <w:vAlign w:val="bottom"/>
            <w:vMerge w:val="continue"/>
          </w:tcPr>
          <w:p>
            <w:pPr>
              <w:spacing w:after="0"/>
              <w:rPr>
                <w:sz w:val="24"/>
                <w:szCs w:val="24"/>
                <w:color w:val="auto"/>
              </w:rPr>
            </w:pPr>
          </w:p>
        </w:tc>
        <w:tc>
          <w:tcPr>
            <w:tcW w:w="8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vMerge w:val="continue"/>
          </w:tcPr>
          <w:p>
            <w:pPr>
              <w:spacing w:after="0"/>
              <w:rPr>
                <w:sz w:val="24"/>
                <w:szCs w:val="24"/>
                <w:color w:val="auto"/>
              </w:rPr>
            </w:pPr>
          </w:p>
        </w:tc>
        <w:tc>
          <w:tcPr>
            <w:tcW w:w="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-4272915</wp:posOffset>
            </wp:positionV>
            <wp:extent cx="51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21" w:right="359" w:bottom="1440" w:gutter="0" w:footer="0" w:header="0"/>
        </w:sectPr>
      </w:pPr>
    </w:p>
    <w:bookmarkStart w:id="116" w:name="page117"/>
    <w:bookmarkEnd w:id="1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Interest, Fees,</w:t>
            </w:r>
          </w:p>
        </w:tc>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Purchases,</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9"/>
              </w:rPr>
              <w:t>or</w:t>
            </w:r>
          </w:p>
        </w:tc>
        <w:tc>
          <w:tcPr>
            <w:tcW w:w="9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4"/>
              </w:rPr>
              <w:t>Capitalized</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8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Dividends</w:t>
            </w:r>
          </w:p>
        </w:tc>
        <w:tc>
          <w:tcPr>
            <w:tcW w:w="9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4"/>
              </w:rPr>
              <w:t>December</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3"/>
              </w:rPr>
              <w:t>Fees,</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rPr>
              <w:t>Type/Industry/Portfolio</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Principal/</w:t>
            </w: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Credited</w:t>
            </w:r>
          </w:p>
        </w:tc>
        <w:tc>
          <w:tcPr>
            <w:tcW w:w="880" w:type="dxa"/>
            <w:vAlign w:val="bottom"/>
          </w:tcPr>
          <w:p>
            <w:pPr>
              <w:jc w:val="right"/>
              <w:ind w:right="261"/>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Interest and</w:t>
            </w:r>
          </w:p>
        </w:tc>
        <w:tc>
          <w:tcPr>
            <w:tcW w:w="12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w:t>
            </w: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at December</w:t>
            </w:r>
          </w:p>
        </w:tc>
        <w:tc>
          <w:tcPr>
            <w:tcW w:w="860" w:type="dxa"/>
            <w:vAlign w:val="bottom"/>
          </w:tcPr>
          <w:p>
            <w:pPr>
              <w:jc w:val="right"/>
              <w:ind w:right="161"/>
              <w:spacing w:after="0"/>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spacing w:after="0"/>
              <w:rPr>
                <w:sz w:val="20"/>
                <w:szCs w:val="20"/>
                <w:color w:val="auto"/>
              </w:rPr>
            </w:pPr>
            <w:r>
              <w:rPr>
                <w:rFonts w:ascii="Arial" w:cs="Arial" w:eastAsia="Arial" w:hAnsi="Arial"/>
                <w:sz w:val="14"/>
                <w:szCs w:val="14"/>
                <w:b w:val="1"/>
                <w:bCs w:val="1"/>
                <w:color w:val="auto"/>
              </w:rPr>
              <w:t>Company/Investment</w:t>
            </w:r>
          </w:p>
        </w:tc>
        <w:tc>
          <w:tcPr>
            <w:tcW w:w="10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Quantity</w:t>
            </w:r>
          </w:p>
        </w:tc>
        <w:tc>
          <w:tcPr>
            <w:tcW w:w="14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Income</w:t>
            </w:r>
          </w:p>
        </w:tc>
        <w:tc>
          <w:tcPr>
            <w:tcW w:w="880" w:type="dxa"/>
            <w:vAlign w:val="bottom"/>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Action</w:t>
            </w: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Amortization</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Gains/(Losses)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31, 2019</w:t>
            </w:r>
          </w:p>
        </w:tc>
        <w:tc>
          <w:tcPr>
            <w:tcW w:w="80" w:type="dxa"/>
            <w:vAlign w:val="bottom"/>
          </w:tcPr>
          <w:p>
            <w:pPr>
              <w:spacing w:after="0"/>
              <w:rPr>
                <w:sz w:val="14"/>
                <w:szCs w:val="14"/>
                <w:color w:val="auto"/>
              </w:rPr>
            </w:pPr>
          </w:p>
        </w:tc>
        <w:tc>
          <w:tcPr>
            <w:tcW w:w="860" w:type="dxa"/>
            <w:vAlign w:val="bottom"/>
          </w:tcPr>
          <w:p>
            <w:pPr>
              <w:jc w:val="right"/>
              <w:ind w:right="16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45"/>
        </w:trPr>
        <w:tc>
          <w:tcPr>
            <w:tcW w:w="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top w:val="single" w:sz="8" w:color="auto"/>
              <w:bottom w:val="single" w:sz="8" w:color="CCEEFF"/>
            </w:tcBorders>
          </w:tcPr>
          <w:p>
            <w:pPr>
              <w:spacing w:after="0"/>
              <w:rPr>
                <w:sz w:val="3"/>
                <w:szCs w:val="3"/>
                <w:color w:val="auto"/>
              </w:rPr>
            </w:pPr>
          </w:p>
        </w:tc>
        <w:tc>
          <w:tcPr>
            <w:tcW w:w="78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0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0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top w:val="single" w:sz="8" w:color="auto"/>
              <w:bottom w:val="single" w:sz="8" w:color="CCEEFF"/>
            </w:tcBorders>
          </w:tcPr>
          <w:p>
            <w:pPr>
              <w:spacing w:after="0"/>
              <w:rPr>
                <w:sz w:val="3"/>
                <w:szCs w:val="3"/>
                <w:color w:val="auto"/>
              </w:rPr>
            </w:pPr>
          </w:p>
        </w:tc>
        <w:tc>
          <w:tcPr>
            <w:tcW w:w="82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top w:val="single" w:sz="8" w:color="auto"/>
              <w:bottom w:val="single" w:sz="8" w:color="CCEEFF"/>
            </w:tcBorders>
          </w:tcPr>
          <w:p>
            <w:pPr>
              <w:spacing w:after="0"/>
              <w:rPr>
                <w:sz w:val="3"/>
                <w:szCs w:val="3"/>
                <w:color w:val="auto"/>
              </w:rPr>
            </w:pPr>
          </w:p>
        </w:tc>
        <w:tc>
          <w:tcPr>
            <w:tcW w:w="740" w:type="dxa"/>
            <w:vAlign w:val="bottom"/>
            <w:tcBorders>
              <w:top w:val="single" w:sz="8" w:color="auto"/>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60" w:type="dxa"/>
            <w:vAlign w:val="bottom"/>
            <w:tcBorders>
              <w:top w:val="single" w:sz="8" w:color="auto"/>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2400" w:type="dxa"/>
            <w:vAlign w:val="bottom"/>
            <w:tcBorders>
              <w:top w:val="single" w:sz="8" w:color="CCEEFF"/>
            </w:tcBorders>
            <w:gridSpan w:val="4"/>
            <w:shd w:val="clear" w:color="auto" w:fill="CCEEFF"/>
          </w:tcPr>
          <w:p>
            <w:pPr>
              <w:spacing w:after="0" w:line="136" w:lineRule="exact"/>
              <w:rPr>
                <w:sz w:val="20"/>
                <w:szCs w:val="20"/>
                <w:color w:val="auto"/>
              </w:rPr>
            </w:pPr>
            <w:r>
              <w:rPr>
                <w:rFonts w:ascii="Arial" w:cs="Arial" w:eastAsia="Arial" w:hAnsi="Arial"/>
                <w:sz w:val="15"/>
                <w:szCs w:val="15"/>
                <w:b w:val="1"/>
                <w:bCs w:val="1"/>
                <w:color w:val="auto"/>
              </w:rPr>
              <w:t>NON-</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2060" w:type="dxa"/>
            <w:vAlign w:val="bottom"/>
            <w:tcBorders>
              <w:top w:val="single" w:sz="8" w:color="CCEEFF"/>
            </w:tcBorders>
            <w:gridSpan w:val="4"/>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CONTROLLED/AFFILIATE</w:t>
            </w: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80" w:type="dxa"/>
            <w:vAlign w:val="bottom"/>
            <w:tcBorders>
              <w:top w:val="single" w:sz="8" w:color="auto"/>
            </w:tcBorders>
            <w:gridSpan w:val="3"/>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INVESTMENTS*</w:t>
            </w:r>
            <w:r>
              <w:rPr>
                <w:rFonts w:ascii="Arial" w:cs="Arial" w:eastAsia="Arial" w:hAnsi="Arial"/>
                <w:sz w:val="16"/>
                <w:szCs w:val="16"/>
                <w:b w:val="1"/>
                <w:bCs w:val="1"/>
                <w:color w:val="auto"/>
                <w:vertAlign w:val="superscript"/>
              </w:rPr>
              <w:t>(1)</w:t>
            </w:r>
          </w:p>
        </w:tc>
        <w:tc>
          <w:tcPr>
            <w:tcW w:w="4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Arial" w:cs="Arial" w:eastAsia="Arial" w:hAnsi="Arial"/>
                <w:sz w:val="16"/>
                <w:szCs w:val="16"/>
                <w:b w:val="1"/>
                <w:bCs w:val="1"/>
                <w:color w:val="auto"/>
              </w:rPr>
              <w:t>Debt Investments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5"/>
            <w:shd w:val="clear" w:color="auto" w:fill="CCEEFF"/>
          </w:tcPr>
          <w:p>
            <w:pPr>
              <w:ind w:left="12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200"/>
              <w:spacing w:after="0" w:line="166" w:lineRule="exact"/>
              <w:rPr>
                <w:sz w:val="20"/>
                <w:szCs w:val="20"/>
                <w:color w:val="auto"/>
              </w:rPr>
            </w:pPr>
            <w:r>
              <w:rPr>
                <w:rFonts w:ascii="Arial" w:cs="Arial" w:eastAsia="Arial" w:hAnsi="Arial"/>
                <w:sz w:val="16"/>
                <w:szCs w:val="16"/>
                <w:color w:val="auto"/>
              </w:rPr>
              <w:t>CUX, Inc. (d/b/a CorpU)–Senior</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Arial" w:cs="Arial" w:eastAsia="Arial" w:hAnsi="Arial"/>
                <w:sz w:val="16"/>
                <w:szCs w:val="16"/>
                <w:color w:val="auto"/>
              </w:rPr>
              <w:t>Subordinated Convertible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80" w:type="dxa"/>
            <w:vAlign w:val="bottom"/>
            <w:gridSpan w:val="5"/>
          </w:tcPr>
          <w:p>
            <w:pPr>
              <w:ind w:left="200"/>
              <w:spacing w:after="0" w:line="158" w:lineRule="exact"/>
              <w:rPr>
                <w:sz w:val="20"/>
                <w:szCs w:val="20"/>
                <w:color w:val="auto"/>
              </w:rPr>
            </w:pPr>
            <w:r>
              <w:rPr>
                <w:rFonts w:ascii="Arial" w:cs="Arial" w:eastAsia="Arial" w:hAnsi="Arial"/>
                <w:sz w:val="16"/>
                <w:szCs w:val="16"/>
                <w:color w:val="auto"/>
              </w:rPr>
              <w:t>Promissory Note 4% Due</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1,251,158</w:t>
            </w:r>
          </w:p>
        </w:tc>
        <w:tc>
          <w:tcPr>
            <w:tcW w:w="8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(13,142)</w:t>
            </w:r>
          </w:p>
        </w:tc>
        <w:tc>
          <w:tcPr>
            <w:tcW w:w="80" w:type="dxa"/>
            <w:vAlign w:val="bottom"/>
          </w:tcPr>
          <w:p>
            <w:pPr>
              <w:spacing w:after="0"/>
              <w:rPr>
                <w:sz w:val="13"/>
                <w:szCs w:val="13"/>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w w:val="92"/>
              </w:rPr>
              <w:t>$ 1,360,489</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3,553</w:t>
            </w:r>
          </w:p>
        </w:tc>
        <w:tc>
          <w:tcPr>
            <w:tcW w:w="8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(109,331)</w:t>
            </w:r>
          </w:p>
        </w:tc>
        <w:tc>
          <w:tcPr>
            <w:tcW w:w="80" w:type="dxa"/>
            <w:vAlign w:val="bottom"/>
          </w:tcPr>
          <w:p>
            <w:pPr>
              <w:spacing w:after="0"/>
              <w:rPr>
                <w:sz w:val="13"/>
                <w:szCs w:val="13"/>
                <w:color w:val="auto"/>
              </w:rPr>
            </w:pPr>
          </w:p>
        </w:tc>
        <w:tc>
          <w:tcPr>
            <w:tcW w:w="120" w:type="dxa"/>
            <w:vAlign w:val="bottom"/>
            <w:vMerge w:val="restart"/>
          </w:tcPr>
          <w:p>
            <w:pPr>
              <w:ind w:left="20"/>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(941,922)</w:t>
            </w:r>
          </w:p>
        </w:tc>
        <w:tc>
          <w:tcPr>
            <w:tcW w:w="8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312,789</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0.16 %</w:t>
            </w:r>
          </w:p>
        </w:tc>
        <w:tc>
          <w:tcPr>
            <w:tcW w:w="0" w:type="dxa"/>
            <w:vAlign w:val="bottom"/>
          </w:tcPr>
          <w:p>
            <w:pPr>
              <w:spacing w:after="0"/>
              <w:rPr>
                <w:sz w:val="1"/>
                <w:szCs w:val="1"/>
                <w:color w:val="auto"/>
              </w:rPr>
            </w:pPr>
          </w:p>
        </w:tc>
      </w:tr>
      <w:tr>
        <w:trPr>
          <w:trHeight w:val="216"/>
        </w:trPr>
        <w:tc>
          <w:tcPr>
            <w:tcW w:w="1200" w:type="dxa"/>
            <w:vAlign w:val="bottom"/>
            <w:gridSpan w:val="3"/>
          </w:tcPr>
          <w:p>
            <w:pPr>
              <w:ind w:left="220"/>
              <w:spacing w:after="0" w:line="216" w:lineRule="exact"/>
              <w:rPr>
                <w:sz w:val="20"/>
                <w:szCs w:val="20"/>
                <w:color w:val="auto"/>
              </w:rPr>
            </w:pPr>
            <w:r>
              <w:rPr>
                <w:rFonts w:ascii="Arial" w:cs="Arial" w:eastAsia="Arial" w:hAnsi="Arial"/>
                <w:sz w:val="16"/>
                <w:szCs w:val="16"/>
                <w:color w:val="auto"/>
              </w:rPr>
              <w:t>2/14/2023</w:t>
            </w:r>
            <w:r>
              <w:rPr>
                <w:rFonts w:ascii="Arial" w:cs="Arial" w:eastAsia="Arial" w:hAnsi="Arial"/>
                <w:sz w:val="21"/>
                <w:szCs w:val="21"/>
                <w:color w:val="auto"/>
                <w:vertAlign w:val="superscript"/>
              </w:rPr>
              <w:t>(5)</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20"/>
              <w:spacing w:after="0"/>
              <w:rPr>
                <w:sz w:val="20"/>
                <w:szCs w:val="20"/>
                <w:color w:val="auto"/>
              </w:rPr>
            </w:pPr>
            <w:r>
              <w:rPr>
                <w:rFonts w:ascii="Arial" w:cs="Arial" w:eastAsia="Arial" w:hAnsi="Arial"/>
                <w:sz w:val="16"/>
                <w:szCs w:val="16"/>
                <w:i w:val="1"/>
                <w:iCs w:val="1"/>
                <w:color w:val="auto"/>
              </w:rPr>
              <w:t>Digital Media Platform</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200"/>
              <w:spacing w:after="0" w:line="166" w:lineRule="exact"/>
              <w:rPr>
                <w:sz w:val="20"/>
                <w:szCs w:val="20"/>
                <w:color w:val="auto"/>
              </w:rPr>
            </w:pPr>
            <w:r>
              <w:rPr>
                <w:rFonts w:ascii="Arial" w:cs="Arial" w:eastAsia="Arial" w:hAnsi="Arial"/>
                <w:sz w:val="16"/>
                <w:szCs w:val="16"/>
                <w:color w:val="auto"/>
              </w:rPr>
              <w:t>Ozy Media, Inc.–Convertible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80" w:type="dxa"/>
            <w:vAlign w:val="bottom"/>
            <w:gridSpan w:val="5"/>
          </w:tcPr>
          <w:p>
            <w:pPr>
              <w:ind w:left="200"/>
              <w:spacing w:after="0" w:line="158" w:lineRule="exact"/>
              <w:rPr>
                <w:sz w:val="20"/>
                <w:szCs w:val="20"/>
                <w:color w:val="auto"/>
              </w:rPr>
            </w:pPr>
            <w:r>
              <w:rPr>
                <w:rFonts w:ascii="Arial" w:cs="Arial" w:eastAsia="Arial" w:hAnsi="Arial"/>
                <w:sz w:val="16"/>
                <w:szCs w:val="16"/>
                <w:color w:val="auto"/>
              </w:rPr>
              <w:t>Promissory Note 5% Due</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72,864</w:t>
            </w:r>
          </w:p>
        </w:tc>
        <w:tc>
          <w:tcPr>
            <w:tcW w:w="80" w:type="dxa"/>
            <w:vAlign w:val="bottom"/>
          </w:tcPr>
          <w:p>
            <w:pPr>
              <w:spacing w:after="0"/>
              <w:rPr>
                <w:sz w:val="13"/>
                <w:szCs w:val="13"/>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3,153,575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spacing w:after="0"/>
              <w:rPr>
                <w:sz w:val="20"/>
                <w:szCs w:val="20"/>
                <w:color w:val="auto"/>
              </w:rPr>
            </w:pPr>
            <w:r>
              <w:rPr>
                <w:rFonts w:ascii="Arial" w:cs="Arial" w:eastAsia="Arial" w:hAnsi="Arial"/>
                <w:sz w:val="16"/>
                <w:szCs w:val="16"/>
                <w:color w:val="auto"/>
                <w:w w:val="95"/>
              </w:rPr>
              <w:t>(2,102,384)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2"/>
              </w:rPr>
              <w:t>(1,051,191)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100" w:type="dxa"/>
            <w:vAlign w:val="bottom"/>
            <w:gridSpan w:val="4"/>
          </w:tcPr>
          <w:p>
            <w:pPr>
              <w:ind w:left="220"/>
              <w:spacing w:after="0" w:line="216" w:lineRule="exact"/>
              <w:rPr>
                <w:sz w:val="20"/>
                <w:szCs w:val="20"/>
                <w:color w:val="auto"/>
              </w:rPr>
            </w:pPr>
            <w:r>
              <w:rPr>
                <w:rFonts w:ascii="Arial" w:cs="Arial" w:eastAsia="Arial" w:hAnsi="Arial"/>
                <w:sz w:val="16"/>
                <w:szCs w:val="16"/>
                <w:color w:val="auto"/>
              </w:rPr>
              <w:t>12/31/2018***</w:t>
            </w:r>
            <w:r>
              <w:rPr>
                <w:rFonts w:ascii="Arial" w:cs="Arial" w:eastAsia="Arial" w:hAnsi="Arial"/>
                <w:sz w:val="21"/>
                <w:szCs w:val="21"/>
                <w:color w:val="auto"/>
                <w:vertAlign w:val="superscript"/>
              </w:rPr>
              <w:t>(6)</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2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200"/>
              <w:spacing w:after="0" w:line="166" w:lineRule="exact"/>
              <w:rPr>
                <w:sz w:val="20"/>
                <w:szCs w:val="20"/>
                <w:color w:val="auto"/>
              </w:rPr>
            </w:pPr>
            <w:r>
              <w:rPr>
                <w:rFonts w:ascii="Arial" w:cs="Arial" w:eastAsia="Arial" w:hAnsi="Arial"/>
                <w:sz w:val="16"/>
                <w:szCs w:val="16"/>
                <w:color w:val="auto"/>
              </w:rPr>
              <w:t>Declara, Inc.–Convertible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Arial" w:cs="Arial" w:eastAsia="Arial" w:hAnsi="Arial"/>
                <w:sz w:val="16"/>
                <w:szCs w:val="16"/>
                <w:color w:val="auto"/>
              </w:rPr>
              <w:t>Promissory Note 12% Due</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680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w w:val="92"/>
              </w:rPr>
              <w:t>(2,334,832)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2,334,152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1200" w:type="dxa"/>
            <w:vAlign w:val="bottom"/>
            <w:gridSpan w:val="3"/>
          </w:tcPr>
          <w:p>
            <w:pPr>
              <w:ind w:left="220"/>
              <w:spacing w:after="0"/>
              <w:rPr>
                <w:sz w:val="20"/>
                <w:szCs w:val="20"/>
                <w:color w:val="auto"/>
              </w:rPr>
            </w:pPr>
            <w:r>
              <w:rPr>
                <w:rFonts w:ascii="Arial" w:cs="Arial" w:eastAsia="Arial" w:hAnsi="Arial"/>
                <w:sz w:val="16"/>
                <w:szCs w:val="16"/>
                <w:color w:val="auto"/>
              </w:rPr>
              <w:t>4/30/2018</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5"/>
            <w:shd w:val="clear" w:color="auto" w:fill="CCEEFF"/>
          </w:tcPr>
          <w:p>
            <w:pPr>
              <w:ind w:left="120"/>
              <w:spacing w:after="0"/>
              <w:rPr>
                <w:sz w:val="20"/>
                <w:szCs w:val="20"/>
                <w:color w:val="auto"/>
              </w:rPr>
            </w:pPr>
            <w:r>
              <w:rPr>
                <w:rFonts w:ascii="Arial" w:cs="Arial" w:eastAsia="Arial" w:hAnsi="Arial"/>
                <w:sz w:val="16"/>
                <w:szCs w:val="16"/>
                <w:i w:val="1"/>
                <w:iCs w:val="1"/>
                <w:color w:val="auto"/>
              </w:rPr>
              <w:t>Global Innovation Platform</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240"/>
              <w:spacing w:after="0" w:line="166" w:lineRule="exact"/>
              <w:rPr>
                <w:sz w:val="20"/>
                <w:szCs w:val="20"/>
                <w:color w:val="auto"/>
              </w:rPr>
            </w:pPr>
            <w:r>
              <w:rPr>
                <w:rFonts w:ascii="Arial" w:cs="Arial" w:eastAsia="Arial" w:hAnsi="Arial"/>
                <w:sz w:val="16"/>
                <w:szCs w:val="16"/>
                <w:color w:val="auto"/>
                <w:w w:val="96"/>
              </w:rPr>
              <w:t>NestGSV, Inc. (d/b/a OneValley,</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80" w:type="dxa"/>
            <w:vAlign w:val="bottom"/>
            <w:gridSpan w:val="5"/>
          </w:tcPr>
          <w:p>
            <w:pPr>
              <w:ind w:left="200"/>
              <w:spacing w:after="0" w:line="158" w:lineRule="exact"/>
              <w:rPr>
                <w:sz w:val="20"/>
                <w:szCs w:val="20"/>
                <w:color w:val="auto"/>
              </w:rPr>
            </w:pPr>
            <w:r>
              <w:rPr>
                <w:rFonts w:ascii="Arial" w:cs="Arial" w:eastAsia="Arial" w:hAnsi="Arial"/>
                <w:sz w:val="16"/>
                <w:szCs w:val="16"/>
                <w:color w:val="auto"/>
              </w:rPr>
              <w:t>Inc.) –Convertible Promissory</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1,010,198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107,611</w:t>
            </w:r>
          </w:p>
        </w:tc>
        <w:tc>
          <w:tcPr>
            <w:tcW w:w="80" w:type="dxa"/>
            <w:vAlign w:val="bottom"/>
          </w:tcPr>
          <w:p>
            <w:pPr>
              <w:spacing w:after="0"/>
              <w:rPr>
                <w:sz w:val="13"/>
                <w:szCs w:val="13"/>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936,525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78,739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(5,066)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89"/>
              </w:rPr>
              <w:t>1,010,198</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0.50 %</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gridSpan w:val="5"/>
          </w:tcPr>
          <w:p>
            <w:pPr>
              <w:ind w:left="200"/>
              <w:spacing w:after="0" w:line="216" w:lineRule="exact"/>
              <w:rPr>
                <w:sz w:val="20"/>
                <w:szCs w:val="20"/>
                <w:color w:val="auto"/>
              </w:rPr>
            </w:pPr>
            <w:r>
              <w:rPr>
                <w:rFonts w:ascii="Arial" w:cs="Arial" w:eastAsia="Arial" w:hAnsi="Arial"/>
                <w:sz w:val="16"/>
                <w:szCs w:val="16"/>
                <w:color w:val="auto"/>
              </w:rPr>
              <w:t>Note 8% Due 8/23/2024***</w:t>
            </w:r>
            <w:r>
              <w:rPr>
                <w:rFonts w:ascii="Arial" w:cs="Arial" w:eastAsia="Arial" w:hAnsi="Arial"/>
                <w:sz w:val="21"/>
                <w:szCs w:val="21"/>
                <w:color w:val="auto"/>
                <w:vertAlign w:val="superscript"/>
              </w:rPr>
              <w:t>(7)</w:t>
            </w:r>
          </w:p>
        </w:tc>
        <w:tc>
          <w:tcPr>
            <w:tcW w:w="100" w:type="dxa"/>
            <w:vAlign w:val="bottom"/>
            <w:tcBorders>
              <w:bottom w:val="single" w:sz="8" w:color="CCEEFF"/>
            </w:tcBorders>
            <w:vMerge w:val="continue"/>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20"/>
              <w:spacing w:after="0"/>
              <w:rPr>
                <w:sz w:val="20"/>
                <w:szCs w:val="20"/>
                <w:color w:val="auto"/>
              </w:rPr>
            </w:pPr>
            <w:r>
              <w:rPr>
                <w:rFonts w:ascii="Arial" w:cs="Arial" w:eastAsia="Arial" w:hAnsi="Arial"/>
                <w:sz w:val="16"/>
                <w:szCs w:val="16"/>
                <w:i w:val="1"/>
                <w:iCs w:val="1"/>
                <w:color w:val="auto"/>
              </w:rPr>
              <w:t>Total Global Innovation Platform</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107,611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936,525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78,739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1,010,198</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5"/>
          </w:tcPr>
          <w:p>
            <w:pPr>
              <w:spacing w:after="0"/>
              <w:rPr>
                <w:sz w:val="20"/>
                <w:szCs w:val="20"/>
                <w:color w:val="auto"/>
              </w:rPr>
            </w:pPr>
            <w:r>
              <w:rPr>
                <w:rFonts w:ascii="Arial" w:cs="Arial" w:eastAsia="Arial" w:hAnsi="Arial"/>
                <w:sz w:val="16"/>
                <w:szCs w:val="16"/>
                <w:b w:val="1"/>
                <w:bCs w:val="1"/>
                <w:color w:val="auto"/>
              </w:rPr>
              <w:t>Total Debt Investments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167,333</w:t>
            </w:r>
          </w:p>
        </w:tc>
        <w:tc>
          <w:tcPr>
            <w:tcW w:w="8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5,450,589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20"/>
                <w:szCs w:val="20"/>
                <w:color w:val="auto"/>
              </w:rPr>
            </w:pPr>
            <w:r>
              <w:rPr>
                <w:rFonts w:ascii="Arial" w:cs="Arial" w:eastAsia="Arial" w:hAnsi="Arial"/>
                <w:sz w:val="16"/>
                <w:szCs w:val="16"/>
                <w:color w:val="auto"/>
                <w:w w:val="95"/>
              </w:rPr>
              <w:t>(2,102,384)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82,972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(2,444,163)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335,973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1,322,987</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0.66 %</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2480" w:type="dxa"/>
            <w:vAlign w:val="bottom"/>
            <w:gridSpan w:val="5"/>
            <w:shd w:val="clear" w:color="auto" w:fill="CCEEFF"/>
          </w:tcPr>
          <w:p>
            <w:pPr>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5"/>
          </w:tcPr>
          <w:p>
            <w:pPr>
              <w:ind w:left="120"/>
              <w:spacing w:after="0"/>
              <w:rPr>
                <w:sz w:val="20"/>
                <w:szCs w:val="20"/>
                <w:color w:val="auto"/>
              </w:rPr>
            </w:pPr>
            <w:r>
              <w:rPr>
                <w:rFonts w:ascii="Arial" w:cs="Arial" w:eastAsia="Arial" w:hAnsi="Arial"/>
                <w:sz w:val="16"/>
                <w:szCs w:val="16"/>
                <w:i w:val="1"/>
                <w:iCs w:val="1"/>
                <w:color w:val="auto"/>
              </w:rPr>
              <w:t>Corporate Education</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ind w:left="200"/>
              <w:spacing w:after="0" w:line="169" w:lineRule="exact"/>
              <w:rPr>
                <w:sz w:val="20"/>
                <w:szCs w:val="20"/>
                <w:color w:val="auto"/>
              </w:rPr>
            </w:pPr>
            <w:r>
              <w:rPr>
                <w:rFonts w:ascii="Arial" w:cs="Arial" w:eastAsia="Arial" w:hAnsi="Arial"/>
                <w:sz w:val="16"/>
                <w:szCs w:val="16"/>
                <w:color w:val="auto"/>
              </w:rPr>
              <w:t>CUX, Inc. (d/b/a CorpU)–</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ind w:left="200"/>
              <w:spacing w:after="0" w:line="162" w:lineRule="exact"/>
              <w:rPr>
                <w:sz w:val="20"/>
                <w:szCs w:val="20"/>
                <w:color w:val="auto"/>
              </w:rPr>
            </w:pPr>
            <w:r>
              <w:rPr>
                <w:rFonts w:ascii="Arial" w:cs="Arial" w:eastAsia="Arial" w:hAnsi="Arial"/>
                <w:sz w:val="16"/>
                <w:szCs w:val="16"/>
                <w:color w:val="auto"/>
              </w:rPr>
              <w:t>Convertible preferred shares,</w:t>
            </w:r>
          </w:p>
        </w:tc>
        <w:tc>
          <w:tcPr>
            <w:tcW w:w="10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169,033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878,005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(843,025)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34,980</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Series D 6%</w:t>
            </w:r>
          </w:p>
        </w:tc>
        <w:tc>
          <w:tcPr>
            <w:tcW w:w="10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200"/>
              <w:spacing w:after="0" w:line="166" w:lineRule="exact"/>
              <w:rPr>
                <w:sz w:val="20"/>
                <w:szCs w:val="20"/>
                <w:color w:val="auto"/>
              </w:rPr>
            </w:pPr>
            <w:r>
              <w:rPr>
                <w:rFonts w:ascii="Arial" w:cs="Arial" w:eastAsia="Arial" w:hAnsi="Arial"/>
                <w:sz w:val="16"/>
                <w:szCs w:val="16"/>
                <w:color w:val="auto"/>
              </w:rPr>
              <w:t>CUX, Inc. (d/b/a CorpU) -</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80" w:type="dxa"/>
            <w:vAlign w:val="bottom"/>
            <w:gridSpan w:val="5"/>
          </w:tcPr>
          <w:p>
            <w:pPr>
              <w:ind w:left="200"/>
              <w:spacing w:after="0" w:line="162" w:lineRule="exact"/>
              <w:rPr>
                <w:sz w:val="20"/>
                <w:szCs w:val="20"/>
                <w:color w:val="auto"/>
              </w:rPr>
            </w:pPr>
            <w:r>
              <w:rPr>
                <w:rFonts w:ascii="Arial" w:cs="Arial" w:eastAsia="Arial" w:hAnsi="Arial"/>
                <w:sz w:val="16"/>
                <w:szCs w:val="16"/>
                <w:color w:val="auto"/>
              </w:rPr>
              <w:t>Convertible preferred shares,</w:t>
            </w: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615,763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Series C 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20"/>
              <w:spacing w:after="0"/>
              <w:rPr>
                <w:sz w:val="20"/>
                <w:szCs w:val="20"/>
                <w:color w:val="auto"/>
              </w:rPr>
            </w:pPr>
            <w:r>
              <w:rPr>
                <w:rFonts w:ascii="Arial" w:cs="Arial" w:eastAsia="Arial" w:hAnsi="Arial"/>
                <w:sz w:val="16"/>
                <w:szCs w:val="16"/>
                <w:i w:val="1"/>
                <w:iCs w:val="1"/>
                <w:color w:val="auto"/>
              </w:rPr>
              <w:t>Total Corporate Education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878,005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(843,025)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34,980</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5"/>
          </w:tcPr>
          <w:p>
            <w:pPr>
              <w:ind w:left="120"/>
              <w:spacing w:after="0"/>
              <w:rPr>
                <w:sz w:val="20"/>
                <w:szCs w:val="20"/>
                <w:color w:val="auto"/>
              </w:rPr>
            </w:pPr>
            <w:r>
              <w:rPr>
                <w:rFonts w:ascii="Arial" w:cs="Arial" w:eastAsia="Arial" w:hAnsi="Arial"/>
                <w:sz w:val="16"/>
                <w:szCs w:val="16"/>
                <w:i w:val="1"/>
                <w:iCs w:val="1"/>
                <w:color w:val="auto"/>
              </w:rPr>
              <w:t>Social Cognitive Learning</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ind w:left="200"/>
              <w:spacing w:after="0" w:line="169" w:lineRule="exact"/>
              <w:rPr>
                <w:sz w:val="20"/>
                <w:szCs w:val="20"/>
                <w:color w:val="auto"/>
              </w:rPr>
            </w:pPr>
            <w:r>
              <w:rPr>
                <w:rFonts w:ascii="Arial" w:cs="Arial" w:eastAsia="Arial" w:hAnsi="Arial"/>
                <w:sz w:val="16"/>
                <w:szCs w:val="16"/>
                <w:color w:val="auto"/>
              </w:rPr>
              <w:t>Declara, Inc.–Preferred shares,</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(9,999,999)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9,999,999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Series A 8%</w:t>
            </w: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gridSpan w:val="5"/>
          </w:tcPr>
          <w:p>
            <w:pPr>
              <w:ind w:left="120"/>
              <w:spacing w:after="0"/>
              <w:rPr>
                <w:sz w:val="20"/>
                <w:szCs w:val="20"/>
                <w:color w:val="auto"/>
              </w:rPr>
            </w:pPr>
            <w:r>
              <w:rPr>
                <w:rFonts w:ascii="Arial" w:cs="Arial" w:eastAsia="Arial" w:hAnsi="Arial"/>
                <w:sz w:val="16"/>
                <w:szCs w:val="16"/>
                <w:i w:val="1"/>
                <w:iCs w:val="1"/>
                <w:color w:val="auto"/>
              </w:rPr>
              <w:t>Education Media Platform</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480" w:type="dxa"/>
            <w:vAlign w:val="bottom"/>
            <w:gridSpan w:val="5"/>
            <w:shd w:val="clear" w:color="auto" w:fill="CCEEFF"/>
          </w:tcPr>
          <w:p>
            <w:pPr>
              <w:ind w:left="200"/>
              <w:spacing w:after="0" w:line="169" w:lineRule="exact"/>
              <w:rPr>
                <w:sz w:val="20"/>
                <w:szCs w:val="20"/>
                <w:color w:val="auto"/>
              </w:rPr>
            </w:pPr>
            <w:r>
              <w:rPr>
                <w:rFonts w:ascii="Arial" w:cs="Arial" w:eastAsia="Arial" w:hAnsi="Arial"/>
                <w:sz w:val="16"/>
                <w:szCs w:val="16"/>
                <w:color w:val="auto"/>
                <w:w w:val="98"/>
              </w:rPr>
              <w:t>EdSurge, Inc.–Preferred shares,</w:t>
            </w:r>
          </w:p>
        </w:tc>
        <w:tc>
          <w:tcPr>
            <w:tcW w:w="10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(501,360)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251,360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200"/>
              <w:spacing w:after="0"/>
              <w:rPr>
                <w:sz w:val="20"/>
                <w:szCs w:val="20"/>
                <w:color w:val="auto"/>
              </w:rPr>
            </w:pPr>
            <w:r>
              <w:rPr>
                <w:rFonts w:ascii="Arial" w:cs="Arial" w:eastAsia="Arial" w:hAnsi="Arial"/>
                <w:sz w:val="16"/>
                <w:szCs w:val="16"/>
                <w:color w:val="auto"/>
              </w:rPr>
              <w:t>Series A-1</w:t>
            </w:r>
          </w:p>
        </w:tc>
        <w:tc>
          <w:tcPr>
            <w:tcW w:w="10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200"/>
              <w:spacing w:after="0" w:line="166" w:lineRule="exact"/>
              <w:rPr>
                <w:sz w:val="20"/>
                <w:szCs w:val="20"/>
                <w:color w:val="auto"/>
              </w:rPr>
            </w:pPr>
            <w:r>
              <w:rPr>
                <w:rFonts w:ascii="Arial" w:cs="Arial" w:eastAsia="Arial" w:hAnsi="Arial"/>
                <w:sz w:val="16"/>
                <w:szCs w:val="16"/>
                <w:color w:val="auto"/>
                <w:w w:val="98"/>
              </w:rPr>
              <w:t>EdSurge, Inc.–Preferred shares,</w:t>
            </w:r>
          </w:p>
        </w:tc>
        <w:tc>
          <w:tcPr>
            <w:tcW w:w="10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269,848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ind w:left="5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ind w:left="680"/>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(500,801)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230,953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480" w:type="dxa"/>
            <w:vAlign w:val="bottom"/>
            <w:tcBorders>
              <w:bottom w:val="single" w:sz="8" w:color="CCEEFF"/>
            </w:tcBorders>
            <w:gridSpan w:val="5"/>
          </w:tcPr>
          <w:p>
            <w:pPr>
              <w:ind w:left="200"/>
              <w:spacing w:after="0"/>
              <w:rPr>
                <w:sz w:val="20"/>
                <w:szCs w:val="20"/>
                <w:color w:val="auto"/>
              </w:rPr>
            </w:pPr>
            <w:r>
              <w:rPr>
                <w:rFonts w:ascii="Arial" w:cs="Arial" w:eastAsia="Arial" w:hAnsi="Arial"/>
                <w:sz w:val="16"/>
                <w:szCs w:val="16"/>
                <w:color w:val="auto"/>
              </w:rPr>
              <w:t>Series A</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2480" w:type="dxa"/>
            <w:vAlign w:val="bottom"/>
            <w:gridSpan w:val="5"/>
            <w:shd w:val="clear" w:color="auto" w:fill="CCEEFF"/>
          </w:tcPr>
          <w:p>
            <w:pPr>
              <w:ind w:left="120"/>
              <w:spacing w:after="0"/>
              <w:rPr>
                <w:sz w:val="20"/>
                <w:szCs w:val="20"/>
                <w:color w:val="auto"/>
              </w:rPr>
            </w:pPr>
            <w:r>
              <w:rPr>
                <w:rFonts w:ascii="Arial" w:cs="Arial" w:eastAsia="Arial" w:hAnsi="Arial"/>
                <w:sz w:val="16"/>
                <w:szCs w:val="16"/>
                <w:i w:val="1"/>
                <w:iCs w:val="1"/>
                <w:color w:val="auto"/>
              </w:rPr>
              <w:t>Total Education Media Platform</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519,848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(1,002,161)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-5039995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121" w:right="379" w:bottom="1440" w:gutter="0" w:footer="0" w:header="0"/>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Interest, Fees,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Purchases,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or</w:t>
            </w:r>
          </w:p>
        </w:tc>
        <w:tc>
          <w:tcPr>
            <w:tcW w:w="108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Capitalized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86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35"/>
        </w:trPr>
        <w:tc>
          <w:tcPr>
            <w:tcW w:w="2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Type/Industry/Portfolio</w:t>
            </w:r>
          </w:p>
        </w:tc>
        <w:tc>
          <w:tcPr>
            <w:tcW w:w="8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Dividends</w:t>
            </w:r>
          </w:p>
        </w:tc>
        <w:tc>
          <w:tcPr>
            <w:tcW w:w="1080" w:type="dxa"/>
            <w:vAlign w:val="bottom"/>
            <w:gridSpan w:val="4"/>
            <w:vMerge w:val="continue"/>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Fees,</w:t>
            </w:r>
          </w:p>
        </w:tc>
        <w:tc>
          <w:tcPr>
            <w:tcW w:w="14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96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gridSpan w:val="2"/>
            <w:vMerge w:val="continue"/>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Credited</w:t>
            </w:r>
          </w:p>
        </w:tc>
        <w:tc>
          <w:tcPr>
            <w:tcW w:w="108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Interest and</w:t>
            </w:r>
          </w:p>
        </w:tc>
        <w:tc>
          <w:tcPr>
            <w:tcW w:w="14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860" w:type="dxa"/>
            <w:vAlign w:val="bottom"/>
          </w:tcPr>
          <w:p>
            <w:pPr>
              <w:jc w:val="right"/>
              <w:ind w:right="160"/>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2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Company/Investment</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Quantity</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Income</w:t>
            </w:r>
          </w:p>
        </w:tc>
        <w:tc>
          <w:tcPr>
            <w:tcW w:w="140" w:type="dxa"/>
            <w:vAlign w:val="bottom"/>
          </w:tcPr>
          <w:p>
            <w:pPr>
              <w:spacing w:after="0"/>
              <w:rPr>
                <w:sz w:val="16"/>
                <w:szCs w:val="16"/>
                <w:color w:val="auto"/>
              </w:rPr>
            </w:pPr>
          </w:p>
        </w:tc>
        <w:tc>
          <w:tcPr>
            <w:tcW w:w="74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Action</w:t>
            </w: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10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Gains/(Losses)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20" w:type="dxa"/>
            <w:vAlign w:val="bottom"/>
          </w:tcPr>
          <w:p>
            <w:pPr>
              <w:spacing w:after="0"/>
              <w:rPr>
                <w:sz w:val="16"/>
                <w:szCs w:val="16"/>
                <w:color w:val="auto"/>
              </w:rPr>
            </w:pPr>
          </w:p>
        </w:tc>
        <w:tc>
          <w:tcPr>
            <w:tcW w:w="76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860" w:type="dxa"/>
            <w:vAlign w:val="bottom"/>
          </w:tcPr>
          <w:p>
            <w:pPr>
              <w:jc w:val="right"/>
              <w:ind w:right="16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08"/>
        </w:trPr>
        <w:tc>
          <w:tcPr>
            <w:tcW w:w="2420" w:type="dxa"/>
            <w:vAlign w:val="bottom"/>
            <w:gridSpan w:val="2"/>
          </w:tcPr>
          <w:p>
            <w:pPr>
              <w:ind w:left="140"/>
              <w:spacing w:after="0"/>
              <w:rPr>
                <w:sz w:val="20"/>
                <w:szCs w:val="20"/>
                <w:color w:val="auto"/>
              </w:rPr>
            </w:pPr>
            <w:r>
              <w:rPr>
                <w:rFonts w:ascii="Arial" w:cs="Arial" w:eastAsia="Arial" w:hAnsi="Arial"/>
                <w:sz w:val="16"/>
                <w:szCs w:val="16"/>
                <w:i w:val="1"/>
                <w:iCs w:val="1"/>
                <w:color w:val="auto"/>
              </w:rPr>
              <w:t>Knowledge Networks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4"/>
              </w:rPr>
              <w:t>Maven Research, Inc.–Preferred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318,979</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gridSpan w:val="3"/>
            <w:vMerge w:val="restart"/>
            <w:shd w:val="clear" w:color="auto" w:fill="CCEEFF"/>
          </w:tcPr>
          <w:p>
            <w:pPr>
              <w:ind w:left="500"/>
              <w:spacing w:after="0"/>
              <w:rPr>
                <w:sz w:val="20"/>
                <w:szCs w:val="20"/>
                <w:color w:val="auto"/>
              </w:rPr>
            </w:pPr>
            <w:r>
              <w:rPr>
                <w:rFonts w:ascii="Arial" w:cs="Arial" w:eastAsia="Arial" w:hAnsi="Arial"/>
                <w:sz w:val="16"/>
                <w:szCs w:val="16"/>
                <w:color w:val="auto"/>
              </w:rPr>
              <w:t>—  $</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Series C</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4"/>
              </w:rPr>
              <w:t>Maven Research, Inc.–Preferred</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49,505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ind w:left="660"/>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shares, Series B</w:t>
            </w:r>
          </w:p>
        </w:tc>
        <w:tc>
          <w:tcPr>
            <w:tcW w:w="78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Total Knowledge Networks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2420" w:type="dxa"/>
            <w:vAlign w:val="bottom"/>
            <w:gridSpan w:val="2"/>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OzyMedia, Inc.–Preferred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683,482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2,102,384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311,794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556,074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2,970,252</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shares, Series C-2 6% </w:t>
            </w:r>
            <w:r>
              <w:rPr>
                <w:rFonts w:ascii="Arial" w:cs="Arial" w:eastAsia="Arial" w:hAnsi="Arial"/>
                <w:sz w:val="21"/>
                <w:szCs w:val="21"/>
                <w:color w:val="auto"/>
                <w:vertAlign w:val="superscript"/>
              </w:rPr>
              <w:t>(6)</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OzyMedia, Inc.–Preferred</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922,509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5,001,420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5,001,420</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209"/>
        </w:trPr>
        <w:tc>
          <w:tcPr>
            <w:tcW w:w="2420" w:type="dxa"/>
            <w:vAlign w:val="bottom"/>
            <w:gridSpan w:val="2"/>
          </w:tcPr>
          <w:p>
            <w:pPr>
              <w:ind w:left="220"/>
              <w:spacing w:after="0"/>
              <w:rPr>
                <w:sz w:val="20"/>
                <w:szCs w:val="20"/>
                <w:color w:val="auto"/>
              </w:rPr>
            </w:pPr>
            <w:r>
              <w:rPr>
                <w:rFonts w:ascii="Arial" w:cs="Arial" w:eastAsia="Arial" w:hAnsi="Arial"/>
                <w:sz w:val="16"/>
                <w:szCs w:val="16"/>
                <w:color w:val="auto"/>
              </w:rPr>
              <w:t>shares, Series B 6%</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OzyMedia, Inc.–Preferred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1,090,909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4,528,107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4,528,107</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Series A 6%</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OzyMedia, Inc.–Preferred</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ind w:left="660"/>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vMerge w:val="restart"/>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2,002,143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2,002,143</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9"/>
        </w:trPr>
        <w:tc>
          <w:tcPr>
            <w:tcW w:w="2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shares, Series Seed 6%</w:t>
            </w:r>
          </w:p>
        </w:tc>
        <w:tc>
          <w:tcPr>
            <w:tcW w:w="78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4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Total Digital Media Platform</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311,794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12,087,744</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7"/>
              </w:rPr>
              <w:t>14,501,922</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7.25 %</w:t>
            </w:r>
          </w:p>
        </w:tc>
        <w:tc>
          <w:tcPr>
            <w:tcW w:w="0" w:type="dxa"/>
            <w:vAlign w:val="bottom"/>
          </w:tcPr>
          <w:p>
            <w:pPr>
              <w:spacing w:after="0"/>
              <w:rPr>
                <w:sz w:val="1"/>
                <w:szCs w:val="1"/>
                <w:color w:val="auto"/>
              </w:rPr>
            </w:pPr>
          </w:p>
        </w:tc>
      </w:tr>
      <w:tr>
        <w:trPr>
          <w:trHeight w:val="213"/>
        </w:trPr>
        <w:tc>
          <w:tcPr>
            <w:tcW w:w="2420" w:type="dxa"/>
            <w:vAlign w:val="bottom"/>
            <w:gridSpan w:val="2"/>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2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NestGSV, Inc. (d/b/a</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6"/>
                <w:szCs w:val="16"/>
                <w:color w:val="auto"/>
              </w:rPr>
              <w:t>OneValley, Inc.)–Preferred</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stock Series A-4 </w:t>
            </w:r>
            <w:r>
              <w:rPr>
                <w:rFonts w:ascii="Arial" w:cs="Arial" w:eastAsia="Arial" w:hAnsi="Arial"/>
                <w:sz w:val="21"/>
                <w:szCs w:val="21"/>
                <w:color w:val="auto"/>
                <w:vertAlign w:val="superscript"/>
              </w:rPr>
              <w:t>(7)</w:t>
            </w: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NestGSV, Inc. (d/b/a</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gridSpan w:val="2"/>
          </w:tcPr>
          <w:p>
            <w:pPr>
              <w:ind w:left="220"/>
              <w:spacing w:after="0" w:line="158" w:lineRule="exact"/>
              <w:rPr>
                <w:sz w:val="20"/>
                <w:szCs w:val="20"/>
                <w:color w:val="auto"/>
              </w:rPr>
            </w:pPr>
            <w:r>
              <w:rPr>
                <w:rFonts w:ascii="Arial" w:cs="Arial" w:eastAsia="Arial" w:hAnsi="Arial"/>
                <w:sz w:val="16"/>
                <w:szCs w:val="16"/>
                <w:color w:val="auto"/>
              </w:rPr>
              <w:t>OneValley, Inc.)–Preferred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2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stock Series A-3 </w:t>
            </w:r>
            <w:r>
              <w:rPr>
                <w:rFonts w:ascii="Arial" w:cs="Arial" w:eastAsia="Arial" w:hAnsi="Arial"/>
                <w:sz w:val="21"/>
                <w:szCs w:val="21"/>
                <w:color w:val="auto"/>
                <w:vertAlign w:val="superscript"/>
              </w:rPr>
              <w:t>(7)</w:t>
            </w: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gridSpan w:val="2"/>
            <w:shd w:val="clear" w:color="auto" w:fill="CCEEFF"/>
          </w:tcPr>
          <w:p>
            <w:pPr>
              <w:ind w:left="220"/>
              <w:spacing w:after="0" w:line="166" w:lineRule="exact"/>
              <w:rPr>
                <w:sz w:val="20"/>
                <w:szCs w:val="20"/>
                <w:color w:val="auto"/>
              </w:rPr>
            </w:pPr>
            <w:r>
              <w:rPr>
                <w:rFonts w:ascii="Arial" w:cs="Arial" w:eastAsia="Arial" w:hAnsi="Arial"/>
                <w:sz w:val="16"/>
                <w:szCs w:val="16"/>
                <w:color w:val="auto"/>
              </w:rPr>
              <w:t>NestGSV, Inc. (d/b/a</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6"/>
                <w:szCs w:val="16"/>
                <w:color w:val="auto"/>
              </w:rPr>
              <w:t>OneValley, Inc.)–Preferred</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 xml:space="preserve">stock Series A-2 </w:t>
            </w:r>
            <w:r>
              <w:rPr>
                <w:rFonts w:ascii="Arial" w:cs="Arial" w:eastAsia="Arial" w:hAnsi="Arial"/>
                <w:sz w:val="21"/>
                <w:szCs w:val="21"/>
                <w:color w:val="auto"/>
                <w:vertAlign w:val="superscript"/>
              </w:rPr>
              <w:t>(7)</w:t>
            </w:r>
          </w:p>
        </w:tc>
        <w:tc>
          <w:tcPr>
            <w:tcW w:w="8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2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NestGSV, Inc. (d/b/a</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gridSpan w:val="2"/>
          </w:tcPr>
          <w:p>
            <w:pPr>
              <w:ind w:left="220"/>
              <w:spacing w:after="0" w:line="158" w:lineRule="exact"/>
              <w:rPr>
                <w:sz w:val="20"/>
                <w:szCs w:val="20"/>
                <w:color w:val="auto"/>
              </w:rPr>
            </w:pPr>
            <w:r>
              <w:rPr>
                <w:rFonts w:ascii="Arial" w:cs="Arial" w:eastAsia="Arial" w:hAnsi="Arial"/>
                <w:sz w:val="16"/>
                <w:szCs w:val="16"/>
                <w:color w:val="auto"/>
              </w:rPr>
              <w:t>OneValley, Inc.)–Preferred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40" w:type="dxa"/>
            <w:vAlign w:val="bottom"/>
            <w:vMerge w:val="restart"/>
          </w:tcPr>
          <w:p>
            <w:pPr>
              <w:ind w:left="660"/>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gridSpan w:val="2"/>
          </w:tcPr>
          <w:p>
            <w:pPr>
              <w:ind w:left="220"/>
              <w:spacing w:after="0" w:line="216" w:lineRule="exact"/>
              <w:rPr>
                <w:sz w:val="20"/>
                <w:szCs w:val="20"/>
                <w:color w:val="auto"/>
              </w:rPr>
            </w:pPr>
            <w:r>
              <w:rPr>
                <w:rFonts w:ascii="Arial" w:cs="Arial" w:eastAsia="Arial" w:hAnsi="Arial"/>
                <w:sz w:val="16"/>
                <w:szCs w:val="16"/>
                <w:color w:val="auto"/>
              </w:rPr>
              <w:t xml:space="preserve">stock Series A-1 </w:t>
            </w:r>
            <w:r>
              <w:rPr>
                <w:rFonts w:ascii="Arial" w:cs="Arial" w:eastAsia="Arial" w:hAnsi="Arial"/>
                <w:sz w:val="21"/>
                <w:szCs w:val="21"/>
                <w:color w:val="auto"/>
                <w:vertAlign w:val="superscript"/>
              </w:rPr>
              <w:t>(7)</w:t>
            </w:r>
          </w:p>
        </w:tc>
        <w:tc>
          <w:tcPr>
            <w:tcW w:w="860" w:type="dxa"/>
            <w:vAlign w:val="bottom"/>
            <w:tcBorders>
              <w:bottom w:val="single" w:sz="8" w:color="CCEEFF"/>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w w:val="98"/>
              </w:rPr>
              <w:t>Total Global Innovation Platform</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2420" w:type="dxa"/>
            <w:vAlign w:val="bottom"/>
            <w:gridSpan w:val="2"/>
          </w:tcPr>
          <w:p>
            <w:pPr>
              <w:ind w:left="140"/>
              <w:spacing w:after="0"/>
              <w:rPr>
                <w:sz w:val="20"/>
                <w:szCs w:val="20"/>
                <w:color w:val="auto"/>
              </w:rPr>
            </w:pPr>
            <w:r>
              <w:rPr>
                <w:rFonts w:ascii="Arial" w:cs="Arial" w:eastAsia="Arial" w:hAnsi="Arial"/>
                <w:sz w:val="16"/>
                <w:szCs w:val="16"/>
                <w:i w:val="1"/>
                <w:iCs w:val="1"/>
                <w:color w:val="auto"/>
              </w:rPr>
              <w:t>Interactive Learning</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20" w:type="dxa"/>
            <w:vAlign w:val="bottom"/>
            <w:gridSpan w:val="2"/>
            <w:shd w:val="clear" w:color="auto" w:fill="CCEEFF"/>
          </w:tcPr>
          <w:p>
            <w:pPr>
              <w:ind w:left="220"/>
              <w:spacing w:after="0" w:line="165" w:lineRule="exact"/>
              <w:rPr>
                <w:sz w:val="20"/>
                <w:szCs w:val="20"/>
                <w:color w:val="auto"/>
              </w:rPr>
            </w:pPr>
            <w:r>
              <w:rPr>
                <w:rFonts w:ascii="Arial" w:cs="Arial" w:eastAsia="Arial" w:hAnsi="Arial"/>
                <w:sz w:val="16"/>
                <w:szCs w:val="16"/>
                <w:color w:val="auto"/>
              </w:rPr>
              <w:t>StormWind, LLC–Preferred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329,337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3"/>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257,267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245,853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503,120</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0.25 %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shares, Series D 8%</w:t>
            </w:r>
            <w:r>
              <w:rPr>
                <w:rFonts w:ascii="Arial" w:cs="Arial" w:eastAsia="Arial" w:hAnsi="Arial"/>
                <w:sz w:val="21"/>
                <w:szCs w:val="21"/>
                <w:color w:val="auto"/>
                <w:vertAlign w:val="superscript"/>
              </w:rPr>
              <w:t>(4)(8)</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StormWind, LLC–Preferred</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98"/>
              </w:rPr>
              <w:t>2,779,134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w w:val="92"/>
              </w:rPr>
              <w:t>7,194,971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w w:val="92"/>
              </w:rPr>
              <w:t>(1,803,971)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w w:val="92"/>
              </w:rPr>
              <w:t>5,391,000</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2.70 %</w:t>
            </w:r>
          </w:p>
        </w:tc>
        <w:tc>
          <w:tcPr>
            <w:tcW w:w="0" w:type="dxa"/>
            <w:vAlign w:val="bottom"/>
          </w:tcPr>
          <w:p>
            <w:pPr>
              <w:spacing w:after="0"/>
              <w:rPr>
                <w:sz w:val="1"/>
                <w:szCs w:val="1"/>
                <w:color w:val="auto"/>
              </w:rPr>
            </w:pPr>
          </w:p>
        </w:tc>
      </w:tr>
      <w:tr>
        <w:trPr>
          <w:trHeight w:val="216"/>
        </w:trPr>
        <w:tc>
          <w:tcPr>
            <w:tcW w:w="242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shares, Series C 8%</w:t>
            </w:r>
            <w:r>
              <w:rPr>
                <w:rFonts w:ascii="Arial" w:cs="Arial" w:eastAsia="Arial" w:hAnsi="Arial"/>
                <w:sz w:val="21"/>
                <w:szCs w:val="21"/>
                <w:color w:val="auto"/>
                <w:vertAlign w:val="superscript"/>
              </w:rPr>
              <w:t>(4)</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StormWind, LLC–Preferred</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3,279,629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5,770,328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(2,521,524)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3,248,804</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1.62 %</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shares, Series B 8%</w:t>
            </w:r>
            <w:r>
              <w:rPr>
                <w:rFonts w:ascii="Arial" w:cs="Arial" w:eastAsia="Arial" w:hAnsi="Arial"/>
                <w:sz w:val="21"/>
                <w:szCs w:val="21"/>
                <w:color w:val="auto"/>
                <w:vertAlign w:val="superscript"/>
              </w:rPr>
              <w:t>(4)</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StormWind, LLC–Preferred</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366,666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ind w:left="660"/>
              <w:spacing w:after="0"/>
              <w:rPr>
                <w:sz w:val="20"/>
                <w:szCs w:val="20"/>
                <w:color w:val="auto"/>
              </w:rPr>
            </w:pPr>
            <w:r>
              <w:rPr>
                <w:rFonts w:ascii="Arial" w:cs="Arial" w:eastAsia="Arial" w:hAnsi="Arial"/>
                <w:sz w:val="16"/>
                <w:szCs w:val="16"/>
                <w:color w:val="auto"/>
                <w:w w:val="99"/>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421,525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(263,576)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157,949</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0.08 %</w:t>
            </w:r>
          </w:p>
        </w:tc>
        <w:tc>
          <w:tcPr>
            <w:tcW w:w="0" w:type="dxa"/>
            <w:vAlign w:val="bottom"/>
          </w:tcPr>
          <w:p>
            <w:pPr>
              <w:spacing w:after="0"/>
              <w:rPr>
                <w:sz w:val="1"/>
                <w:szCs w:val="1"/>
                <w:color w:val="auto"/>
              </w:rPr>
            </w:pPr>
          </w:p>
        </w:tc>
      </w:tr>
      <w:tr>
        <w:trPr>
          <w:trHeight w:val="216"/>
        </w:trPr>
        <w:tc>
          <w:tcPr>
            <w:tcW w:w="2420" w:type="dxa"/>
            <w:vAlign w:val="bottom"/>
            <w:tcBorders>
              <w:bottom w:val="single" w:sz="8" w:color="CCEEFF"/>
            </w:tcBorders>
            <w:gridSpan w:val="2"/>
          </w:tcPr>
          <w:p>
            <w:pPr>
              <w:ind w:left="220"/>
              <w:spacing w:after="0" w:line="216" w:lineRule="exact"/>
              <w:rPr>
                <w:sz w:val="20"/>
                <w:szCs w:val="20"/>
                <w:color w:val="auto"/>
              </w:rPr>
            </w:pPr>
            <w:r>
              <w:rPr>
                <w:rFonts w:ascii="Arial" w:cs="Arial" w:eastAsia="Arial" w:hAnsi="Arial"/>
                <w:sz w:val="16"/>
                <w:szCs w:val="16"/>
                <w:color w:val="auto"/>
              </w:rPr>
              <w:t>shares, Series A 8%</w:t>
            </w:r>
            <w:r>
              <w:rPr>
                <w:rFonts w:ascii="Arial" w:cs="Arial" w:eastAsia="Arial" w:hAnsi="Arial"/>
                <w:sz w:val="21"/>
                <w:szCs w:val="21"/>
                <w:color w:val="auto"/>
                <w:vertAlign w:val="superscript"/>
              </w:rPr>
              <w:t>(4)</w:t>
            </w:r>
          </w:p>
        </w:tc>
        <w:tc>
          <w:tcPr>
            <w:tcW w:w="78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2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Total Interactive Learning</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9"/>
              </w:rPr>
              <w:t>13,386,824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257,267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(4,343,218)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9,300,873</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4.65 %</w:t>
            </w:r>
          </w:p>
        </w:tc>
        <w:tc>
          <w:tcPr>
            <w:tcW w:w="0" w:type="dxa"/>
            <w:vAlign w:val="bottom"/>
          </w:tcPr>
          <w:p>
            <w:pPr>
              <w:spacing w:after="0"/>
              <w:rPr>
                <w:sz w:val="1"/>
                <w:szCs w:val="1"/>
                <w:color w:val="auto"/>
              </w:rPr>
            </w:pPr>
          </w:p>
        </w:tc>
      </w:tr>
      <w:tr>
        <w:trPr>
          <w:trHeight w:val="210"/>
        </w:trPr>
        <w:tc>
          <w:tcPr>
            <w:tcW w:w="242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Preferred Stock</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9"/>
              </w:rPr>
              <w:t>14,784,677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2,102,384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569,061</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w w:val="96"/>
              </w:rPr>
              <w:t>(11,002,160)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89"/>
              </w:rPr>
              <w:t>17,383,813</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7"/>
              </w:rPr>
              <w:t>23,837,775</w:t>
            </w: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11.92 %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-1521460</wp:posOffset>
            </wp:positionV>
            <wp:extent cx="514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-1521460</wp:posOffset>
            </wp:positionV>
            <wp:extent cx="514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-1521460</wp:posOffset>
            </wp:positionV>
            <wp:extent cx="5486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-3176270</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-3176270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-3176270</wp:posOffset>
            </wp:positionV>
            <wp:extent cx="5486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00"/>
          </w:cols>
          <w:pgMar w:left="320" w:top="121" w:right="37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Interest, Fees,</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Purchases,</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9"/>
              </w:rPr>
              <w:t>or</w:t>
            </w: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7"/>
              </w:rPr>
              <w:t>Capitalized</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6"/>
              </w:rPr>
              <w:t>Fair Value at</w:t>
            </w:r>
          </w:p>
        </w:tc>
        <w:tc>
          <w:tcPr>
            <w:tcW w:w="86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7"/>
              </w:rPr>
              <w:t>Percentage</w:t>
            </w:r>
          </w:p>
        </w:tc>
        <w:tc>
          <w:tcPr>
            <w:tcW w:w="0" w:type="dxa"/>
            <w:vAlign w:val="bottom"/>
          </w:tcPr>
          <w:p>
            <w:pPr>
              <w:spacing w:after="0"/>
              <w:rPr>
                <w:sz w:val="1"/>
                <w:szCs w:val="1"/>
                <w:color w:val="auto"/>
              </w:rPr>
            </w:pPr>
          </w:p>
        </w:tc>
      </w:tr>
      <w:tr>
        <w:trPr>
          <w:trHeight w:val="135"/>
        </w:trPr>
        <w:tc>
          <w:tcPr>
            <w:tcW w:w="2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Type/Industry/Portfolio</w:t>
            </w:r>
          </w:p>
        </w:tc>
        <w:tc>
          <w:tcPr>
            <w:tcW w:w="78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Dividends</w:t>
            </w:r>
          </w:p>
        </w:tc>
        <w:tc>
          <w:tcPr>
            <w:tcW w:w="94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w:t>
            </w:r>
          </w:p>
        </w:tc>
        <w:tc>
          <w:tcPr>
            <w:tcW w:w="160" w:type="dxa"/>
            <w:vAlign w:val="bottom"/>
          </w:tcPr>
          <w:p>
            <w:pPr>
              <w:spacing w:after="0"/>
              <w:rPr>
                <w:sz w:val="11"/>
                <w:szCs w:val="11"/>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Realized</w:t>
            </w:r>
          </w:p>
        </w:tc>
        <w:tc>
          <w:tcPr>
            <w:tcW w:w="120" w:type="dxa"/>
            <w:vAlign w:val="bottom"/>
          </w:tcPr>
          <w:p>
            <w:pPr>
              <w:spacing w:after="0"/>
              <w:rPr>
                <w:sz w:val="11"/>
                <w:szCs w:val="11"/>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Unrealized</w:t>
            </w:r>
          </w:p>
        </w:tc>
        <w:tc>
          <w:tcPr>
            <w:tcW w:w="940" w:type="dxa"/>
            <w:vAlign w:val="bottom"/>
            <w:gridSpan w:val="3"/>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Credited</w:t>
            </w:r>
          </w:p>
        </w:tc>
        <w:tc>
          <w:tcPr>
            <w:tcW w:w="860" w:type="dxa"/>
            <w:vAlign w:val="bottom"/>
          </w:tcPr>
          <w:p>
            <w:pPr>
              <w:jc w:val="right"/>
              <w:ind w:right="261"/>
              <w:spacing w:after="0" w:line="135" w:lineRule="exact"/>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Interest and</w:t>
            </w:r>
          </w:p>
        </w:tc>
        <w:tc>
          <w:tcPr>
            <w:tcW w:w="16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December</w:t>
            </w:r>
          </w:p>
        </w:tc>
        <w:tc>
          <w:tcPr>
            <w:tcW w:w="860" w:type="dxa"/>
            <w:vAlign w:val="bottom"/>
          </w:tcPr>
          <w:p>
            <w:pPr>
              <w:jc w:val="right"/>
              <w:ind w:right="161"/>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24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Company/Investment</w:t>
            </w:r>
          </w:p>
        </w:tc>
        <w:tc>
          <w:tcPr>
            <w:tcW w:w="780" w:type="dxa"/>
            <w:vAlign w:val="bottom"/>
          </w:tcPr>
          <w:p>
            <w:pPr>
              <w:jc w:val="right"/>
              <w:ind w:right="41"/>
              <w:spacing w:after="0"/>
              <w:rPr>
                <w:sz w:val="20"/>
                <w:szCs w:val="20"/>
                <w:color w:val="auto"/>
              </w:rPr>
            </w:pPr>
            <w:r>
              <w:rPr>
                <w:rFonts w:ascii="Arial" w:cs="Arial" w:eastAsia="Arial" w:hAnsi="Arial"/>
                <w:sz w:val="14"/>
                <w:szCs w:val="14"/>
                <w:b w:val="1"/>
                <w:bCs w:val="1"/>
                <w:color w:val="auto"/>
              </w:rPr>
              <w:t>Quantity</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 Income</w:t>
            </w:r>
          </w:p>
        </w:tc>
        <w:tc>
          <w:tcPr>
            <w:tcW w:w="86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Action</w:t>
            </w: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Amortization</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9"/>
              </w:rPr>
              <w:t>Gains/(Losses)</w:t>
            </w: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Gains/(Losses)</w:t>
            </w:r>
          </w:p>
        </w:tc>
        <w:tc>
          <w:tcPr>
            <w:tcW w:w="100" w:type="dxa"/>
            <w:vAlign w:val="bottom"/>
          </w:tcPr>
          <w:p>
            <w:pPr>
              <w:spacing w:after="0"/>
              <w:rPr>
                <w:sz w:val="16"/>
                <w:szCs w:val="16"/>
                <w:color w:val="auto"/>
              </w:rPr>
            </w:pPr>
          </w:p>
        </w:tc>
        <w:tc>
          <w:tcPr>
            <w:tcW w:w="76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31, 2019</w:t>
            </w:r>
          </w:p>
        </w:tc>
        <w:tc>
          <w:tcPr>
            <w:tcW w:w="80" w:type="dxa"/>
            <w:vAlign w:val="bottom"/>
          </w:tcPr>
          <w:p>
            <w:pPr>
              <w:spacing w:after="0"/>
              <w:rPr>
                <w:sz w:val="16"/>
                <w:szCs w:val="16"/>
                <w:color w:val="auto"/>
              </w:rPr>
            </w:pPr>
          </w:p>
        </w:tc>
        <w:tc>
          <w:tcPr>
            <w:tcW w:w="860" w:type="dxa"/>
            <w:vAlign w:val="bottom"/>
          </w:tcPr>
          <w:p>
            <w:pPr>
              <w:jc w:val="right"/>
              <w:ind w:right="161"/>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24"/>
        </w:trPr>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460" w:type="dxa"/>
            <w:vAlign w:val="bottom"/>
            <w:gridSpan w:val="2"/>
          </w:tcPr>
          <w:p>
            <w:pPr>
              <w:ind w:left="140"/>
              <w:spacing w:after="0"/>
              <w:rPr>
                <w:sz w:val="20"/>
                <w:szCs w:val="20"/>
                <w:color w:val="auto"/>
              </w:rPr>
            </w:pPr>
            <w:r>
              <w:rPr>
                <w:rFonts w:ascii="Arial" w:cs="Arial" w:eastAsia="Arial" w:hAnsi="Arial"/>
                <w:sz w:val="16"/>
                <w:szCs w:val="16"/>
                <w:i w:val="1"/>
                <w:iCs w:val="1"/>
                <w:color w:val="auto"/>
              </w:rPr>
              <w:t>Corporate Education</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4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rPr>
              <w:t>CUX, Inc. (d/b/a CorpU) –</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Preferred warrants, Series D,</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Strike Price $4.59, Expiration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16,903</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   19,946</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(19,946)</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Date 2/14/2020</w:t>
            </w:r>
          </w:p>
        </w:tc>
        <w:tc>
          <w:tcPr>
            <w:tcW w:w="780" w:type="dxa"/>
            <w:vAlign w:val="bottom"/>
            <w:vMerge w:val="continue"/>
            <w:shd w:val="clear" w:color="auto" w:fill="CCEEFF"/>
          </w:tcPr>
          <w:p>
            <w:pPr>
              <w:spacing w:after="0"/>
              <w:rPr>
                <w:sz w:val="18"/>
                <w:szCs w:val="18"/>
                <w:color w:val="auto"/>
              </w:rPr>
            </w:pPr>
          </w:p>
        </w:tc>
        <w:tc>
          <w:tcPr>
            <w:tcW w:w="22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60" w:type="dxa"/>
            <w:vAlign w:val="bottom"/>
            <w:gridSpan w:val="2"/>
          </w:tcPr>
          <w:p>
            <w:pPr>
              <w:ind w:left="140"/>
              <w:spacing w:after="0"/>
              <w:rPr>
                <w:sz w:val="20"/>
                <w:szCs w:val="20"/>
                <w:color w:val="auto"/>
              </w:rPr>
            </w:pPr>
            <w:r>
              <w:rPr>
                <w:rFonts w:ascii="Arial" w:cs="Arial" w:eastAsia="Arial" w:hAnsi="Arial"/>
                <w:sz w:val="16"/>
                <w:szCs w:val="16"/>
                <w:i w:val="1"/>
                <w:iCs w:val="1"/>
                <w:color w:val="auto"/>
              </w:rPr>
              <w:t>Digital Media Platform</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460" w:type="dxa"/>
            <w:vAlign w:val="bottom"/>
            <w:gridSpan w:val="2"/>
            <w:shd w:val="clear" w:color="auto" w:fill="CCEEFF"/>
          </w:tcPr>
          <w:p>
            <w:pPr>
              <w:ind w:left="220"/>
              <w:spacing w:after="0" w:line="182" w:lineRule="exact"/>
              <w:rPr>
                <w:sz w:val="20"/>
                <w:szCs w:val="20"/>
                <w:color w:val="auto"/>
              </w:rPr>
            </w:pPr>
            <w:r>
              <w:rPr>
                <w:rFonts w:ascii="Arial" w:cs="Arial" w:eastAsia="Arial" w:hAnsi="Arial"/>
                <w:sz w:val="16"/>
                <w:szCs w:val="16"/>
                <w:color w:val="auto"/>
              </w:rPr>
              <w:t>OzyMedia, Inc.–Common</w:t>
            </w: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Warrants, Strike Price $0.01,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295,565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1,182,260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1,182,260</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0.59 %</w:t>
            </w:r>
          </w:p>
        </w:tc>
        <w:tc>
          <w:tcPr>
            <w:tcW w:w="0" w:type="dxa"/>
            <w:vAlign w:val="bottom"/>
          </w:tcPr>
          <w:p>
            <w:pPr>
              <w:spacing w:after="0"/>
              <w:rPr>
                <w:sz w:val="1"/>
                <w:szCs w:val="1"/>
                <w:color w:val="auto"/>
              </w:rPr>
            </w:pPr>
          </w:p>
        </w:tc>
      </w:tr>
      <w:tr>
        <w:trPr>
          <w:trHeight w:val="212"/>
        </w:trPr>
        <w:tc>
          <w:tcPr>
            <w:tcW w:w="24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Expiration Date 4/9/2028</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60" w:type="dxa"/>
            <w:vAlign w:val="bottom"/>
            <w:gridSpan w:val="2"/>
          </w:tcPr>
          <w:p>
            <w:pPr>
              <w:ind w:left="140"/>
              <w:spacing w:after="0"/>
              <w:rPr>
                <w:sz w:val="20"/>
                <w:szCs w:val="20"/>
                <w:color w:val="auto"/>
              </w:rPr>
            </w:pPr>
            <w:r>
              <w:rPr>
                <w:rFonts w:ascii="Arial" w:cs="Arial" w:eastAsia="Arial" w:hAnsi="Arial"/>
                <w:sz w:val="16"/>
                <w:szCs w:val="16"/>
                <w:i w:val="1"/>
                <w:iCs w:val="1"/>
                <w:color w:val="auto"/>
              </w:rPr>
              <w:t>Global Innovation Platform</w:t>
            </w: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4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6"/>
                <w:szCs w:val="16"/>
                <w:color w:val="auto"/>
                <w:w w:val="96"/>
              </w:rPr>
              <w:t>NestGSV, Inc. (d/b/a OneValley,</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Inc.)–Preferred Warrant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6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6"/>
                <w:szCs w:val="16"/>
                <w:color w:val="auto"/>
              </w:rPr>
              <w:t>Series A-3, Strike Price $1.33,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187,500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26,250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20,625</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0.01 %</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Expiration Date 4/4/2021</w:t>
            </w:r>
            <w:r>
              <w:rPr>
                <w:rFonts w:ascii="Arial" w:cs="Arial" w:eastAsia="Arial" w:hAnsi="Arial"/>
                <w:sz w:val="21"/>
                <w:szCs w:val="21"/>
                <w:color w:val="auto"/>
                <w:vertAlign w:val="superscript"/>
              </w:rPr>
              <w:t>(7)</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gridSpan w:val="2"/>
          </w:tcPr>
          <w:p>
            <w:pPr>
              <w:ind w:left="220"/>
              <w:spacing w:after="0" w:line="166" w:lineRule="exact"/>
              <w:rPr>
                <w:sz w:val="20"/>
                <w:szCs w:val="20"/>
                <w:color w:val="auto"/>
              </w:rPr>
            </w:pPr>
            <w:r>
              <w:rPr>
                <w:rFonts w:ascii="Arial" w:cs="Arial" w:eastAsia="Arial" w:hAnsi="Arial"/>
                <w:sz w:val="16"/>
                <w:szCs w:val="16"/>
                <w:color w:val="auto"/>
                <w:w w:val="96"/>
              </w:rPr>
              <w:t>NestGSV, Inc. (d/b/a OneValley,</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Inc.)–Preferred Warrant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60" w:type="dxa"/>
            <w:vAlign w:val="bottom"/>
            <w:gridSpan w:val="2"/>
          </w:tcPr>
          <w:p>
            <w:pPr>
              <w:ind w:left="220"/>
              <w:spacing w:after="0" w:line="158" w:lineRule="exact"/>
              <w:rPr>
                <w:sz w:val="20"/>
                <w:szCs w:val="20"/>
                <w:color w:val="auto"/>
              </w:rPr>
            </w:pPr>
            <w:r>
              <w:rPr>
                <w:rFonts w:ascii="Arial" w:cs="Arial" w:eastAsia="Arial" w:hAnsi="Arial"/>
                <w:sz w:val="16"/>
                <w:szCs w:val="16"/>
                <w:color w:val="auto"/>
              </w:rPr>
              <w:t>Series A-4, Strike Price $1.33,</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500,000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145,000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135,000</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0.07 %</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Expiration Date 10/6/2021</w:t>
            </w:r>
            <w:r>
              <w:rPr>
                <w:rFonts w:ascii="Arial" w:cs="Arial" w:eastAsia="Arial" w:hAnsi="Arial"/>
                <w:sz w:val="21"/>
                <w:szCs w:val="21"/>
                <w:color w:val="auto"/>
                <w:vertAlign w:val="superscript"/>
              </w:rPr>
              <w:t>(7)</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gridSpan w:val="2"/>
            <w:shd w:val="clear" w:color="auto" w:fill="CCEEFF"/>
          </w:tcPr>
          <w:p>
            <w:pPr>
              <w:ind w:left="220"/>
              <w:spacing w:after="0" w:line="166" w:lineRule="exact"/>
              <w:rPr>
                <w:sz w:val="20"/>
                <w:szCs w:val="20"/>
                <w:color w:val="auto"/>
              </w:rPr>
            </w:pPr>
            <w:r>
              <w:rPr>
                <w:rFonts w:ascii="Arial" w:cs="Arial" w:eastAsia="Arial" w:hAnsi="Arial"/>
                <w:sz w:val="16"/>
                <w:szCs w:val="16"/>
                <w:color w:val="auto"/>
                <w:w w:val="96"/>
              </w:rPr>
              <w:t>NestGSV, Inc. (d/b/a OneValley,</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Inc.)–Preferred Warrant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6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6"/>
                <w:szCs w:val="16"/>
                <w:color w:val="auto"/>
              </w:rPr>
              <w:t>Series A-4, Strike Price $1.33,</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70,000</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62,500</w:t>
            </w:r>
          </w:p>
        </w:tc>
        <w:tc>
          <w:tcPr>
            <w:tcW w:w="8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0.03 %</w:t>
            </w:r>
          </w:p>
        </w:tc>
        <w:tc>
          <w:tcPr>
            <w:tcW w:w="0" w:type="dxa"/>
            <w:vAlign w:val="bottom"/>
          </w:tcPr>
          <w:p>
            <w:pPr>
              <w:spacing w:after="0"/>
              <w:rPr>
                <w:sz w:val="1"/>
                <w:szCs w:val="1"/>
                <w:color w:val="auto"/>
              </w:rPr>
            </w:pPr>
          </w:p>
        </w:tc>
      </w:tr>
      <w:tr>
        <w:trPr>
          <w:trHeight w:val="221"/>
        </w:trPr>
        <w:tc>
          <w:tcPr>
            <w:tcW w:w="246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Expiration Date 7/18/2021</w:t>
            </w:r>
            <w:r>
              <w:rPr>
                <w:rFonts w:ascii="Arial" w:cs="Arial" w:eastAsia="Arial" w:hAnsi="Arial"/>
                <w:sz w:val="21"/>
                <w:szCs w:val="21"/>
                <w:color w:val="auto"/>
                <w:vertAlign w:val="superscript"/>
              </w:rPr>
              <w:t>(7)</w:t>
            </w: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46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6"/>
              </w:rPr>
              <w:t>NestGSV, Inc. (d/b/a OneValley,</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Inc.)–Preferred Warrant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60" w:type="dxa"/>
            <w:vAlign w:val="bottom"/>
            <w:gridSpan w:val="2"/>
          </w:tcPr>
          <w:p>
            <w:pPr>
              <w:ind w:left="220"/>
              <w:spacing w:after="0" w:line="158" w:lineRule="exact"/>
              <w:rPr>
                <w:sz w:val="20"/>
                <w:szCs w:val="20"/>
                <w:color w:val="auto"/>
              </w:rPr>
            </w:pPr>
            <w:r>
              <w:rPr>
                <w:rFonts w:ascii="Arial" w:cs="Arial" w:eastAsia="Arial" w:hAnsi="Arial"/>
                <w:sz w:val="16"/>
                <w:szCs w:val="16"/>
                <w:color w:val="auto"/>
              </w:rPr>
              <w:t>Series B, Strike Price $2.31,</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100,000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556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(556)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 xml:space="preserve">Expiration Date 11/29/2021 </w:t>
            </w:r>
            <w:r>
              <w:rPr>
                <w:rFonts w:ascii="Arial" w:cs="Arial" w:eastAsia="Arial" w:hAnsi="Arial"/>
                <w:sz w:val="21"/>
                <w:szCs w:val="21"/>
                <w:color w:val="auto"/>
                <w:vertAlign w:val="superscript"/>
              </w:rPr>
              <w:t>(7)</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460" w:type="dxa"/>
            <w:vAlign w:val="bottom"/>
            <w:gridSpan w:val="2"/>
            <w:shd w:val="clear" w:color="auto" w:fill="CCEEFF"/>
          </w:tcPr>
          <w:p>
            <w:pPr>
              <w:ind w:left="220"/>
              <w:spacing w:after="0" w:line="166" w:lineRule="exact"/>
              <w:rPr>
                <w:sz w:val="20"/>
                <w:szCs w:val="20"/>
                <w:color w:val="auto"/>
              </w:rPr>
            </w:pPr>
            <w:r>
              <w:rPr>
                <w:rFonts w:ascii="Arial" w:cs="Arial" w:eastAsia="Arial" w:hAnsi="Arial"/>
                <w:sz w:val="16"/>
                <w:szCs w:val="16"/>
                <w:color w:val="auto"/>
                <w:w w:val="96"/>
              </w:rPr>
              <w:t>NestGSV, Inc. (d/b/a OneValley,</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Inc.)–Preferred Warrant</w:t>
            </w: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60" w:type="dxa"/>
            <w:vAlign w:val="bottom"/>
            <w:gridSpan w:val="2"/>
            <w:shd w:val="clear" w:color="auto" w:fill="CCEEFF"/>
          </w:tcPr>
          <w:p>
            <w:pPr>
              <w:ind w:left="220"/>
              <w:spacing w:after="0" w:line="158" w:lineRule="exact"/>
              <w:rPr>
                <w:sz w:val="20"/>
                <w:szCs w:val="20"/>
                <w:color w:val="auto"/>
              </w:rPr>
            </w:pPr>
            <w:r>
              <w:rPr>
                <w:rFonts w:ascii="Arial" w:cs="Arial" w:eastAsia="Arial" w:hAnsi="Arial"/>
                <w:sz w:val="16"/>
                <w:szCs w:val="16"/>
                <w:color w:val="auto"/>
              </w:rPr>
              <w:t>Series B, Strike Price $2.31,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694</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21"/>
        </w:trPr>
        <w:tc>
          <w:tcPr>
            <w:tcW w:w="246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Expiration Date 5/29/2022</w:t>
            </w:r>
            <w:r>
              <w:rPr>
                <w:rFonts w:ascii="Arial" w:cs="Arial" w:eastAsia="Arial" w:hAnsi="Arial"/>
                <w:sz w:val="21"/>
                <w:szCs w:val="21"/>
                <w:color w:val="auto"/>
                <w:vertAlign w:val="superscript"/>
              </w:rPr>
              <w:t>(7)</w:t>
            </w: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460" w:type="dxa"/>
            <w:vAlign w:val="bottom"/>
            <w:gridSpan w:val="2"/>
          </w:tcPr>
          <w:p>
            <w:pPr>
              <w:ind w:left="220"/>
              <w:spacing w:after="0" w:line="146" w:lineRule="exact"/>
              <w:rPr>
                <w:sz w:val="20"/>
                <w:szCs w:val="20"/>
                <w:color w:val="auto"/>
              </w:rPr>
            </w:pPr>
            <w:r>
              <w:rPr>
                <w:rFonts w:ascii="Arial" w:cs="Arial" w:eastAsia="Arial" w:hAnsi="Arial"/>
                <w:sz w:val="16"/>
                <w:szCs w:val="16"/>
                <w:color w:val="auto"/>
                <w:w w:val="96"/>
              </w:rPr>
              <w:t>NestGSV, Inc. (d/b/a OneValley,</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20"/>
              <w:spacing w:after="0" w:line="162" w:lineRule="exact"/>
              <w:rPr>
                <w:sz w:val="20"/>
                <w:szCs w:val="20"/>
                <w:color w:val="auto"/>
              </w:rPr>
            </w:pPr>
            <w:r>
              <w:rPr>
                <w:rFonts w:ascii="Arial" w:cs="Arial" w:eastAsia="Arial" w:hAnsi="Arial"/>
                <w:sz w:val="16"/>
                <w:szCs w:val="16"/>
                <w:color w:val="auto"/>
              </w:rPr>
              <w:t>Inc.)–Preferred Warrant</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60" w:type="dxa"/>
            <w:vAlign w:val="bottom"/>
            <w:gridSpan w:val="2"/>
          </w:tcPr>
          <w:p>
            <w:pPr>
              <w:ind w:left="220"/>
              <w:spacing w:after="0" w:line="158" w:lineRule="exact"/>
              <w:rPr>
                <w:sz w:val="20"/>
                <w:szCs w:val="20"/>
                <w:color w:val="auto"/>
              </w:rPr>
            </w:pPr>
            <w:r>
              <w:rPr>
                <w:rFonts w:ascii="Arial" w:cs="Arial" w:eastAsia="Arial" w:hAnsi="Arial"/>
                <w:sz w:val="16"/>
                <w:szCs w:val="16"/>
                <w:color w:val="auto"/>
              </w:rPr>
              <w:t>Series B, Strike Price $2.31,</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250,000</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6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3"/>
                <w:szCs w:val="13"/>
                <w:color w:val="auto"/>
              </w:rPr>
            </w:pPr>
          </w:p>
        </w:tc>
        <w:tc>
          <w:tcPr>
            <w:tcW w:w="940" w:type="dxa"/>
            <w:vAlign w:val="bottom"/>
            <w:gridSpan w:val="2"/>
            <w:vMerge w:val="restart"/>
          </w:tcPr>
          <w:p>
            <w:pPr>
              <w:ind w:left="6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6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(2,500)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2,500</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0.00 %</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20"/>
              <w:spacing w:after="0" w:line="216" w:lineRule="exact"/>
              <w:rPr>
                <w:sz w:val="20"/>
                <w:szCs w:val="20"/>
                <w:color w:val="auto"/>
              </w:rPr>
            </w:pPr>
            <w:r>
              <w:rPr>
                <w:rFonts w:ascii="Arial" w:cs="Arial" w:eastAsia="Arial" w:hAnsi="Arial"/>
                <w:sz w:val="16"/>
                <w:szCs w:val="16"/>
                <w:color w:val="auto"/>
              </w:rPr>
              <w:t>Expiration Date 12/31/2023</w:t>
            </w:r>
            <w:r>
              <w:rPr>
                <w:rFonts w:ascii="Arial" w:cs="Arial" w:eastAsia="Arial" w:hAnsi="Arial"/>
                <w:sz w:val="21"/>
                <w:szCs w:val="21"/>
                <w:color w:val="auto"/>
                <w:vertAlign w:val="superscript"/>
              </w:rPr>
              <w:t>(7)</w:t>
            </w: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gridSpan w:val="2"/>
            <w:shd w:val="clear" w:color="auto" w:fill="CCEEFF"/>
          </w:tcPr>
          <w:p>
            <w:pPr>
              <w:ind w:left="220"/>
              <w:spacing w:after="0" w:line="162" w:lineRule="exact"/>
              <w:rPr>
                <w:sz w:val="20"/>
                <w:szCs w:val="20"/>
                <w:color w:val="auto"/>
              </w:rPr>
            </w:pPr>
            <w:r>
              <w:rPr>
                <w:rFonts w:ascii="Arial" w:cs="Arial" w:eastAsia="Arial" w:hAnsi="Arial"/>
                <w:sz w:val="16"/>
                <w:szCs w:val="16"/>
                <w:color w:val="auto"/>
              </w:rPr>
              <w:t>Derivative Security, Expiration</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w w:val="99"/>
              </w:rPr>
              <w:t>—</w:t>
            </w:r>
          </w:p>
        </w:tc>
        <w:tc>
          <w:tcPr>
            <w:tcW w:w="80" w:type="dxa"/>
            <w:vAlign w:val="bottom"/>
            <w:vMerge w:val="restart"/>
            <w:shd w:val="clear" w:color="auto" w:fill="CCEEFF"/>
          </w:tcPr>
          <w:p>
            <w:pPr>
              <w:spacing w:after="0"/>
              <w:rPr>
                <w:sz w:val="14"/>
                <w:szCs w:val="14"/>
                <w:color w:val="auto"/>
              </w:rPr>
            </w:pPr>
          </w:p>
        </w:tc>
        <w:tc>
          <w:tcPr>
            <w:tcW w:w="860" w:type="dxa"/>
            <w:vAlign w:val="bottom"/>
            <w:vMerge w:val="restart"/>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8,538,506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16,618</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(4,674,503)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2"/>
              </w:rPr>
              <w:t>3,880,621</w:t>
            </w:r>
          </w:p>
        </w:tc>
        <w:tc>
          <w:tcPr>
            <w:tcW w:w="8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ind w:left="220"/>
              <w:spacing w:after="0" w:line="216" w:lineRule="exact"/>
              <w:rPr>
                <w:sz w:val="20"/>
                <w:szCs w:val="20"/>
                <w:color w:val="auto"/>
              </w:rPr>
            </w:pPr>
            <w:r>
              <w:rPr>
                <w:rFonts w:ascii="Arial" w:cs="Arial" w:eastAsia="Arial" w:hAnsi="Arial"/>
                <w:sz w:val="16"/>
                <w:szCs w:val="16"/>
                <w:color w:val="auto"/>
              </w:rPr>
              <w:t>Date 8/23/2024</w:t>
            </w:r>
            <w:r>
              <w:rPr>
                <w:rFonts w:ascii="Arial" w:cs="Arial" w:eastAsia="Arial" w:hAnsi="Arial"/>
                <w:sz w:val="21"/>
                <w:szCs w:val="21"/>
                <w:color w:val="auto"/>
                <w:vertAlign w:val="superscript"/>
              </w:rPr>
              <w:t>(7)</w:t>
            </w: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60" w:type="dxa"/>
            <w:vAlign w:val="bottom"/>
            <w:gridSpan w:val="2"/>
          </w:tcPr>
          <w:p>
            <w:pPr>
              <w:ind w:left="140"/>
              <w:spacing w:after="0"/>
              <w:rPr>
                <w:sz w:val="20"/>
                <w:szCs w:val="20"/>
                <w:color w:val="auto"/>
              </w:rPr>
            </w:pPr>
            <w:r>
              <w:rPr>
                <w:rFonts w:ascii="Arial" w:cs="Arial" w:eastAsia="Arial" w:hAnsi="Arial"/>
                <w:sz w:val="16"/>
                <w:szCs w:val="16"/>
                <w:i w:val="1"/>
                <w:iCs w:val="1"/>
                <w:color w:val="auto"/>
              </w:rPr>
              <w:t>Total Global Innovation Platform</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247,500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8"/>
              </w:rPr>
              <w:t>8,538,506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16,618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2"/>
              </w:rPr>
              <w:t>(4,701,378)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4,101,246</w:t>
            </w: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21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Options</w:t>
            </w:r>
          </w:p>
        </w:tc>
        <w:tc>
          <w:tcPr>
            <w:tcW w:w="80" w:type="dxa"/>
            <w:vAlign w:val="bottom"/>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267,446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8,538,506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(3,539,064)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5,283,506</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2.64 %</w:t>
            </w:r>
          </w:p>
        </w:tc>
        <w:tc>
          <w:tcPr>
            <w:tcW w:w="0" w:type="dxa"/>
            <w:vAlign w:val="bottom"/>
          </w:tcPr>
          <w:p>
            <w:pPr>
              <w:spacing w:after="0"/>
              <w:rPr>
                <w:sz w:val="1"/>
                <w:szCs w:val="1"/>
                <w:color w:val="auto"/>
              </w:rPr>
            </w:pPr>
          </w:p>
        </w:tc>
      </w:tr>
      <w:tr>
        <w:trPr>
          <w:trHeight w:val="207"/>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Common Stock</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Online Education</w:t>
            </w: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460" w:type="dxa"/>
            <w:vAlign w:val="bottom"/>
            <w:gridSpan w:val="2"/>
          </w:tcPr>
          <w:p>
            <w:pPr>
              <w:ind w:left="220"/>
              <w:spacing w:after="0" w:line="166" w:lineRule="exact"/>
              <w:rPr>
                <w:sz w:val="20"/>
                <w:szCs w:val="20"/>
                <w:color w:val="auto"/>
              </w:rPr>
            </w:pPr>
            <w:r>
              <w:rPr>
                <w:rFonts w:ascii="Arial" w:cs="Arial" w:eastAsia="Arial" w:hAnsi="Arial"/>
                <w:sz w:val="16"/>
                <w:szCs w:val="16"/>
                <w:color w:val="auto"/>
              </w:rPr>
              <w:t>Curious.com, Inc.–Common</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w w:val="98"/>
              </w:rPr>
              <w:t>1,135,944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restart"/>
          </w:tcPr>
          <w:p>
            <w:pPr>
              <w:ind w:left="620"/>
              <w:spacing w:after="0"/>
              <w:rPr>
                <w:sz w:val="20"/>
                <w:szCs w:val="20"/>
                <w:color w:val="auto"/>
              </w:rPr>
            </w:pPr>
            <w:r>
              <w:rPr>
                <w:rFonts w:ascii="Arial" w:cs="Arial" w:eastAsia="Arial" w:hAnsi="Arial"/>
                <w:sz w:val="16"/>
                <w:szCs w:val="16"/>
                <w:color w:val="auto"/>
              </w:rPr>
              <w:t>—</w:t>
            </w:r>
          </w:p>
        </w:tc>
        <w:tc>
          <w:tcPr>
            <w:tcW w:w="9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60" w:type="dxa"/>
            <w:vAlign w:val="bottom"/>
            <w:gridSpan w:val="2"/>
            <w:vMerge w:val="restart"/>
          </w:tcPr>
          <w:p>
            <w:pPr>
              <w:ind w:left="5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4"/>
        </w:trPr>
        <w:tc>
          <w:tcPr>
            <w:tcW w:w="2460" w:type="dxa"/>
            <w:vAlign w:val="bottom"/>
            <w:gridSpan w:val="2"/>
          </w:tcPr>
          <w:p>
            <w:pPr>
              <w:ind w:left="220"/>
              <w:spacing w:after="0"/>
              <w:rPr>
                <w:sz w:val="20"/>
                <w:szCs w:val="20"/>
                <w:color w:val="auto"/>
              </w:rPr>
            </w:pPr>
            <w:r>
              <w:rPr>
                <w:rFonts w:ascii="Arial" w:cs="Arial" w:eastAsia="Arial" w:hAnsi="Arial"/>
                <w:sz w:val="16"/>
                <w:szCs w:val="16"/>
                <w:color w:val="auto"/>
              </w:rPr>
              <w:t>shares</w:t>
            </w:r>
          </w:p>
        </w:tc>
        <w:tc>
          <w:tcPr>
            <w:tcW w:w="780" w:type="dxa"/>
            <w:vAlign w:val="bottom"/>
            <w:tcBorders>
              <w:bottom w:val="single" w:sz="8" w:color="CCEEF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-4362450</wp:posOffset>
            </wp:positionV>
            <wp:extent cx="149987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499870" cy="14541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-5099685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121" w:right="379" w:bottom="1440" w:gutter="0" w:footer="0" w:header="0"/>
        </w:sectPr>
      </w:pPr>
    </w:p>
    <w:bookmarkStart w:id="119" w:name="page120"/>
    <w:bookmarkEnd w:id="1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Interest,</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Purchases,</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Fees, or</w:t>
            </w: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4"/>
              </w:rPr>
              <w:t>Capitalized</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900" w:type="dxa"/>
            <w:vAlign w:val="bottom"/>
            <w:vMerge w:val="restart"/>
          </w:tcPr>
          <w:p>
            <w:pPr>
              <w:jc w:val="right"/>
              <w:ind w:right="2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35"/>
        </w:trPr>
        <w:tc>
          <w:tcPr>
            <w:tcW w:w="2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Type/Industry/Portfolio</w:t>
            </w: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Dividends</w:t>
            </w: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Fees,</w:t>
            </w:r>
          </w:p>
        </w:tc>
        <w:tc>
          <w:tcPr>
            <w:tcW w:w="100" w:type="dxa"/>
            <w:vAlign w:val="bottom"/>
          </w:tcPr>
          <w:p>
            <w:pPr>
              <w:spacing w:after="0"/>
              <w:rPr>
                <w:sz w:val="11"/>
                <w:szCs w:val="11"/>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Realized</w:t>
            </w:r>
          </w:p>
        </w:tc>
        <w:tc>
          <w:tcPr>
            <w:tcW w:w="100" w:type="dxa"/>
            <w:vAlign w:val="bottom"/>
          </w:tcPr>
          <w:p>
            <w:pPr>
              <w:spacing w:after="0"/>
              <w:rPr>
                <w:sz w:val="11"/>
                <w:szCs w:val="11"/>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6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Credited</w:t>
            </w:r>
          </w:p>
        </w:tc>
        <w:tc>
          <w:tcPr>
            <w:tcW w:w="9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3"/>
              </w:rPr>
              <w:t>Interest and</w:t>
            </w: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98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jc w:val="right"/>
              <w:ind w:right="184"/>
              <w:spacing w:after="0" w:line="135" w:lineRule="exact"/>
              <w:rPr>
                <w:sz w:val="20"/>
                <w:szCs w:val="20"/>
                <w:color w:val="auto"/>
              </w:rPr>
            </w:pPr>
            <w:r>
              <w:rPr>
                <w:rFonts w:ascii="Arial" w:cs="Arial" w:eastAsia="Arial" w:hAnsi="Arial"/>
                <w:sz w:val="14"/>
                <w:szCs w:val="14"/>
                <w:b w:val="1"/>
                <w:bCs w:val="1"/>
                <w:color w:val="auto"/>
              </w:rPr>
              <w:t>of Net</w:t>
            </w:r>
          </w:p>
        </w:tc>
        <w:tc>
          <w:tcPr>
            <w:tcW w:w="0" w:type="dxa"/>
            <w:vAlign w:val="bottom"/>
          </w:tcPr>
          <w:p>
            <w:pPr>
              <w:spacing w:after="0"/>
              <w:rPr>
                <w:sz w:val="1"/>
                <w:szCs w:val="1"/>
                <w:color w:val="auto"/>
              </w:rPr>
            </w:pPr>
          </w:p>
        </w:tc>
      </w:tr>
      <w:tr>
        <w:trPr>
          <w:trHeight w:val="188"/>
        </w:trPr>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Company/Investment</w:t>
            </w: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b w:val="1"/>
                <w:bCs w:val="1"/>
                <w:color w:val="auto"/>
              </w:rPr>
              <w:t>Quantity</w:t>
            </w: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in Income</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Action</w:t>
            </w:r>
          </w:p>
        </w:tc>
        <w:tc>
          <w:tcPr>
            <w:tcW w:w="1020" w:type="dxa"/>
            <w:vAlign w:val="bottom"/>
            <w:tcBorders>
              <w:bottom w:val="single" w:sz="8" w:color="CCEEFF"/>
            </w:tcBorders>
            <w:gridSpan w:val="3"/>
          </w:tcPr>
          <w:p>
            <w:pPr>
              <w:jc w:val="center"/>
              <w:ind w:right="80"/>
              <w:spacing w:after="0"/>
              <w:rPr>
                <w:sz w:val="20"/>
                <w:szCs w:val="20"/>
                <w:color w:val="auto"/>
              </w:rPr>
            </w:pPr>
            <w:r>
              <w:rPr>
                <w:rFonts w:ascii="Arial" w:cs="Arial" w:eastAsia="Arial" w:hAnsi="Arial"/>
                <w:sz w:val="14"/>
                <w:szCs w:val="14"/>
                <w:b w:val="1"/>
                <w:bCs w:val="1"/>
                <w:color w:val="auto"/>
                <w:w w:val="95"/>
              </w:rPr>
              <w:t>Amortization</w:t>
            </w:r>
          </w:p>
        </w:tc>
        <w:tc>
          <w:tcPr>
            <w:tcW w:w="106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color w:val="auto"/>
                <w:w w:val="99"/>
              </w:rPr>
              <w:t>Gains/(Losses)</w:t>
            </w:r>
          </w:p>
        </w:tc>
        <w:tc>
          <w:tcPr>
            <w:tcW w:w="100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b w:val="1"/>
                <w:bCs w:val="1"/>
                <w:color w:val="auto"/>
                <w:w w:val="97"/>
              </w:rPr>
              <w:t>Gains/(Losses)</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jc w:val="right"/>
              <w:ind w:right="22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jc w:val="right"/>
              <w:ind w:right="184"/>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1"/>
        </w:trPr>
        <w:tc>
          <w:tcPr>
            <w:tcW w:w="2460" w:type="dxa"/>
            <w:vAlign w:val="bottom"/>
            <w:gridSpan w:val="2"/>
            <w:shd w:val="clear" w:color="auto" w:fill="CCEEFF"/>
          </w:tcPr>
          <w:p>
            <w:pPr>
              <w:ind w:left="140"/>
              <w:spacing w:after="0"/>
              <w:rPr>
                <w:sz w:val="20"/>
                <w:szCs w:val="20"/>
                <w:color w:val="auto"/>
              </w:rPr>
            </w:pPr>
            <w:r>
              <w:rPr>
                <w:rFonts w:ascii="Arial" w:cs="Arial" w:eastAsia="Arial" w:hAnsi="Arial"/>
                <w:sz w:val="16"/>
                <w:szCs w:val="16"/>
                <w:i w:val="1"/>
                <w:iCs w:val="1"/>
                <w:color w:val="auto"/>
              </w:rPr>
              <w:t>Cannabis REIT</w:t>
            </w:r>
          </w:p>
        </w:tc>
        <w:tc>
          <w:tcPr>
            <w:tcW w:w="740" w:type="dxa"/>
            <w:vAlign w:val="bottom"/>
            <w:tcBorders>
              <w:bottom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2460" w:type="dxa"/>
            <w:vAlign w:val="bottom"/>
            <w:gridSpan w:val="2"/>
          </w:tcPr>
          <w:p>
            <w:pPr>
              <w:ind w:left="260"/>
              <w:spacing w:after="0" w:line="146" w:lineRule="exact"/>
              <w:rPr>
                <w:sz w:val="20"/>
                <w:szCs w:val="20"/>
                <w:color w:val="auto"/>
              </w:rPr>
            </w:pPr>
            <w:r>
              <w:rPr>
                <w:rFonts w:ascii="Arial" w:cs="Arial" w:eastAsia="Arial" w:hAnsi="Arial"/>
                <w:sz w:val="16"/>
                <w:szCs w:val="16"/>
                <w:color w:val="auto"/>
              </w:rPr>
              <w:t>GreenAcreage Real Estate</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375,000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vMerge w:val="restart"/>
          </w:tcPr>
          <w:p>
            <w:pPr>
              <w:jc w:val="right"/>
              <w:ind w:right="4"/>
              <w:spacing w:after="0"/>
              <w:rPr>
                <w:sz w:val="20"/>
                <w:szCs w:val="20"/>
                <w:color w:val="auto"/>
              </w:rPr>
            </w:pPr>
            <w:r>
              <w:rPr>
                <w:rFonts w:ascii="Arial" w:cs="Arial" w:eastAsia="Arial" w:hAnsi="Arial"/>
                <w:sz w:val="16"/>
                <w:szCs w:val="16"/>
                <w:color w:val="auto"/>
              </w:rPr>
              <w:t>7,501,530</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20"/>
                <w:szCs w:val="20"/>
                <w:color w:val="auto"/>
              </w:rPr>
            </w:pPr>
            <w:r>
              <w:rPr>
                <w:rFonts w:ascii="Arial" w:cs="Arial" w:eastAsia="Arial" w:hAnsi="Arial"/>
                <w:sz w:val="16"/>
                <w:szCs w:val="16"/>
                <w:color w:val="auto"/>
                <w:w w:val="89"/>
              </w:rPr>
              <w:t>$</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(1,530)</w:t>
            </w:r>
          </w:p>
        </w:tc>
        <w:tc>
          <w:tcPr>
            <w:tcW w:w="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209"/>
        </w:trPr>
        <w:tc>
          <w:tcPr>
            <w:tcW w:w="2460" w:type="dxa"/>
            <w:vAlign w:val="bottom"/>
            <w:gridSpan w:val="2"/>
          </w:tcPr>
          <w:p>
            <w:pPr>
              <w:ind w:left="220"/>
              <w:spacing w:after="0"/>
              <w:rPr>
                <w:sz w:val="20"/>
                <w:szCs w:val="20"/>
                <w:color w:val="auto"/>
              </w:rPr>
            </w:pPr>
            <w:r>
              <w:rPr>
                <w:rFonts w:ascii="Arial" w:cs="Arial" w:eastAsia="Arial" w:hAnsi="Arial"/>
                <w:sz w:val="16"/>
                <w:szCs w:val="16"/>
                <w:color w:val="auto"/>
              </w:rPr>
              <w:t>Corp. -Common shares</w:t>
            </w: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Common Stock</w:t>
            </w: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7,501,530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7,500,000</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3.75 %</w:t>
            </w:r>
          </w:p>
        </w:tc>
        <w:tc>
          <w:tcPr>
            <w:tcW w:w="0" w:type="dxa"/>
            <w:vAlign w:val="bottom"/>
          </w:tcPr>
          <w:p>
            <w:pPr>
              <w:spacing w:after="0"/>
              <w:rPr>
                <w:sz w:val="1"/>
                <w:szCs w:val="1"/>
                <w:color w:val="auto"/>
              </w:rPr>
            </w:pPr>
          </w:p>
        </w:tc>
      </w:tr>
      <w:tr>
        <w:trPr>
          <w:trHeight w:val="142"/>
        </w:trPr>
        <w:tc>
          <w:tcPr>
            <w:tcW w:w="2460" w:type="dxa"/>
            <w:vAlign w:val="bottom"/>
            <w:gridSpan w:val="2"/>
          </w:tcPr>
          <w:p>
            <w:pPr>
              <w:ind w:left="20"/>
              <w:spacing w:after="0" w:line="142" w:lineRule="exact"/>
              <w:rPr>
                <w:sz w:val="20"/>
                <w:szCs w:val="20"/>
                <w:color w:val="auto"/>
              </w:rPr>
            </w:pPr>
            <w:r>
              <w:rPr>
                <w:rFonts w:ascii="Arial" w:cs="Arial" w:eastAsia="Arial" w:hAnsi="Arial"/>
                <w:sz w:val="16"/>
                <w:szCs w:val="16"/>
                <w:b w:val="1"/>
                <w:bCs w:val="1"/>
                <w:color w:val="auto"/>
              </w:rPr>
              <w:t>TOTAL NON-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6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rPr>
              <w:t>CONTROLLED/AFFILIATE</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167,333</w:t>
            </w:r>
          </w:p>
        </w:tc>
        <w:tc>
          <w:tcPr>
            <w:tcW w:w="8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20,502,712</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vMerge w:val="restart"/>
          </w:tcPr>
          <w:p>
            <w:pPr>
              <w:jc w:val="right"/>
              <w:ind w:right="3"/>
              <w:spacing w:after="0"/>
              <w:rPr>
                <w:sz w:val="20"/>
                <w:szCs w:val="20"/>
                <w:color w:val="auto"/>
              </w:rPr>
            </w:pPr>
            <w:r>
              <w:rPr>
                <w:rFonts w:ascii="Arial" w:cs="Arial" w:eastAsia="Arial" w:hAnsi="Arial"/>
                <w:sz w:val="16"/>
                <w:szCs w:val="16"/>
                <w:b w:val="1"/>
                <w:bCs w:val="1"/>
                <w:color w:val="auto"/>
                <w:w w:val="98"/>
              </w:rPr>
              <w:t>8,538,506</w:t>
            </w:r>
          </w:p>
        </w:tc>
        <w:tc>
          <w:tcPr>
            <w:tcW w:w="80" w:type="dxa"/>
            <w:vAlign w:val="bottom"/>
          </w:tcPr>
          <w:p>
            <w:pPr>
              <w:spacing w:after="0"/>
              <w:rPr>
                <w:sz w:val="14"/>
                <w:szCs w:val="14"/>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vMerge w:val="restart"/>
          </w:tcPr>
          <w:p>
            <w:pPr>
              <w:jc w:val="right"/>
              <w:ind w:right="4"/>
              <w:spacing w:after="0"/>
              <w:rPr>
                <w:sz w:val="20"/>
                <w:szCs w:val="20"/>
                <w:color w:val="auto"/>
              </w:rPr>
            </w:pPr>
            <w:r>
              <w:rPr>
                <w:rFonts w:ascii="Arial" w:cs="Arial" w:eastAsia="Arial" w:hAnsi="Arial"/>
                <w:sz w:val="16"/>
                <w:szCs w:val="16"/>
                <w:b w:val="1"/>
                <w:bCs w:val="1"/>
                <w:color w:val="auto"/>
              </w:rPr>
              <w:t>8,170,181</w:t>
            </w:r>
          </w:p>
        </w:tc>
        <w:tc>
          <w:tcPr>
            <w:tcW w:w="8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0"/>
              </w:rPr>
              <w:t>(13,446,323)</w:t>
            </w:r>
          </w:p>
        </w:tc>
        <w:tc>
          <w:tcPr>
            <w:tcW w:w="1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6"/>
                <w:szCs w:val="16"/>
                <w:b w:val="1"/>
                <w:bCs w:val="1"/>
                <w:color w:val="auto"/>
                <w:w w:val="89"/>
              </w:rPr>
              <w:t>$</w:t>
            </w:r>
          </w:p>
        </w:tc>
        <w:tc>
          <w:tcPr>
            <w:tcW w:w="8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7"/>
              </w:rPr>
              <w:t>14,179,192</w:t>
            </w:r>
          </w:p>
        </w:tc>
        <w:tc>
          <w:tcPr>
            <w:tcW w:w="80" w:type="dxa"/>
            <w:vAlign w:val="bottom"/>
          </w:tcPr>
          <w:p>
            <w:pPr>
              <w:spacing w:after="0"/>
              <w:rPr>
                <w:sz w:val="14"/>
                <w:szCs w:val="14"/>
                <w:color w:val="auto"/>
              </w:rPr>
            </w:pPr>
          </w:p>
        </w:tc>
        <w:tc>
          <w:tcPr>
            <w:tcW w:w="100" w:type="dxa"/>
            <w:vAlign w:val="bottom"/>
            <w:vMerge w:val="restart"/>
          </w:tcPr>
          <w:p>
            <w:pPr>
              <w:ind w:left="20"/>
              <w:spacing w:after="0"/>
              <w:rPr>
                <w:sz w:val="20"/>
                <w:szCs w:val="20"/>
                <w:color w:val="auto"/>
              </w:rPr>
            </w:pPr>
            <w:r>
              <w:rPr>
                <w:rFonts w:ascii="Arial" w:cs="Arial" w:eastAsia="Arial" w:hAnsi="Arial"/>
                <w:sz w:val="15"/>
                <w:szCs w:val="15"/>
                <w:b w:val="1"/>
                <w:bCs w:val="1"/>
                <w:u w:val="single" w:color="auto"/>
                <w:color w:val="auto"/>
                <w:w w:val="71"/>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37,944,268</w:t>
            </w:r>
          </w:p>
        </w:tc>
        <w:tc>
          <w:tcPr>
            <w:tcW w:w="8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18.98 %</w:t>
            </w:r>
          </w:p>
        </w:tc>
        <w:tc>
          <w:tcPr>
            <w:tcW w:w="0" w:type="dxa"/>
            <w:vAlign w:val="bottom"/>
          </w:tcPr>
          <w:p>
            <w:pPr>
              <w:spacing w:after="0"/>
              <w:rPr>
                <w:sz w:val="1"/>
                <w:szCs w:val="1"/>
                <w:color w:val="auto"/>
              </w:rPr>
            </w:pPr>
          </w:p>
        </w:tc>
      </w:tr>
      <w:tr>
        <w:trPr>
          <w:trHeight w:val="194"/>
        </w:trPr>
        <w:tc>
          <w:tcPr>
            <w:tcW w:w="2460" w:type="dxa"/>
            <w:vAlign w:val="bottom"/>
            <w:gridSpan w:val="2"/>
          </w:tcPr>
          <w:p>
            <w:pPr>
              <w:ind w:left="20"/>
              <w:spacing w:after="0" w:line="189" w:lineRule="exact"/>
              <w:rPr>
                <w:sz w:val="20"/>
                <w:szCs w:val="20"/>
                <w:color w:val="auto"/>
              </w:rPr>
            </w:pPr>
            <w:r>
              <w:rPr>
                <w:rFonts w:ascii="Arial" w:cs="Arial" w:eastAsia="Arial" w:hAnsi="Arial"/>
                <w:sz w:val="16"/>
                <w:szCs w:val="16"/>
                <w:b w:val="1"/>
                <w:bCs w:val="1"/>
                <w:color w:val="auto"/>
              </w:rPr>
              <w:t>INVESTMENTS*</w:t>
            </w:r>
            <w:r>
              <w:rPr>
                <w:rFonts w:ascii="Arial" w:cs="Arial" w:eastAsia="Arial" w:hAnsi="Arial"/>
                <w:sz w:val="21"/>
                <w:szCs w:val="21"/>
                <w:b w:val="1"/>
                <w:bCs w:val="1"/>
                <w:color w:val="auto"/>
                <w:vertAlign w:val="superscript"/>
              </w:rPr>
              <w:t>(1)</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1508760" cy="2489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08760" cy="24892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-890905</wp:posOffset>
            </wp:positionV>
            <wp:extent cx="514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w:t>
      </w:r>
    </w:p>
    <w:p>
      <w:pPr>
        <w:spacing w:after="0" w:line="31" w:lineRule="exact"/>
        <w:rPr>
          <w:sz w:val="20"/>
          <w:szCs w:val="20"/>
          <w:color w:val="auto"/>
        </w:rPr>
      </w:pPr>
    </w:p>
    <w:p>
      <w:pPr>
        <w:jc w:val="both"/>
        <w:ind w:left="340" w:hanging="332"/>
        <w:spacing w:after="0" w:line="248"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6"/>
          <w:szCs w:val="16"/>
          <w:color w:val="auto"/>
        </w:rPr>
        <w:t>All portfolio investments are non-income-producing, unless otherwise identified. Equity investments are subject to lock-up restrictions upon their IPO. Preferred dividends are generally only payable when declared and paid by the portfolio company's board of directors. Unless otherwise noted, all investments were pledged as collateral under the senior secured revolving Credit Facility with Western Alliance Bank (the "Credit Facility"). The Company’s directors, officers, employees and staff, as applicable, may serve on the board of directors of the Company’s portfolio investments. (Refer to “Note 3—Related-Party Arrangements”). All portfolio investments are considered Level 3 and valued using significant unobservable inputs, unless otherwise noted. (Refer to “Note 4—Investments at Fair Value”). All portfolio investments are considered Level 3 and valued using unobservable inputs, unless otherwise noted. All of the Company's portfolio investments are restricted as to resale, unless otherwise noted, and were valued at fair value as determined in good faith by the Company’s Board of Directors. (Refer to "Note 2—Significant Accounting Policies—Investments at Fair Value").</w:t>
      </w:r>
    </w:p>
    <w:p>
      <w:pPr>
        <w:spacing w:after="0" w:line="224" w:lineRule="exact"/>
        <w:rPr>
          <w:sz w:val="20"/>
          <w:szCs w:val="20"/>
          <w:color w:val="auto"/>
        </w:rPr>
      </w:pPr>
    </w:p>
    <w:p>
      <w:pPr>
        <w:ind w:left="340" w:hanging="332"/>
        <w:spacing w:after="0" w:line="275" w:lineRule="auto"/>
        <w:tabs>
          <w:tab w:leader="none" w:pos="232"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Indicates assets that SuRo Capital Corp believes do not represent “qualifying assets” under Section 55(a) of the Investment Company Act of 1940, as amended (the “1940 Act”). Of the Company’s total investments as of December 31, 2019, 0.00% of its total investments are non-qualifying assets.</w:t>
      </w:r>
    </w:p>
    <w:p>
      <w:pPr>
        <w:spacing w:after="0" w:line="199" w:lineRule="exact"/>
        <w:rPr>
          <w:rFonts w:ascii="Arial" w:cs="Arial" w:eastAsia="Arial" w:hAnsi="Arial"/>
          <w:sz w:val="16"/>
          <w:szCs w:val="16"/>
          <w:color w:val="auto"/>
        </w:rPr>
      </w:pPr>
    </w:p>
    <w:p>
      <w:pPr>
        <w:ind w:left="420" w:hanging="412"/>
        <w:spacing w:after="0"/>
        <w:tabs>
          <w:tab w:leader="none" w:pos="42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Investment is income-producing.</w:t>
      </w:r>
    </w:p>
    <w:p>
      <w:pPr>
        <w:spacing w:after="0" w:line="248" w:lineRule="exact"/>
        <w:rPr>
          <w:sz w:val="20"/>
          <w:szCs w:val="20"/>
          <w:color w:val="auto"/>
        </w:rPr>
      </w:pPr>
    </w:p>
    <w:p>
      <w:pPr>
        <w:ind w:left="500" w:hanging="492"/>
        <w:spacing w:after="0" w:line="261" w:lineRule="auto"/>
        <w:tabs>
          <w:tab w:leader="none" w:pos="38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“Affiliate Investments” are investments in those companies that are “Affiliated Companies” of SuRo Capital Corp., as defined in the 1940 Act. In general, a company is deemed to be an “Affiliate” of SuRo Capital Corp. if SuRo Capital Corp. owns 5% or more of the voting securities (</w:t>
      </w:r>
      <w:r>
        <w:rPr>
          <w:rFonts w:ascii="Arial" w:cs="Arial" w:eastAsia="Arial" w:hAnsi="Arial"/>
          <w:sz w:val="16"/>
          <w:szCs w:val="16"/>
          <w:i w:val="1"/>
          <w:iCs w:val="1"/>
          <w:color w:val="auto"/>
        </w:rPr>
        <w:t>i.e.</w:t>
      </w:r>
      <w:r>
        <w:rPr>
          <w:rFonts w:ascii="Arial" w:cs="Arial" w:eastAsia="Arial" w:hAnsi="Arial"/>
          <w:sz w:val="16"/>
          <w:szCs w:val="16"/>
          <w:color w:val="auto"/>
        </w:rPr>
        <w:t>, securities with the right to elect directors) of such company.</w:t>
      </w:r>
    </w:p>
    <w:p>
      <w:pPr>
        <w:spacing w:after="0" w:line="209" w:lineRule="exact"/>
        <w:rPr>
          <w:rFonts w:ascii="Arial" w:cs="Arial" w:eastAsia="Arial" w:hAnsi="Arial"/>
          <w:sz w:val="16"/>
          <w:szCs w:val="16"/>
          <w:color w:val="auto"/>
        </w:rPr>
      </w:pPr>
    </w:p>
    <w:p>
      <w:pPr>
        <w:ind w:left="500" w:hanging="492"/>
        <w:spacing w:after="0" w:line="261" w:lineRule="auto"/>
        <w:tabs>
          <w:tab w:leader="none" w:pos="3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“Control Investments” are investments in those companies that are “Controlled Companies” of SuRo Capital Corp., as defined in the 1940 Act. In general, under the 1940 Act, the Company would “Control” a portfolio company if the Company owned more than 25% of its outstanding voting securities (i.e., securities with the right to elect directors) and/or had the power to exercise control over the management or policies of such portfolio company.</w:t>
      </w:r>
    </w:p>
    <w:p>
      <w:pPr>
        <w:spacing w:after="0" w:line="209" w:lineRule="exact"/>
        <w:rPr>
          <w:rFonts w:ascii="Arial" w:cs="Arial" w:eastAsia="Arial" w:hAnsi="Arial"/>
          <w:sz w:val="16"/>
          <w:szCs w:val="16"/>
          <w:color w:val="auto"/>
        </w:rPr>
      </w:pPr>
    </w:p>
    <w:p>
      <w:pPr>
        <w:ind w:left="500" w:hanging="492"/>
        <w:spacing w:after="0" w:line="275" w:lineRule="auto"/>
        <w:tabs>
          <w:tab w:leader="none" w:pos="508" w:val="left"/>
        </w:tabs>
        <w:numPr>
          <w:ilvl w:val="0"/>
          <w:numId w:val="77"/>
        </w:numPr>
        <w:rPr>
          <w:rFonts w:ascii="Arial" w:cs="Arial" w:eastAsia="Arial" w:hAnsi="Arial"/>
          <w:sz w:val="16"/>
          <w:szCs w:val="16"/>
          <w:color w:val="auto"/>
        </w:rPr>
      </w:pPr>
      <w:r>
        <w:rPr>
          <w:rFonts w:ascii="Arial" w:cs="Arial" w:eastAsia="Arial" w:hAnsi="Arial"/>
          <w:sz w:val="16"/>
          <w:szCs w:val="16"/>
          <w:color w:val="auto"/>
        </w:rPr>
        <w:t>During the year ended December 31, 2019, SPBRX, INC. (f/k/a GSV Sustainability Partners, Inc.) declared, and SuRo Capital Corp. received, an aggregate of $400,000 in dividend distributions.</w:t>
      </w:r>
    </w:p>
    <w:p>
      <w:pPr>
        <w:spacing w:after="0" w:line="199" w:lineRule="exact"/>
        <w:rPr>
          <w:rFonts w:ascii="Arial" w:cs="Arial" w:eastAsia="Arial" w:hAnsi="Arial"/>
          <w:sz w:val="16"/>
          <w:szCs w:val="16"/>
          <w:color w:val="auto"/>
        </w:rPr>
      </w:pPr>
    </w:p>
    <w:p>
      <w:pPr>
        <w:ind w:left="400" w:hanging="392"/>
        <w:spacing w:after="0"/>
        <w:tabs>
          <w:tab w:leader="none" w:pos="4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SuRo Capital Corp.’s investments in StormWind, LLC are held through SuRo Capital Corp.'s wholly owned subsidiary, GSVC SW Holdings, Inc.</w:t>
      </w:r>
    </w:p>
    <w:p>
      <w:pPr>
        <w:spacing w:after="0" w:line="248" w:lineRule="exact"/>
        <w:rPr>
          <w:rFonts w:ascii="Arial" w:cs="Arial" w:eastAsia="Arial" w:hAnsi="Arial"/>
          <w:sz w:val="16"/>
          <w:szCs w:val="16"/>
          <w:color w:val="auto"/>
        </w:rPr>
      </w:pPr>
    </w:p>
    <w:p>
      <w:pPr>
        <w:ind w:left="500" w:hanging="492"/>
        <w:spacing w:after="0" w:line="261" w:lineRule="auto"/>
        <w:tabs>
          <w:tab w:leader="none" w:pos="416"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October 24, 2019, CUX, Inc. (d/b/a CorpU) completed a recapitalization, which amended SuRo Capital Corp.'s investment in the Senior Subordinated Convertible Promissory Note. As a result of the recapitalization, the principal amount of SuRo Capital Corp.'s Senior Subordinated Convertible Promissory Note was reduced by $109,331, the interest rate was reduced to 4%, and the maturity was extended to February 14, 2023.</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42" w:lineRule="exact"/>
        <w:rPr>
          <w:sz w:val="20"/>
          <w:szCs w:val="20"/>
          <w:color w:val="auto"/>
        </w:rPr>
      </w:pPr>
    </w:p>
    <w:p>
      <w:pPr>
        <w:ind w:left="500" w:right="20" w:hanging="492"/>
        <w:spacing w:after="0" w:line="275" w:lineRule="auto"/>
        <w:tabs>
          <w:tab w:leader="none" w:pos="408" w:val="left"/>
        </w:tabs>
        <w:numPr>
          <w:ilvl w:val="0"/>
          <w:numId w:val="78"/>
        </w:numPr>
        <w:rPr>
          <w:rFonts w:ascii="Arial" w:cs="Arial" w:eastAsia="Arial" w:hAnsi="Arial"/>
          <w:sz w:val="16"/>
          <w:szCs w:val="16"/>
          <w:color w:val="auto"/>
        </w:rPr>
      </w:pPr>
      <w:r>
        <w:rPr>
          <w:rFonts w:ascii="Arial" w:cs="Arial" w:eastAsia="Arial" w:hAnsi="Arial"/>
          <w:sz w:val="16"/>
          <w:szCs w:val="16"/>
          <w:color w:val="auto"/>
        </w:rPr>
        <w:t>On September 11, 2019, SuRo Capital Corp. agreed to convert its 5% Convertible Promissory Note due 12/31/2018 to Ozy Media, Inc. and all related accrued interest, into 683,482 shares of Ozy Media, Inc.'s Series C-2 preferred shares.</w:t>
      </w:r>
    </w:p>
    <w:p>
      <w:pPr>
        <w:spacing w:after="0" w:line="199" w:lineRule="exact"/>
        <w:rPr>
          <w:rFonts w:ascii="Arial" w:cs="Arial" w:eastAsia="Arial" w:hAnsi="Arial"/>
          <w:sz w:val="16"/>
          <w:szCs w:val="16"/>
          <w:color w:val="auto"/>
        </w:rPr>
      </w:pPr>
    </w:p>
    <w:p>
      <w:pPr>
        <w:jc w:val="both"/>
        <w:ind w:left="500" w:hanging="492"/>
        <w:spacing w:after="0" w:line="270" w:lineRule="auto"/>
        <w:tabs>
          <w:tab w:leader="none" w:pos="455" w:val="left"/>
        </w:tabs>
        <w:numPr>
          <w:ilvl w:val="0"/>
          <w:numId w:val="78"/>
        </w:numPr>
        <w:rPr>
          <w:rFonts w:ascii="Arial" w:cs="Arial" w:eastAsia="Arial" w:hAnsi="Arial"/>
          <w:sz w:val="15"/>
          <w:szCs w:val="15"/>
          <w:color w:val="auto"/>
        </w:rPr>
      </w:pPr>
      <w:r>
        <w:rPr>
          <w:rFonts w:ascii="Arial" w:cs="Arial" w:eastAsia="Arial" w:hAnsi="Arial"/>
          <w:sz w:val="15"/>
          <w:szCs w:val="15"/>
          <w:color w:val="auto"/>
        </w:rPr>
        <w:t>On August 23, 2019, SuRo Capital Corp. amended the structure of its investment in NestGSV, Inc. (d/b/a OneValley, Inc.). As part of the agreement, SuRo Capital Corp.’s equity holdings (warrants notwithstanding) were restructured into a derivative security. NestGSV, Inc. (d/b/a OneValley,Inc.) has the right to call the position at any time over a five year period, while SuRo Capital Corp. can put the shares to NestGSV, Inc. (d/b/a OneValley, Inc.) at the end of the five year period. As part of the agreement, previously accrued interest under SuRo Capital Corp.’s 12% Convertible Promissory Note due 12/31/2019 will be capitalized into the principal of the extended note, and the interest on the note is reduced from 12% to 8%. The Convertible Promissory Note’s maturity was extended to August 23, 2024. Under the amended structure, SuRo Capital Corp.’s fully diluted ownership of voting securities decreased from 50.0% to 8.5%. As such, SuRo Capital Corp.'s investments in NestGSV, Inc. (d/b/a OneValley, Inc.) have been recategorized from controlled investments to non-controlled/affiliated investments.</w:t>
      </w:r>
    </w:p>
    <w:p>
      <w:pPr>
        <w:spacing w:after="0" w:line="207" w:lineRule="exact"/>
        <w:rPr>
          <w:rFonts w:ascii="Arial" w:cs="Arial" w:eastAsia="Arial" w:hAnsi="Arial"/>
          <w:sz w:val="15"/>
          <w:szCs w:val="15"/>
          <w:color w:val="auto"/>
        </w:rPr>
      </w:pPr>
    </w:p>
    <w:p>
      <w:pPr>
        <w:jc w:val="both"/>
        <w:ind w:left="500" w:hanging="492"/>
        <w:spacing w:after="0" w:line="261" w:lineRule="auto"/>
        <w:tabs>
          <w:tab w:leader="none" w:pos="482" w:val="left"/>
        </w:tabs>
        <w:numPr>
          <w:ilvl w:val="0"/>
          <w:numId w:val="78"/>
        </w:numPr>
        <w:rPr>
          <w:rFonts w:ascii="Arial" w:cs="Arial" w:eastAsia="Arial" w:hAnsi="Arial"/>
          <w:sz w:val="16"/>
          <w:szCs w:val="16"/>
          <w:color w:val="auto"/>
        </w:rPr>
      </w:pPr>
      <w:r>
        <w:rPr>
          <w:rFonts w:ascii="Arial" w:cs="Arial" w:eastAsia="Arial" w:hAnsi="Arial"/>
          <w:sz w:val="16"/>
          <w:szCs w:val="16"/>
          <w:color w:val="auto"/>
        </w:rPr>
        <w:t>On November 26, 2019, SuRo Capital Corp. invested $250,000 in StormWind, LLC's Series D financing round. As part of the round, SuRo Capital Corp.'s fully diluted ownership of voting securities decreased from 25.6% to 23.4%. As such, SuRo Capital Corp.'s investments in StormWind, LLC have been recategorized from controlled investments to non-controlled/affiliated investments.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3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August 8, 2017, the Company announced a $5.0 million discretionary open-market share repurchase program of shares of the Company’s common stock, $0.01 par value per share, of up to $5.0 million until the earlier of (i) August 6, 2018 or (ii) the repurchase of $5.0 million in aggregate amount of the Company’s common stock (the “Share Repurchase Program”). On November 7, 2017, the Company’s Board of Directors authorized an extension of, and an increase in the amount of shares of the Company’s common stock that may be repurchased under the discretionary Share Repurchase Program until the earlier of (i) November 6, 2018 or (ii) the repurchase of $10.0 million in aggregate amount of the Company’s common stock. On May 3, 2018, the Company’s Board of Directors authorized a $5.0 million increase in the amount of shares of the Company’s common stock that may be repurchased under the discretionary Share Repurchase Program until the earlier of (i) November 6, 2018 or (ii) the repurchase of $15.0 million in aggregate amount of the Company’s common stock. On November 1, 2018, our Board of Directors authorized a $5.0 million increase in the amount of shares of our common stock that may be repurchased under the discretionary Share Repurchase Program until the earlier of (i) October 31, 2019 or (ii) the repurchase of $20.0 million in aggregate amount of our common stock. On August 5, 2019, our Board of Directors authorized a $5.0 million increase in the amount of shares of our common stock that may be repurchased under the discretionary Share Repurchase Program until the earlier of (i) August 4, 2020 or (ii) the repurchase of $25.0 million in aggregate amount of our common stock. On March 9, 2020, our Board of Directors authorized a $5.0 million increase in the amount of shares of our common stock that may be repurchased under the discretionary Share Repurchase Program until the earlier of (i) March 8, 2021 or (ii) the repurchase of $30.0 million in aggregate amount of our common stock. On October 28, 2020, our Board of Directors authorized a $10.0 million increase in the amount of shares of our common stock that may be repurchased under the discretionary Share Repurchase Program until the earlier of (i) October 31, 2021 or (ii) the repurchase of $40.0 million in aggregate amount of our common stock.</w:t>
      </w:r>
    </w:p>
    <w:p>
      <w:pPr>
        <w:spacing w:after="0" w:line="203"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timing and number of shares to be repurchased will depend on a number of factors, including market conditions and alternative investment opportunities. The Share Repurchase Program may be suspended, terminated or modified at any time for any reason and does not obligate the Company to acquire any specific number of shares of its common stock. Under the Share Repurchase Program, we may repurchase our outstanding common stock in the open market provided that we comply with the prohibitions under our insider trading policies and procedures and the applicable provisions of the 1940 Act and the Securities Exchange Act of 1934, as amended.</w:t>
      </w:r>
    </w:p>
    <w:p>
      <w:pPr>
        <w:spacing w:after="0" w:line="215" w:lineRule="exact"/>
        <w:rPr>
          <w:sz w:val="20"/>
          <w:szCs w:val="20"/>
          <w:color w:val="auto"/>
        </w:rPr>
      </w:pPr>
    </w:p>
    <w:p>
      <w:pPr>
        <w:jc w:val="both"/>
        <w:ind w:firstLine="364"/>
        <w:spacing w:after="0" w:line="342" w:lineRule="auto"/>
        <w:rPr>
          <w:sz w:val="20"/>
          <w:szCs w:val="20"/>
          <w:color w:val="auto"/>
        </w:rPr>
      </w:pPr>
      <w:r>
        <w:rPr>
          <w:rFonts w:ascii="Arial" w:cs="Arial" w:eastAsia="Arial" w:hAnsi="Arial"/>
          <w:sz w:val="16"/>
          <w:szCs w:val="16"/>
          <w:color w:val="auto"/>
        </w:rPr>
        <w:t>During the year ended December 31, 2020, the Company repurchased 1,655,848 shares of the Company’s common stock. As of December 31, 2020, the dollar value of shares that remained available to be purchased by the Company under the Share Repurchase Program was approximately $9.6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2019 Equity Incentive Plan</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Refer to “Note 11—Stock-Based Compensation” for a description of the Company’s restricted shares of common stock granted to non-employee directors under the Amended &amp; Restated 2019 Equity Incentive Plan (as defined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4.75% Convertible Senior Notes due 2023</w:t>
      </w:r>
    </w:p>
    <w:p>
      <w:pPr>
        <w:spacing w:after="0" w:line="23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the year ended December 31, 2020 the Company issued 174,888 shares of its common stock and cash for fractional shares upon the conversion of $1,785,000 in aggregate principal amount of the 4.75% Convertible Senior Notes due 2023. Refer to “Note 10—Debt Capital Activities” and "Note 12 — Subsequent Events" for more detail regarding conversion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29, 2020, the Company entered into an At-the-Market Sales Agreement, dated July 29, 2020 (the “Initial Sales Agreement”), with BTIG, LLC, JMP Securities LLC and Ladenburg Thalmann &amp; Co., Inc. (collectively, the “Agents”). Under the Initial Sales Agreement, the Company may, but has no obligation to, issue and sell up to $50,000,000 in aggregate amount of shares of its common stock (the “Shares”) from time to time through the Agents or to them as principal for their own account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"ATM Program"). On September 23, 2020, the Company increased the maximum amount of Shares to be sold through the ATM Program to $150,000,000 from $50,000,000. In connection with the upsize of the ATM Program to $150,000,000, the Company entered into Amendment No. 1 to the At-the-Market Sales Agreement, dated September 23, 2020, with the Agents (the “Amendment No. 1 to the Sales Agreement,” and together with the Initial Sales Agreement, the “Sales Agreement”). The Company intends to use the net proceeds from the ATM Program to make investments in portfolio companies in accordance with its investment objective and strategy and for general corporate purposes.</w:t>
      </w:r>
    </w:p>
    <w:p>
      <w:pPr>
        <w:spacing w:after="0" w:line="20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Sales of the Shares, if any, will be made by any method that is deemed to be an “at-the-market” offering as defined in Rule 415 under the Securities Act of 1933, as amended, including sales made directly on the Nasdaq Capital Market or sales made to or through a market maker other than on an exchange, at market prices prevailing at the time of sale, at prices related to prevailing market prices or at other negotiated prices. Actual sales in the ATM Program will depend on a variety of factors to be determined by the Company from time to time.</w:t>
      </w:r>
    </w:p>
    <w:p>
      <w:pPr>
        <w:spacing w:after="0" w:line="21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Agents will receive a commission from the Company equal to up to 2.0% of the gross sales price of any Shares sold through the Agents under the Sales Agreement and reimbursement of certain expenses. The Sales Agreement contains customary representations, warranties and agreements of the Company, conditions to closing, indemnification rights and obligations of the parties and termination provisions.</w:t>
      </w:r>
    </w:p>
    <w:p>
      <w:pPr>
        <w:spacing w:after="0" w:line="192"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During the year ended December 31, 2020, the Company issued and sold 3,808,979 Shares under the ATM Program at a weighted-average price of $13.36 per share, for gross proceeds of $50,900,326 and net proceeds of $49,882,319, after deducting commissions to the Agents on Shares sold. As of December 31, 2020, up to approximately $99.1 million in aggregate amount of the Shares remain available for sale under the ATM Program.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Modified Dutch Auction Tender Offer</w:t>
      </w:r>
    </w:p>
    <w:p>
      <w:pPr>
        <w:spacing w:after="0" w:line="25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On October 21, 2019, the Company commenced a modified “Dutch Auction” tender offer (the “Modified Dutch Auction Tender Offer”) to purchase for cash up to $10.0 million in shares of its common stock from its stockholders at a price per share of not less than $6.00 and not greater than $8.00 in $0.10 increments, using available cash. Upon expiration of the Modified Dutch Auction Tender Offer on November 20, 2019, the Company repurchased 1,449,275 shares, representing 7.6% of its outstanding shares, at a price of $6.90 per share on a pro rata basis, excluding fees and expenses relating to the self-tender offer. The Company has determined that the proration factor for the tender offer was 78.1%.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21" w:right="339" w:bottom="1440" w:gutter="0" w:footer="0" w:header="0"/>
        </w:sectPr>
      </w:pPr>
    </w:p>
    <w:bookmarkStart w:id="123" w:name="page124"/>
    <w:bookmarkEnd w:id="123"/>
    <w:p>
      <w:pPr>
        <w:ind w:left="73"/>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72"/>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NOTE 6—NET CHANGE IN NET ASSETS RESULTING FROM OPERATIONS PER COMMON SHARE—BASIC AND DILUTED</w:t>
      </w:r>
    </w:p>
    <w:p>
      <w:pPr>
        <w:spacing w:after="0" w:line="256" w:lineRule="exact"/>
        <w:rPr>
          <w:sz w:val="20"/>
          <w:szCs w:val="20"/>
          <w:color w:val="auto"/>
        </w:rPr>
      </w:pPr>
    </w:p>
    <w:p>
      <w:pPr>
        <w:ind w:left="73" w:firstLine="364"/>
        <w:spacing w:after="0" w:line="269" w:lineRule="auto"/>
        <w:rPr>
          <w:sz w:val="20"/>
          <w:szCs w:val="20"/>
          <w:color w:val="auto"/>
        </w:rPr>
      </w:pPr>
      <w:r>
        <w:rPr>
          <w:rFonts w:ascii="Arial" w:cs="Arial" w:eastAsia="Arial" w:hAnsi="Arial"/>
          <w:sz w:val="18"/>
          <w:szCs w:val="18"/>
          <w:color w:val="auto"/>
        </w:rPr>
        <w:t>The following information sets forth the computation of basic and diluted net increase in net assets resulting from operations per common share, pursuant to ASC 260, for the years ended December 31, 2020, 2019, and 2018.</w:t>
      </w:r>
    </w:p>
    <w:tbl>
      <w:tblPr>
        <w:tblLayout w:type="fixed"/>
        <w:tblInd w:w="73"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2020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90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9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60" w:type="dxa"/>
            <w:vAlign w:val="bottom"/>
            <w:gridSpan w:val="3"/>
          </w:tcPr>
          <w:p>
            <w:pPr>
              <w:spacing w:after="0" w:line="172" w:lineRule="exact"/>
              <w:rPr>
                <w:sz w:val="20"/>
                <w:szCs w:val="20"/>
                <w:color w:val="auto"/>
              </w:rPr>
            </w:pPr>
            <w:r>
              <w:rPr>
                <w:rFonts w:ascii="Arial" w:cs="Arial" w:eastAsia="Arial" w:hAnsi="Arial"/>
                <w:sz w:val="16"/>
                <w:szCs w:val="16"/>
                <w:b w:val="1"/>
                <w:bCs w:val="1"/>
                <w:color w:val="auto"/>
              </w:rPr>
              <w:t>Earnings per common share–basic:</w:t>
            </w:r>
          </w:p>
        </w:tc>
        <w:tc>
          <w:tcPr>
            <w:tcW w:w="1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w:t>
            </w: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75,337,438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23,953,697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891,743</w:t>
            </w:r>
          </w:p>
        </w:tc>
        <w:tc>
          <w:tcPr>
            <w:tcW w:w="0" w:type="dxa"/>
            <w:vAlign w:val="bottom"/>
          </w:tcPr>
          <w:p>
            <w:pPr>
              <w:spacing w:after="0"/>
              <w:rPr>
                <w:sz w:val="1"/>
                <w:szCs w:val="1"/>
                <w:color w:val="auto"/>
              </w:rPr>
            </w:pPr>
          </w:p>
        </w:tc>
      </w:tr>
      <w:tr>
        <w:trPr>
          <w:trHeight w:val="213"/>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3"/>
          </w:tcPr>
          <w:p>
            <w:pPr>
              <w:spacing w:after="0"/>
              <w:rPr>
                <w:sz w:val="20"/>
                <w:szCs w:val="20"/>
                <w:color w:val="auto"/>
              </w:rPr>
            </w:pPr>
            <w:r>
              <w:rPr>
                <w:rFonts w:ascii="Arial" w:cs="Arial" w:eastAsia="Arial" w:hAnsi="Arial"/>
                <w:sz w:val="16"/>
                <w:szCs w:val="16"/>
                <w:color w:val="auto"/>
              </w:rPr>
              <w:t>Weighted-average common shares–basic</w:t>
            </w: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17,910,353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19,328,414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20,617,890</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b w:val="1"/>
                <w:bCs w:val="1"/>
                <w:color w:val="auto"/>
              </w:rPr>
              <w:t>Earnings per common share–basic</w:t>
            </w:r>
          </w:p>
        </w:tc>
        <w:tc>
          <w:tcPr>
            <w:tcW w:w="1360" w:type="dxa"/>
            <w:vAlign w:val="bottom"/>
            <w:tcBorders>
              <w:bottom w:val="single" w:sz="8" w:color="auto"/>
            </w:tcBorders>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60" w:type="dxa"/>
            <w:vAlign w:val="bottom"/>
            <w:tcBorders>
              <w:top w:val="single" w:sz="8" w:color="CCEEFF"/>
              <w:bottom w:val="single" w:sz="8" w:color="CCEEFF"/>
            </w:tcBorders>
            <w:gridSpan w:val="3"/>
            <w:vMerge w:val="restart"/>
          </w:tcPr>
          <w:p>
            <w:pPr>
              <w:spacing w:after="0" w:line="162" w:lineRule="exact"/>
              <w:rPr>
                <w:sz w:val="20"/>
                <w:szCs w:val="20"/>
                <w:color w:val="auto"/>
              </w:rPr>
            </w:pPr>
            <w:r>
              <w:rPr>
                <w:rFonts w:ascii="Arial" w:cs="Arial" w:eastAsia="Arial" w:hAnsi="Arial"/>
                <w:sz w:val="16"/>
                <w:szCs w:val="16"/>
                <w:b w:val="1"/>
                <w:bCs w:val="1"/>
                <w:color w:val="auto"/>
              </w:rPr>
              <w:t>Earnings per common share–diluted:</w:t>
            </w: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4260" w:type="dxa"/>
            <w:vAlign w:val="bottom"/>
            <w:gridSpan w:val="3"/>
            <w:vMerge w:val="continue"/>
          </w:tcPr>
          <w:p>
            <w:pPr>
              <w:spacing w:after="0"/>
              <w:rPr>
                <w:sz w:val="10"/>
                <w:szCs w:val="10"/>
                <w:color w:val="auto"/>
              </w:rPr>
            </w:pPr>
          </w:p>
        </w:tc>
        <w:tc>
          <w:tcPr>
            <w:tcW w:w="1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change in net assets resulting from operations</w:t>
            </w: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75,337,438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23,953,697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891,743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gridSpan w:val="3"/>
          </w:tcPr>
          <w:p>
            <w:pPr>
              <w:ind w:left="120"/>
              <w:spacing w:after="0" w:line="166" w:lineRule="exact"/>
              <w:rPr>
                <w:sz w:val="20"/>
                <w:szCs w:val="20"/>
                <w:color w:val="auto"/>
              </w:rPr>
            </w:pPr>
            <w:r>
              <w:rPr>
                <w:rFonts w:ascii="Arial" w:cs="Arial" w:eastAsia="Arial" w:hAnsi="Arial"/>
                <w:sz w:val="16"/>
                <w:szCs w:val="16"/>
                <w:color w:val="auto"/>
                <w:w w:val="93"/>
              </w:rPr>
              <w:t>Adjustment for interest and amortization on 4.75% Convertible</w:t>
            </w:r>
          </w:p>
        </w:tc>
        <w:tc>
          <w:tcPr>
            <w:tcW w:w="1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2,239,210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vMerge w:val="restart"/>
          </w:tcPr>
          <w:p>
            <w:pPr>
              <w:jc w:val="right"/>
              <w:spacing w:after="0"/>
              <w:rPr>
                <w:sz w:val="20"/>
                <w:szCs w:val="20"/>
                <w:color w:val="auto"/>
              </w:rPr>
            </w:pPr>
            <w:r>
              <w:rPr>
                <w:rFonts w:ascii="Arial" w:cs="Arial" w:eastAsia="Arial" w:hAnsi="Arial"/>
                <w:sz w:val="16"/>
                <w:szCs w:val="16"/>
                <w:color w:val="auto"/>
              </w:rPr>
              <w:t>2,269,124</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3"/>
          </w:tcPr>
          <w:p>
            <w:pPr>
              <w:ind w:left="200"/>
              <w:spacing w:after="0" w:line="213" w:lineRule="exact"/>
              <w:rPr>
                <w:sz w:val="20"/>
                <w:szCs w:val="20"/>
                <w:color w:val="auto"/>
              </w:rPr>
            </w:pPr>
            <w:r>
              <w:rPr>
                <w:rFonts w:ascii="Arial" w:cs="Arial" w:eastAsia="Arial" w:hAnsi="Arial"/>
                <w:sz w:val="16"/>
                <w:szCs w:val="16"/>
                <w:color w:val="auto"/>
              </w:rPr>
              <w:t>Senior Notes due 2023</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6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2"/>
              </w:rPr>
              <w:t>Net change in net assets resulting from operations, as adjusted</w:t>
            </w:r>
          </w:p>
        </w:tc>
        <w:tc>
          <w:tcPr>
            <w:tcW w:w="1360" w:type="dxa"/>
            <w:vAlign w:val="bottom"/>
            <w:shd w:val="clear" w:color="auto" w:fill="CCEEFF"/>
          </w:tcPr>
          <w:p>
            <w:pPr>
              <w:jc w:val="right"/>
              <w:ind w:right="118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77,576,648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26,222,821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891,743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4260" w:type="dxa"/>
            <w:vAlign w:val="bottom"/>
            <w:gridSpan w:val="3"/>
          </w:tcPr>
          <w:p>
            <w:pPr>
              <w:ind w:left="120"/>
              <w:spacing w:after="0" w:line="166" w:lineRule="exact"/>
              <w:rPr>
                <w:sz w:val="20"/>
                <w:szCs w:val="20"/>
                <w:color w:val="auto"/>
              </w:rPr>
            </w:pPr>
            <w:r>
              <w:rPr>
                <w:rFonts w:ascii="Arial" w:cs="Arial" w:eastAsia="Arial" w:hAnsi="Arial"/>
                <w:sz w:val="16"/>
                <w:szCs w:val="16"/>
                <w:color w:val="auto"/>
              </w:rPr>
              <w:t>Adjustment for dilutive effect of 4.75% Convertible Senior</w:t>
            </w:r>
          </w:p>
        </w:tc>
        <w:tc>
          <w:tcPr>
            <w:tcW w:w="13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3,880,545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vMerge w:val="restart"/>
          </w:tcPr>
          <w:p>
            <w:pPr>
              <w:jc w:val="right"/>
              <w:spacing w:after="0"/>
              <w:rPr>
                <w:sz w:val="20"/>
                <w:szCs w:val="20"/>
                <w:color w:val="auto"/>
              </w:rPr>
            </w:pPr>
            <w:r>
              <w:rPr>
                <w:rFonts w:ascii="Arial" w:cs="Arial" w:eastAsia="Arial" w:hAnsi="Arial"/>
                <w:sz w:val="16"/>
                <w:szCs w:val="16"/>
                <w:color w:val="auto"/>
              </w:rPr>
              <w:t>3,741,208</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3"/>
          </w:tcPr>
          <w:p>
            <w:pPr>
              <w:ind w:left="200"/>
              <w:spacing w:after="0" w:line="213" w:lineRule="exact"/>
              <w:rPr>
                <w:sz w:val="20"/>
                <w:szCs w:val="20"/>
                <w:color w:val="auto"/>
              </w:rPr>
            </w:pPr>
            <w:r>
              <w:rPr>
                <w:rFonts w:ascii="Arial" w:cs="Arial" w:eastAsia="Arial" w:hAnsi="Arial"/>
                <w:sz w:val="16"/>
                <w:szCs w:val="16"/>
                <w:color w:val="auto"/>
              </w:rPr>
              <w:t>Notes due 2023</w:t>
            </w:r>
            <w:r>
              <w:rPr>
                <w:rFonts w:ascii="Arial" w:cs="Arial" w:eastAsia="Arial" w:hAnsi="Arial"/>
                <w:sz w:val="21"/>
                <w:szCs w:val="21"/>
                <w:color w:val="auto"/>
                <w:vertAlign w:val="superscript"/>
              </w:rPr>
              <w:t>(1)</w:t>
            </w: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Weighted-average common shares outstanding–diluted</w:t>
            </w:r>
          </w:p>
        </w:tc>
        <w:tc>
          <w:tcPr>
            <w:tcW w:w="13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21,790,898</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23,069,622</w:t>
            </w:r>
          </w:p>
        </w:tc>
        <w:tc>
          <w:tcPr>
            <w:tcW w:w="10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20,617,890</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60" w:type="dxa"/>
            <w:vAlign w:val="bottom"/>
            <w:gridSpan w:val="3"/>
          </w:tcPr>
          <w:p>
            <w:pPr>
              <w:spacing w:after="0"/>
              <w:rPr>
                <w:sz w:val="20"/>
                <w:szCs w:val="20"/>
                <w:color w:val="auto"/>
              </w:rPr>
            </w:pPr>
            <w:r>
              <w:rPr>
                <w:rFonts w:ascii="Arial" w:cs="Arial" w:eastAsia="Arial" w:hAnsi="Arial"/>
                <w:sz w:val="16"/>
                <w:szCs w:val="16"/>
                <w:b w:val="1"/>
                <w:bCs w:val="1"/>
                <w:color w:val="auto"/>
              </w:rPr>
              <w:t>Earnings per common share–diluted</w:t>
            </w:r>
          </w:p>
        </w:tc>
        <w:tc>
          <w:tcPr>
            <w:tcW w:w="1360" w:type="dxa"/>
            <w:vAlign w:val="bottom"/>
            <w:tcBorders>
              <w:bottom w:val="single" w:sz="8" w:color="auto"/>
            </w:tcBorders>
          </w:tcPr>
          <w:p>
            <w:pPr>
              <w:jc w:val="right"/>
              <w:ind w:right="118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
        </w:trPr>
        <w:tc>
          <w:tcPr>
            <w:tcW w:w="24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w:t>
            </w:r>
          </w:p>
        </w:tc>
        <w:tc>
          <w:tcPr>
            <w:tcW w:w="140" w:type="dxa"/>
            <w:vAlign w:val="bottom"/>
            <w:vMerge w:val="restart"/>
          </w:tcPr>
          <w:p>
            <w:pPr>
              <w:spacing w:after="0" w:line="20" w:lineRule="exact"/>
              <w:rPr>
                <w:sz w:val="1"/>
                <w:szCs w:val="1"/>
                <w:color w:val="auto"/>
              </w:rPr>
            </w:pPr>
          </w:p>
        </w:tc>
        <w:tc>
          <w:tcPr>
            <w:tcW w:w="1680" w:type="dxa"/>
            <w:vAlign w:val="bottom"/>
            <w:vMerge w:val="restart"/>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4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6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493" w:hanging="493"/>
        <w:spacing w:after="0" w:line="239" w:lineRule="auto"/>
        <w:tabs>
          <w:tab w:leader="none" w:pos="425" w:val="left"/>
        </w:tabs>
        <w:numPr>
          <w:ilvl w:val="0"/>
          <w:numId w:val="79"/>
        </w:numPr>
        <w:rPr>
          <w:rFonts w:ascii="Arial" w:cs="Arial" w:eastAsia="Arial" w:hAnsi="Arial"/>
          <w:sz w:val="16"/>
          <w:szCs w:val="16"/>
          <w:color w:val="auto"/>
        </w:rPr>
      </w:pPr>
      <w:r>
        <w:rPr>
          <w:rFonts w:ascii="Arial" w:cs="Arial" w:eastAsia="Arial" w:hAnsi="Arial"/>
          <w:sz w:val="14"/>
          <w:szCs w:val="14"/>
          <w:color w:val="auto"/>
        </w:rPr>
        <w:t>For the years ended December 31, 2020, 2019, and 2018, 0, 0, and 6,079,068 potentially dilutive common shares, respectively, were excluded from the weighted-average common shares outstanding for diluted net change in net assets resulting from operations per common share because the effect of these shares would have been anti-dilutive.</w:t>
      </w:r>
    </w:p>
    <w:p>
      <w:pPr>
        <w:spacing w:after="0" w:line="224" w:lineRule="exact"/>
        <w:rPr>
          <w:sz w:val="20"/>
          <w:szCs w:val="20"/>
          <w:color w:val="auto"/>
        </w:rPr>
      </w:pPr>
    </w:p>
    <w:p>
      <w:pPr>
        <w:ind w:left="73"/>
        <w:spacing w:after="0"/>
        <w:rPr>
          <w:sz w:val="20"/>
          <w:szCs w:val="20"/>
          <w:color w:val="auto"/>
        </w:rPr>
      </w:pPr>
      <w:r>
        <w:rPr>
          <w:rFonts w:ascii="Arial" w:cs="Arial" w:eastAsia="Arial" w:hAnsi="Arial"/>
          <w:sz w:val="18"/>
          <w:szCs w:val="18"/>
          <w:b w:val="1"/>
          <w:bCs w:val="1"/>
          <w:color w:val="auto"/>
        </w:rPr>
        <w:t>NOTE 7—COMMITMENTS AND CONTINGENCIES</w:t>
      </w:r>
    </w:p>
    <w:p>
      <w:pPr>
        <w:spacing w:after="0" w:line="256" w:lineRule="exact"/>
        <w:rPr>
          <w:sz w:val="20"/>
          <w:szCs w:val="20"/>
          <w:color w:val="auto"/>
        </w:rPr>
      </w:pPr>
    </w:p>
    <w:p>
      <w:pPr>
        <w:jc w:val="both"/>
        <w:ind w:left="73" w:firstLine="364"/>
        <w:spacing w:after="0" w:line="286" w:lineRule="auto"/>
        <w:rPr>
          <w:sz w:val="20"/>
          <w:szCs w:val="20"/>
          <w:color w:val="auto"/>
        </w:rPr>
      </w:pPr>
      <w:r>
        <w:rPr>
          <w:rFonts w:ascii="Arial" w:cs="Arial" w:eastAsia="Arial" w:hAnsi="Arial"/>
          <w:sz w:val="17"/>
          <w:szCs w:val="17"/>
          <w:color w:val="auto"/>
        </w:rPr>
        <w:t>In the normal course of business, the Company may enter into investment agreements under which it commits to make an investment in a portfolio company at some future date or over a specified period of time. As of December 31, 2020 and December 31, 2019, the Company had $10,000,000 and $0, respectively, in non-binding investment agreements that required it to make a future investment in a portfolio company.</w:t>
      </w:r>
    </w:p>
    <w:p>
      <w:pPr>
        <w:spacing w:after="0" w:line="192" w:lineRule="exact"/>
        <w:rPr>
          <w:sz w:val="20"/>
          <w:szCs w:val="20"/>
          <w:color w:val="auto"/>
        </w:rPr>
      </w:pPr>
    </w:p>
    <w:p>
      <w:pPr>
        <w:jc w:val="both"/>
        <w:ind w:left="73" w:firstLine="364"/>
        <w:spacing w:after="0" w:line="259" w:lineRule="auto"/>
        <w:rPr>
          <w:sz w:val="20"/>
          <w:szCs w:val="20"/>
          <w:color w:val="auto"/>
        </w:rPr>
      </w:pPr>
      <w:r>
        <w:rPr>
          <w:rFonts w:ascii="Arial" w:cs="Arial" w:eastAsia="Arial" w:hAnsi="Arial"/>
          <w:sz w:val="18"/>
          <w:szCs w:val="18"/>
          <w:color w:val="auto"/>
        </w:rPr>
        <w:t>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 The Company is not currently a party to any material legal proceedings.</w:t>
      </w:r>
    </w:p>
    <w:p>
      <w:pPr>
        <w:spacing w:after="0" w:line="187" w:lineRule="exact"/>
        <w:rPr>
          <w:sz w:val="20"/>
          <w:szCs w:val="20"/>
          <w:color w:val="auto"/>
        </w:rPr>
      </w:pPr>
    </w:p>
    <w:p>
      <w:pPr>
        <w:ind w:left="73"/>
        <w:spacing w:after="0"/>
        <w:rPr>
          <w:sz w:val="20"/>
          <w:szCs w:val="20"/>
          <w:color w:val="auto"/>
        </w:rPr>
      </w:pPr>
      <w:r>
        <w:rPr>
          <w:rFonts w:ascii="Arial" w:cs="Arial" w:eastAsia="Arial" w:hAnsi="Arial"/>
          <w:sz w:val="18"/>
          <w:szCs w:val="18"/>
          <w:b w:val="1"/>
          <w:bCs w:val="1"/>
          <w:i w:val="1"/>
          <w:iCs w:val="1"/>
          <w:color w:val="auto"/>
        </w:rPr>
        <w:t>Operating Leases &amp; Related Deposits</w:t>
      </w:r>
    </w:p>
    <w:p>
      <w:pPr>
        <w:spacing w:after="0" w:line="252" w:lineRule="exact"/>
        <w:rPr>
          <w:sz w:val="20"/>
          <w:szCs w:val="20"/>
          <w:color w:val="auto"/>
        </w:rPr>
      </w:pPr>
    </w:p>
    <w:p>
      <w:pPr>
        <w:jc w:val="both"/>
        <w:ind w:left="73" w:firstLine="364"/>
        <w:spacing w:after="0" w:line="263" w:lineRule="auto"/>
        <w:rPr>
          <w:sz w:val="20"/>
          <w:szCs w:val="20"/>
          <w:color w:val="auto"/>
        </w:rPr>
      </w:pPr>
      <w:r>
        <w:rPr>
          <w:rFonts w:ascii="Arial" w:cs="Arial" w:eastAsia="Arial" w:hAnsi="Arial"/>
          <w:sz w:val="18"/>
          <w:szCs w:val="18"/>
          <w:color w:val="auto"/>
        </w:rPr>
        <w:t>The Company currently has one operating lease for office space for which the Company has recorded a right-of-use asset and lease liability for the operating lease obligation. The lease commenced June 3, 2019 and expires July 31, 2024. The lease expense is presented as a single lease cost that is amortized on a straight-line basis over the life of the lease.</w:t>
      </w:r>
    </w:p>
    <w:p>
      <w:pPr>
        <w:spacing w:after="0" w:line="211" w:lineRule="exact"/>
        <w:rPr>
          <w:sz w:val="20"/>
          <w:szCs w:val="20"/>
          <w:color w:val="auto"/>
        </w:rPr>
      </w:pPr>
    </w:p>
    <w:p>
      <w:pPr>
        <w:jc w:val="both"/>
        <w:ind w:left="73" w:firstLine="364"/>
        <w:spacing w:after="0" w:line="255" w:lineRule="auto"/>
        <w:rPr>
          <w:sz w:val="20"/>
          <w:szCs w:val="20"/>
          <w:color w:val="auto"/>
        </w:rPr>
      </w:pPr>
      <w:r>
        <w:rPr>
          <w:rFonts w:ascii="Arial" w:cs="Arial" w:eastAsia="Arial" w:hAnsi="Arial"/>
          <w:sz w:val="18"/>
          <w:szCs w:val="18"/>
          <w:color w:val="auto"/>
        </w:rPr>
        <w:t>As of December 31, 2020 and December 31, 2019, the Company booked a right of use asset and operating lease liability of $633,736 and $787,056, respectively, on the Consolidated Statement of Assets and Liabilities. As of December 31, 2020 and December 31, 2019, the Company recorded a security deposit of $16,574 and $16,574, respectively, on the Consolidated Statement of Assets and Liabilities. For the years ended December 31, 2020 and 2019, the Company incurred $180,254 and $73,059 of operating lease expense, respectively. The amounts reflected on the Consolidated Statement of Assets and Liabilities have been discounted using the rate implicit in the lease. As of December 31, 2020, the remaining lease term was 3.6 years and the discount rate was 3.00%.</w:t>
      </w:r>
    </w:p>
    <w:p>
      <w:pPr>
        <w:spacing w:after="0" w:line="200" w:lineRule="exact"/>
        <w:rPr>
          <w:sz w:val="20"/>
          <w:szCs w:val="20"/>
          <w:color w:val="auto"/>
        </w:rPr>
      </w:pPr>
    </w:p>
    <w:p>
      <w:pPr>
        <w:spacing w:after="0" w:line="370"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13"/>
          </w:cols>
          <w:pgMar w:left="247" w:top="121" w:right="339" w:bottom="1440" w:gutter="0" w:footer="0" w:header="0"/>
        </w:sectPr>
      </w:pPr>
    </w:p>
    <w:bookmarkStart w:id="124" w:name="page125"/>
    <w:bookmarkEnd w:id="1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future minimum payments under the Company's operating lease as of December 31, 2020:</w:t>
      </w:r>
    </w:p>
    <w:p>
      <w:pPr>
        <w:spacing w:after="0" w:line="136" w:lineRule="exact"/>
        <w:rPr>
          <w:sz w:val="20"/>
          <w:szCs w:val="20"/>
          <w:color w:val="auto"/>
        </w:rPr>
      </w:pPr>
    </w:p>
    <w:tbl>
      <w:tblPr>
        <w:tblLayout w:type="fixed"/>
        <w:tblInd w:w="1400" w:type="dxa"/>
        <w:tblCellMar>
          <w:top w:w="0" w:type="dxa"/>
          <w:left w:w="0" w:type="dxa"/>
          <w:bottom w:w="0" w:type="dxa"/>
          <w:right w:w="0" w:type="dxa"/>
        </w:tblCellMar>
      </w:tblPr>
      <w:tr>
        <w:trPr>
          <w:trHeight w:val="192"/>
        </w:trPr>
        <w:tc>
          <w:tcPr>
            <w:tcW w:w="5620" w:type="dxa"/>
            <w:vAlign w:val="bottom"/>
            <w:gridSpan w:val="2"/>
          </w:tcPr>
          <w:p>
            <w:pPr>
              <w:spacing w:after="0"/>
              <w:rPr>
                <w:sz w:val="20"/>
                <w:szCs w:val="20"/>
                <w:color w:val="auto"/>
              </w:rPr>
            </w:pPr>
            <w:r>
              <w:rPr>
                <w:rFonts w:ascii="Arial" w:cs="Arial" w:eastAsia="Arial" w:hAnsi="Arial"/>
                <w:sz w:val="14"/>
                <w:szCs w:val="14"/>
                <w:b w:val="1"/>
                <w:bCs w:val="1"/>
                <w:color w:val="auto"/>
              </w:rPr>
              <w:t>For the Years Ended December 31,</w:t>
            </w:r>
          </w:p>
        </w:tc>
        <w:tc>
          <w:tcPr>
            <w:tcW w:w="2840" w:type="dxa"/>
            <w:vAlign w:val="bottom"/>
          </w:tcPr>
          <w:p>
            <w:pPr>
              <w:jc w:val="right"/>
              <w:ind w:right="1513"/>
              <w:spacing w:after="0"/>
              <w:rPr>
                <w:sz w:val="20"/>
                <w:szCs w:val="20"/>
                <w:color w:val="auto"/>
              </w:rPr>
            </w:pPr>
            <w:r>
              <w:rPr>
                <w:rFonts w:ascii="Arial" w:cs="Arial" w:eastAsia="Arial" w:hAnsi="Arial"/>
                <w:sz w:val="14"/>
                <w:szCs w:val="14"/>
                <w:b w:val="1"/>
                <w:bCs w:val="1"/>
                <w:color w:val="auto"/>
              </w:rPr>
              <w:t>Amount</w:t>
            </w:r>
          </w:p>
        </w:tc>
      </w:tr>
      <w:tr>
        <w:trPr>
          <w:trHeight w:val="22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840" w:type="dxa"/>
            <w:vAlign w:val="bottom"/>
            <w:tcBorders>
              <w:top w:val="single" w:sz="8" w:color="auto"/>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179,800</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185,194</w:t>
            </w:r>
          </w:p>
        </w:tc>
      </w:tr>
      <w:tr>
        <w:trPr>
          <w:trHeight w:val="22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190,750</w:t>
            </w:r>
          </w:p>
        </w:tc>
      </w:tr>
      <w:tr>
        <w:trPr>
          <w:trHeight w:val="230"/>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8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113,604</w:t>
            </w:r>
          </w:p>
        </w:tc>
      </w:tr>
      <w:tr>
        <w:trPr>
          <w:trHeight w:val="248"/>
        </w:trPr>
        <w:tc>
          <w:tcPr>
            <w:tcW w:w="47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2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669,348</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-334010</wp:posOffset>
            </wp:positionV>
            <wp:extent cx="3034665" cy="1543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034665" cy="154305"/>
                    </a:xfrm>
                    <a:prstGeom prst="rect">
                      <a:avLst/>
                    </a:prstGeom>
                    <a:noFill/>
                  </pic:spPr>
                </pic:pic>
              </a:graphicData>
            </a:graphic>
          </wp:anchor>
        </w:drawing>
        <w:drawing>
          <wp:anchor simplePos="0" relativeHeight="251657728" behindDoc="1" locked="0" layoutInCell="0" allowOverlap="1">
            <wp:simplePos x="0" y="0"/>
            <wp:positionH relativeFrom="column">
              <wp:posOffset>887730</wp:posOffset>
            </wp:positionH>
            <wp:positionV relativeFrom="paragraph">
              <wp:posOffset>-779145</wp:posOffset>
            </wp:positionV>
            <wp:extent cx="30346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139"/>
          </w:cols>
          <w:pgMar w:left="320" w:top="121" w:right="1440" w:bottom="1440" w:gutter="0" w:footer="0" w:header="0"/>
        </w:sectPr>
      </w:pPr>
    </w:p>
    <w:bookmarkStart w:id="125" w:name="page126"/>
    <w:bookmarkEnd w:id="1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8—FINANCIAL HIGHLIGHTS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6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6"/>
              </w:rPr>
              <w:t>2016</w:t>
            </w:r>
          </w:p>
        </w:tc>
        <w:tc>
          <w:tcPr>
            <w:tcW w:w="0" w:type="dxa"/>
            <w:vAlign w:val="bottom"/>
          </w:tcPr>
          <w:p>
            <w:pPr>
              <w:spacing w:after="0"/>
              <w:rPr>
                <w:sz w:val="1"/>
                <w:szCs w:val="1"/>
                <w:color w:val="auto"/>
              </w:rPr>
            </w:pPr>
          </w:p>
        </w:tc>
      </w:tr>
      <w:tr>
        <w:trPr>
          <w:trHeight w:val="170"/>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Per Basic Share Data</w:t>
            </w: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Net asset value at beginning of the year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9.89</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12.08</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Net investment loss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540"/>
              <w:spacing w:after="0"/>
              <w:rPr>
                <w:sz w:val="20"/>
                <w:szCs w:val="20"/>
                <w:color w:val="auto"/>
              </w:rPr>
            </w:pPr>
            <w:r>
              <w:rPr>
                <w:rFonts w:ascii="Arial" w:cs="Arial" w:eastAsia="Arial" w:hAnsi="Arial"/>
                <w:sz w:val="16"/>
                <w:szCs w:val="16"/>
                <w:color w:val="auto"/>
              </w:rPr>
              <w:t>(0.37)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16"/>
        </w:trPr>
        <w:tc>
          <w:tcPr>
            <w:tcW w:w="3600" w:type="dxa"/>
            <w:vAlign w:val="bottom"/>
          </w:tcPr>
          <w:p>
            <w:pPr>
              <w:ind w:left="140"/>
              <w:spacing w:after="0" w:line="216" w:lineRule="exact"/>
              <w:rPr>
                <w:sz w:val="20"/>
                <w:szCs w:val="20"/>
                <w:color w:val="auto"/>
              </w:rPr>
            </w:pPr>
            <w:r>
              <w:rPr>
                <w:rFonts w:ascii="Arial" w:cs="Arial" w:eastAsia="Arial" w:hAnsi="Arial"/>
                <w:sz w:val="16"/>
                <w:szCs w:val="16"/>
                <w:color w:val="auto"/>
              </w:rPr>
              <w:t>Net realized gain/(loss) on investments</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0.92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0.99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ind w:left="540"/>
              <w:spacing w:after="0"/>
              <w:rPr>
                <w:sz w:val="20"/>
                <w:szCs w:val="20"/>
                <w:color w:val="auto"/>
              </w:rPr>
            </w:pPr>
            <w:r>
              <w:rPr>
                <w:rFonts w:ascii="Arial" w:cs="Arial" w:eastAsia="Arial" w:hAnsi="Arial"/>
                <w:sz w:val="16"/>
                <w:szCs w:val="16"/>
                <w:color w:val="auto"/>
              </w:rPr>
              <w:t>(0.36)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0.04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Realized loss on partial repurchase of 5.25%</w:t>
            </w:r>
          </w:p>
        </w:tc>
        <w:tc>
          <w:tcPr>
            <w:tcW w:w="3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300"/>
              <w:spacing w:after="0" w:line="216" w:lineRule="exact"/>
              <w:rPr>
                <w:sz w:val="20"/>
                <w:szCs w:val="20"/>
                <w:color w:val="auto"/>
              </w:rPr>
            </w:pPr>
            <w:r>
              <w:rPr>
                <w:rFonts w:ascii="Arial" w:cs="Arial" w:eastAsia="Arial" w:hAnsi="Arial"/>
                <w:sz w:val="16"/>
                <w:szCs w:val="16"/>
                <w:color w:val="auto"/>
              </w:rPr>
              <w:t>Convertible Senior Notes due 2018</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0" w:type="dxa"/>
            <w:vAlign w:val="bottom"/>
          </w:tcPr>
          <w:p>
            <w:pPr>
              <w:ind w:left="140"/>
              <w:spacing w:after="0" w:line="162" w:lineRule="exact"/>
              <w:rPr>
                <w:sz w:val="20"/>
                <w:szCs w:val="20"/>
                <w:color w:val="auto"/>
              </w:rPr>
            </w:pPr>
            <w:r>
              <w:rPr>
                <w:rFonts w:ascii="Arial" w:cs="Arial" w:eastAsia="Arial" w:hAnsi="Arial"/>
                <w:sz w:val="16"/>
                <w:szCs w:val="16"/>
                <w:color w:val="auto"/>
                <w:w w:val="92"/>
              </w:rPr>
              <w:t>Net change in unrealized appreciation/(depreciation)</w:t>
            </w:r>
          </w:p>
        </w:tc>
        <w:tc>
          <w:tcPr>
            <w:tcW w:w="34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6"/>
                <w:szCs w:val="16"/>
                <w:color w:val="auto"/>
              </w:rPr>
              <w:t>3.78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ind w:right="119"/>
              <w:spacing w:after="0"/>
              <w:rPr>
                <w:sz w:val="20"/>
                <w:szCs w:val="20"/>
                <w:color w:val="auto"/>
              </w:rPr>
            </w:pPr>
            <w:r>
              <w:rPr>
                <w:rFonts w:ascii="Arial" w:cs="Arial" w:eastAsia="Arial" w:hAnsi="Arial"/>
                <w:sz w:val="16"/>
                <w:szCs w:val="16"/>
                <w:color w:val="auto"/>
              </w:rPr>
              <w:t>0.69</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vMerge w:val="restart"/>
          </w:tcPr>
          <w:p>
            <w:pPr>
              <w:jc w:val="right"/>
              <w:ind w:right="119"/>
              <w:spacing w:after="0"/>
              <w:rPr>
                <w:sz w:val="20"/>
                <w:szCs w:val="20"/>
                <w:color w:val="auto"/>
              </w:rPr>
            </w:pPr>
            <w:r>
              <w:rPr>
                <w:rFonts w:ascii="Arial" w:cs="Arial" w:eastAsia="Arial" w:hAnsi="Arial"/>
                <w:sz w:val="16"/>
                <w:szCs w:val="16"/>
                <w:color w:val="auto"/>
              </w:rPr>
              <w:t>0.47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restart"/>
          </w:tcPr>
          <w:p>
            <w:pPr>
              <w:jc w:val="right"/>
              <w:ind w:right="11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vMerge w:val="restart"/>
          </w:tcPr>
          <w:p>
            <w:pPr>
              <w:jc w:val="right"/>
              <w:ind w:right="79"/>
              <w:spacing w:after="0"/>
              <w:rPr>
                <w:sz w:val="20"/>
                <w:szCs w:val="20"/>
                <w:color w:val="auto"/>
              </w:rPr>
            </w:pPr>
            <w:r>
              <w:rPr>
                <w:rFonts w:ascii="Arial" w:cs="Arial" w:eastAsia="Arial" w:hAnsi="Arial"/>
                <w:sz w:val="16"/>
                <w:szCs w:val="16"/>
                <w:color w:val="auto"/>
              </w:rPr>
              <w:t>(3.30)</w:t>
            </w:r>
          </w:p>
        </w:tc>
        <w:tc>
          <w:tcPr>
            <w:tcW w:w="0" w:type="dxa"/>
            <w:vAlign w:val="bottom"/>
          </w:tcPr>
          <w:p>
            <w:pPr>
              <w:spacing w:after="0"/>
              <w:rPr>
                <w:sz w:val="1"/>
                <w:szCs w:val="1"/>
                <w:color w:val="auto"/>
              </w:rPr>
            </w:pPr>
          </w:p>
        </w:tc>
      </w:tr>
      <w:tr>
        <w:trPr>
          <w:trHeight w:val="216"/>
        </w:trPr>
        <w:tc>
          <w:tcPr>
            <w:tcW w:w="3600" w:type="dxa"/>
            <w:vAlign w:val="bottom"/>
          </w:tcPr>
          <w:p>
            <w:pPr>
              <w:ind w:left="300"/>
              <w:spacing w:after="0" w:line="216" w:lineRule="exact"/>
              <w:rPr>
                <w:sz w:val="20"/>
                <w:szCs w:val="20"/>
                <w:color w:val="auto"/>
              </w:rPr>
            </w:pPr>
            <w:r>
              <w:rPr>
                <w:rFonts w:ascii="Arial" w:cs="Arial" w:eastAsia="Arial" w:hAnsi="Arial"/>
                <w:sz w:val="16"/>
                <w:szCs w:val="16"/>
                <w:color w:val="auto"/>
              </w:rPr>
              <w:t>of investments</w:t>
            </w:r>
            <w:r>
              <w:rPr>
                <w:rFonts w:ascii="Arial" w:cs="Arial" w:eastAsia="Arial" w:hAnsi="Arial"/>
                <w:sz w:val="21"/>
                <w:szCs w:val="21"/>
                <w:color w:val="auto"/>
                <w:vertAlign w:val="superscript"/>
              </w:rPr>
              <w:t>(1)</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EFF"/>
          </w:tcPr>
          <w:p>
            <w:pPr>
              <w:ind w:left="140"/>
              <w:spacing w:after="0" w:line="162" w:lineRule="exact"/>
              <w:rPr>
                <w:sz w:val="20"/>
                <w:szCs w:val="20"/>
                <w:color w:val="auto"/>
              </w:rPr>
            </w:pPr>
            <w:r>
              <w:rPr>
                <w:rFonts w:ascii="Arial" w:cs="Arial" w:eastAsia="Arial" w:hAnsi="Arial"/>
                <w:sz w:val="16"/>
                <w:szCs w:val="16"/>
                <w:color w:val="auto"/>
              </w:rPr>
              <w:t>Benefit from taxes on unrealized depreciation of</w:t>
            </w:r>
          </w:p>
        </w:tc>
        <w:tc>
          <w:tcPr>
            <w:tcW w:w="3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0.33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0.10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40"/>
              <w:spacing w:after="0" w:line="216" w:lineRule="exact"/>
              <w:rPr>
                <w:sz w:val="20"/>
                <w:szCs w:val="20"/>
                <w:color w:val="auto"/>
              </w:rPr>
            </w:pPr>
            <w:r>
              <w:rPr>
                <w:rFonts w:ascii="Arial" w:cs="Arial" w:eastAsia="Arial" w:hAnsi="Arial"/>
                <w:sz w:val="16"/>
                <w:szCs w:val="16"/>
                <w:color w:val="auto"/>
              </w:rPr>
              <w:t>investments</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40"/>
              <w:spacing w:after="0"/>
              <w:rPr>
                <w:sz w:val="20"/>
                <w:szCs w:val="20"/>
                <w:color w:val="auto"/>
              </w:rPr>
            </w:pPr>
            <w:r>
              <w:rPr>
                <w:rFonts w:ascii="Arial" w:cs="Arial" w:eastAsia="Arial" w:hAnsi="Arial"/>
                <w:sz w:val="16"/>
                <w:szCs w:val="16"/>
                <w:color w:val="auto"/>
              </w:rPr>
              <w:t>Dividends declared</w:t>
            </w:r>
          </w:p>
        </w:tc>
        <w:tc>
          <w:tcPr>
            <w:tcW w:w="340" w:type="dxa"/>
            <w:vAlign w:val="bottom"/>
          </w:tcPr>
          <w:p>
            <w:pPr>
              <w:spacing w:after="0"/>
              <w:rPr>
                <w:sz w:val="18"/>
                <w:szCs w:val="18"/>
                <w:color w:val="auto"/>
              </w:rPr>
            </w:pPr>
          </w:p>
        </w:tc>
        <w:tc>
          <w:tcPr>
            <w:tcW w:w="1080" w:type="dxa"/>
            <w:vAlign w:val="bottom"/>
          </w:tcPr>
          <w:p>
            <w:pPr>
              <w:jc w:val="right"/>
              <w:ind w:right="79"/>
              <w:spacing w:after="0"/>
              <w:rPr>
                <w:sz w:val="20"/>
                <w:szCs w:val="20"/>
                <w:color w:val="auto"/>
              </w:rPr>
            </w:pPr>
            <w:r>
              <w:rPr>
                <w:rFonts w:ascii="Arial" w:cs="Arial" w:eastAsia="Arial" w:hAnsi="Arial"/>
                <w:sz w:val="16"/>
                <w:szCs w:val="16"/>
                <w:color w:val="auto"/>
              </w:rPr>
              <w:t>(0.87)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Arial" w:cs="Arial" w:eastAsia="Arial" w:hAnsi="Arial"/>
                <w:sz w:val="16"/>
                <w:szCs w:val="16"/>
                <w:color w:val="auto"/>
              </w:rPr>
              <w:t>(0.32)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from public offering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600" w:type="dxa"/>
            <w:vAlign w:val="bottom"/>
          </w:tcPr>
          <w:p>
            <w:pPr>
              <w:ind w:left="140"/>
              <w:spacing w:after="0" w:line="166" w:lineRule="exact"/>
              <w:rPr>
                <w:sz w:val="20"/>
                <w:szCs w:val="20"/>
                <w:color w:val="auto"/>
              </w:rPr>
            </w:pPr>
            <w:r>
              <w:rPr>
                <w:rFonts w:ascii="Arial" w:cs="Arial" w:eastAsia="Arial" w:hAnsi="Arial"/>
                <w:sz w:val="16"/>
                <w:szCs w:val="16"/>
                <w:color w:val="auto"/>
              </w:rPr>
              <w:t>Issuance of common stock from conversion of</w:t>
            </w:r>
          </w:p>
        </w:tc>
        <w:tc>
          <w:tcPr>
            <w:tcW w:w="340" w:type="dxa"/>
            <w:vAlign w:val="bottom"/>
          </w:tcPr>
          <w:p>
            <w:pPr>
              <w:spacing w:after="0"/>
              <w:rPr>
                <w:sz w:val="14"/>
                <w:szCs w:val="14"/>
                <w:color w:val="auto"/>
              </w:rPr>
            </w:pPr>
          </w:p>
        </w:tc>
        <w:tc>
          <w:tcPr>
            <w:tcW w:w="1080" w:type="dxa"/>
            <w:vAlign w:val="bottom"/>
            <w:vMerge w:val="restart"/>
          </w:tcPr>
          <w:p>
            <w:pPr>
              <w:jc w:val="right"/>
              <w:ind w:right="79"/>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vMerge w:val="restart"/>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1360" w:type="dxa"/>
            <w:vAlign w:val="bottom"/>
            <w:gridSpan w:val="2"/>
            <w:vMerge w:val="restart"/>
          </w:tcPr>
          <w:p>
            <w:pPr>
              <w:jc w:val="right"/>
              <w:ind w:right="3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6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600" w:type="dxa"/>
            <w:vAlign w:val="bottom"/>
          </w:tcPr>
          <w:p>
            <w:pPr>
              <w:ind w:left="140"/>
              <w:spacing w:after="0"/>
              <w:rPr>
                <w:sz w:val="20"/>
                <w:szCs w:val="20"/>
                <w:color w:val="auto"/>
              </w:rPr>
            </w:pPr>
            <w:r>
              <w:rPr>
                <w:rFonts w:ascii="Arial" w:cs="Arial" w:eastAsia="Arial" w:hAnsi="Arial"/>
                <w:sz w:val="16"/>
                <w:szCs w:val="16"/>
                <w:color w:val="auto"/>
              </w:rPr>
              <w:t>4.75% Convertible Notes due 2023</w:t>
            </w:r>
          </w:p>
        </w:tc>
        <w:tc>
          <w:tcPr>
            <w:tcW w:w="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Repurchase of common stock</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0.18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0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Stock-based compensation</w:t>
            </w:r>
            <w:r>
              <w:rPr>
                <w:rFonts w:ascii="Arial" w:cs="Arial" w:eastAsia="Arial" w:hAnsi="Arial"/>
                <w:sz w:val="21"/>
                <w:szCs w:val="21"/>
                <w:color w:val="auto"/>
                <w:vertAlign w:val="superscript"/>
              </w:rPr>
              <w:t>(1)</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 value at end of year</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15.14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9.89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9.64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0"/>
        </w:trPr>
        <w:tc>
          <w:tcPr>
            <w:tcW w:w="3600" w:type="dxa"/>
            <w:vAlign w:val="bottom"/>
            <w:vMerge w:val="restart"/>
          </w:tcPr>
          <w:p>
            <w:pPr>
              <w:ind w:left="20"/>
              <w:spacing w:after="0"/>
              <w:rPr>
                <w:sz w:val="20"/>
                <w:szCs w:val="20"/>
                <w:color w:val="auto"/>
              </w:rPr>
            </w:pPr>
            <w:r>
              <w:rPr>
                <w:rFonts w:ascii="Arial" w:cs="Arial" w:eastAsia="Arial" w:hAnsi="Arial"/>
                <w:sz w:val="16"/>
                <w:szCs w:val="16"/>
                <w:color w:val="auto"/>
              </w:rPr>
              <w:t>Per share market value at end of year</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3600" w:type="dxa"/>
            <w:vAlign w:val="bottom"/>
            <w:vMerge w:val="continue"/>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13.09</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6.55</w:t>
            </w:r>
          </w:p>
        </w:tc>
        <w:tc>
          <w:tcPr>
            <w:tcW w:w="4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19"/>
              <w:spacing w:after="0"/>
              <w:rPr>
                <w:sz w:val="20"/>
                <w:szCs w:val="20"/>
                <w:color w:val="auto"/>
              </w:rPr>
            </w:pPr>
            <w:r>
              <w:rPr>
                <w:rFonts w:ascii="Arial" w:cs="Arial" w:eastAsia="Arial" w:hAnsi="Arial"/>
                <w:sz w:val="16"/>
                <w:szCs w:val="16"/>
                <w:color w:val="auto"/>
              </w:rPr>
              <w:t>5.22</w:t>
            </w:r>
          </w:p>
        </w:tc>
        <w:tc>
          <w:tcPr>
            <w:tcW w:w="1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6"/>
                <w:szCs w:val="16"/>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Total return based on market value</w:t>
            </w:r>
            <w:r>
              <w:rPr>
                <w:rFonts w:ascii="Arial" w:cs="Arial" w:eastAsia="Arial" w:hAnsi="Arial"/>
                <w:sz w:val="21"/>
                <w:szCs w:val="21"/>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31.61 %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2"/>
              </w:rPr>
              <w:t>(4.22)%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(23.29)%</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line="216" w:lineRule="exact"/>
              <w:rPr>
                <w:sz w:val="20"/>
                <w:szCs w:val="20"/>
                <w:color w:val="auto"/>
              </w:rPr>
            </w:pPr>
            <w:r>
              <w:rPr>
                <w:rFonts w:ascii="Arial" w:cs="Arial" w:eastAsia="Arial" w:hAnsi="Arial"/>
                <w:sz w:val="16"/>
                <w:szCs w:val="16"/>
                <w:color w:val="auto"/>
              </w:rPr>
              <w:t>Total return based on net asset value</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11.32 %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outstanding at end of year</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19,914,023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2"/>
              </w:rPr>
              <w:t>17,564,244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19,762,647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21,246,345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2"/>
              </w:rPr>
              <w:t>22,181,003</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b w:val="1"/>
                <w:bCs w:val="1"/>
                <w:color w:val="auto"/>
              </w:rPr>
              <w:t>Ratios/Supplemental Data:</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assets at end of year</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301,583,073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91"/>
              </w:rPr>
              <w:t>$199,917,289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spacing w:after="0"/>
              <w:rPr>
                <w:sz w:val="20"/>
                <w:szCs w:val="20"/>
                <w:color w:val="auto"/>
              </w:rPr>
            </w:pPr>
            <w:r>
              <w:rPr>
                <w:rFonts w:ascii="Arial" w:cs="Arial" w:eastAsia="Arial" w:hAnsi="Arial"/>
                <w:sz w:val="16"/>
                <w:szCs w:val="16"/>
                <w:color w:val="auto"/>
              </w:rPr>
              <w:t>195,378,159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99"/>
              <w:spacing w:after="0"/>
              <w:rPr>
                <w:sz w:val="20"/>
                <w:szCs w:val="20"/>
                <w:color w:val="auto"/>
              </w:rPr>
            </w:pPr>
            <w:r>
              <w:rPr>
                <w:rFonts w:ascii="Arial" w:cs="Arial" w:eastAsia="Arial" w:hAnsi="Arial"/>
                <w:sz w:val="16"/>
                <w:szCs w:val="16"/>
                <w:color w:val="auto"/>
                <w:w w:val="89"/>
              </w:rPr>
              <w:t>$204,762,866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9"/>
              <w:spacing w:after="0"/>
              <w:rPr>
                <w:sz w:val="20"/>
                <w:szCs w:val="20"/>
                <w:color w:val="auto"/>
              </w:rPr>
            </w:pPr>
            <w:r>
              <w:rPr>
                <w:rFonts w:ascii="Arial" w:cs="Arial" w:eastAsia="Arial" w:hAnsi="Arial"/>
                <w:sz w:val="16"/>
                <w:szCs w:val="16"/>
                <w:color w:val="auto"/>
                <w:w w:val="91"/>
              </w:rPr>
              <w:t>$192,128,810</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Arial" w:cs="Arial" w:eastAsia="Arial" w:hAnsi="Arial"/>
                <w:sz w:val="16"/>
                <w:szCs w:val="16"/>
                <w:color w:val="auto"/>
              </w:rPr>
              <w:t>Average net assets</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0"/>
                <w:szCs w:val="20"/>
                <w:color w:val="auto"/>
              </w:rPr>
            </w:pPr>
            <w:r>
              <w:rPr>
                <w:rFonts w:ascii="Arial" w:cs="Arial" w:eastAsia="Arial" w:hAnsi="Arial"/>
                <w:sz w:val="16"/>
                <w:szCs w:val="16"/>
                <w:color w:val="auto"/>
              </w:rPr>
              <w:t>205,430,809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color w:val="auto"/>
                <w:w w:val="91"/>
              </w:rPr>
              <w:t>$209,261,190</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20"/>
                <w:szCs w:val="20"/>
                <w:color w:val="auto"/>
              </w:rPr>
            </w:pPr>
            <w:r>
              <w:rPr>
                <w:rFonts w:ascii="Arial" w:cs="Arial" w:eastAsia="Arial" w:hAnsi="Arial"/>
                <w:sz w:val="16"/>
                <w:szCs w:val="16"/>
                <w:color w:val="auto"/>
              </w:rPr>
              <w:t>208,678,731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color w:val="auto"/>
                <w:w w:val="89"/>
              </w:rPr>
              <w:t>$199,457,678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9"/>
              <w:spacing w:after="0"/>
              <w:rPr>
                <w:sz w:val="20"/>
                <w:szCs w:val="20"/>
                <w:color w:val="auto"/>
              </w:rPr>
            </w:pPr>
            <w:r>
              <w:rPr>
                <w:rFonts w:ascii="Arial" w:cs="Arial" w:eastAsia="Arial" w:hAnsi="Arial"/>
                <w:sz w:val="16"/>
                <w:szCs w:val="16"/>
                <w:color w:val="auto"/>
                <w:w w:val="91"/>
              </w:rPr>
              <w:t>$243,577,514</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Ratio of gross operating expenses to average net</w:t>
            </w: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7.95 %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6.08 %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7.09 %</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0.82 %</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assets</w:t>
            </w:r>
            <w:r>
              <w:rPr>
                <w:rFonts w:ascii="Arial" w:cs="Arial" w:eastAsia="Arial" w:hAnsi="Arial"/>
                <w:sz w:val="21"/>
                <w:szCs w:val="21"/>
                <w:color w:val="auto"/>
                <w:vertAlign w:val="superscript"/>
              </w:rPr>
              <w:t>(3)</w:t>
            </w: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Arial" w:cs="Arial" w:eastAsia="Arial" w:hAnsi="Arial"/>
                <w:sz w:val="16"/>
                <w:szCs w:val="16"/>
                <w:color w:val="auto"/>
                <w:w w:val="95"/>
              </w:rPr>
              <w:t>Ratio of incentive fee waiver to average net assets</w:t>
            </w:r>
          </w:p>
        </w:tc>
        <w:tc>
          <w:tcPr>
            <w:tcW w:w="3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ind w:left="540"/>
              <w:spacing w:after="0"/>
              <w:rPr>
                <w:sz w:val="20"/>
                <w:szCs w:val="20"/>
                <w:color w:val="auto"/>
              </w:rPr>
            </w:pPr>
            <w:r>
              <w:rPr>
                <w:rFonts w:ascii="Arial" w:cs="Arial" w:eastAsia="Arial" w:hAnsi="Arial"/>
                <w:sz w:val="16"/>
                <w:szCs w:val="16"/>
                <w:color w:val="auto"/>
                <w:w w:val="92"/>
              </w:rPr>
              <w:t>(2.40)%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9"/>
        </w:trPr>
        <w:tc>
          <w:tcPr>
            <w:tcW w:w="3600" w:type="dxa"/>
            <w:vAlign w:val="bottom"/>
            <w:shd w:val="clear" w:color="auto" w:fill="CCEEFF"/>
          </w:tcPr>
          <w:p>
            <w:pPr>
              <w:ind w:left="180"/>
              <w:spacing w:after="0" w:line="169" w:lineRule="exact"/>
              <w:rPr>
                <w:sz w:val="20"/>
                <w:szCs w:val="20"/>
                <w:color w:val="auto"/>
              </w:rPr>
            </w:pPr>
            <w:r>
              <w:rPr>
                <w:rFonts w:ascii="Arial" w:cs="Arial" w:eastAsia="Arial" w:hAnsi="Arial"/>
                <w:sz w:val="16"/>
                <w:szCs w:val="16"/>
                <w:color w:val="auto"/>
              </w:rPr>
              <w:t>Ratio of management fee waiver to average net</w:t>
            </w:r>
          </w:p>
        </w:tc>
        <w:tc>
          <w:tcPr>
            <w:tcW w:w="340" w:type="dxa"/>
            <w:vAlign w:val="bottom"/>
            <w:shd w:val="clear" w:color="auto" w:fill="CCEEFF"/>
          </w:tcPr>
          <w:p>
            <w:pPr>
              <w:spacing w:after="0"/>
              <w:rPr>
                <w:sz w:val="14"/>
                <w:szCs w:val="14"/>
                <w:color w:val="auto"/>
              </w:rPr>
            </w:pPr>
          </w:p>
        </w:tc>
        <w:tc>
          <w:tcPr>
            <w:tcW w:w="12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ind w:left="540"/>
              <w:spacing w:after="0"/>
              <w:rPr>
                <w:sz w:val="20"/>
                <w:szCs w:val="20"/>
                <w:color w:val="auto"/>
              </w:rPr>
            </w:pPr>
            <w:r>
              <w:rPr>
                <w:rFonts w:ascii="Arial" w:cs="Arial" w:eastAsia="Arial" w:hAnsi="Arial"/>
                <w:sz w:val="16"/>
                <w:szCs w:val="16"/>
                <w:color w:val="auto"/>
                <w:w w:val="92"/>
              </w:rPr>
              <w:t>(0.43)%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assets</w:t>
            </w:r>
          </w:p>
        </w:tc>
        <w:tc>
          <w:tcPr>
            <w:tcW w:w="340" w:type="dxa"/>
            <w:vAlign w:val="bottom"/>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180"/>
              <w:spacing w:after="0"/>
              <w:rPr>
                <w:sz w:val="20"/>
                <w:szCs w:val="20"/>
                <w:color w:val="auto"/>
              </w:rPr>
            </w:pPr>
            <w:r>
              <w:rPr>
                <w:rFonts w:ascii="Arial" w:cs="Arial" w:eastAsia="Arial" w:hAnsi="Arial"/>
                <w:sz w:val="16"/>
                <w:szCs w:val="16"/>
                <w:color w:val="auto"/>
                <w:w w:val="93"/>
              </w:rPr>
              <w:t>Ratio of income tax provision to average net assets</w:t>
            </w:r>
          </w:p>
        </w:tc>
        <w:tc>
          <w:tcPr>
            <w:tcW w:w="3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ind w:left="540"/>
              <w:spacing w:after="0"/>
              <w:rPr>
                <w:sz w:val="20"/>
                <w:szCs w:val="20"/>
                <w:color w:val="auto"/>
              </w:rPr>
            </w:pPr>
            <w:r>
              <w:rPr>
                <w:rFonts w:ascii="Arial" w:cs="Arial" w:eastAsia="Arial" w:hAnsi="Arial"/>
                <w:sz w:val="16"/>
                <w:szCs w:val="16"/>
                <w:color w:val="auto"/>
                <w:w w:val="92"/>
              </w:rPr>
              <w:t>(3.22)%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38"/>
        </w:trPr>
        <w:tc>
          <w:tcPr>
            <w:tcW w:w="3600" w:type="dxa"/>
            <w:vAlign w:val="bottom"/>
            <w:tcBorders>
              <w:top w:val="single" w:sz="8" w:color="CCEEFF"/>
              <w:bottom w:val="single" w:sz="8" w:color="CCEEFF"/>
            </w:tcBorders>
            <w:shd w:val="clear" w:color="auto" w:fill="CCEEFF"/>
          </w:tcPr>
          <w:p>
            <w:pPr>
              <w:ind w:left="20"/>
              <w:spacing w:after="0" w:line="213" w:lineRule="exact"/>
              <w:rPr>
                <w:sz w:val="20"/>
                <w:szCs w:val="20"/>
                <w:color w:val="auto"/>
              </w:rPr>
            </w:pPr>
            <w:r>
              <w:rPr>
                <w:rFonts w:ascii="Arial" w:cs="Arial" w:eastAsia="Arial" w:hAnsi="Arial"/>
                <w:sz w:val="16"/>
                <w:szCs w:val="16"/>
                <w:color w:val="auto"/>
                <w:w w:val="88"/>
              </w:rPr>
              <w:t>Ratio of net operating expenses to average net assets</w:t>
            </w:r>
            <w:r>
              <w:rPr>
                <w:rFonts w:ascii="Arial" w:cs="Arial" w:eastAsia="Arial" w:hAnsi="Arial"/>
                <w:sz w:val="21"/>
                <w:szCs w:val="21"/>
                <w:color w:val="auto"/>
                <w:w w:val="88"/>
                <w:vertAlign w:val="superscript"/>
              </w:rPr>
              <w:t>(3)</w:t>
            </w: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9.51 %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bottom w:val="single" w:sz="8" w:color="CCEEFF"/>
            </w:tcBorders>
            <w:vMerge w:val="restart"/>
          </w:tcPr>
          <w:p>
            <w:pPr>
              <w:ind w:left="20"/>
              <w:spacing w:after="0" w:line="230" w:lineRule="exact"/>
              <w:rPr>
                <w:sz w:val="20"/>
                <w:szCs w:val="20"/>
                <w:color w:val="auto"/>
              </w:rPr>
            </w:pPr>
            <w:r>
              <w:rPr>
                <w:rFonts w:ascii="Arial" w:cs="Arial" w:eastAsia="Arial" w:hAnsi="Arial"/>
                <w:sz w:val="16"/>
                <w:szCs w:val="16"/>
                <w:color w:val="auto"/>
                <w:w w:val="95"/>
              </w:rPr>
              <w:t>Ratio of net investment loss to average net assets</w:t>
            </w:r>
            <w:r>
              <w:rPr>
                <w:rFonts w:ascii="Arial" w:cs="Arial" w:eastAsia="Arial" w:hAnsi="Arial"/>
                <w:sz w:val="21"/>
                <w:szCs w:val="21"/>
                <w:color w:val="auto"/>
                <w:w w:val="95"/>
                <w:vertAlign w:val="superscript"/>
              </w:rPr>
              <w:t>(3)</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0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ind w:left="540"/>
              <w:spacing w:after="0"/>
              <w:rPr>
                <w:sz w:val="20"/>
                <w:szCs w:val="20"/>
                <w:color w:val="auto"/>
              </w:rPr>
            </w:pPr>
            <w:r>
              <w:rPr>
                <w:rFonts w:ascii="Arial" w:cs="Arial" w:eastAsia="Arial" w:hAnsi="Arial"/>
                <w:sz w:val="16"/>
                <w:szCs w:val="16"/>
                <w:color w:val="auto"/>
                <w:w w:val="92"/>
              </w:rPr>
              <w:t>(3.66)%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(0.52)%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Portfolio Turnover Ratio</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5.01 %</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4.46 %</w:t>
            </w:r>
          </w:p>
        </w:tc>
        <w:tc>
          <w:tcPr>
            <w:tcW w:w="0" w:type="dxa"/>
            <w:vAlign w:val="bottom"/>
          </w:tcPr>
          <w:p>
            <w:pPr>
              <w:spacing w:after="0"/>
              <w:rPr>
                <w:sz w:val="1"/>
                <w:szCs w:val="1"/>
                <w:color w:val="auto"/>
              </w:rPr>
            </w:pPr>
          </w:p>
        </w:tc>
      </w:tr>
      <w:tr>
        <w:trPr>
          <w:trHeight w:val="193"/>
        </w:trPr>
        <w:tc>
          <w:tcPr>
            <w:tcW w:w="3600" w:type="dxa"/>
            <w:vAlign w:val="bottom"/>
          </w:tcPr>
          <w:p>
            <w:pPr>
              <w:spacing w:after="0"/>
              <w:rPr>
                <w:sz w:val="20"/>
                <w:szCs w:val="20"/>
                <w:color w:val="auto"/>
              </w:rPr>
            </w:pPr>
            <w:r>
              <w:rPr>
                <w:rFonts w:ascii="Arial" w:cs="Arial" w:eastAsia="Arial" w:hAnsi="Arial"/>
                <w:sz w:val="16"/>
                <w:szCs w:val="16"/>
                <w:b w:val="1"/>
                <w:bCs w:val="1"/>
                <w:color w:val="auto"/>
              </w:rPr>
              <w:t>__________________</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weighted-average number of shares outstanding for the relevant period.</w:t>
      </w:r>
    </w:p>
    <w:p>
      <w:pPr>
        <w:spacing w:after="0" w:line="5" w:lineRule="exact"/>
        <w:rPr>
          <w:rFonts w:ascii="Arial" w:cs="Arial" w:eastAsia="Arial" w:hAnsi="Arial"/>
          <w:sz w:val="16"/>
          <w:szCs w:val="16"/>
          <w:color w:val="auto"/>
        </w:rPr>
      </w:pPr>
    </w:p>
    <w:p>
      <w:pPr>
        <w:ind w:left="500" w:hanging="492"/>
        <w:spacing w:after="0" w:line="262" w:lineRule="auto"/>
        <w:tabs>
          <w:tab w:leader="none" w:pos="5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Total return based on market value is based on the change in market price per share between the opening and ending market values per share in the year. Total return based on net asset value is based upon the change in net asset value per share between the opening and ending net asset values per share.</w:t>
      </w:r>
    </w:p>
    <w:p>
      <w:pPr>
        <w:spacing w:after="0" w:line="1" w:lineRule="exact"/>
        <w:rPr>
          <w:rFonts w:ascii="Arial" w:cs="Arial" w:eastAsia="Arial" w:hAnsi="Arial"/>
          <w:sz w:val="15"/>
          <w:szCs w:val="15"/>
          <w:color w:val="auto"/>
        </w:rPr>
      </w:pPr>
    </w:p>
    <w:p>
      <w:pPr>
        <w:jc w:val="both"/>
        <w:ind w:left="500" w:right="20" w:hanging="492"/>
        <w:spacing w:after="0" w:line="276" w:lineRule="auto"/>
        <w:tabs>
          <w:tab w:leader="none" w:pos="500" w:val="left"/>
        </w:tabs>
        <w:numPr>
          <w:ilvl w:val="0"/>
          <w:numId w:val="80"/>
        </w:numPr>
        <w:rPr>
          <w:rFonts w:ascii="Arial" w:cs="Arial" w:eastAsia="Arial" w:hAnsi="Arial"/>
          <w:sz w:val="15"/>
          <w:szCs w:val="15"/>
          <w:color w:val="auto"/>
        </w:rPr>
      </w:pPr>
      <w:r>
        <w:rPr>
          <w:rFonts w:ascii="Arial" w:cs="Arial" w:eastAsia="Arial" w:hAnsi="Arial"/>
          <w:sz w:val="15"/>
          <w:szCs w:val="15"/>
          <w:color w:val="auto"/>
        </w:rPr>
        <w:t>For the year ended December 31, 2020, the Company excluded $1,962,431 of non-recurring expenses. For the year ended December 31, 2019, the Company excluded $1,769,820 of non-recurring expenses. For the year ended December 31, 2018, the Company excluded $352,667 of non-recurring expenses. Because the ratios are calculated for the Company’s common stock taken as a whole, an individual investor’s ratios may vary from these ratios.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256" w:lineRule="exact"/>
        <w:rPr>
          <w:sz w:val="20"/>
          <w:szCs w:val="20"/>
          <w:color w:val="auto"/>
        </w:rPr>
      </w:pPr>
    </w:p>
    <w:p>
      <w:pPr>
        <w:jc w:val="both"/>
        <w:ind w:firstLine="364"/>
        <w:spacing w:after="0" w:line="272" w:lineRule="auto"/>
        <w:rPr>
          <w:sz w:val="20"/>
          <w:szCs w:val="20"/>
          <w:color w:val="auto"/>
        </w:rPr>
      </w:pPr>
      <w:r>
        <w:rPr>
          <w:rFonts w:ascii="Arial" w:cs="Arial" w:eastAsia="Arial" w:hAnsi="Arial"/>
          <w:sz w:val="17"/>
          <w:szCs w:val="17"/>
          <w:color w:val="auto"/>
        </w:rPr>
        <w:t>The Company elected to be treated as a RIC under Subchapter M of the Code beginning with its taxable year ended December 31, 2014, has qualified to be treated as a RIC for subsequent taxable years. The Company intends to continue to operate so as to qualify to be subject to tax treatment as a RIC under Subchapter M of the Code and, as such, will not be subject to U.S. federal income tax on the portion of taxable income (including gains) distributed as dividends for U.S. federal income tax purposes to stockholders. Taxable income includes the Company’s taxable interest, dividend and fee income, reduced by certain deductions, as well as taxable net realized investment gains.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2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 qualify and be subject to tax as a RIC, the Company is required to meet certain income and asset diversification tests in addition to distributing dividends of an amount generally at least equal to 90% of its investment company taxable income, as defined by the Code and determined without regard to any deduction for distributions paid, to its stockholders. The amount to be paid out as a distribution is determined by the Board of Directors each quarter and is based upon the annual earnings estimated by the management of the Company. To the extent that the Company’s earnings fall below the amount of dividend distributions declared, however, a portion of the total amount of the Company’s distributions for the fiscal year may be deemed a return of capital for tax purposes to the Company’s stockholders.</w:t>
      </w:r>
    </w:p>
    <w:p>
      <w:pPr>
        <w:spacing w:after="0" w:line="21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year ended December 31, 2020, the Company declared distributions of $0.87 per share. The determination of the tax attributes of the Company’s distributions is made annually as of the end of the Company’s taxable year generally based upon its taxable income for the full taxable year and distributions paid for the full taxable year. As a result, a determination made on a by-dividend basis may not be representative of the actual tax attributes of the Company’s distributions for a full taxable year. If the Company had determined the tax attributes of our distributions taxable year-to-date as of December 31, 2020, 100% would be from net realized investment gains. However, there can be no certainty to stockholders that this determination is representative of what the actual tax attributes of the Company’s fiscal year of 2020 distributions to stockholders will be.</w:t>
      </w:r>
    </w:p>
    <w:p>
      <w:pPr>
        <w:spacing w:after="0" w:line="20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a RIC, the Company will be subject to a 4% nondeductible U.S. federal excise tax on certain undistributed income unless the Company makes distributions treated as dividends for U.S. federal income tax purposes in a timely manner to its stockholders in respect of each calendar year of an amount at least equal to the sum of (1) 98% of our ordinary income (taking into account certain deferrals and elections) for each calendar year, (2) 98.2% of our capital gain net income (adjusted for certain ordinary losses) for the 1-year period ending October 31 of each such calendar year and (3) any ordinary income and net capital gains for preceding years, but not distributed during such years and on which the Company paid no U.S. federal income tax. The Company will not be subject to this excise tax on any amount on which the Company incurred U.S. federal corporate income tax (such as the tax imposed on a RIC’s retained net capital gains).</w:t>
      </w:r>
    </w:p>
    <w:p>
      <w:pPr>
        <w:spacing w:after="0" w:line="22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Depending on the level of taxable income earned in a taxable year, the Company may choose to carry over taxable income in excess of current taxable year distributions from such taxable income into the next taxable year and incur a 4% excise tax on such taxable income, as required. The maximum amount of excess taxable income that may be carried over for distribution in the next taxable year under the Code is the total amount of distributions paid in the following taxable year, subject to certain declaration and payment guidelines. To the extent the Company chooses to carry over taxable income into the next taxable year, distributions declared and paid by the Company in a taxable year may differ from the Company’s taxable income for that taxable year as such distributions may include the distribution of current taxable year taxable income, the distribution of prior taxable year taxable income carried over into and distributed in the current taxable year, or returns of capital.</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taxable subsidiaries which hold certain portfolio investments in an effort to limit potential legal liability and/or comply with source-income type requirements contained in the RIC tax provisions of the Code. These taxable subsidiaries are consolidated for U.S. GAAP and the portfolio investments held by the taxable subsidiaries are included in the Company’s consolidated financial statements and are recorded at fair value. These taxable subsidiaries are not consolidated with the Company for income tax purposes and may generate income tax expense, or benefit, and tax assets and liabilities as a</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 of their ownership of certain portfolio investments. Any income generated by these taxable subsidiaries generally would be subject to tax at normal corporate tax rates based on its taxable income.</w:t>
      </w:r>
    </w:p>
    <w:p>
      <w:pPr>
        <w:spacing w:after="0" w:line="19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Company intends to timely distribute to its stockholders substantially all of its annual taxable income for each year, except that it may retain certain net capital gains for reinvestment and, depending upon the level of taxable income earned in a year, may choose to carry forward taxable income for distribution in the following year and pay any applicable U.S. federal excise tax.</w:t>
      </w:r>
    </w:p>
    <w:p>
      <w:pPr>
        <w:spacing w:after="0" w:line="211"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As of December 31, 2020 and December 31, 2019, the Company recorded a deferred tax liability of approximately $0.0 million and $0.0 million, respectively. The Company is required to include net deferred tax provision/benefit in calculating its total expenses even though these net deferred taxes are not currently payable/receivable. Taxable income generally differs from net income for financial reporting purposes due to temporary and permanent differences in the recognition of income and expenses, and generally excludes net unrealized appreciation or depreciation, as such gains or losses are not included in taxable income until they are realized.</w:t>
      </w:r>
    </w:p>
    <w:p>
      <w:pPr>
        <w:spacing w:after="0" w:line="21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For U.S. federal and state income tax purposes, a portion of the Taxable Subsidiaries’ net operating loss carryforwards and basis differences may be subject to limitations on annual utilization in case of a change in ownership, as defined by federal and state law. The amount of such limitations, if any, has not been determined. Accordingly, the amount of such tax attributes available to offset future profits may be significantly less than the actual amounts of the tax attributes.</w:t>
      </w:r>
    </w:p>
    <w:p>
      <w:pPr>
        <w:spacing w:after="0" w:line="21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The Company and the Taxable Subsidiaries identified their major tax jurisdictions as U.S. federal and California and may be subject to the taxing authorities’ examination for the tax years 2017–2020 and 2016–2020, respectively. Further, the Company and the Taxable Subsidiaries accrue all interest and penalties related to uncertain tax positions as incurred. As of December 31, 2020, there were no material interest or penalties incurred related to uncertain tax positions.</w:t>
      </w:r>
    </w:p>
    <w:p>
      <w:pPr>
        <w:spacing w:after="0" w:line="214"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Permanent differences between ICTI and net investment income for financial reporting purposes are reclassified among capital accounts in the consolidated financial statements to reflect their tax character. Differences in classification may also result from the treatment of short-term gains as ordinary income for tax purposes. During the years ended December 31, 2020 and 2019, the Company reclassified for book purposes amounts arising from permanent book/tax differences related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 excess of par value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(14,516,336)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(14,113,460)</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Accumulated undistributed net investment loss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13,524,191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14,113,460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net realized gains from investments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(992,145)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-445135</wp:posOffset>
            </wp:positionV>
            <wp:extent cx="52292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209" w:lineRule="exact"/>
        <w:rPr>
          <w:sz w:val="20"/>
          <w:szCs w:val="20"/>
          <w:color w:val="auto"/>
        </w:rPr>
      </w:pPr>
    </w:p>
    <w:p>
      <w:pPr>
        <w:jc w:val="both"/>
        <w:ind w:right="20" w:firstLine="364"/>
        <w:spacing w:after="0" w:line="277" w:lineRule="auto"/>
        <w:rPr>
          <w:sz w:val="20"/>
          <w:szCs w:val="20"/>
          <w:color w:val="auto"/>
        </w:rPr>
      </w:pPr>
      <w:r>
        <w:rPr>
          <w:rFonts w:ascii="Arial" w:cs="Arial" w:eastAsia="Arial" w:hAnsi="Arial"/>
          <w:sz w:val="18"/>
          <w:szCs w:val="18"/>
          <w:color w:val="auto"/>
        </w:rPr>
        <w:t>For income tax purposes, distributions paid to stockholders are reported as ordinary income, return of capital, long term capital gains or a combination thereof. The tax character of distributions declared in the years ended December 31, 2020, 2019, and 2018 was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4"/>
                <w:szCs w:val="14"/>
                <w:b w:val="1"/>
                <w:bCs w:val="1"/>
                <w:color w:val="auto"/>
                <w:w w:val="93"/>
              </w:rPr>
              <w:t>Year Ended December 31,</w:t>
            </w:r>
          </w:p>
        </w:tc>
        <w:tc>
          <w:tcPr>
            <w:tcW w:w="1100" w:type="dxa"/>
            <w:vAlign w:val="bottom"/>
            <w:tcBorders>
              <w:bottom w:val="single" w:sz="8" w:color="auto"/>
            </w:tcBorders>
          </w:tcPr>
          <w:p>
            <w:pPr>
              <w:spacing w:after="0"/>
              <w:rPr>
                <w:sz w:val="16"/>
                <w:szCs w:val="16"/>
                <w:color w:val="auto"/>
              </w:rPr>
            </w:pPr>
          </w:p>
        </w:tc>
      </w:tr>
      <w:tr>
        <w:trPr>
          <w:trHeight w:val="187"/>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Ordinary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Long-term capital gain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16,947,370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5,620,558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Return of capital</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40" w:type="dxa"/>
            <w:vAlign w:val="bottom"/>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Distributions on a tax basis</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3"/>
          </w:tcPr>
          <w:p>
            <w:pPr>
              <w:jc w:val="right"/>
              <w:ind w:right="430"/>
              <w:spacing w:after="0"/>
              <w:rPr>
                <w:sz w:val="20"/>
                <w:szCs w:val="20"/>
                <w:color w:val="auto"/>
              </w:rPr>
            </w:pPr>
            <w:r>
              <w:rPr>
                <w:rFonts w:ascii="Arial" w:cs="Arial" w:eastAsia="Arial" w:hAnsi="Arial"/>
                <w:sz w:val="18"/>
                <w:szCs w:val="18"/>
                <w:color w:val="auto"/>
              </w:rPr>
              <w:t>—</w:t>
            </w:r>
          </w:p>
        </w:tc>
        <w:tc>
          <w:tcPr>
            <w:tcW w:w="1100" w:type="dxa"/>
            <w:vAlign w:val="bottom"/>
          </w:tcPr>
          <w:p>
            <w:pPr>
              <w:ind w:left="8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-591185</wp:posOffset>
            </wp:positionV>
            <wp:extent cx="42519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51960" cy="8255"/>
                    </a:xfrm>
                    <a:prstGeom prst="rect">
                      <a:avLst/>
                    </a:prstGeom>
                    <a:noFill/>
                  </pic:spPr>
                </pic:pic>
              </a:graphicData>
            </a:graphic>
          </wp:anchor>
        </w:drawing>
      </w:r>
    </w:p>
    <w:p>
      <w:pPr>
        <w:spacing w:after="0" w:line="208" w:lineRule="exact"/>
        <w:rPr>
          <w:sz w:val="20"/>
          <w:szCs w:val="20"/>
          <w:color w:val="auto"/>
        </w:rPr>
      </w:pPr>
    </w:p>
    <w:p>
      <w:pPr>
        <w:jc w:val="both"/>
        <w:ind w:firstLine="364"/>
        <w:spacing w:after="0" w:line="279" w:lineRule="auto"/>
        <w:rPr>
          <w:sz w:val="20"/>
          <w:szCs w:val="20"/>
          <w:color w:val="auto"/>
        </w:rPr>
      </w:pPr>
      <w:r>
        <w:rPr>
          <w:rFonts w:ascii="Arial" w:cs="Arial" w:eastAsia="Arial" w:hAnsi="Arial"/>
          <w:sz w:val="17"/>
          <w:szCs w:val="17"/>
          <w:color w:val="auto"/>
        </w:rPr>
        <w:t>For federal income tax purposes, the tax cost of investments owned at December 31, 2020 and 2019, was $309,978,186 and $194,194,622, respectively. The gross unrealized appreciation and gross unrealized depreciation on investments owned at December 31, 2020 was $175,168,002 and $54,366,414, respectively, and on investments owned at December 31, 2019, was $87,999,577 and $40,608,621, respectively. The net unrealized appreciation/(depreciation) on investments owned at December 31, 2020 and 2019, was $120,801,588 and $47,390,956, respectively.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64"/>
        <w:spacing w:after="0" w:line="286" w:lineRule="auto"/>
        <w:rPr>
          <w:sz w:val="20"/>
          <w:szCs w:val="20"/>
          <w:color w:val="auto"/>
        </w:rPr>
      </w:pPr>
      <w:r>
        <w:rPr>
          <w:rFonts w:ascii="Arial" w:cs="Arial" w:eastAsia="Arial" w:hAnsi="Arial"/>
          <w:sz w:val="17"/>
          <w:szCs w:val="17"/>
          <w:color w:val="auto"/>
        </w:rPr>
        <w:t>At December 31, 2020 and 2019, the components of distributable earnings on a tax basis detailed below differ from the amounts reflected in the Company’s Consolidated Statements of Assets and Liabilities by temporary and other book/tax differences, primarily relating to the tax treatment of certain investments in partnerships and wholly-owned subsidiary corporations, and organizational expenses,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net realized losses on investments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(2,116,773)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(330,522)</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Unrealized appreciation</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120,801,588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47,390,956</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Components of distributable earnings at year end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118,684,815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47,060,434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52292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2292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10—DEBT CAPITAL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4.75% Convertible Senior Notes due 2023</w:t>
      </w:r>
    </w:p>
    <w:p>
      <w:pPr>
        <w:spacing w:after="0" w:line="256" w:lineRule="exact"/>
        <w:rPr>
          <w:sz w:val="20"/>
          <w:szCs w:val="20"/>
          <w:color w:val="auto"/>
        </w:rPr>
      </w:pPr>
    </w:p>
    <w:p>
      <w:pPr>
        <w:jc w:val="both"/>
        <w:ind w:firstLine="364"/>
        <w:spacing w:after="0" w:line="269" w:lineRule="auto"/>
        <w:rPr>
          <w:sz w:val="20"/>
          <w:szCs w:val="20"/>
          <w:color w:val="auto"/>
        </w:rPr>
      </w:pPr>
      <w:r>
        <w:rPr>
          <w:rFonts w:ascii="Arial" w:cs="Arial" w:eastAsia="Arial" w:hAnsi="Arial"/>
          <w:sz w:val="17"/>
          <w:szCs w:val="17"/>
          <w:color w:val="auto"/>
        </w:rPr>
        <w:t>On March 28, 2018, the Company issued $40.0 million aggregate principal amount of convertible senior notes, which bear interest at a fixed rate of 4.75% per year, payable semi-annually in arrears on March 31 and September 30 of each year, commencing on September 30, 2018. The 4.75% Convertible Senior Notes mature on March 28, 2023 (the "4.75% Convertible Senior Notes due 2023"), unless previously repurchased or converted in accordance with their terms. The Company does not have the right to redeem the 4.75% Convertible Senior Notes due 2023 prior to March 27, 2021. On or after March 27, 2021, the Company may redeem the 4.75% Convertible Senior Notes due 2023 for cash, in whole or from time to time in part, at the Company’s option if (i) the closing sale price of the Company’s common stock for at least 15 trading days (whether or not consecutive) during the period of any 20 consecutive trading days is greater than or equal to 150% of the conversion price on each applicable trading day, (ii) no public announcement of a pending, proposed or intended fundamental change has occurred which has not been abandoned, terminated or consummated, and (iii) no event of default under the indenture governing the 4.75% Convertible Senior Notes due 2023, and no event that with the passage of time or giving of notice would constitute an event of default under such indenture, has occurred or exists.</w:t>
      </w:r>
    </w:p>
    <w:p>
      <w:pPr>
        <w:spacing w:after="0" w:line="21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initial conversion rate for the 4.75% Convertible Senior Notes due 2023 was 93.2836 shares of the Company’s common stock for each $1,000 principal amount of the 4.75% Convertible Senior Notes due 2023, which represented an initial conversion price of approximately $10.72 per share. As a result of the Company’s Modified Dutch Auction Tender Offer and cash dividends, the conversion rate for the 4.75% Convertible Senior Notes due 2023 changed to 106.1681 shares of the Company’s common stock for each $1,000 principal amount of the 4.75% Convertible Senior Notes due 2023, which represents a conversion price of approximately $9.42 per share as of December 31, 2020. Following certain corporate transactions that occur on or prior to the stated maturity date, the Company will, in certain circumstances, increase the conversion rate for a holder that elects to convert its 4.75% Convertible Senior Notes due 2023 in connection with such a corporate transaction. If a fundamental change, as defined in the indenture governing the 4.75% Convertible Senior Notes due 2023, occurs prior to the stated maturity date, holders may require the Company to purchase for cash all or any portion of their 4.75% Convertible Senior Notes due 2023 at a fundamental change purchase price equal to 100% of the principal amount of the Notes to be purchased, plus accrued and unpaid interest to, but excluding, the fundamental change purchase date.</w:t>
      </w:r>
    </w:p>
    <w:p>
      <w:pPr>
        <w:spacing w:after="0" w:line="195"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indenture governing the 4.75% Convertible Senior Notes due 2023 contains customary financial reporting requirements and contains certain restrictions on mergers, consolidations, and asset sales. The indenture also contains certain events of default, the occurrence of which may lead to the 4.75% Convertible Senior Notes due 2023 being due and payable before their maturity or immediately.</w:t>
      </w:r>
    </w:p>
    <w:p>
      <w:pPr>
        <w:spacing w:after="0" w:line="211" w:lineRule="exact"/>
        <w:rPr>
          <w:sz w:val="20"/>
          <w:szCs w:val="20"/>
          <w:color w:val="auto"/>
        </w:rPr>
      </w:pPr>
    </w:p>
    <w:p>
      <w:pPr>
        <w:jc w:val="both"/>
        <w:ind w:firstLine="364"/>
        <w:spacing w:after="0" w:line="248" w:lineRule="auto"/>
        <w:rPr>
          <w:sz w:val="20"/>
          <w:szCs w:val="20"/>
          <w:color w:val="auto"/>
        </w:rPr>
      </w:pPr>
      <w:r>
        <w:rPr>
          <w:rFonts w:ascii="Arial" w:cs="Arial" w:eastAsia="Arial" w:hAnsi="Arial"/>
          <w:sz w:val="18"/>
          <w:szCs w:val="18"/>
          <w:color w:val="auto"/>
        </w:rPr>
        <w:t>For the year ended December 31, 2020 the Company issued 174,888 shares of its common stock and cash for fractional shares upon the conversion of $1,785,000 in aggregate principal amount of the 4.75% Convertible Senior Notes due 2023. Refer to "Note 12 — Subsequent Events" for additional information.</w:t>
      </w:r>
    </w:p>
    <w:p>
      <w:pPr>
        <w:spacing w:after="0" w:line="209"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table below shows a reconciliation from the aggregate principal amount of 4.75% Convertible Senior Notes due 2023 to the balance shown on the Consolidated Statement of Assets and Liabilities.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 2020</w:t>
            </w:r>
          </w:p>
        </w:tc>
        <w:tc>
          <w:tcPr>
            <w:tcW w:w="240" w:type="dxa"/>
            <w:vAlign w:val="bottom"/>
          </w:tcPr>
          <w:p>
            <w:pPr>
              <w:spacing w:after="0"/>
              <w:rPr>
                <w:sz w:val="16"/>
                <w:szCs w:val="16"/>
                <w:color w:val="auto"/>
              </w:rPr>
            </w:pPr>
          </w:p>
        </w:tc>
        <w:tc>
          <w:tcPr>
            <w:tcW w:w="1660" w:type="dxa"/>
            <w:vAlign w:val="bottom"/>
          </w:tcPr>
          <w:p>
            <w:pPr>
              <w:jc w:val="right"/>
              <w:ind w:right="294"/>
              <w:spacing w:after="0"/>
              <w:rPr>
                <w:sz w:val="20"/>
                <w:szCs w:val="20"/>
                <w:color w:val="auto"/>
              </w:rPr>
            </w:pPr>
            <w:r>
              <w:rPr>
                <w:rFonts w:ascii="Arial" w:cs="Arial" w:eastAsia="Arial" w:hAnsi="Arial"/>
                <w:sz w:val="14"/>
                <w:szCs w:val="14"/>
                <w:b w:val="1"/>
                <w:bCs w:val="1"/>
                <w:color w:val="auto"/>
                <w:w w:val="99"/>
              </w:rPr>
              <w:t>December 31, 2019</w:t>
            </w:r>
          </w:p>
        </w:tc>
      </w:tr>
      <w:tr>
        <w:trPr>
          <w:trHeight w:val="229"/>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Initial aggregate principal amount of 4.75% Convertible Senior Notes due 2023</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40,000,000</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Conversion of 4.75% Convertible Senior Notes due 2023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(1,785,000)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 deduction of deferred debt issuance costs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(819,563)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(1,196,365)</w:t>
            </w: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auto"/>
              </w:rPr>
              <w:t>4.75% Convertible Senior Notes due 2023 Payable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37,395,437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38,803,635</w:t>
            </w:r>
          </w:p>
        </w:tc>
      </w:tr>
      <w:tr>
        <w:trPr>
          <w:trHeight w:val="21"/>
        </w:trPr>
        <w:tc>
          <w:tcPr>
            <w:tcW w:w="7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-633730</wp:posOffset>
            </wp:positionV>
            <wp:extent cx="46462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646295" cy="8890"/>
                    </a:xfrm>
                    <a:prstGeom prst="rect">
                      <a:avLst/>
                    </a:prstGeom>
                    <a:noFill/>
                  </pic:spPr>
                </pic:pic>
              </a:graphicData>
            </a:graphic>
          </wp:anchor>
        </w:drawing>
      </w:r>
    </w:p>
    <w:p>
      <w:pPr>
        <w:spacing w:after="0" w:line="290" w:lineRule="exact"/>
        <w:rPr>
          <w:sz w:val="20"/>
          <w:szCs w:val="20"/>
          <w:color w:val="auto"/>
        </w:rPr>
      </w:pPr>
    </w:p>
    <w:p>
      <w:pPr>
        <w:jc w:val="both"/>
        <w:ind w:firstLine="364"/>
        <w:spacing w:after="0" w:line="248" w:lineRule="auto"/>
        <w:rPr>
          <w:sz w:val="20"/>
          <w:szCs w:val="20"/>
          <w:color w:val="auto"/>
        </w:rPr>
      </w:pPr>
      <w:r>
        <w:rPr>
          <w:rFonts w:ascii="Arial" w:cs="Arial" w:eastAsia="Arial" w:hAnsi="Arial"/>
          <w:sz w:val="18"/>
          <w:szCs w:val="18"/>
          <w:color w:val="auto"/>
        </w:rPr>
        <w:t>As of December 31, 2020 the principal amount of the 4.75% Convertible Senior Notes due 2023 did not exceed the value of the underlying shares multiplied by the per share closing price of the Company’s common stock. If the share price of our common stock exceeds $9.42 per share it may be advantageous for note holders to convert their 4.75% Convertible Senior Notes due 2023 to our common stock.</w:t>
      </w:r>
    </w:p>
    <w:p>
      <w:pPr>
        <w:spacing w:after="0" w:line="209"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The 4.75% Convertible Senior Notes due 2023 are the Company’s general, unsecured, senior obligations and rank senior in right of payment to any future indebtedness that is expressly subordinated in right of payment to the 4.75% Convertible Senior Notes due 2023, equal in right of payment to any existing and future unsecured indebtedness that is not so subordinated to the 4.75% Convertible Senior Notes due 2023, effectively junior to any future secured indebtedness to the extent of the value of the assets securing such indebtedness, and structurally junior to all future indebtedness (including trade payables) incurred by the Company’s subsidiaries.</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connection with the issuance of the 4.75% Convertible Senior Notes due 2023, the Company was required under the terms of the Credit Facility (defined below) to deposit any proceeds from the 4.75% Convertible Senior Notes due 2023 offering into an account at Western Alliance Bank and was required to maintain at least $65.0 million (or such lesser amount to the extent such funds are used to repay or repurchase a portion of the outstanding 5.25% Convertible Senior Notes due 2018 prior to their maturity and repayment in full) in an account at Western Alliance Bank until such time as the</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5.25% Convertible Senior Notes due 2018 were repaid in full. The 5.25% Convertible Senior Notes due 2018 matured on September 15, 2018, at which time the Company repaid the remaining outstanding aggregate principal amount of the 5.25% Convertible Senior Notes due 2018, including accrued but unpaid interest. In addition, the Credit Facility matured on May 31, 2019. As a result, the company is no longer subject to such requirements.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Western Alliance Bank Credit Facility</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Credit Facility (defined below) matured on May 31, 2019. There were no borrowings by the Company from the Credit Facility during the year ended December 31, 2020.</w:t>
      </w:r>
    </w:p>
    <w:p>
      <w:pPr>
        <w:spacing w:after="0" w:line="197"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Company entered into a Loan and Security Agreement, effective May 31, 2017 and amended on March 22, 2018 (the “Loan Agreement”), with Western Alliance Bank, pursuant to which Western Alliance Bank agreed to provide the Company with a $12.0 million senior secured revolving credit facility (the “Credit Facility”).</w:t>
      </w:r>
    </w:p>
    <w:p>
      <w:pPr>
        <w:spacing w:after="0" w:line="211"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The Credit Facility, among other things, matured on May 31, 2019 and bore interest at a per annum rate equal to the prime rate plus 3.50%. In addition, a facility fee of $60,000 was charged upon closing of the Credit Facility, and the Loan Agreement required payment of a fee for unused amounts during the revolving period in an amount equal to 0.50% per annum of the average unused portion of the Credit Facility payable quarterly in arrears.</w:t>
      </w:r>
    </w:p>
    <w:p>
      <w:pPr>
        <w:spacing w:after="0" w:line="176" w:lineRule="exact"/>
        <w:rPr>
          <w:sz w:val="20"/>
          <w:szCs w:val="20"/>
          <w:color w:val="auto"/>
        </w:rPr>
      </w:pPr>
    </w:p>
    <w:p>
      <w:pPr>
        <w:jc w:val="both"/>
        <w:ind w:firstLine="364"/>
        <w:spacing w:after="0" w:line="290" w:lineRule="auto"/>
        <w:rPr>
          <w:sz w:val="20"/>
          <w:szCs w:val="20"/>
          <w:color w:val="auto"/>
        </w:rPr>
      </w:pPr>
      <w:r>
        <w:rPr>
          <w:rFonts w:ascii="Arial" w:cs="Arial" w:eastAsia="Arial" w:hAnsi="Arial"/>
          <w:sz w:val="16"/>
          <w:szCs w:val="16"/>
          <w:color w:val="auto"/>
        </w:rPr>
        <w:t>Under the Loan Agreement, the Company made certain customary representations and warranties and was required to comply with various affirmative and negative covenants, reporting requirements, and other customary requirements for similar credit facilities, including, without limitation, restrictions on incurring additional indebtedness (with unsecured longer-term indebtedness limited to $70.0 million in the aggregate), compliance with the asset coverage requirements under the 1940 Act, a minimum net asset value requirement of at least the greater of $60.0 million or five times the amount of the Credit Facility, a limitation on the Company’s net asset value being reduced by more than 15% of its net asset value at December 31, 2016, and maintenance of RIC and BDC status. The Loan Agreement included usual and customary events of default for credit facilities of this nature, including, without limitation, nonpayment, misrepresentation of representations and warranties in a material respect, breach of covenant, cross-default to certain other indebtedness, bankruptcy, the cessation of the Investment Advisory Agreement, and the occurrence of a material adverse effect.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Credit Facility was secured by substantially all of the Company’s property and assets. As of December 31, 2020 and 2019, the Company had no borrowings outstanding under the Credit Facility, as the Credit Facility matured on May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Equity Incentive Plan</w:t>
      </w:r>
    </w:p>
    <w:p>
      <w:pPr>
        <w:spacing w:after="0" w:line="22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June 5, 2019, our Board of Directors adopted, and our stockholders approved, an equity-based incentive plan (the "2019 Equity Incentive Plan”), which authorizes equity awards to be granted for up to 1,976,264 shares of our common stock. Under the 2019 Equity Incentive Plan, the exercise price of awards is set on the grant date and may not be less than the fair market value per share on such date, however, that in the case of an incentive stock option granted to an employee who, at the time of the grant of such option, owns stock representing more than ten percent (10%) of the voting power of all classes of stock of the Company or the Company’s present or future parent or subsidiary corporations, as defined in Section 424(e) or (f) of the Code, or other Affiliates the employees of which are eligible to receive incentive stock options under the Code (the “10% Shareholders”), the exercise price per share shall be no less than one hundred ten percent (110%) of the fair market value per share on the date of grant. The fair market value shall be the closing price of the shares on the Nasdaq Capital Market on the date of grant.</w:t>
      </w:r>
    </w:p>
    <w:p>
      <w:pPr>
        <w:spacing w:after="0" w:line="20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July 17, 2019, stock options providing the right to purchase up to 1,165,000 shares were granted under the 2019 Equity Incentive Plan with an exercise price equal to the market price of our common stock at the grant date. These stock options have a vesting period of 3 years with 1/3 vesting immediately on the grant date, 1/3 vesting on July 17, 2020, and the remaining 1/3 vesting on July 17,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Cancellation of Stock Option Awards Under 2019 Equity Incentive Plan</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On April 28, 2020, all stock option awards granted under the 2019 Equity Incentive Plan were canceled for no payment pursuant to an option cancellation agreement (the "Option Cancellation Agreement"). As a result, there are no stock option awards currently outstanding under the 2019 Equity Incentive Plan. In accordance with FASB ASC 718,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 </w:t>
      </w:r>
      <w:r>
        <w:rPr>
          <w:rFonts w:ascii="Arial" w:cs="Arial" w:eastAsia="Arial" w:hAnsi="Arial"/>
          <w:sz w:val="18"/>
          <w:szCs w:val="18"/>
          <w:i w:val="1"/>
          <w:iCs w:val="1"/>
          <w:color w:val="auto"/>
        </w:rPr>
        <w:t>Stock Compensation</w:t>
      </w:r>
      <w:r>
        <w:rPr>
          <w:rFonts w:ascii="Arial" w:cs="Arial" w:eastAsia="Arial" w:hAnsi="Arial"/>
          <w:sz w:val="18"/>
          <w:szCs w:val="18"/>
          <w:color w:val="auto"/>
        </w:rPr>
        <w:t xml:space="preserve"> ("ASC 718"), all unrecognized compensation cost related to still unvested shares was recognized as of the date of cancellation. For more information, including a description of the Option Cancellation Agreement, please refer to our current report on Form 8-K filed with the SEC on April 29, 2020. Such description of the Option Cancellation Agreement is qualified in its entirety by reference to the text of such Option Cancellation Agreement filed as Exhibit 10.3 to our quarterly report on Form 10-Q for the period ended March 31, 2020 filed with the SEC on May 8, 2020.</w:t>
      </w:r>
    </w:p>
    <w:p>
      <w:pPr>
        <w:spacing w:after="0" w:line="22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 follows ASC 718 to account for stock options granted. Under ASC 718, compensation expense associated with stock-based compensation is measured at the grant date based on the fair value of the award and is recognized over the vesting period. Determining the appropriate fair value model and calculating the fair value of stock-based awards at the grant date requires judgment, including estimating stock price volatility, forfeiture rate, and expected option life. The time-based options granted on July 17, 2019 were ascribed a weighted-average fair value of $2.57 per share. The fair value of options granted under the 2019 Equity Incentive Plan was based upon a Black Scholes option pricing model using the assumptions in the following table:</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Input Assumptions</w:t>
            </w:r>
          </w:p>
        </w:tc>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As of July 17, 2019 Grant Date</w:t>
            </w:r>
          </w:p>
        </w:tc>
      </w:tr>
      <w:tr>
        <w:trPr>
          <w:trHeight w:val="22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(years)</w:t>
            </w:r>
          </w:p>
        </w:tc>
        <w:tc>
          <w:tcPr>
            <w:tcW w:w="4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5.55</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Volatility</w:t>
            </w:r>
          </w:p>
        </w:tc>
        <w:tc>
          <w:tcPr>
            <w:tcW w:w="7820" w:type="dxa"/>
            <w:vAlign w:val="bottom"/>
            <w:gridSpan w:val="3"/>
          </w:tcPr>
          <w:p>
            <w:pPr>
              <w:jc w:val="center"/>
              <w:ind w:left="4730"/>
              <w:spacing w:after="0"/>
              <w:rPr>
                <w:sz w:val="20"/>
                <w:szCs w:val="20"/>
                <w:color w:val="auto"/>
              </w:rPr>
            </w:pPr>
            <w:r>
              <w:rPr>
                <w:rFonts w:ascii="Arial" w:cs="Arial" w:eastAsia="Arial" w:hAnsi="Arial"/>
                <w:sz w:val="18"/>
                <w:szCs w:val="18"/>
                <w:color w:val="auto"/>
                <w:w w:val="91"/>
              </w:rPr>
              <w:t>39.47%</w:t>
            </w:r>
          </w:p>
        </w:tc>
      </w:tr>
      <w:tr>
        <w:trPr>
          <w:trHeight w:val="24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7820" w:type="dxa"/>
            <w:vAlign w:val="bottom"/>
            <w:gridSpan w:val="3"/>
            <w:shd w:val="clear" w:color="auto" w:fill="CCEEFF"/>
          </w:tcPr>
          <w:p>
            <w:pPr>
              <w:jc w:val="center"/>
              <w:ind w:left="4710"/>
              <w:spacing w:after="0"/>
              <w:rPr>
                <w:sz w:val="20"/>
                <w:szCs w:val="20"/>
                <w:color w:val="auto"/>
              </w:rPr>
            </w:pPr>
            <w:r>
              <w:rPr>
                <w:rFonts w:ascii="Arial" w:cs="Arial" w:eastAsia="Arial" w:hAnsi="Arial"/>
                <w:sz w:val="18"/>
                <w:szCs w:val="18"/>
                <w:color w:val="auto"/>
                <w:w w:val="90"/>
              </w:rPr>
              <w:t>1.86%</w:t>
            </w: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917"/>
        </w:trPr>
        <w:tc>
          <w:tcPr>
            <w:tcW w:w="3420" w:type="dxa"/>
            <w:vAlign w:val="bottom"/>
          </w:tcPr>
          <w:p>
            <w:pPr>
              <w:spacing w:after="0"/>
              <w:rPr>
                <w:sz w:val="24"/>
                <w:szCs w:val="24"/>
                <w:color w:val="auto"/>
              </w:rPr>
            </w:pPr>
          </w:p>
        </w:tc>
        <w:tc>
          <w:tcPr>
            <w:tcW w:w="4700" w:type="dxa"/>
            <w:vAlign w:val="bottom"/>
          </w:tcPr>
          <w:p>
            <w:pPr>
              <w:jc w:val="right"/>
              <w:ind w:right="227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4"/>
                <w:szCs w:val="24"/>
                <w:color w:val="auto"/>
              </w:rPr>
            </w:pPr>
          </w:p>
        </w:tc>
        <w:tc>
          <w:tcPr>
            <w:tcW w:w="30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-1028065</wp:posOffset>
            </wp:positionV>
            <wp:extent cx="5151755"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51755"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10"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8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Weighted-Average Exercise</w:t>
            </w:r>
          </w:p>
        </w:tc>
        <w:tc>
          <w:tcPr>
            <w:tcW w:w="120" w:type="dxa"/>
            <w:vAlign w:val="bottom"/>
          </w:tcPr>
          <w:p>
            <w:pPr>
              <w:spacing w:after="0"/>
              <w:rPr>
                <w:sz w:val="14"/>
                <w:szCs w:val="14"/>
                <w:color w:val="auto"/>
              </w:rPr>
            </w:pPr>
          </w:p>
        </w:tc>
        <w:tc>
          <w:tcPr>
            <w:tcW w:w="1740" w:type="dxa"/>
            <w:vAlign w:val="bottom"/>
          </w:tcPr>
          <w:p>
            <w:pPr>
              <w:jc w:val="right"/>
              <w:ind w:right="75"/>
              <w:spacing w:after="0"/>
              <w:rPr>
                <w:sz w:val="20"/>
                <w:szCs w:val="20"/>
                <w:color w:val="auto"/>
              </w:rPr>
            </w:pPr>
            <w:r>
              <w:rPr>
                <w:rFonts w:ascii="Arial" w:cs="Arial" w:eastAsia="Arial" w:hAnsi="Arial"/>
                <w:sz w:val="14"/>
                <w:szCs w:val="14"/>
                <w:b w:val="1"/>
                <w:bCs w:val="1"/>
                <w:color w:val="auto"/>
                <w:w w:val="95"/>
              </w:rPr>
              <w:t>Weighted-Average Grant</w:t>
            </w:r>
          </w:p>
        </w:tc>
        <w:tc>
          <w:tcPr>
            <w:tcW w:w="0" w:type="dxa"/>
            <w:vAlign w:val="bottom"/>
          </w:tcPr>
          <w:p>
            <w:pPr>
              <w:spacing w:after="0"/>
              <w:rPr>
                <w:sz w:val="1"/>
                <w:szCs w:val="1"/>
                <w:color w:val="auto"/>
              </w:rPr>
            </w:pPr>
          </w:p>
        </w:tc>
      </w:tr>
      <w:tr>
        <w:trPr>
          <w:trHeight w:val="188"/>
        </w:trPr>
        <w:tc>
          <w:tcPr>
            <w:tcW w:w="52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spacing w:after="0"/>
              <w:rPr>
                <w:sz w:val="16"/>
                <w:szCs w:val="16"/>
                <w:color w:val="auto"/>
              </w:rPr>
            </w:pPr>
          </w:p>
        </w:tc>
        <w:tc>
          <w:tcPr>
            <w:tcW w:w="1740" w:type="dxa"/>
            <w:vAlign w:val="bottom"/>
          </w:tcPr>
          <w:p>
            <w:pPr>
              <w:jc w:val="right"/>
              <w:ind w:right="375"/>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2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2018</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80" w:type="dxa"/>
            <w:vAlign w:val="bottom"/>
          </w:tcPr>
          <w:p>
            <w:pPr>
              <w:jc w:val="right"/>
              <w:spacing w:after="0"/>
              <w:rPr>
                <w:sz w:val="20"/>
                <w:szCs w:val="20"/>
                <w:color w:val="auto"/>
              </w:rPr>
            </w:pPr>
            <w:r>
              <w:rPr>
                <w:rFonts w:ascii="Arial" w:cs="Arial" w:eastAsia="Arial" w:hAnsi="Arial"/>
                <w:sz w:val="18"/>
                <w:szCs w:val="18"/>
                <w:color w:val="auto"/>
              </w:rPr>
              <w:t>1,165,000</w:t>
            </w:r>
          </w:p>
        </w:tc>
        <w:tc>
          <w:tcPr>
            <w:tcW w:w="52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880" w:type="dxa"/>
            <w:vAlign w:val="bottom"/>
          </w:tcPr>
          <w:p>
            <w:pPr>
              <w:jc w:val="right"/>
              <w:spacing w:after="0"/>
              <w:rPr>
                <w:sz w:val="20"/>
                <w:szCs w:val="20"/>
                <w:color w:val="auto"/>
              </w:rPr>
            </w:pPr>
            <w:r>
              <w:rPr>
                <w:rFonts w:ascii="Arial" w:cs="Arial" w:eastAsia="Arial" w:hAnsi="Arial"/>
                <w:sz w:val="18"/>
                <w:szCs w:val="18"/>
                <w:color w:val="auto"/>
              </w:rPr>
              <w:t>(6,667)</w:t>
            </w:r>
          </w:p>
        </w:tc>
        <w:tc>
          <w:tcPr>
            <w:tcW w:w="52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w:t>
            </w:r>
          </w:p>
        </w:tc>
        <w:tc>
          <w:tcPr>
            <w:tcW w:w="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5260" w:type="dxa"/>
            <w:vAlign w:val="bottom"/>
          </w:tcPr>
          <w:p>
            <w:pPr>
              <w:ind w:left="20"/>
              <w:spacing w:after="0"/>
              <w:rPr>
                <w:sz w:val="20"/>
                <w:szCs w:val="20"/>
                <w:color w:val="auto"/>
              </w:rPr>
            </w:pPr>
            <w:r>
              <w:rPr>
                <w:rFonts w:ascii="Arial" w:cs="Arial" w:eastAsia="Arial" w:hAnsi="Arial"/>
                <w:sz w:val="18"/>
                <w:szCs w:val="18"/>
                <w:color w:val="auto"/>
              </w:rPr>
              <w:t>Outstanding as of December 31, 2019</w:t>
            </w:r>
          </w:p>
        </w:tc>
        <w:tc>
          <w:tcPr>
            <w:tcW w:w="1880" w:type="dxa"/>
            <w:vAlign w:val="bottom"/>
          </w:tcPr>
          <w:p>
            <w:pPr>
              <w:jc w:val="right"/>
              <w:spacing w:after="0"/>
              <w:rPr>
                <w:sz w:val="20"/>
                <w:szCs w:val="20"/>
                <w:color w:val="auto"/>
              </w:rPr>
            </w:pPr>
            <w:r>
              <w:rPr>
                <w:rFonts w:ascii="Arial" w:cs="Arial" w:eastAsia="Arial" w:hAnsi="Arial"/>
                <w:sz w:val="18"/>
                <w:szCs w:val="18"/>
                <w:color w:val="auto"/>
              </w:rPr>
              <w:t>1,155,000</w:t>
            </w:r>
          </w:p>
        </w:tc>
        <w:tc>
          <w:tcPr>
            <w:tcW w:w="52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as of December 31, 2019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5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9"/>
        </w:trPr>
        <w:tc>
          <w:tcPr>
            <w:tcW w:w="52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(1,155,000)</w:t>
            </w:r>
          </w:p>
        </w:tc>
        <w:tc>
          <w:tcPr>
            <w:tcW w:w="520" w:type="dxa"/>
            <w:vAlign w:val="bottom"/>
            <w:tcBorders>
              <w:bottom w:val="single" w:sz="8" w:color="CCEEFF"/>
            </w:tcBorders>
            <w:gridSpan w:val="2"/>
          </w:tcPr>
          <w:p>
            <w:pPr>
              <w:jc w:val="right"/>
              <w:ind w:right="248"/>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2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-607695</wp:posOffset>
            </wp:positionV>
            <wp:extent cx="3343275" cy="1631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43275" cy="16319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-908050</wp:posOffset>
            </wp:positionV>
            <wp:extent cx="3343275"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4327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-1207770</wp:posOffset>
            </wp:positionV>
            <wp:extent cx="3343275"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43275" cy="15430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-1362710</wp:posOffset>
            </wp:positionV>
            <wp:extent cx="33432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years ended December 31, 2020 and 2019, we recognized stock-based compensation expense of $1,962,431 and $998,355, respectively. The stock-based compensation expense for the year ended December 31, 2020 related to the cancellation of all granted vested and unvested options, and the amount of cash received from the exercise of stock options in 2020 and 2019 was $0 and $0, respectively. As of December 31, 2020, there was $0 of total unrecognized compensation cost related to non-vested stock options granted under the 2019 Equity Incentive Plan, as the options were cancelled effective April 28,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2019 Equity Incentive Plan</w:t>
      </w:r>
    </w:p>
    <w:p>
      <w:pPr>
        <w:spacing w:after="0" w:line="256"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On June 19, 2020, our Board of Directors adopted, and our stockholders approved, an amendment and restatement of the Company’s 2019 Equity Incentive Plan (the “Amended &amp; Restated 2019 Equity Incentive Plan”) under which the Company is authorized to grant equity awards for up to 1,627,967 shares of its common stock. In accordance with the exemptive relief granted to the Company by the SEC on June 16, 2020 with respect to the Amended &amp; Restated 2019 Equity Incentive Plan, the Company is generally authorized to (i) issue restricted shares as part of the compensation package for certain of its employees, officers and all directors, including non-employee directors (collectively, the “Participants”), (ii) issue options to acquire shares of its common stock (“Options”) to certain employees, officers and employee directors as a part of such compensation packages, (iii) withhold shares of the Company’s common stock or purchase shares of common stock from the Participants to satisfy tax withholding obligations relating to the vesting of restricted shares or the exercise of Options granted to the certain Participants pursuant to the Amended &amp; Restated 2019 Equity Incentive Plan, and (iv) permit the Participants to pay the exercise price of Options granted to them with shares of the Company’s common stock.</w:t>
      </w:r>
    </w:p>
    <w:p>
      <w:pPr>
        <w:spacing w:after="0" w:line="1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Under the Amended &amp; Restated 2019 Equity Incentive Plan, each non-employee director will receive an annual grant of $50,000 worth of restricted shares of common stock (based on the closing stock price of the common stock on the grant date). Each grant of $50,000 in restricted shares will vest, in full, if the non-employee director is in continuous service as a director of the Company through the anniversary of such grant (or, if earlier, the annual meeting of the Company’s stockholders that is closest to the anniversary of such grant).</w:t>
      </w:r>
    </w:p>
    <w:p>
      <w:pPr>
        <w:spacing w:after="0" w:line="21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Other than such restricted shares granted to non-employee directors, the Company’s Compensation Committee may determine the time or times at which Options and restricted shares granted to other Participants will vest or become payable or exercisable, as applicable. The exercise price of each Option will not be less than 100% of the fair market value of the Company’s common stock on the date the option is granted. However, any optionee who owns more than 10% of the combined voting power of all classes of the Company’s outstanding common stock (a “10% Stockholder”), will not be eligible for the grant of an incentive stock option unless the exercise price of the incentive stock option is at least 110% of the fair market value of the Company’s common stock on the date of grant. Generally, no Option will be exercisable after the expiration of ten years from the date of grant. In the case of an Option granted to a 10% Stockholder, the term of an incentive stock option will be for no more than five years from the date of grant.</w:t>
      </w:r>
    </w:p>
    <w:p>
      <w:pPr>
        <w:spacing w:after="0" w:line="19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During the year ended December 31, 2020, the Company granted 21,760 restricted shares to its non-employee directors pursuant to the Amended &amp; Restated 2019 Equity Incentive Plan. The Company determined that the fair values, based on the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grant date close price, of such restricted shares granted under the Amended &amp; Restated 2019 Equity Incentive Plan during the year ended December 31, 2020 were approximately $200,000 in the aggregate. As of December 31, 2020, there were approximately $200,000 of total unrecognized compensation costs related to the restricted share grants. These costs related to the annual grants to non-employee directors are expected to be recognized upon vesting, which is approximately one year from the date of grant.</w:t>
      </w:r>
    </w:p>
    <w:p>
      <w:pPr>
        <w:spacing w:after="0" w:line="215" w:lineRule="exact"/>
        <w:rPr>
          <w:sz w:val="20"/>
          <w:szCs w:val="20"/>
          <w:color w:val="auto"/>
        </w:rPr>
      </w:pPr>
    </w:p>
    <w:p>
      <w:pPr>
        <w:jc w:val="both"/>
        <w:ind w:firstLine="500"/>
        <w:spacing w:after="0" w:line="253" w:lineRule="auto"/>
        <w:rPr>
          <w:sz w:val="20"/>
          <w:szCs w:val="20"/>
          <w:color w:val="auto"/>
        </w:rPr>
      </w:pPr>
      <w:r>
        <w:rPr>
          <w:rFonts w:ascii="Arial" w:cs="Arial" w:eastAsia="Arial" w:hAnsi="Arial"/>
          <w:sz w:val="18"/>
          <w:szCs w:val="18"/>
          <w:color w:val="auto"/>
        </w:rPr>
        <w:t>The following table summarizes the activities for the Company’s restricted share grants for the year ended December 31, 2020 under the Amended &amp; Restated 2019 Equity Incentive Plan:</w:t>
      </w:r>
    </w:p>
    <w:p>
      <w:pPr>
        <w:spacing w:after="0" w:line="1"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5340" w:type="dxa"/>
            <w:vAlign w:val="bottom"/>
            <w:tcBorders>
              <w:bottom w:val="single" w:sz="8" w:color="CCEEFF"/>
            </w:tcBorders>
          </w:tcPr>
          <w:p>
            <w:pPr>
              <w:spacing w:after="0"/>
              <w:rPr>
                <w:sz w:val="16"/>
                <w:szCs w:val="16"/>
                <w:color w:val="auto"/>
              </w:rPr>
            </w:pPr>
          </w:p>
        </w:tc>
        <w:tc>
          <w:tcPr>
            <w:tcW w:w="26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Number of Restricted Shares</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340" w:type="dxa"/>
            <w:vAlign w:val="bottom"/>
          </w:tcPr>
          <w:p>
            <w:pPr>
              <w:ind w:left="140"/>
              <w:spacing w:after="0"/>
              <w:rPr>
                <w:sz w:val="20"/>
                <w:szCs w:val="20"/>
                <w:color w:val="auto"/>
              </w:rPr>
            </w:pPr>
            <w:r>
              <w:rPr>
                <w:rFonts w:ascii="Arial" w:cs="Arial" w:eastAsia="Arial" w:hAnsi="Arial"/>
                <w:sz w:val="18"/>
                <w:szCs w:val="18"/>
                <w:color w:val="auto"/>
              </w:rPr>
              <w:t>Granted</w:t>
            </w:r>
          </w:p>
        </w:tc>
        <w:tc>
          <w:tcPr>
            <w:tcW w:w="2640" w:type="dxa"/>
            <w:vAlign w:val="bottom"/>
          </w:tcPr>
          <w:p>
            <w:pPr>
              <w:jc w:val="right"/>
              <w:spacing w:after="0"/>
              <w:rPr>
                <w:sz w:val="20"/>
                <w:szCs w:val="20"/>
                <w:color w:val="auto"/>
              </w:rPr>
            </w:pPr>
            <w:r>
              <w:rPr>
                <w:rFonts w:ascii="Arial" w:cs="Arial" w:eastAsia="Arial" w:hAnsi="Arial"/>
                <w:sz w:val="18"/>
                <w:szCs w:val="18"/>
                <w:color w:val="auto"/>
              </w:rPr>
              <w:t>21,760</w:t>
            </w:r>
          </w:p>
        </w:tc>
      </w:tr>
      <w:tr>
        <w:trPr>
          <w:trHeight w:val="24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34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2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40" w:type="dxa"/>
            <w:vAlign w:val="bottom"/>
          </w:tcPr>
          <w:p>
            <w:pPr>
              <w:ind w:left="20"/>
              <w:spacing w:after="0"/>
              <w:rPr>
                <w:sz w:val="20"/>
                <w:szCs w:val="20"/>
                <w:color w:val="auto"/>
              </w:rPr>
            </w:pPr>
            <w:r>
              <w:rPr>
                <w:rFonts w:ascii="Arial" w:cs="Arial" w:eastAsia="Arial" w:hAnsi="Arial"/>
                <w:sz w:val="18"/>
                <w:szCs w:val="18"/>
                <w:color w:val="auto"/>
              </w:rPr>
              <w:t>Outstanding as of December 31, 2020</w:t>
            </w:r>
          </w:p>
        </w:tc>
        <w:tc>
          <w:tcPr>
            <w:tcW w:w="2640" w:type="dxa"/>
            <w:vAlign w:val="bottom"/>
          </w:tcPr>
          <w:p>
            <w:pPr>
              <w:jc w:val="right"/>
              <w:spacing w:after="0"/>
              <w:rPr>
                <w:sz w:val="20"/>
                <w:szCs w:val="20"/>
                <w:color w:val="auto"/>
              </w:rPr>
            </w:pPr>
            <w:r>
              <w:rPr>
                <w:rFonts w:ascii="Arial" w:cs="Arial" w:eastAsia="Arial" w:hAnsi="Arial"/>
                <w:sz w:val="18"/>
                <w:szCs w:val="18"/>
                <w:color w:val="auto"/>
              </w:rPr>
              <w:t>21,760</w:t>
            </w: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 and Exercisable as of December 31, 2020</w:t>
            </w:r>
          </w:p>
        </w:tc>
        <w:tc>
          <w:tcPr>
            <w:tcW w:w="2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-307975</wp:posOffset>
            </wp:positionV>
            <wp:extent cx="338582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85820" cy="16319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-607695</wp:posOffset>
            </wp:positionV>
            <wp:extent cx="33858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85820"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-908050</wp:posOffset>
            </wp:positionV>
            <wp:extent cx="33858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85820" cy="154305"/>
                    </a:xfrm>
                    <a:prstGeom prst="rect">
                      <a:avLst/>
                    </a:prstGeom>
                    <a:noFill/>
                  </pic:spPr>
                </pic:pic>
              </a:graphicData>
            </a:graphic>
          </wp:anchor>
        </w:drawing>
        <w:drawing>
          <wp:anchor simplePos="0" relativeHeight="251657728" behindDoc="1" locked="0" layoutInCell="0" allowOverlap="1">
            <wp:simplePos x="0" y="0"/>
            <wp:positionH relativeFrom="column">
              <wp:posOffset>1042035</wp:posOffset>
            </wp:positionH>
            <wp:positionV relativeFrom="paragraph">
              <wp:posOffset>-1062355</wp:posOffset>
            </wp:positionV>
            <wp:extent cx="33858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Activity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From January 1, 2021 through March 11, 2021, the Company exited or received proceeds from the following investments: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vMerge w:val="restart"/>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Transaction</w:t>
            </w:r>
          </w:p>
        </w:tc>
        <w:tc>
          <w:tcPr>
            <w:tcW w:w="1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120" w:type="dxa"/>
            <w:vAlign w:val="bottom"/>
            <w:vMerge w:val="restart"/>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Average Net</w:t>
            </w:r>
          </w:p>
        </w:tc>
        <w:tc>
          <w:tcPr>
            <w:tcW w:w="160" w:type="dxa"/>
            <w:vAlign w:val="bottom"/>
          </w:tcPr>
          <w:p>
            <w:pPr>
              <w:spacing w:after="0"/>
              <w:rPr>
                <w:sz w:val="14"/>
                <w:szCs w:val="14"/>
                <w:color w:val="auto"/>
              </w:rPr>
            </w:pPr>
          </w:p>
        </w:tc>
        <w:tc>
          <w:tcPr>
            <w:tcW w:w="10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w w:val="91"/>
              </w:rPr>
              <w:t>Net Proceeds</w:t>
            </w:r>
          </w:p>
        </w:tc>
        <w:tc>
          <w:tcPr>
            <w:tcW w:w="120" w:type="dxa"/>
            <w:vAlign w:val="bottom"/>
            <w:vMerge w:val="restart"/>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Realized Gain or</w:t>
            </w:r>
          </w:p>
        </w:tc>
        <w:tc>
          <w:tcPr>
            <w:tcW w:w="0" w:type="dxa"/>
            <w:vAlign w:val="bottom"/>
          </w:tcPr>
          <w:p>
            <w:pPr>
              <w:spacing w:after="0"/>
              <w:rPr>
                <w:sz w:val="1"/>
                <w:szCs w:val="1"/>
                <w:color w:val="auto"/>
              </w:rPr>
            </w:pPr>
          </w:p>
        </w:tc>
      </w:tr>
      <w:tr>
        <w:trPr>
          <w:trHeight w:val="189"/>
        </w:trPr>
        <w:tc>
          <w:tcPr>
            <w:tcW w:w="1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14"/>
                <w:szCs w:val="14"/>
                <w:b w:val="1"/>
                <w:bCs w:val="1"/>
                <w:color w:val="auto"/>
                <w:w w:val="89"/>
              </w:rPr>
              <w:t>Share Price</w:t>
            </w:r>
            <w:r>
              <w:rPr>
                <w:rFonts w:ascii="Arial" w:cs="Arial" w:eastAsia="Arial" w:hAnsi="Arial"/>
                <w:sz w:val="18"/>
                <w:szCs w:val="18"/>
                <w:b w:val="1"/>
                <w:bCs w:val="1"/>
                <w:color w:val="auto"/>
                <w:w w:val="89"/>
                <w:vertAlign w:val="superscript"/>
              </w:rPr>
              <w:t>(1)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59"/>
        </w:trPr>
        <w:tc>
          <w:tcPr>
            <w:tcW w:w="194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Palantir Technologies, Inc.</w:t>
            </w:r>
          </w:p>
        </w:tc>
        <w:tc>
          <w:tcPr>
            <w:tcW w:w="1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6"/>
                <w:szCs w:val="16"/>
                <w:color w:val="auto"/>
                <w:w w:val="92"/>
              </w:rPr>
              <w:t>Various</w:t>
            </w:r>
          </w:p>
        </w:tc>
        <w:tc>
          <w:tcPr>
            <w:tcW w:w="1660" w:type="dxa"/>
            <w:vAlign w:val="bottom"/>
            <w:gridSpan w:val="2"/>
            <w:shd w:val="clear" w:color="auto" w:fill="CCEEFF"/>
          </w:tcPr>
          <w:p>
            <w:pPr>
              <w:jc w:val="center"/>
              <w:ind w:right="140"/>
              <w:spacing w:after="0" w:line="159" w:lineRule="exact"/>
              <w:rPr>
                <w:sz w:val="20"/>
                <w:szCs w:val="20"/>
                <w:color w:val="auto"/>
              </w:rPr>
            </w:pPr>
            <w:r>
              <w:rPr>
                <w:rFonts w:ascii="Arial" w:cs="Arial" w:eastAsia="Arial" w:hAnsi="Arial"/>
                <w:sz w:val="16"/>
                <w:szCs w:val="16"/>
                <w:color w:val="auto"/>
                <w:w w:val="88"/>
              </w:rPr>
              <w:t>Common shares, Class</w:t>
            </w:r>
          </w:p>
        </w:tc>
        <w:tc>
          <w:tcPr>
            <w:tcW w:w="9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4,618,952</w:t>
            </w: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6"/>
                <w:szCs w:val="16"/>
                <w:color w:val="auto"/>
                <w:w w:val="89"/>
              </w:rPr>
              <w:t>$26.72</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123,419,194</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110,544,068</w:t>
            </w:r>
          </w:p>
        </w:tc>
        <w:tc>
          <w:tcPr>
            <w:tcW w:w="0" w:type="dxa"/>
            <w:vAlign w:val="bottom"/>
          </w:tcPr>
          <w:p>
            <w:pPr>
              <w:spacing w:after="0"/>
              <w:rPr>
                <w:sz w:val="1"/>
                <w:szCs w:val="1"/>
                <w:color w:val="auto"/>
              </w:rPr>
            </w:pPr>
          </w:p>
        </w:tc>
      </w:tr>
      <w:tr>
        <w:trPr>
          <w:trHeight w:val="125"/>
        </w:trPr>
        <w:tc>
          <w:tcPr>
            <w:tcW w:w="1940" w:type="dxa"/>
            <w:vAlign w:val="bottom"/>
            <w:gridSpan w:val="2"/>
            <w:vMerge w:val="continue"/>
            <w:shd w:val="clear" w:color="auto" w:fill="CCEEFF"/>
          </w:tcPr>
          <w:p>
            <w:pPr>
              <w:spacing w:after="0"/>
              <w:rPr>
                <w:sz w:val="10"/>
                <w:szCs w:val="10"/>
                <w:color w:val="auto"/>
              </w:rPr>
            </w:pPr>
          </w:p>
        </w:tc>
        <w:tc>
          <w:tcPr>
            <w:tcW w:w="1060" w:type="dxa"/>
            <w:vAlign w:val="bottom"/>
            <w:gridSpan w:val="2"/>
            <w:vMerge w:val="continue"/>
            <w:shd w:val="clear" w:color="auto" w:fill="CCEEFF"/>
          </w:tcPr>
          <w:p>
            <w:pPr>
              <w:spacing w:after="0"/>
              <w:rPr>
                <w:sz w:val="10"/>
                <w:szCs w:val="10"/>
                <w:color w:val="auto"/>
              </w:rPr>
            </w:pPr>
          </w:p>
        </w:tc>
        <w:tc>
          <w:tcPr>
            <w:tcW w:w="166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6"/>
                <w:szCs w:val="16"/>
                <w:color w:val="auto"/>
              </w:rPr>
              <w:t>A</w:t>
            </w:r>
          </w:p>
        </w:tc>
        <w:tc>
          <w:tcPr>
            <w:tcW w:w="90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1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60" w:type="dxa"/>
            <w:vAlign w:val="bottom"/>
            <w:gridSpan w:val="2"/>
            <w:vMerge w:val="continue"/>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94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Palantir Lending Trust</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2"/>
              </w:rPr>
              <w:t>Various</w:t>
            </w:r>
          </w:p>
        </w:tc>
        <w:tc>
          <w:tcPr>
            <w:tcW w:w="1660" w:type="dxa"/>
            <w:vAlign w:val="bottom"/>
            <w:gridSpan w:val="2"/>
          </w:tcPr>
          <w:p>
            <w:pPr>
              <w:jc w:val="center"/>
              <w:ind w:right="140"/>
              <w:spacing w:after="0" w:line="166" w:lineRule="exact"/>
              <w:rPr>
                <w:sz w:val="20"/>
                <w:szCs w:val="20"/>
                <w:color w:val="auto"/>
              </w:rPr>
            </w:pPr>
            <w:r>
              <w:rPr>
                <w:rFonts w:ascii="Arial" w:cs="Arial" w:eastAsia="Arial" w:hAnsi="Arial"/>
                <w:sz w:val="16"/>
                <w:szCs w:val="16"/>
                <w:color w:val="auto"/>
                <w:w w:val="96"/>
              </w:rPr>
              <w:t>Equity Participation in</w:t>
            </w: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rPr>
              <w:t>N/A</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rPr>
              <w:t>N/A</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1,363,400</w:t>
            </w:r>
          </w:p>
        </w:tc>
        <w:tc>
          <w:tcPr>
            <w:tcW w:w="120" w:type="dxa"/>
            <w:vAlign w:val="bottom"/>
          </w:tcPr>
          <w:p>
            <w:pPr>
              <w:spacing w:after="0"/>
              <w:rPr>
                <w:sz w:val="14"/>
                <w:szCs w:val="14"/>
                <w:color w:val="auto"/>
              </w:rPr>
            </w:pPr>
          </w:p>
        </w:tc>
        <w:tc>
          <w:tcPr>
            <w:tcW w:w="1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1,363,400</w:t>
            </w:r>
          </w:p>
        </w:tc>
        <w:tc>
          <w:tcPr>
            <w:tcW w:w="0" w:type="dxa"/>
            <w:vAlign w:val="bottom"/>
          </w:tcPr>
          <w:p>
            <w:pPr>
              <w:spacing w:after="0"/>
              <w:rPr>
                <w:sz w:val="1"/>
                <w:szCs w:val="1"/>
                <w:color w:val="auto"/>
              </w:rPr>
            </w:pPr>
          </w:p>
        </w:tc>
      </w:tr>
      <w:tr>
        <w:trPr>
          <w:trHeight w:val="217"/>
        </w:trPr>
        <w:tc>
          <w:tcPr>
            <w:tcW w:w="1940" w:type="dxa"/>
            <w:vAlign w:val="bottom"/>
            <w:gridSpan w:val="2"/>
          </w:tcPr>
          <w:p>
            <w:pPr>
              <w:ind w:left="20"/>
              <w:spacing w:after="0" w:line="213" w:lineRule="exact"/>
              <w:rPr>
                <w:sz w:val="20"/>
                <w:szCs w:val="20"/>
                <w:color w:val="auto"/>
              </w:rPr>
            </w:pPr>
            <w:r>
              <w:rPr>
                <w:rFonts w:ascii="Arial" w:cs="Arial" w:eastAsia="Arial" w:hAnsi="Arial"/>
                <w:sz w:val="16"/>
                <w:szCs w:val="16"/>
                <w:color w:val="auto"/>
              </w:rPr>
              <w:t>SPV I</w:t>
            </w:r>
            <w:r>
              <w:rPr>
                <w:rFonts w:ascii="Arial" w:cs="Arial" w:eastAsia="Arial" w:hAnsi="Arial"/>
                <w:sz w:val="21"/>
                <w:szCs w:val="21"/>
                <w:color w:val="auto"/>
                <w:vertAlign w:val="superscript"/>
              </w:rPr>
              <w:t>(2)</w:t>
            </w:r>
          </w:p>
        </w:tc>
        <w:tc>
          <w:tcPr>
            <w:tcW w:w="1060" w:type="dxa"/>
            <w:vAlign w:val="bottom"/>
            <w:gridSpan w:val="2"/>
            <w:vMerge w:val="continue"/>
          </w:tcPr>
          <w:p>
            <w:pPr>
              <w:spacing w:after="0"/>
              <w:rPr>
                <w:sz w:val="18"/>
                <w:szCs w:val="18"/>
                <w:color w:val="auto"/>
              </w:rPr>
            </w:pP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color w:val="auto"/>
                <w:w w:val="94"/>
              </w:rPr>
              <w:t>Underlying Collateral</w:t>
            </w:r>
          </w:p>
        </w:tc>
        <w:tc>
          <w:tcPr>
            <w:tcW w:w="102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124,782,594</w:t>
            </w:r>
          </w:p>
        </w:tc>
        <w:tc>
          <w:tcPr>
            <w:tcW w:w="12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111,907,468</w:t>
            </w:r>
          </w:p>
        </w:tc>
        <w:tc>
          <w:tcPr>
            <w:tcW w:w="0" w:type="dxa"/>
            <w:vAlign w:val="bottom"/>
          </w:tcPr>
          <w:p>
            <w:pPr>
              <w:spacing w:after="0"/>
              <w:rPr>
                <w:sz w:val="1"/>
                <w:szCs w:val="1"/>
                <w:color w:val="auto"/>
              </w:rPr>
            </w:pPr>
          </w:p>
        </w:tc>
      </w:tr>
      <w:tr>
        <w:trPr>
          <w:trHeight w:val="21"/>
        </w:trPr>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w:t>
      </w:r>
    </w:p>
    <w:p>
      <w:pPr>
        <w:spacing w:after="0" w:line="2" w:lineRule="exact"/>
        <w:rPr>
          <w:sz w:val="20"/>
          <w:szCs w:val="20"/>
          <w:color w:val="auto"/>
        </w:rPr>
      </w:pPr>
    </w:p>
    <w:p>
      <w:pPr>
        <w:ind w:left="480" w:hanging="472"/>
        <w:spacing w:after="0"/>
        <w:tabs>
          <w:tab w:leader="none" w:pos="4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average net share price is the net share price realized after deducting all commissions and fees on the sales, if applicable.</w:t>
      </w:r>
    </w:p>
    <w:p>
      <w:pPr>
        <w:spacing w:after="0" w:line="1" w:lineRule="exact"/>
        <w:rPr>
          <w:rFonts w:ascii="Arial" w:cs="Arial" w:eastAsia="Arial" w:hAnsi="Arial"/>
          <w:sz w:val="14"/>
          <w:szCs w:val="14"/>
          <w:color w:val="auto"/>
        </w:rPr>
      </w:pPr>
    </w:p>
    <w:p>
      <w:pPr>
        <w:jc w:val="both"/>
        <w:ind w:left="500" w:hanging="492"/>
        <w:spacing w:after="0" w:line="246" w:lineRule="auto"/>
        <w:tabs>
          <w:tab w:leader="none" w:pos="492"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Palantir Lending Trust SPV I promissory note was initially collateralized with 2,260,000 Class A common shares of Palantir Technologies, Inc. to which SuRo Capital Corp. retains a beneficial equity upside interest. As of March 11, 2021, 812,290 Class A common shares remain in Palantir Lending Trust SPV I, none of which are subject to lock-up restrictions. The realized gain from SuRo Capital Corp.'s investment in Palantir Lending Trust SPV I is generated by the proceeds from the sale of a portion of the shares collateralizing the promissory note to Palantir Lending Trust SPV I and attributable to the Equity Participation in Underlying Collateral.</w:t>
      </w:r>
    </w:p>
    <w:p>
      <w:pPr>
        <w:spacing w:after="0" w:line="200" w:lineRule="exact"/>
        <w:rPr>
          <w:sz w:val="20"/>
          <w:szCs w:val="20"/>
          <w:color w:val="auto"/>
        </w:rPr>
      </w:pPr>
    </w:p>
    <w:p>
      <w:pPr>
        <w:spacing w:after="0" w:line="26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From January 1, 2021 through March 11, 2021, the Company funded investments in an aggregate amount of $7,999,978 (not including capitalized transaction costs) as shown in the following table:</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gridSpan w:val="2"/>
          </w:tcPr>
          <w:p>
            <w:pPr>
              <w:ind w:left="20"/>
              <w:spacing w:after="0"/>
              <w:rPr>
                <w:sz w:val="20"/>
                <w:szCs w:val="20"/>
                <w:color w:val="auto"/>
              </w:rPr>
            </w:pPr>
            <w:r>
              <w:rPr>
                <w:rFonts w:ascii="Arial" w:cs="Arial" w:eastAsia="Arial" w:hAnsi="Arial"/>
                <w:sz w:val="16"/>
                <w:szCs w:val="16"/>
                <w:b w:val="1"/>
                <w:bCs w:val="1"/>
                <w:color w:val="auto"/>
              </w:rPr>
              <w:t>Portfolio Company</w:t>
            </w:r>
          </w:p>
        </w:tc>
        <w:tc>
          <w:tcPr>
            <w:tcW w:w="3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Investment</w:t>
            </w: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Transaction Date</w:t>
            </w:r>
          </w:p>
        </w:tc>
        <w:tc>
          <w:tcPr>
            <w:tcW w:w="260" w:type="dxa"/>
            <w:vAlign w:val="bottom"/>
          </w:tcPr>
          <w:p>
            <w:pPr>
              <w:spacing w:after="0"/>
              <w:rPr>
                <w:sz w:val="18"/>
                <w:szCs w:val="18"/>
                <w:color w:val="auto"/>
              </w:rPr>
            </w:pPr>
          </w:p>
        </w:tc>
        <w:tc>
          <w:tcPr>
            <w:tcW w:w="1700" w:type="dxa"/>
            <w:vAlign w:val="bottom"/>
          </w:tcPr>
          <w:p>
            <w:pPr>
              <w:jc w:val="right"/>
              <w:ind w:right="331"/>
              <w:spacing w:after="0"/>
              <w:rPr>
                <w:sz w:val="20"/>
                <w:szCs w:val="20"/>
                <w:color w:val="auto"/>
              </w:rPr>
            </w:pPr>
            <w:r>
              <w:rPr>
                <w:rFonts w:ascii="Arial" w:cs="Arial" w:eastAsia="Arial" w:hAnsi="Arial"/>
                <w:sz w:val="16"/>
                <w:szCs w:val="16"/>
                <w:b w:val="1"/>
                <w:bCs w:val="1"/>
                <w:color w:val="auto"/>
                <w:w w:val="99"/>
              </w:rPr>
              <w:t>Gross Payments</w:t>
            </w:r>
          </w:p>
        </w:tc>
      </w:tr>
      <w:tr>
        <w:trPr>
          <w:trHeight w:val="226"/>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GreenAcreage Real Estate Corp.</w:t>
            </w:r>
          </w:p>
        </w:tc>
        <w:tc>
          <w:tcPr>
            <w:tcW w:w="12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Common Shares</w:t>
            </w:r>
          </w:p>
        </w:tc>
        <w:tc>
          <w:tcPr>
            <w:tcW w:w="1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2/12/2021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499,986</w:t>
            </w:r>
          </w:p>
        </w:tc>
      </w:tr>
      <w:tr>
        <w:trPr>
          <w:trHeight w:val="230"/>
        </w:trPr>
        <w:tc>
          <w:tcPr>
            <w:tcW w:w="37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Churchill Sponsor VI LLC</w:t>
            </w:r>
            <w:r>
              <w:rPr>
                <w:rFonts w:ascii="Arial" w:cs="Arial" w:eastAsia="Arial" w:hAnsi="Arial"/>
                <w:sz w:val="23"/>
                <w:szCs w:val="23"/>
                <w:color w:val="auto"/>
                <w:vertAlign w:val="superscript"/>
              </w:rPr>
              <w:t>(1)</w:t>
            </w:r>
          </w:p>
        </w:tc>
        <w:tc>
          <w:tcPr>
            <w:tcW w:w="35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Common Shares &amp; Warrants</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2/25/2021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200,000</w:t>
            </w:r>
          </w:p>
        </w:tc>
      </w:tr>
      <w:tr>
        <w:trPr>
          <w:trHeight w:val="230"/>
        </w:trPr>
        <w:tc>
          <w:tcPr>
            <w:tcW w:w="37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Churchill Sponsor VII LLC</w:t>
            </w:r>
            <w:r>
              <w:rPr>
                <w:rFonts w:ascii="Arial" w:cs="Arial" w:eastAsia="Arial" w:hAnsi="Arial"/>
                <w:sz w:val="23"/>
                <w:szCs w:val="23"/>
                <w:color w:val="auto"/>
                <w:vertAlign w:val="superscript"/>
              </w:rPr>
              <w:t>(2)</w:t>
            </w:r>
          </w:p>
        </w:tc>
        <w:tc>
          <w:tcPr>
            <w:tcW w:w="3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Common Shares &amp; Warrants</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2/25/2021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r>
      <w:tr>
        <w:trPr>
          <w:trHeight w:val="229"/>
        </w:trPr>
        <w:tc>
          <w:tcPr>
            <w:tcW w:w="37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Shogun Enterprises, Inc.</w:t>
            </w:r>
            <w:r>
              <w:rPr>
                <w:rFonts w:ascii="Arial" w:cs="Arial" w:eastAsia="Arial" w:hAnsi="Arial"/>
                <w:sz w:val="23"/>
                <w:szCs w:val="23"/>
                <w:color w:val="auto"/>
                <w:vertAlign w:val="superscript"/>
              </w:rPr>
              <w:t>(3)</w:t>
            </w:r>
          </w:p>
        </w:tc>
        <w:tc>
          <w:tcPr>
            <w:tcW w:w="358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Preferred Shares, Series B-1</w:t>
            </w: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2/26/2021</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3,499,994</w:t>
            </w:r>
          </w:p>
        </w:tc>
      </w:tr>
      <w:tr>
        <w:trPr>
          <w:trHeight w:val="230"/>
        </w:trPr>
        <w:tc>
          <w:tcPr>
            <w:tcW w:w="37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Shogun Enterprises, Inc.</w:t>
            </w:r>
            <w:r>
              <w:rPr>
                <w:rFonts w:ascii="Arial" w:cs="Arial" w:eastAsia="Arial" w:hAnsi="Arial"/>
                <w:sz w:val="23"/>
                <w:szCs w:val="23"/>
                <w:color w:val="auto"/>
                <w:vertAlign w:val="superscript"/>
              </w:rPr>
              <w:t>(3)</w:t>
            </w:r>
          </w:p>
        </w:tc>
        <w:tc>
          <w:tcPr>
            <w:tcW w:w="35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Preferred Shares, Series B-2</w:t>
            </w: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2/26/2021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3,499,998</w:t>
            </w:r>
          </w:p>
        </w:tc>
      </w:tr>
      <w:tr>
        <w:trPr>
          <w:trHeight w:val="223"/>
        </w:trPr>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7,999,978</w:t>
            </w:r>
          </w:p>
        </w:tc>
      </w:tr>
      <w:tr>
        <w:trPr>
          <w:trHeight w:val="21"/>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__________________</w:t>
      </w:r>
    </w:p>
    <w:p>
      <w:pPr>
        <w:spacing w:after="0" w:line="2" w:lineRule="exact"/>
        <w:rPr>
          <w:sz w:val="20"/>
          <w:szCs w:val="20"/>
          <w:color w:val="auto"/>
        </w:rPr>
      </w:pPr>
    </w:p>
    <w:p>
      <w:pPr>
        <w:jc w:val="both"/>
        <w:ind w:left="500" w:hanging="492"/>
        <w:spacing w:after="0" w:line="241" w:lineRule="auto"/>
        <w:tabs>
          <w:tab w:leader="none" w:pos="49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Churchill Sponsor VI LLC is the sponsor of Churchill Capital Corp VI, a blank check company formed for the purpose of effecting a merger, capital stock exchange, asset acquisition, stock purchase, reorganization or similar business combination with one or more businesses. Our investment in Churchill Sponsor VI LLC constitutes a “remote-affiliate” transaction for purposes of the 1940 Act in light of the fact that Mark Klein, our Chairman, CEO and President, has a non-controlling interest in the entity that controls Churchill Sponsor VI LLC, and is a non-controlling board member of Churchill Capital Corp VI.</w:t>
      </w:r>
    </w:p>
    <w:p>
      <w:pPr>
        <w:spacing w:after="0" w:line="1" w:lineRule="exact"/>
        <w:rPr>
          <w:rFonts w:ascii="Arial" w:cs="Arial" w:eastAsia="Arial" w:hAnsi="Arial"/>
          <w:sz w:val="14"/>
          <w:szCs w:val="14"/>
          <w:color w:val="auto"/>
        </w:rPr>
      </w:pPr>
    </w:p>
    <w:p>
      <w:pPr>
        <w:ind w:left="500" w:right="40" w:hanging="492"/>
        <w:spacing w:after="0" w:line="241" w:lineRule="auto"/>
        <w:tabs>
          <w:tab w:leader="none" w:pos="49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Churchill Sponsor VII LLC is the sponsor of Churchill Capital Corp VII, a blank check company formed for the purpose of effecting a merger, capital stock exchange, asset acquisition, stock purchase, reorganization or similar business combination with one or more businesses. Our investment in Churchill Sponsor VII LLC constitutes a “remote-affiliate” transaction for purposes of the 1940 Act in light of the fact that Mark Klein, our Chairman, CEO and President, has a non-controlling interest in the entity that controls Churchill Sponsor VII LLC, and is a non-controlling board member of Churchill Capital Corp VII.</w:t>
      </w:r>
    </w:p>
    <w:p>
      <w:pPr>
        <w:spacing w:after="0" w:line="1" w:lineRule="exact"/>
        <w:rPr>
          <w:rFonts w:ascii="Arial" w:cs="Arial" w:eastAsia="Arial" w:hAnsi="Arial"/>
          <w:sz w:val="14"/>
          <w:szCs w:val="14"/>
          <w:color w:val="auto"/>
        </w:rPr>
      </w:pPr>
    </w:p>
    <w:p>
      <w:pPr>
        <w:ind w:left="500" w:hanging="492"/>
        <w:spacing w:after="0" w:line="255" w:lineRule="auto"/>
        <w:tabs>
          <w:tab w:leader="none" w:pos="492" w:val="left"/>
        </w:tabs>
        <w:numPr>
          <w:ilvl w:val="0"/>
          <w:numId w:val="82"/>
        </w:numPr>
        <w:rPr>
          <w:rFonts w:ascii="Arial" w:cs="Arial" w:eastAsia="Arial" w:hAnsi="Arial"/>
          <w:sz w:val="14"/>
          <w:szCs w:val="14"/>
          <w:color w:val="auto"/>
        </w:rPr>
      </w:pPr>
      <w:r>
        <w:rPr>
          <w:rFonts w:ascii="Arial" w:cs="Arial" w:eastAsia="Arial" w:hAnsi="Arial"/>
          <w:sz w:val="14"/>
          <w:szCs w:val="14"/>
          <w:color w:val="auto"/>
        </w:rPr>
        <w:t>Keri Findley, a senior managing director of the Company, is a non-controlling member of the board of directors of Shogun Enterprises, Inc. and holds a minority equity interest in such company.</w:t>
      </w:r>
    </w:p>
    <w:p>
      <w:pPr>
        <w:spacing w:after="0" w:line="217" w:lineRule="exact"/>
        <w:rPr>
          <w:sz w:val="20"/>
          <w:szCs w:val="20"/>
          <w:color w:val="auto"/>
        </w:rPr>
      </w:pPr>
    </w:p>
    <w:p>
      <w:pPr>
        <w:jc w:val="both"/>
        <w:ind w:firstLine="364"/>
        <w:spacing w:after="0" w:line="275" w:lineRule="auto"/>
        <w:rPr>
          <w:sz w:val="20"/>
          <w:szCs w:val="20"/>
          <w:color w:val="auto"/>
        </w:rPr>
      </w:pPr>
      <w:r>
        <w:rPr>
          <w:rFonts w:ascii="Arial" w:cs="Arial" w:eastAsia="Arial" w:hAnsi="Arial"/>
          <w:sz w:val="17"/>
          <w:szCs w:val="17"/>
          <w:color w:val="auto"/>
        </w:rPr>
        <w:t>The Company is frequently in negotiations with various private companies with respect to investments in such companies. Investments in private companies are generally subject to satisfaction of applicable closing conditions. In the case of secondary market transactions, such closing conditions may include approval of the issuer, waiver or failure to exercise rights of first refusal by the issuer and/or its stockholders and termination rights by the seller or the Company. Equity investments made through the secondary market may involve making deposits in escrow accounts until the applicable closing conditions are satisfied, at which time the escrow accounts will close and such equity investments will be effectuated.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26, 2021, the Company’s Board of Directors declared a dividend of $0.25 per share paid, in cash, on February 19, 2021 to stockholders of record as of the close of business on February 5, 2021.</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March 8, 2021, the Company's Board of Directors declared a dividend of $0.25 per share payable on April 15, 2021 to stockholders of record as of the close of business on March 30, 2021. The dividend will be paid in 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of 4.75% Convertible Senior Notes due 2023</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6"/>
          <w:szCs w:val="16"/>
          <w:color w:val="auto"/>
        </w:rPr>
        <w:t>Effective as of February 5, 2021, the conversion price applicable to the 4.75% Convertible Senior Notes due 2023 was adjusted to $9.25 per share (108.0505 shares of the Company’s common stock per $1,000 principal amount of the 4.75% Convertible Senior Notes due 2023) from the most recent conversion price of $9.42 per share (106.1681 shares of the Company’s common stock per $1,000 principal amount of the 4.75% Convertible Senior Notes due 2023), which had been in effect since December 30, 2020. The adjustment to the conversion rate of the 4.75% Convertible Senior Notes due 2023 was made pursuant to the supplemental indenture governing the 4.75% Convertible Senior Notes due 2023 as a result of the Company’s cash dividend of $0.25 per share, paid on February 19, 2021 to stockholders of record as of the close of business on February 5,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4.75% Convertible Senior Notes due 2023</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On February 19, 2021, the Company caused notices of redemption to be issued to the holders of its 4.75% Convertible Senior Notes due 2023 regarding the Company’s exercise of its option to redeem, in whole, the issued and outstanding 4.75% Convertible Senior Notes due 2023, pursuant to the Indenture, dated as of March 28, 2018, between the Company and U.S. Bank National Association, as trustee, and the First Supplemental Indenture, dated as of March 28, 2018, between the Company and U.S. Bank National Association, as trustee. The Company will redeem $38,215,000 in aggregate principal amount of the issued and outstanding 4.75% Convertible Senior Notes due 2023 on March 29, 2021 (the “Redemption Date”). The 4.75% Convertible Senior Notes due 2023 will be redeemed at 100% of their principal amount ($1,000 per note), plus the accrued and unpaid interest thereon from September 30, 2020, through, but excluding, the Redemption Date.</w:t>
      </w:r>
    </w:p>
    <w:p>
      <w:pPr>
        <w:spacing w:after="0" w:line="20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7"/>
          <w:szCs w:val="17"/>
          <w:color w:val="auto"/>
        </w:rPr>
        <w:t>Holders of the 4.75% Convertible Senior Notes due 2023 may surrender such notes for conversion into shares of the Company’s common stock in lieu of receiving cash at any time prior to the close of business on the business day immediately preceding the Redemption Date.</w:t>
      </w:r>
    </w:p>
    <w:p>
      <w:pPr>
        <w:spacing w:after="0" w:line="174"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A copy of the notice of redemption was included as an exhibit to the Company’s Current Report on Form 8-K filed with the SEC on February 19, 2021. Please refer to that Current Report on Form 8-K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w:t>
      </w:r>
    </w:p>
    <w:p>
      <w:pPr>
        <w:spacing w:after="0" w:line="2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Company has been closely monitoring the COVID-19 pandemic, its broader impact on the global economy and the more recent impacts on the U.S. economy. Subsequent to December 31, 2020, the global outbreak of the COVID-19 pandemic, and the related effect on the U.S. and global economies, may have adverse consequences for the business operations of some of the Company’s portfolio companies and, as a result, may have adverse effects on the Company’s operations. The ultimate economic fallout from the pandemic, and the long-term impact on economies, markets, industries and individual issuers, remain uncertain. The operational and financial performance of the issuers of securities in which the Company invests depends on future developments, including the duration and spread of the outbreak, and such uncertainty may in turn adversely affect the value and liquidity of the Company’s investments and negatively impact the Company’s performance.</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of March 11, 2021, there is no indication of a reportable subsequent event impacting the Company’s financial statements for the year ended December 31, 2020. The Company continues to observe and respond to the evolving COVID-19 environment and its potential impact on areas across its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13—SELECTED QUARTERLY FINANCIAL DATA</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922,743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408,107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241,514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251,763</w:t>
            </w:r>
          </w:p>
        </w:tc>
        <w:tc>
          <w:tcPr>
            <w:tcW w:w="0" w:type="dxa"/>
            <w:vAlign w:val="bottom"/>
          </w:tcPr>
          <w:p>
            <w:pPr>
              <w:spacing w:after="0"/>
              <w:rPr>
                <w:sz w:val="1"/>
                <w:szCs w:val="1"/>
                <w:color w:val="auto"/>
              </w:rPr>
            </w:pPr>
          </w:p>
        </w:tc>
      </w:tr>
      <w:tr>
        <w:trPr>
          <w:trHeight w:val="213"/>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5,177,327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2,995,998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4,908,902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3,256,316</w:t>
            </w: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Gain/(Loss)</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(4,254,584)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(2,587,891)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(4,667,388)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(3,004,553)</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Realized Gain/(Loss) on Investments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7,108,580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2,378,390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6,978,240</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58,424,928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16,129,442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26,522,195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(27,665,934)</w:t>
            </w: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Net Increase/(Decrease) in Net Assets Resulting from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61,278,924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15,919,941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21,830,820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(23,692,247)</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Net Increase/(Decrease) in Net Assets from Operations per Common Share:</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Outstanding–Basic</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19,999,989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17,795,538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16,383,188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17,440,994</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Outstanding–Diluted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23,884,529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21,598,403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20,300,980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17,440,994</w:t>
            </w:r>
          </w:p>
        </w:tc>
        <w:tc>
          <w:tcPr>
            <w:tcW w:w="0" w:type="dxa"/>
            <w:vAlign w:val="bottom"/>
          </w:tcPr>
          <w:p>
            <w:pPr>
              <w:spacing w:after="0"/>
              <w:rPr>
                <w:sz w:val="1"/>
                <w:szCs w:val="1"/>
                <w:color w:val="auto"/>
              </w:rPr>
            </w:pPr>
          </w:p>
        </w:tc>
      </w:tr>
      <w:tr>
        <w:trPr>
          <w:trHeight w:val="534"/>
        </w:trPr>
        <w:tc>
          <w:tcPr>
            <w:tcW w:w="5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2019</w:t>
            </w:r>
          </w:p>
        </w:tc>
        <w:tc>
          <w:tcPr>
            <w:tcW w:w="16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March 31, 2019</w:t>
            </w:r>
          </w:p>
        </w:tc>
        <w:tc>
          <w:tcPr>
            <w:tcW w:w="0" w:type="dxa"/>
            <w:vAlign w:val="bottom"/>
          </w:tcPr>
          <w:p>
            <w:pPr>
              <w:spacing w:after="0"/>
              <w:rPr>
                <w:sz w:val="1"/>
                <w:szCs w:val="1"/>
                <w:color w:val="auto"/>
              </w:rPr>
            </w:pP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400,296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380,226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487,952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227,250</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2,963,631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5,082,430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3,293,183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(392,452)</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Investment Gain/(Loss)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(2,563,335)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(4,702,204)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(2,805,231)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619,702</w:t>
            </w:r>
          </w:p>
        </w:tc>
        <w:tc>
          <w:tcPr>
            <w:tcW w:w="0" w:type="dxa"/>
            <w:vAlign w:val="bottom"/>
          </w:tcPr>
          <w:p>
            <w:pPr>
              <w:spacing w:after="0"/>
              <w:rPr>
                <w:sz w:val="1"/>
                <w:szCs w:val="1"/>
                <w:color w:val="auto"/>
              </w:rPr>
            </w:pP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Realized Gain/(Loss) on Investments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7,881,839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1,772,961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13,590,233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(4,065,693)</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(3,110,267)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8,190,695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(12,440,320)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20,699,751</w:t>
            </w:r>
          </w:p>
        </w:tc>
        <w:tc>
          <w:tcPr>
            <w:tcW w:w="0" w:type="dxa"/>
            <w:vAlign w:val="bottom"/>
          </w:tcPr>
          <w:p>
            <w:pPr>
              <w:spacing w:after="0"/>
              <w:rPr>
                <w:sz w:val="1"/>
                <w:szCs w:val="1"/>
                <w:color w:val="auto"/>
              </w:rPr>
            </w:pPr>
          </w:p>
        </w:tc>
      </w:tr>
      <w:tr>
        <w:trPr>
          <w:trHeight w:val="166"/>
        </w:trPr>
        <w:tc>
          <w:tcPr>
            <w:tcW w:w="5160" w:type="dxa"/>
            <w:vAlign w:val="bottom"/>
          </w:tcPr>
          <w:p>
            <w:pPr>
              <w:ind w:left="20"/>
              <w:spacing w:after="0" w:line="166" w:lineRule="exact"/>
              <w:rPr>
                <w:sz w:val="20"/>
                <w:szCs w:val="20"/>
                <w:color w:val="auto"/>
              </w:rPr>
            </w:pPr>
            <w:r>
              <w:rPr>
                <w:rFonts w:ascii="Arial" w:cs="Arial" w:eastAsia="Arial" w:hAnsi="Arial"/>
                <w:sz w:val="16"/>
                <w:szCs w:val="16"/>
                <w:color w:val="auto"/>
                <w:w w:val="94"/>
              </w:rPr>
              <w:t>Benefit from/(Provision for) Taxes on Unrealized Depreciation/(Appreciation)</w:t>
            </w:r>
          </w:p>
        </w:tc>
        <w:tc>
          <w:tcPr>
            <w:tcW w:w="100" w:type="dxa"/>
            <w:vAlign w:val="bottom"/>
          </w:tcPr>
          <w:p>
            <w:pPr>
              <w:spacing w:after="0"/>
              <w:rPr>
                <w:sz w:val="14"/>
                <w:szCs w:val="14"/>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979,713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(94,147)</w:t>
            </w:r>
          </w:p>
        </w:tc>
        <w:tc>
          <w:tcPr>
            <w:tcW w:w="0" w:type="dxa"/>
            <w:vAlign w:val="bottom"/>
          </w:tcPr>
          <w:p>
            <w:pPr>
              <w:spacing w:after="0"/>
              <w:rPr>
                <w:sz w:val="1"/>
                <w:szCs w:val="1"/>
                <w:color w:val="auto"/>
              </w:rPr>
            </w:pPr>
          </w:p>
        </w:tc>
      </w:tr>
      <w:tr>
        <w:trPr>
          <w:trHeight w:val="209"/>
        </w:trPr>
        <w:tc>
          <w:tcPr>
            <w:tcW w:w="5160" w:type="dxa"/>
            <w:vAlign w:val="bottom"/>
          </w:tcPr>
          <w:p>
            <w:pPr>
              <w:ind w:left="20"/>
              <w:spacing w:after="0"/>
              <w:rPr>
                <w:sz w:val="20"/>
                <w:szCs w:val="20"/>
                <w:color w:val="auto"/>
              </w:rPr>
            </w:pPr>
            <w:r>
              <w:rPr>
                <w:rFonts w:ascii="Arial" w:cs="Arial" w:eastAsia="Arial" w:hAnsi="Arial"/>
                <w:sz w:val="16"/>
                <w:szCs w:val="16"/>
                <w:color w:val="auto"/>
              </w:rPr>
              <w:t>of Investments</w:t>
            </w:r>
          </w:p>
        </w:tc>
        <w:tc>
          <w:tcPr>
            <w:tcW w:w="1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Increase/(Decrease) in Net Assets Resulting from Operations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2,208,237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5,261,452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(675,605)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17,159,613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w w:val="94"/>
              </w:rPr>
              <w:t>Net Increase/(Decrease) in Net Assets from Operations per Common Share:</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1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0" w:type="dxa"/>
            <w:vAlign w:val="bottom"/>
          </w:tcPr>
          <w:p>
            <w:pPr>
              <w:spacing w:after="0"/>
              <w:rPr>
                <w:sz w:val="1"/>
                <w:szCs w:val="1"/>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0.75</w:t>
            </w:r>
          </w:p>
        </w:tc>
        <w:tc>
          <w:tcPr>
            <w:tcW w:w="0" w:type="dxa"/>
            <w:vAlign w:val="bottom"/>
          </w:tcPr>
          <w:p>
            <w:pPr>
              <w:spacing w:after="0"/>
              <w:rPr>
                <w:sz w:val="1"/>
                <w:szCs w:val="1"/>
                <w:color w:val="auto"/>
              </w:rPr>
            </w:pP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Outstanding–Basic</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18,372,212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19,472,785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19,719,706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19,762,647</w:t>
            </w:r>
          </w:p>
        </w:tc>
        <w:tc>
          <w:tcPr>
            <w:tcW w:w="0" w:type="dxa"/>
            <w:vAlign w:val="bottom"/>
          </w:tcPr>
          <w:p>
            <w:pPr>
              <w:spacing w:after="0"/>
              <w:rPr>
                <w:sz w:val="1"/>
                <w:szCs w:val="1"/>
                <w:color w:val="auto"/>
              </w:rPr>
            </w:pPr>
          </w:p>
        </w:tc>
      </w:tr>
      <w:tr>
        <w:trPr>
          <w:trHeight w:val="210"/>
        </w:trPr>
        <w:tc>
          <w:tcPr>
            <w:tcW w:w="51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Outstanding–Diluted</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18,372,212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23,204,129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19,719,706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23,493,991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-3792855</wp:posOffset>
            </wp:positionV>
            <wp:extent cx="326580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65805"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-1083945</wp:posOffset>
            </wp:positionV>
            <wp:extent cx="3274695" cy="2489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74695" cy="24892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-1778635</wp:posOffset>
            </wp:positionV>
            <wp:extent cx="327469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320" w:top="121" w:right="359" w:bottom="1440" w:gutter="0" w:footer="0" w:header="0"/>
        </w:sectPr>
      </w:pPr>
    </w:p>
    <w:bookmarkStart w:id="136" w:name="page137"/>
    <w:bookmarkEnd w:id="1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Quarter Ended</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87"/>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31, 2018</w:t>
            </w:r>
          </w:p>
        </w:tc>
        <w:tc>
          <w:tcPr>
            <w:tcW w:w="10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2018</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2018</w:t>
            </w:r>
          </w:p>
        </w:tc>
        <w:tc>
          <w:tcPr>
            <w:tcW w:w="16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4"/>
                <w:szCs w:val="14"/>
                <w:b w:val="1"/>
                <w:bCs w:val="1"/>
                <w:color w:val="auto"/>
              </w:rPr>
              <w:t>March 31, 2018</w:t>
            </w:r>
          </w:p>
        </w:tc>
      </w:tr>
      <w:tr>
        <w:trPr>
          <w:trHeight w:val="211"/>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530,076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246,352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592,073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249,335</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(1,152,869)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4,556,625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6,344,272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5,396,806</w:t>
            </w:r>
          </w:p>
        </w:tc>
      </w:tr>
      <w:tr>
        <w:trPr>
          <w:trHeight w:val="219"/>
        </w:trPr>
        <w:tc>
          <w:tcPr>
            <w:tcW w:w="5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Management Fee Waiver</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(335,403)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(154,944)</w:t>
            </w:r>
          </w:p>
        </w:tc>
      </w:tr>
      <w:tr>
        <w:trPr>
          <w:trHeight w:val="207"/>
        </w:trPr>
        <w:tc>
          <w:tcPr>
            <w:tcW w:w="5160" w:type="dxa"/>
            <w:vAlign w:val="bottom"/>
          </w:tcPr>
          <w:p>
            <w:pPr>
              <w:ind w:left="140"/>
              <w:spacing w:after="0"/>
              <w:rPr>
                <w:sz w:val="20"/>
                <w:szCs w:val="20"/>
                <w:color w:val="auto"/>
              </w:rPr>
            </w:pPr>
            <w:r>
              <w:rPr>
                <w:rFonts w:ascii="Arial" w:cs="Arial" w:eastAsia="Arial" w:hAnsi="Arial"/>
                <w:sz w:val="16"/>
                <w:szCs w:val="16"/>
                <w:color w:val="auto"/>
              </w:rPr>
              <w:t>Incentive Fee Waiver</w:t>
            </w:r>
          </w:p>
        </w:tc>
        <w:tc>
          <w:tcPr>
            <w:tcW w:w="100" w:type="dxa"/>
            <w:vAlign w:val="bottom"/>
          </w:tcPr>
          <w:p>
            <w:pPr>
              <w:spacing w:after="0"/>
              <w:rPr>
                <w:sz w:val="17"/>
                <w:szCs w:val="17"/>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(5,000,000)</w:t>
            </w:r>
          </w:p>
        </w:tc>
      </w:tr>
      <w:tr>
        <w:trPr>
          <w:trHeight w:val="212"/>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Investment Gain/(Loss)</w:t>
            </w:r>
          </w:p>
        </w:tc>
        <w:tc>
          <w:tcPr>
            <w:tcW w:w="1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1,682,945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(3,908,199)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(5,416,796)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7,473</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Realized Gain/(Loss) on Investments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99,544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(10,119,771)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3,363,333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(776,725)</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Extinguishment of Debt</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(397,846)</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Change in Unrealized Appreciation/(Depreciation) of Investments</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(22,507,314)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14,142,375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9,872,595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8,133,394</w:t>
            </w:r>
          </w:p>
        </w:tc>
      </w:tr>
      <w:tr>
        <w:trPr>
          <w:trHeight w:val="216"/>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from Taxes on Unrealized Depreciation of Investments</w:t>
            </w: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5,491,460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214,404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1,010,871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Net Increase/(Decrease) in Net Assets Resulting from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(15,233,365)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328,809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8,830,003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6,966,296</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w w:val="94"/>
              </w:rPr>
              <w:t>Net Increase/(Decrease) in Net Assets from Operations per Common Share:</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13"/>
        </w:trPr>
        <w:tc>
          <w:tcPr>
            <w:tcW w:w="5160" w:type="dxa"/>
            <w:vAlign w:val="bottom"/>
          </w:tcPr>
          <w:p>
            <w:pPr>
              <w:ind w:left="140"/>
              <w:spacing w:after="0"/>
              <w:rPr>
                <w:sz w:val="20"/>
                <w:szCs w:val="20"/>
                <w:color w:val="auto"/>
              </w:rPr>
            </w:pPr>
            <w:r>
              <w:rPr>
                <w:rFonts w:ascii="Arial" w:cs="Arial" w:eastAsia="Arial" w:hAnsi="Arial"/>
                <w:sz w:val="16"/>
                <w:szCs w:val="16"/>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(0.77)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0.33</w:t>
            </w:r>
          </w:p>
        </w:tc>
      </w:tr>
      <w:tr>
        <w:trPr>
          <w:trHeight w:val="219"/>
        </w:trPr>
        <w:tc>
          <w:tcPr>
            <w:tcW w:w="51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0.30</w:t>
            </w:r>
          </w:p>
        </w:tc>
      </w:tr>
      <w:tr>
        <w:trPr>
          <w:trHeight w:val="213"/>
        </w:trPr>
        <w:tc>
          <w:tcPr>
            <w:tcW w:w="516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Outstanding–Basic</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19,904,807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20,462,626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20,968,850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21,150,662</w:t>
            </w:r>
          </w:p>
        </w:tc>
      </w:tr>
      <w:tr>
        <w:trPr>
          <w:trHeight w:val="21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Outstanding–Diluted</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19,904,807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20,462,626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28,866,674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26,713,656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-2108200</wp:posOffset>
            </wp:positionV>
            <wp:extent cx="326580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SURO CAPITAL CORP.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14—SUPPLEMENTAL FINANCIAL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Financial Information of Unconsolidated Subsidiaries</w:t>
      </w:r>
    </w:p>
    <w:p>
      <w:pPr>
        <w:spacing w:after="0" w:line="256" w:lineRule="exact"/>
        <w:rPr>
          <w:sz w:val="20"/>
          <w:szCs w:val="20"/>
          <w:color w:val="auto"/>
        </w:rPr>
      </w:pPr>
    </w:p>
    <w:p>
      <w:pPr>
        <w:jc w:val="both"/>
        <w:ind w:firstLine="364"/>
        <w:spacing w:after="0" w:line="257" w:lineRule="auto"/>
        <w:rPr>
          <w:sz w:val="20"/>
          <w:szCs w:val="20"/>
          <w:color w:val="auto"/>
        </w:rPr>
      </w:pPr>
      <w:r>
        <w:rPr>
          <w:rFonts w:ascii="Arial" w:cs="Arial" w:eastAsia="Arial" w:hAnsi="Arial"/>
          <w:sz w:val="18"/>
          <w:szCs w:val="18"/>
          <w:color w:val="auto"/>
        </w:rPr>
        <w:t>In accordance with the SEC’s Regulation S-X and GAAP, the Company is not permitted to consolidate any subsidiary or other entity that is not an investment company, including those in which the Company has a controlling interest; however, the Company must disclose certain financial information related to any subsidiaries or other entities that are considered to be “significant subsidiaries” under the applicable rules of Regulation S-X. As of December 31, 2020, the Company had investments in at least one portfolio company considered to be a significant subsidiary under SEC Regulation S-X Rule 10-01(b)(1) and Regulation S-X Rule 4-08(g).</w:t>
      </w:r>
    </w:p>
    <w:p>
      <w:pPr>
        <w:spacing w:after="0" w:line="21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May 2020, the SEC adopted rule amendments that will impact the requirement of investment companies, including BDCs, to disclose the financial statements of certain of their portfolio companies or acquired funds (the “Final Rules”). The Final Rules adopted a new definition of “significant subsidiary” set forth in Rule 1-02(w)(2) of Regulation S-X under the Securities Act. Rules 3-09 and 4-08(g) of Regulation S-X require investment companies to include separate financial statements or summary financial information, respectively, in such investment company’s periodic reports for any portfolio company that meets the definition of “significant subsidiary.” The Final Rules amend the definition of “significant subsidiary” in a manner that is intended to more accurately capture those portfolio companies that are more likely to materially impact the financial condition of an investment company. The Final Rules will be effective on January 1, 2021, but voluntary compliance is permitted in advance of the effective date. The Company has elected to comply in advance of the effective date for the year ended December 31, 2020. The adoption of this rule has an impact on the consolidated financial statements in that far fewer subsidiaries require disclosure under the Final Rules as compared to the previous rules.</w:t>
      </w:r>
    </w:p>
    <w:p>
      <w:pPr>
        <w:spacing w:after="0" w:line="208"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As a result of the new definition of a “significant subsidiary” set forth in Rule 1-02(w)(2) the Company’s only “subsidiary” as of December 31, 2020, SPBRX, INC. (f/k/a GSV Sustainability Partners, Inc.) does not meet the definition of a “significant subsidiary” set forth in Rule 1-02(w)(2). For comparability purposes the Company has omitted the previously disclosed summarized financial information of the Company’s significant subsidiaries for the year ended December 31, 2019 as the Company’s significant subsidiaries would not have been considered significant subsidiaries under the Final Rules.</w:t>
      </w:r>
    </w:p>
    <w:p>
      <w:pPr>
        <w:sectPr>
          <w:pgSz w:w="11900" w:h="16838" w:orient="portrait"/>
          <w:cols w:equalWidth="0" w:num="1">
            <w:col w:w="11240"/>
          </w:cols>
          <w:pgMar w:left="320" w:top="121" w:right="33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240"/>
          </w:cols>
          <w:pgMar w:left="320" w:top="121" w:right="339" w:bottom="1047" w:gutter="0" w:footer="0" w:header="0"/>
          <w:type w:val="continuous"/>
        </w:sectPr>
      </w:pPr>
    </w:p>
    <w:bookmarkStart w:id="138" w:name="page139"/>
    <w:bookmarkEnd w:id="138"/>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256" w:lineRule="exact"/>
        <w:rPr>
          <w:sz w:val="20"/>
          <w:szCs w:val="20"/>
          <w:color w:val="auto"/>
        </w:rPr>
      </w:pPr>
    </w:p>
    <w:p>
      <w:pPr>
        <w:jc w:val="both"/>
        <w:ind w:firstLine="364"/>
        <w:spacing w:after="0" w:line="270" w:lineRule="auto"/>
        <w:rPr>
          <w:sz w:val="20"/>
          <w:szCs w:val="20"/>
          <w:color w:val="auto"/>
        </w:rPr>
      </w:pPr>
      <w:r>
        <w:rPr>
          <w:rFonts w:ascii="Arial" w:cs="Arial" w:eastAsia="Arial" w:hAnsi="Arial"/>
          <w:sz w:val="17"/>
          <w:szCs w:val="17"/>
          <w:color w:val="auto"/>
        </w:rPr>
        <w:t>As of December 31, 2020, our management, including our Chief Executive Officer and Chief Financial Officer, evaluated the effectiveness of the design and operation of our disclosure controls and procedures (as defined in Rules 13a-15(e) and 15d-15(e) under the Exchange Act). Based on that evaluation,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by the SEC and that such information is accumulated and communicated to our management, including our Chief Executive Officer and Chief Financial Officer, as appropriate, to allow for timely decisions regarding required disclosure. However, in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such possible controls and procedures.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Management’s Report on Internal Control Over Financial Reporting</w:t>
      </w:r>
    </w:p>
    <w:p>
      <w:pPr>
        <w:spacing w:after="0" w:line="256" w:lineRule="exact"/>
        <w:rPr>
          <w:sz w:val="20"/>
          <w:szCs w:val="20"/>
          <w:color w:val="auto"/>
        </w:rPr>
      </w:pPr>
    </w:p>
    <w:p>
      <w:pPr>
        <w:jc w:val="both"/>
        <w:ind w:firstLine="364"/>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of the Exchange Act, and for performing an assessment of the effectiveness of internal control over financial reporting as of December 31, 2020. Internal control over financial reporting is a process designed by, or under the supervision of, our principal executive and principal financial officers, or persons performing similar functions,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consolidated financial statements in accordance with generally accepted accounting principles, and that receipts and expenditures are being made only in accordance with authorizations of our management and directors, as applicable; and (iii) provide reasonable assurance regarding prevention or timely detection of unauthorized acquisition, use, or disposition of our assets that could have a material effect on the consolidated financial statements.</w:t>
      </w:r>
    </w:p>
    <w:p>
      <w:pPr>
        <w:spacing w:after="0" w:line="195" w:lineRule="exact"/>
        <w:rPr>
          <w:sz w:val="20"/>
          <w:szCs w:val="20"/>
          <w:color w:val="auto"/>
        </w:rPr>
      </w:pPr>
    </w:p>
    <w:p>
      <w:pPr>
        <w:jc w:val="both"/>
        <w:ind w:firstLine="364"/>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4" w:lineRule="exact"/>
        <w:rPr>
          <w:sz w:val="20"/>
          <w:szCs w:val="20"/>
          <w:color w:val="auto"/>
        </w:rPr>
      </w:pPr>
    </w:p>
    <w:p>
      <w:pPr>
        <w:jc w:val="both"/>
        <w:ind w:firstLine="364"/>
        <w:spacing w:after="0" w:line="311"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2020 based upon criteria in Internal Control—</w:t>
      </w:r>
      <w:r>
        <w:rPr>
          <w:rFonts w:ascii="Arial" w:cs="Arial" w:eastAsia="Arial" w:hAnsi="Arial"/>
          <w:sz w:val="16"/>
          <w:szCs w:val="16"/>
          <w:i w:val="1"/>
          <w:iCs w:val="1"/>
          <w:color w:val="auto"/>
        </w:rPr>
        <w:t>Integrated Framework (2013)</w:t>
      </w:r>
      <w:r>
        <w:rPr>
          <w:rFonts w:ascii="Arial" w:cs="Arial" w:eastAsia="Arial" w:hAnsi="Arial"/>
          <w:sz w:val="16"/>
          <w:szCs w:val="16"/>
          <w:color w:val="auto"/>
        </w:rPr>
        <w:t xml:space="preserve"> issued by the Committee of Sponsoring Organizations of the Treadway Commission (“COSO”). Based on this assessment, management determined that our internal control over financial reporting was effective as of December 31, 2020.</w:t>
      </w:r>
    </w:p>
    <w:p>
      <w:pPr>
        <w:spacing w:after="0" w:line="17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pursuant to the rules of the Securities and Exchange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that occurred during the fiscal quarter ended December 31, 2020 that have materially affected, or are reasonably likely to materially affect, our internal control over financial reporting.</w:t>
      </w:r>
    </w:p>
    <w:p>
      <w:pPr>
        <w:sectPr>
          <w:pgSz w:w="11900" w:h="16838" w:orient="portrait"/>
          <w:cols w:equalWidth="0" w:num="1">
            <w:col w:w="11240"/>
          </w:cols>
          <w:pgMar w:left="320" w:top="1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240"/>
          </w:cols>
          <w:pgMar w:left="320" w:top="1134" w:right="33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139"/>
          </w:cols>
          <w:pgMar w:left="320" w:top="1134"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56" w:lineRule="exact"/>
        <w:rPr>
          <w:sz w:val="20"/>
          <w:szCs w:val="20"/>
          <w:color w:val="auto"/>
        </w:rPr>
      </w:pPr>
    </w:p>
    <w:p>
      <w:pPr>
        <w:jc w:val="both"/>
        <w:ind w:firstLine="364"/>
        <w:spacing w:after="0" w:line="263" w:lineRule="auto"/>
        <w:rPr>
          <w:sz w:val="20"/>
          <w:szCs w:val="20"/>
          <w:color w:val="auto"/>
        </w:rPr>
      </w:pPr>
      <w:r>
        <w:rPr>
          <w:rFonts w:ascii="Arial" w:cs="Arial" w:eastAsia="Arial" w:hAnsi="Arial"/>
          <w:sz w:val="18"/>
          <w:szCs w:val="18"/>
          <w:color w:val="auto"/>
        </w:rPr>
        <w:t>The information required by Item 10 will be contained in the 2021 Proxy Statement, to be filed with the SEC within 120 days after December 31, 2020, and is incorporated herein by reference. There have been no material changes to the procedures by which stockholders may recommend nominees to our Board of Directors.</w:t>
      </w:r>
    </w:p>
    <w:p>
      <w:pPr>
        <w:spacing w:after="0" w:line="211" w:lineRule="exact"/>
        <w:rPr>
          <w:sz w:val="20"/>
          <w:szCs w:val="20"/>
          <w:color w:val="auto"/>
        </w:rPr>
      </w:pPr>
    </w:p>
    <w:p>
      <w:pPr>
        <w:jc w:val="both"/>
        <w:ind w:firstLine="364"/>
        <w:spacing w:after="0" w:line="296" w:lineRule="auto"/>
        <w:rPr>
          <w:sz w:val="20"/>
          <w:szCs w:val="20"/>
          <w:color w:val="auto"/>
        </w:rPr>
      </w:pPr>
      <w:r>
        <w:rPr>
          <w:rFonts w:ascii="Arial" w:cs="Arial" w:eastAsia="Arial" w:hAnsi="Arial"/>
          <w:sz w:val="16"/>
          <w:szCs w:val="16"/>
          <w:color w:val="auto"/>
        </w:rPr>
        <w:t>We have adopted a Code of Business Conduct and Ethics for our employees and directors, including, specifically, our Chief Executive Officer, our Chief Financial Officer, and our other executive officers. Our Code of Business Conduct and Ethics satisfies the requirements for a “code of ethics” within the meaning of SEC rules. A copy of the Code of Business Conduct and Ethics is posted on our website at https://investors.surocap.com/corporate-governance</w:t>
      </w:r>
      <w:r>
        <w:rPr>
          <w:rFonts w:ascii="Arial" w:cs="Arial" w:eastAsia="Arial" w:hAnsi="Arial"/>
          <w:sz w:val="16"/>
          <w:szCs w:val="16"/>
          <w:i w:val="1"/>
          <w:iCs w:val="1"/>
          <w:color w:val="auto"/>
        </w:rPr>
        <w:t>.</w:t>
      </w:r>
      <w:r>
        <w:rPr>
          <w:rFonts w:ascii="Arial" w:cs="Arial" w:eastAsia="Arial" w:hAnsi="Arial"/>
          <w:sz w:val="16"/>
          <w:szCs w:val="16"/>
          <w:color w:val="auto"/>
        </w:rPr>
        <w:t xml:space="preserve"> We intend to disclose any changes in, or waivers from, the Code of Business Conduct and Ethics by posting such information on the same website or by filing a Form 8-K, in each case to the extent such disclosure is required by rules of the SEC or NASDAQ.</w:t>
      </w:r>
    </w:p>
    <w:p>
      <w:pPr>
        <w:spacing w:after="0" w:line="18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7" w:lineRule="exact"/>
        <w:rPr>
          <w:sz w:val="20"/>
          <w:szCs w:val="20"/>
          <w:color w:val="auto"/>
        </w:rPr>
      </w:pPr>
    </w:p>
    <w:p>
      <w:pPr>
        <w:jc w:val="both"/>
        <w:ind w:firstLine="364"/>
        <w:spacing w:after="0" w:line="260" w:lineRule="auto"/>
        <w:rPr>
          <w:sz w:val="20"/>
          <w:szCs w:val="20"/>
          <w:color w:val="auto"/>
        </w:rPr>
      </w:pPr>
      <w:r>
        <w:rPr>
          <w:rFonts w:ascii="Arial" w:cs="Arial" w:eastAsia="Arial" w:hAnsi="Arial"/>
          <w:sz w:val="18"/>
          <w:szCs w:val="18"/>
          <w:color w:val="auto"/>
        </w:rPr>
        <w:t>The information required by Item 11 will be contained in the 2021 Proxy Statement, to be filed with the SEC within 120 days after December 31, 2020, and is incorporated herein by reference.</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56" w:lineRule="exact"/>
        <w:rPr>
          <w:sz w:val="20"/>
          <w:szCs w:val="20"/>
          <w:color w:val="auto"/>
        </w:rPr>
      </w:pPr>
    </w:p>
    <w:p>
      <w:pPr>
        <w:jc w:val="both"/>
        <w:ind w:firstLine="364"/>
        <w:spacing w:after="0" w:line="277" w:lineRule="auto"/>
        <w:rPr>
          <w:sz w:val="20"/>
          <w:szCs w:val="20"/>
          <w:color w:val="auto"/>
        </w:rPr>
      </w:pPr>
      <w:r>
        <w:rPr>
          <w:rFonts w:ascii="Arial" w:cs="Arial" w:eastAsia="Arial" w:hAnsi="Arial"/>
          <w:sz w:val="18"/>
          <w:szCs w:val="18"/>
          <w:color w:val="auto"/>
        </w:rPr>
        <w:t>The information required by Item 12 will be contained in the 2021 Proxy Statement, to be filed with the SEC within 120 days after December 31, 2020, and is incorporated herein by reference.</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7" w:lineRule="exact"/>
        <w:rPr>
          <w:sz w:val="20"/>
          <w:szCs w:val="20"/>
          <w:color w:val="auto"/>
        </w:rPr>
      </w:pPr>
    </w:p>
    <w:p>
      <w:pPr>
        <w:jc w:val="both"/>
        <w:ind w:firstLine="364"/>
        <w:spacing w:after="0" w:line="260" w:lineRule="auto"/>
        <w:rPr>
          <w:sz w:val="20"/>
          <w:szCs w:val="20"/>
          <w:color w:val="auto"/>
        </w:rPr>
      </w:pPr>
      <w:r>
        <w:rPr>
          <w:rFonts w:ascii="Arial" w:cs="Arial" w:eastAsia="Arial" w:hAnsi="Arial"/>
          <w:sz w:val="18"/>
          <w:szCs w:val="18"/>
          <w:color w:val="auto"/>
        </w:rPr>
        <w:t>The information required by Item 13 will be contained in the 2021 Proxy Statement, to be filed with the SEC within 120 days after December 31, 2020, and is incorporated herein by reference.</w:t>
      </w:r>
    </w:p>
    <w:p>
      <w:pPr>
        <w:spacing w:after="0" w:line="20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7" w:lineRule="exact"/>
        <w:rPr>
          <w:sz w:val="20"/>
          <w:szCs w:val="20"/>
          <w:color w:val="auto"/>
        </w:rPr>
      </w:pPr>
    </w:p>
    <w:p>
      <w:pPr>
        <w:jc w:val="both"/>
        <w:ind w:firstLine="364"/>
        <w:spacing w:after="0" w:line="260" w:lineRule="auto"/>
        <w:rPr>
          <w:sz w:val="20"/>
          <w:szCs w:val="20"/>
          <w:color w:val="auto"/>
        </w:rPr>
      </w:pPr>
      <w:r>
        <w:rPr>
          <w:rFonts w:ascii="Arial" w:cs="Arial" w:eastAsia="Arial" w:hAnsi="Arial"/>
          <w:sz w:val="18"/>
          <w:szCs w:val="18"/>
          <w:color w:val="auto"/>
        </w:rPr>
        <w:t>The information required by Item 14 will be contained in the 2021 Proxy Statement, to be filed with the SEC within 120 days after December 31, 2020, and is incorporated herein by reference.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377" w:right="33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34"/>
        </w:trPr>
        <w:tc>
          <w:tcPr>
            <w:tcW w:w="10520" w:type="dxa"/>
            <w:vAlign w:val="bottom"/>
            <w:gridSpan w:val="5"/>
          </w:tcPr>
          <w:p>
            <w:pPr>
              <w:ind w:left="5260"/>
              <w:spacing w:after="0"/>
              <w:rPr>
                <w:sz w:val="20"/>
                <w:szCs w:val="20"/>
                <w:color w:val="auto"/>
              </w:rPr>
            </w:pPr>
            <w:r>
              <w:rPr>
                <w:rFonts w:ascii="Arial" w:cs="Arial" w:eastAsia="Arial" w:hAnsi="Arial"/>
                <w:sz w:val="18"/>
                <w:szCs w:val="18"/>
                <w:b w:val="1"/>
                <w:bCs w:val="1"/>
                <w:color w:val="auto"/>
              </w:rPr>
              <w:t>PART IV</w:t>
            </w:r>
          </w:p>
        </w:tc>
        <w:tc>
          <w:tcPr>
            <w:tcW w:w="680" w:type="dxa"/>
            <w:vAlign w:val="bottom"/>
          </w:tcPr>
          <w:p>
            <w:pPr>
              <w:spacing w:after="0"/>
              <w:rPr>
                <w:sz w:val="20"/>
                <w:szCs w:val="20"/>
                <w:color w:val="auto"/>
              </w:rPr>
            </w:pPr>
          </w:p>
        </w:tc>
      </w:tr>
      <w:tr>
        <w:trPr>
          <w:trHeight w:val="459"/>
        </w:trPr>
        <w:tc>
          <w:tcPr>
            <w:tcW w:w="10520" w:type="dxa"/>
            <w:vAlign w:val="bottom"/>
            <w:gridSpan w:val="5"/>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680" w:type="dxa"/>
            <w:vAlign w:val="bottom"/>
          </w:tcPr>
          <w:p>
            <w:pPr>
              <w:spacing w:after="0"/>
              <w:rPr>
                <w:sz w:val="24"/>
                <w:szCs w:val="24"/>
                <w:color w:val="auto"/>
              </w:rPr>
            </w:pPr>
          </w:p>
        </w:tc>
      </w:tr>
      <w:tr>
        <w:trPr>
          <w:trHeight w:val="459"/>
        </w:trPr>
        <w:tc>
          <w:tcPr>
            <w:tcW w:w="10520" w:type="dxa"/>
            <w:vAlign w:val="bottom"/>
            <w:gridSpan w:val="5"/>
          </w:tcPr>
          <w:p>
            <w:pPr>
              <w:ind w:left="660"/>
              <w:spacing w:after="0"/>
              <w:rPr>
                <w:sz w:val="20"/>
                <w:szCs w:val="20"/>
                <w:color w:val="auto"/>
              </w:rPr>
            </w:pPr>
            <w:r>
              <w:rPr>
                <w:rFonts w:ascii="Arial" w:cs="Arial" w:eastAsia="Arial" w:hAnsi="Arial"/>
                <w:sz w:val="18"/>
                <w:szCs w:val="18"/>
                <w:color w:val="auto"/>
              </w:rPr>
              <w:t>The following documents are filed or incorporated by reference as part of this annual report on Form 10-K:</w:t>
            </w:r>
          </w:p>
        </w:tc>
        <w:tc>
          <w:tcPr>
            <w:tcW w:w="680" w:type="dxa"/>
            <w:vAlign w:val="bottom"/>
          </w:tcPr>
          <w:p>
            <w:pPr>
              <w:spacing w:after="0"/>
              <w:rPr>
                <w:sz w:val="24"/>
                <w:szCs w:val="24"/>
                <w:color w:val="auto"/>
              </w:rPr>
            </w:pPr>
          </w:p>
        </w:tc>
      </w:tr>
      <w:tr>
        <w:trPr>
          <w:trHeight w:val="459"/>
        </w:trPr>
        <w:tc>
          <w:tcPr>
            <w:tcW w:w="10520" w:type="dxa"/>
            <w:vAlign w:val="bottom"/>
            <w:gridSpan w:val="5"/>
          </w:tcPr>
          <w:p>
            <w:pPr>
              <w:ind w:left="340"/>
              <w:spacing w:after="0"/>
              <w:rPr>
                <w:sz w:val="20"/>
                <w:szCs w:val="20"/>
                <w:color w:val="auto"/>
              </w:rPr>
            </w:pPr>
            <w:r>
              <w:rPr>
                <w:rFonts w:ascii="Arial" w:cs="Arial" w:eastAsia="Arial" w:hAnsi="Arial"/>
                <w:sz w:val="18"/>
                <w:szCs w:val="18"/>
                <w:color w:val="auto"/>
              </w:rPr>
              <w:t>(1) Financial Statements—Refer to Part II, Item 8 of this Form 10-K, which are incorporated herein by reference.</w:t>
            </w:r>
          </w:p>
        </w:tc>
        <w:tc>
          <w:tcPr>
            <w:tcW w:w="680" w:type="dxa"/>
            <w:vAlign w:val="bottom"/>
          </w:tcPr>
          <w:p>
            <w:pPr>
              <w:spacing w:after="0"/>
              <w:rPr>
                <w:sz w:val="24"/>
                <w:szCs w:val="24"/>
                <w:color w:val="auto"/>
              </w:rPr>
            </w:pPr>
          </w:p>
        </w:tc>
      </w:tr>
      <w:tr>
        <w:trPr>
          <w:trHeight w:val="304"/>
        </w:trPr>
        <w:tc>
          <w:tcPr>
            <w:tcW w:w="5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Page</w:t>
            </w:r>
          </w:p>
        </w:tc>
      </w:tr>
      <w:tr>
        <w:trPr>
          <w:trHeight w:val="229"/>
        </w:trPr>
        <w:tc>
          <w:tcPr>
            <w:tcW w:w="10520" w:type="dxa"/>
            <w:vAlign w:val="bottom"/>
            <w:gridSpan w:val="5"/>
          </w:tcPr>
          <w:p>
            <w:pPr>
              <w:ind w:left="20"/>
              <w:spacing w:after="0"/>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Report of Independent Registered Public Accounting Firm</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74">
              <w:r>
                <w:rPr>
                  <w:rFonts w:ascii="Arial" w:cs="Arial" w:eastAsia="Arial" w:hAnsi="Arial"/>
                  <w:sz w:val="18"/>
                  <w:szCs w:val="18"/>
                  <w:u w:val="single" w:color="auto"/>
                  <w:color w:val="0000FF"/>
                  <w:w w:val="89"/>
                </w:rPr>
                <w:t>72</w:t>
              </w:r>
            </w:hyperlink>
          </w:p>
        </w:tc>
      </w:tr>
      <w:tr>
        <w:trPr>
          <w:trHeight w:val="190"/>
        </w:trPr>
        <w:tc>
          <w:tcPr>
            <w:tcW w:w="10520" w:type="dxa"/>
            <w:vAlign w:val="bottom"/>
            <w:gridSpan w:val="5"/>
          </w:tcPr>
          <w:p>
            <w:pPr>
              <w:ind w:left="20"/>
              <w:spacing w:after="0" w:line="190" w:lineRule="exact"/>
              <w:rPr>
                <w:rFonts w:ascii="Arial" w:cs="Arial" w:eastAsia="Arial" w:hAnsi="Arial"/>
                <w:sz w:val="18"/>
                <w:szCs w:val="18"/>
                <w:color w:val="0000FF"/>
              </w:rPr>
            </w:pPr>
            <w:hyperlink w:anchor="page77">
              <w:r>
                <w:rPr>
                  <w:rFonts w:ascii="Arial" w:cs="Arial" w:eastAsia="Arial" w:hAnsi="Arial"/>
                  <w:sz w:val="18"/>
                  <w:szCs w:val="18"/>
                  <w:u w:val="single" w:color="auto"/>
                  <w:color w:val="0000FF"/>
                </w:rPr>
                <w:t>Consolidated Statements of Assets and Liabilities as of December 31,</w:t>
              </w:r>
              <w:r>
                <w:rPr>
                  <w:rFonts w:ascii="Arial" w:cs="Arial" w:eastAsia="Arial" w:hAnsi="Arial"/>
                  <w:sz w:val="18"/>
                  <w:szCs w:val="18"/>
                  <w:color w:val="0000FF"/>
                </w:rPr>
                <w:t xml:space="preserve"> 2020 and 20</w:t>
              </w:r>
              <w:r>
                <w:rPr>
                  <w:rFonts w:ascii="Arial" w:cs="Arial" w:eastAsia="Arial" w:hAnsi="Arial"/>
                  <w:sz w:val="18"/>
                  <w:szCs w:val="18"/>
                  <w:u w:val="single" w:color="auto"/>
                  <w:color w:val="0000FF"/>
                </w:rPr>
                <w:t>19</w:t>
              </w:r>
            </w:hyperlink>
          </w:p>
        </w:tc>
        <w:tc>
          <w:tcPr>
            <w:tcW w:w="680" w:type="dxa"/>
            <w:vAlign w:val="bottom"/>
          </w:tcPr>
          <w:p>
            <w:pPr>
              <w:jc w:val="center"/>
              <w:spacing w:after="0" w:line="190" w:lineRule="exact"/>
              <w:rPr>
                <w:rFonts w:ascii="Arial" w:cs="Arial" w:eastAsia="Arial" w:hAnsi="Arial"/>
                <w:sz w:val="18"/>
                <w:szCs w:val="18"/>
                <w:u w:val="single" w:color="auto"/>
                <w:color w:val="0000FF"/>
                <w:w w:val="89"/>
              </w:rPr>
            </w:pPr>
            <w:hyperlink w:anchor="page77">
              <w:r>
                <w:rPr>
                  <w:rFonts w:ascii="Arial" w:cs="Arial" w:eastAsia="Arial" w:hAnsi="Arial"/>
                  <w:sz w:val="18"/>
                  <w:szCs w:val="18"/>
                  <w:u w:val="single" w:color="auto"/>
                  <w:color w:val="0000FF"/>
                  <w:w w:val="89"/>
                </w:rPr>
                <w:t>75</w:t>
              </w:r>
            </w:hyperlink>
          </w:p>
        </w:tc>
      </w:tr>
      <w:tr>
        <w:trPr>
          <w:trHeight w:val="20"/>
        </w:trPr>
        <w:tc>
          <w:tcPr>
            <w:tcW w:w="526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09"/>
        </w:trPr>
        <w:tc>
          <w:tcPr>
            <w:tcW w:w="10520" w:type="dxa"/>
            <w:vAlign w:val="bottom"/>
            <w:gridSpan w:val="5"/>
          </w:tcPr>
          <w:p>
            <w:pPr>
              <w:ind w:left="20"/>
              <w:spacing w:after="0"/>
              <w:rPr>
                <w:rFonts w:ascii="Arial" w:cs="Arial" w:eastAsia="Arial" w:hAnsi="Arial"/>
                <w:sz w:val="18"/>
                <w:szCs w:val="18"/>
                <w:color w:val="0000FF"/>
              </w:rPr>
            </w:pPr>
            <w:hyperlink w:anchor="page77">
              <w:r>
                <w:rPr>
                  <w:rFonts w:ascii="Arial" w:cs="Arial" w:eastAsia="Arial" w:hAnsi="Arial"/>
                  <w:sz w:val="18"/>
                  <w:szCs w:val="18"/>
                  <w:u w:val="single" w:color="auto"/>
                  <w:color w:val="0000FF"/>
                </w:rPr>
                <w:t xml:space="preserve">Consolidated Statements of Operations for the years ended December 31, </w:t>
              </w:r>
            </w:hyperlink>
            <w:r>
              <w:rPr>
                <w:rFonts w:ascii="Arial" w:cs="Arial" w:eastAsia="Arial" w:hAnsi="Arial"/>
                <w:sz w:val="18"/>
                <w:szCs w:val="18"/>
                <w:color w:val="0000FF"/>
              </w:rPr>
              <w:t xml:space="preserve">2020, </w:t>
            </w:r>
            <w:hyperlink w:anchor="page77">
              <w:r>
                <w:rPr>
                  <w:rFonts w:ascii="Arial" w:cs="Arial" w:eastAsia="Arial" w:hAnsi="Arial"/>
                  <w:sz w:val="18"/>
                  <w:szCs w:val="18"/>
                  <w:color w:val="0000FF"/>
                </w:rPr>
                <w:t xml:space="preserve">2019 and </w:t>
              </w:r>
            </w:hyperlink>
            <w:r>
              <w:rPr>
                <w:rFonts w:ascii="Arial" w:cs="Arial" w:eastAsia="Arial" w:hAnsi="Arial"/>
                <w:sz w:val="18"/>
                <w:szCs w:val="18"/>
                <w:color w:val="0000FF"/>
              </w:rPr>
              <w:t>2018</w:t>
            </w:r>
          </w:p>
        </w:tc>
        <w:tc>
          <w:tcPr>
            <w:tcW w:w="680" w:type="dxa"/>
            <w:vAlign w:val="bottom"/>
          </w:tcPr>
          <w:p>
            <w:pPr>
              <w:jc w:val="center"/>
              <w:spacing w:after="0"/>
              <w:rPr>
                <w:rFonts w:ascii="Arial" w:cs="Arial" w:eastAsia="Arial" w:hAnsi="Arial"/>
                <w:sz w:val="18"/>
                <w:szCs w:val="18"/>
                <w:u w:val="single" w:color="auto"/>
                <w:color w:val="0000FF"/>
                <w:w w:val="89"/>
              </w:rPr>
            </w:pPr>
            <w:hyperlink w:anchor="page77">
              <w:r>
                <w:rPr>
                  <w:rFonts w:ascii="Arial" w:cs="Arial" w:eastAsia="Arial" w:hAnsi="Arial"/>
                  <w:sz w:val="18"/>
                  <w:szCs w:val="18"/>
                  <w:u w:val="single" w:color="auto"/>
                  <w:color w:val="0000FF"/>
                  <w:w w:val="89"/>
                </w:rPr>
                <w:t>76</w:t>
              </w:r>
            </w:hyperlink>
          </w:p>
        </w:tc>
      </w:tr>
      <w:tr>
        <w:trPr>
          <w:trHeight w:val="20"/>
        </w:trPr>
        <w:tc>
          <w:tcPr>
            <w:tcW w:w="6080" w:type="dxa"/>
            <w:vAlign w:val="bottom"/>
            <w:gridSpan w:val="3"/>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49"/>
        </w:trPr>
        <w:tc>
          <w:tcPr>
            <w:tcW w:w="10520" w:type="dxa"/>
            <w:vAlign w:val="bottom"/>
            <w:gridSpan w:val="5"/>
          </w:tcPr>
          <w:p>
            <w:pPr>
              <w:ind w:left="20"/>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Consolidated Statements of Changes in Net Assets for the years ended December 31, 2020, 2019 and 2018</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79">
              <w:r>
                <w:rPr>
                  <w:rFonts w:ascii="Arial" w:cs="Arial" w:eastAsia="Arial" w:hAnsi="Arial"/>
                  <w:sz w:val="18"/>
                  <w:szCs w:val="18"/>
                  <w:u w:val="single" w:color="auto"/>
                  <w:color w:val="0000FF"/>
                  <w:w w:val="89"/>
                </w:rPr>
                <w:t>78</w:t>
              </w:r>
            </w:hyperlink>
          </w:p>
        </w:tc>
      </w:tr>
      <w:tr>
        <w:trPr>
          <w:trHeight w:val="230"/>
        </w:trPr>
        <w:tc>
          <w:tcPr>
            <w:tcW w:w="10520" w:type="dxa"/>
            <w:vAlign w:val="bottom"/>
            <w:gridSpan w:val="5"/>
          </w:tcPr>
          <w:p>
            <w:pPr>
              <w:ind w:left="20"/>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Consolidated Statements of Cash Flows for the years ended December 31, 2020, 2019 and 2018</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80">
              <w:r>
                <w:rPr>
                  <w:rFonts w:ascii="Arial" w:cs="Arial" w:eastAsia="Arial" w:hAnsi="Arial"/>
                  <w:sz w:val="18"/>
                  <w:szCs w:val="18"/>
                  <w:u w:val="single" w:color="auto"/>
                  <w:color w:val="0000FF"/>
                  <w:w w:val="89"/>
                </w:rPr>
                <w:t>79</w:t>
              </w:r>
            </w:hyperlink>
          </w:p>
        </w:tc>
      </w:tr>
      <w:tr>
        <w:trPr>
          <w:trHeight w:val="229"/>
        </w:trPr>
        <w:tc>
          <w:tcPr>
            <w:tcW w:w="10520" w:type="dxa"/>
            <w:vAlign w:val="bottom"/>
            <w:gridSpan w:val="5"/>
          </w:tcPr>
          <w:p>
            <w:pPr>
              <w:ind w:left="20"/>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Consolidated Schedule of Investments as of December 31, 2020</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82">
              <w:r>
                <w:rPr>
                  <w:rFonts w:ascii="Arial" w:cs="Arial" w:eastAsia="Arial" w:hAnsi="Arial"/>
                  <w:sz w:val="18"/>
                  <w:szCs w:val="18"/>
                  <w:u w:val="single" w:color="auto"/>
                  <w:color w:val="0000FF"/>
                  <w:w w:val="89"/>
                </w:rPr>
                <w:t>81</w:t>
              </w:r>
            </w:hyperlink>
          </w:p>
        </w:tc>
      </w:tr>
      <w:tr>
        <w:trPr>
          <w:trHeight w:val="230"/>
        </w:trPr>
        <w:tc>
          <w:tcPr>
            <w:tcW w:w="10520" w:type="dxa"/>
            <w:vAlign w:val="bottom"/>
            <w:gridSpan w:val="5"/>
          </w:tcPr>
          <w:p>
            <w:pPr>
              <w:ind w:left="20"/>
              <w:spacing w:after="0"/>
              <w:rPr>
                <w:rFonts w:ascii="Arial" w:cs="Arial" w:eastAsia="Arial" w:hAnsi="Arial"/>
                <w:sz w:val="18"/>
                <w:szCs w:val="18"/>
                <w:u w:val="single" w:color="auto"/>
                <w:color w:val="0000FF"/>
              </w:rPr>
            </w:pPr>
            <w:hyperlink w:anchor="page86">
              <w:r>
                <w:rPr>
                  <w:rFonts w:ascii="Arial" w:cs="Arial" w:eastAsia="Arial" w:hAnsi="Arial"/>
                  <w:sz w:val="18"/>
                  <w:szCs w:val="18"/>
                  <w:u w:val="single" w:color="auto"/>
                  <w:color w:val="0000FF"/>
                </w:rPr>
                <w:t>Consolidated Schedule of Investments as of December 31, 2019</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86">
              <w:r>
                <w:rPr>
                  <w:rFonts w:ascii="Arial" w:cs="Arial" w:eastAsia="Arial" w:hAnsi="Arial"/>
                  <w:sz w:val="18"/>
                  <w:szCs w:val="18"/>
                  <w:u w:val="single" w:color="auto"/>
                  <w:color w:val="0000FF"/>
                  <w:w w:val="89"/>
                </w:rPr>
                <w:t>85</w:t>
              </w:r>
            </w:hyperlink>
          </w:p>
        </w:tc>
      </w:tr>
      <w:tr>
        <w:trPr>
          <w:trHeight w:val="230"/>
        </w:trPr>
        <w:tc>
          <w:tcPr>
            <w:tcW w:w="10520" w:type="dxa"/>
            <w:vAlign w:val="bottom"/>
            <w:gridSpan w:val="5"/>
          </w:tcPr>
          <w:p>
            <w:pPr>
              <w:ind w:left="20"/>
              <w:spacing w:after="0"/>
              <w:rPr>
                <w:rFonts w:ascii="Arial" w:cs="Arial" w:eastAsia="Arial" w:hAnsi="Arial"/>
                <w:sz w:val="18"/>
                <w:szCs w:val="18"/>
                <w:u w:val="single" w:color="auto"/>
                <w:color w:val="0000FF"/>
              </w:rPr>
            </w:pPr>
            <w:hyperlink w:anchor="page90">
              <w:r>
                <w:rPr>
                  <w:rFonts w:ascii="Arial" w:cs="Arial" w:eastAsia="Arial" w:hAnsi="Arial"/>
                  <w:sz w:val="18"/>
                  <w:szCs w:val="18"/>
                  <w:u w:val="single" w:color="auto"/>
                  <w:color w:val="0000FF"/>
                </w:rPr>
                <w:t>Notes to Consolidated Financial Statements</w:t>
              </w:r>
            </w:hyperlink>
          </w:p>
        </w:tc>
        <w:tc>
          <w:tcPr>
            <w:tcW w:w="680" w:type="dxa"/>
            <w:vAlign w:val="bottom"/>
          </w:tcPr>
          <w:p>
            <w:pPr>
              <w:jc w:val="center"/>
              <w:spacing w:after="0"/>
              <w:rPr>
                <w:rFonts w:ascii="Arial" w:cs="Arial" w:eastAsia="Arial" w:hAnsi="Arial"/>
                <w:sz w:val="18"/>
                <w:szCs w:val="18"/>
                <w:u w:val="single" w:color="auto"/>
                <w:color w:val="0000FF"/>
                <w:w w:val="89"/>
              </w:rPr>
            </w:pPr>
            <w:hyperlink w:anchor="page90">
              <w:r>
                <w:rPr>
                  <w:rFonts w:ascii="Arial" w:cs="Arial" w:eastAsia="Arial" w:hAnsi="Arial"/>
                  <w:sz w:val="18"/>
                  <w:szCs w:val="18"/>
                  <w:u w:val="single" w:color="auto"/>
                  <w:color w:val="0000FF"/>
                  <w:w w:val="89"/>
                </w:rPr>
                <w:t>89</w:t>
              </w:r>
            </w:hyperlink>
          </w:p>
        </w:tc>
      </w:tr>
    </w:tbl>
    <w:p>
      <w:pPr>
        <w:spacing w:after="0" w:line="229" w:lineRule="exact"/>
        <w:rPr>
          <w:sz w:val="20"/>
          <w:szCs w:val="20"/>
          <w:color w:val="auto"/>
        </w:rPr>
      </w:pPr>
    </w:p>
    <w:p>
      <w:pPr>
        <w:ind w:left="660" w:hanging="328"/>
        <w:spacing w:after="0" w:line="277" w:lineRule="auto"/>
        <w:tabs>
          <w:tab w:leader="none" w:pos="654" w:val="left"/>
        </w:tabs>
        <w:numPr>
          <w:ilvl w:val="0"/>
          <w:numId w:val="83"/>
        </w:numPr>
        <w:rPr>
          <w:rFonts w:ascii="Arial" w:cs="Arial" w:eastAsia="Arial" w:hAnsi="Arial"/>
          <w:sz w:val="18"/>
          <w:szCs w:val="18"/>
          <w:color w:val="auto"/>
        </w:rPr>
      </w:pPr>
      <w:r>
        <w:rPr>
          <w:rFonts w:ascii="Arial" w:cs="Arial" w:eastAsia="Arial" w:hAnsi="Arial"/>
          <w:sz w:val="18"/>
          <w:szCs w:val="18"/>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97" w:lineRule="exact"/>
        <w:rPr>
          <w:rFonts w:ascii="Arial" w:cs="Arial" w:eastAsia="Arial" w:hAnsi="Arial"/>
          <w:sz w:val="18"/>
          <w:szCs w:val="18"/>
          <w:color w:val="auto"/>
        </w:rPr>
      </w:pPr>
    </w:p>
    <w:p>
      <w:pPr>
        <w:ind w:left="640" w:hanging="308"/>
        <w:spacing w:after="0"/>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Exhibits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131" w:lineRule="exact"/>
        <w:rPr>
          <w:sz w:val="20"/>
          <w:szCs w:val="20"/>
          <w:color w:val="auto"/>
        </w:rPr>
      </w:pP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119">
        <w:r>
          <w:rPr>
            <w:rFonts w:ascii="Arial" w:cs="Arial" w:eastAsia="Arial" w:hAnsi="Arial"/>
            <w:sz w:val="16"/>
            <w:szCs w:val="16"/>
            <w:u w:val="single" w:color="auto"/>
            <w:color w:val="0000FF"/>
          </w:rPr>
          <w:t>Articles of Amendment and Restatement</w:t>
        </w:r>
      </w:hyperlink>
      <w:r>
        <w:rPr>
          <w:rFonts w:ascii="Arial" w:cs="Arial" w:eastAsia="Arial" w:hAnsi="Arial"/>
          <w:sz w:val="20"/>
          <w:szCs w:val="20"/>
          <w:color w:val="000000"/>
          <w:vertAlign w:val="superscript"/>
        </w:rPr>
        <w:t>(1)</w:t>
      </w:r>
    </w:p>
    <w:p>
      <w:pPr>
        <w:spacing w:after="0" w:line="15" w:lineRule="exact"/>
        <w:rPr>
          <w:sz w:val="20"/>
          <w:szCs w:val="20"/>
          <w:color w:val="auto"/>
        </w:rPr>
      </w:pP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120">
        <w:r>
          <w:rPr>
            <w:rFonts w:ascii="Arial" w:cs="Arial" w:eastAsia="Arial" w:hAnsi="Arial"/>
            <w:sz w:val="16"/>
            <w:szCs w:val="16"/>
            <w:u w:val="single" w:color="auto"/>
            <w:color w:val="0000FF"/>
          </w:rPr>
          <w:t>Articles of Amendment</w:t>
        </w:r>
      </w:hyperlink>
      <w:r>
        <w:rPr>
          <w:rFonts w:ascii="Arial" w:cs="Arial" w:eastAsia="Arial" w:hAnsi="Arial"/>
          <w:sz w:val="20"/>
          <w:szCs w:val="20"/>
          <w:color w:val="000000"/>
          <w:vertAlign w:val="superscript"/>
        </w:rPr>
        <w:t>(2)</w:t>
      </w: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3.3</w:t>
      </w:r>
      <w:r>
        <w:rPr>
          <w:sz w:val="20"/>
          <w:szCs w:val="20"/>
          <w:color w:val="auto"/>
        </w:rPr>
        <w:tab/>
      </w:r>
      <w:hyperlink r:id="rId121">
        <w:r>
          <w:rPr>
            <w:rFonts w:ascii="Arial" w:cs="Arial" w:eastAsia="Arial" w:hAnsi="Arial"/>
            <w:sz w:val="16"/>
            <w:szCs w:val="16"/>
            <w:u w:val="single" w:color="auto"/>
            <w:color w:val="0000FF"/>
          </w:rPr>
          <w:t>Articles of Amendment</w:t>
        </w:r>
      </w:hyperlink>
      <w:r>
        <w:rPr>
          <w:rFonts w:ascii="Arial" w:cs="Arial" w:eastAsia="Arial" w:hAnsi="Arial"/>
          <w:sz w:val="20"/>
          <w:szCs w:val="20"/>
          <w:color w:val="000000"/>
          <w:vertAlign w:val="superscript"/>
        </w:rPr>
        <w:t>(3)</w:t>
      </w: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3.4</w:t>
      </w:r>
      <w:r>
        <w:rPr>
          <w:sz w:val="20"/>
          <w:szCs w:val="20"/>
          <w:color w:val="auto"/>
        </w:rPr>
        <w:tab/>
      </w:r>
      <w:hyperlink r:id="rId122">
        <w:r>
          <w:rPr>
            <w:rFonts w:ascii="Arial" w:cs="Arial" w:eastAsia="Arial" w:hAnsi="Arial"/>
            <w:sz w:val="16"/>
            <w:szCs w:val="16"/>
            <w:u w:val="single" w:color="auto"/>
            <w:color w:val="0000FF"/>
          </w:rPr>
          <w:t>Articles of Amendment</w:t>
        </w:r>
      </w:hyperlink>
      <w:r>
        <w:rPr>
          <w:rFonts w:ascii="Arial" w:cs="Arial" w:eastAsia="Arial" w:hAnsi="Arial"/>
          <w:sz w:val="20"/>
          <w:szCs w:val="20"/>
          <w:color w:val="000000"/>
          <w:vertAlign w:val="superscript"/>
        </w:rPr>
        <w:t>(4)</w:t>
      </w:r>
    </w:p>
    <w:p>
      <w:pPr>
        <w:ind w:left="220"/>
        <w:spacing w:after="0"/>
        <w:tabs>
          <w:tab w:leader="none" w:pos="660" w:val="left"/>
        </w:tabs>
        <w:rPr>
          <w:rFonts w:ascii="Arial" w:cs="Arial" w:eastAsia="Arial" w:hAnsi="Arial"/>
          <w:sz w:val="15"/>
          <w:szCs w:val="15"/>
          <w:u w:val="single" w:color="auto"/>
          <w:color w:val="0000FF"/>
        </w:rPr>
      </w:pPr>
      <w:r>
        <w:rPr>
          <w:rFonts w:ascii="Arial" w:cs="Arial" w:eastAsia="Arial" w:hAnsi="Arial"/>
          <w:sz w:val="18"/>
          <w:szCs w:val="18"/>
          <w:color w:val="auto"/>
        </w:rPr>
        <w:t>3.5</w:t>
      </w:r>
      <w:r>
        <w:rPr>
          <w:sz w:val="20"/>
          <w:szCs w:val="20"/>
          <w:color w:val="auto"/>
        </w:rPr>
        <w:tab/>
      </w:r>
      <w:hyperlink r:id="rId123">
        <w:r>
          <w:rPr>
            <w:rFonts w:ascii="Arial" w:cs="Arial" w:eastAsia="Arial" w:hAnsi="Arial"/>
            <w:sz w:val="15"/>
            <w:szCs w:val="15"/>
            <w:u w:val="single" w:color="auto"/>
            <w:color w:val="0000FF"/>
          </w:rPr>
          <w:t>Second Amended and Restated Bylaws</w:t>
        </w:r>
      </w:hyperlink>
      <w:r>
        <w:rPr>
          <w:rFonts w:ascii="Arial" w:cs="Arial" w:eastAsia="Arial" w:hAnsi="Arial"/>
          <w:sz w:val="19"/>
          <w:szCs w:val="19"/>
          <w:color w:val="000000"/>
          <w:vertAlign w:val="superscript"/>
        </w:rPr>
        <w:t>(4)</w:t>
      </w:r>
    </w:p>
    <w:p>
      <w:pPr>
        <w:spacing w:after="0" w:line="11" w:lineRule="exact"/>
        <w:rPr>
          <w:sz w:val="20"/>
          <w:szCs w:val="20"/>
          <w:color w:val="auto"/>
        </w:rPr>
      </w:pP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4.1</w:t>
      </w:r>
      <w:r>
        <w:rPr>
          <w:sz w:val="20"/>
          <w:szCs w:val="20"/>
          <w:color w:val="auto"/>
        </w:rPr>
        <w:tab/>
      </w:r>
      <w:hyperlink r:id="rId124">
        <w:r>
          <w:rPr>
            <w:rFonts w:ascii="Arial" w:cs="Arial" w:eastAsia="Arial" w:hAnsi="Arial"/>
            <w:sz w:val="16"/>
            <w:szCs w:val="16"/>
            <w:u w:val="single" w:color="auto"/>
            <w:color w:val="0000FF"/>
          </w:rPr>
          <w:t>Form of Common Stock Certificate</w:t>
        </w:r>
      </w:hyperlink>
      <w:r>
        <w:rPr>
          <w:rFonts w:ascii="Arial" w:cs="Arial" w:eastAsia="Arial" w:hAnsi="Arial"/>
          <w:sz w:val="20"/>
          <w:szCs w:val="20"/>
          <w:color w:val="000000"/>
          <w:vertAlign w:val="superscript"/>
        </w:rPr>
        <w:t>(5)</w:t>
      </w: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4.2</w:t>
      </w:r>
      <w:r>
        <w:rPr>
          <w:sz w:val="20"/>
          <w:szCs w:val="20"/>
          <w:color w:val="auto"/>
        </w:rPr>
        <w:tab/>
      </w:r>
      <w:hyperlink r:id="rId125">
        <w:r>
          <w:rPr>
            <w:rFonts w:ascii="Arial" w:cs="Arial" w:eastAsia="Arial" w:hAnsi="Arial"/>
            <w:sz w:val="16"/>
            <w:szCs w:val="16"/>
            <w:u w:val="single" w:color="auto"/>
            <w:color w:val="0000FF"/>
          </w:rPr>
          <w:t>Base Indenture, dated March 28, 2018, by and between the Registrant and U.S. Bank National Association, as trustee</w:t>
        </w:r>
      </w:hyperlink>
      <w:r>
        <w:rPr>
          <w:rFonts w:ascii="Arial" w:cs="Arial" w:eastAsia="Arial" w:hAnsi="Arial"/>
          <w:sz w:val="20"/>
          <w:szCs w:val="20"/>
          <w:color w:val="000000"/>
          <w:vertAlign w:val="superscript"/>
        </w:rPr>
        <w:t>(6)</w:t>
      </w:r>
    </w:p>
    <w:p>
      <w:pPr>
        <w:ind w:left="680" w:right="60" w:hanging="460"/>
        <w:spacing w:after="0" w:line="206" w:lineRule="auto"/>
        <w:tabs>
          <w:tab w:leader="none" w:pos="660" w:val="left"/>
        </w:tabs>
        <w:rPr>
          <w:rFonts w:ascii="Arial" w:cs="Arial" w:eastAsia="Arial" w:hAnsi="Arial"/>
          <w:sz w:val="18"/>
          <w:szCs w:val="18"/>
          <w:color w:val="0000FF"/>
        </w:rPr>
      </w:pPr>
      <w:r>
        <w:rPr>
          <w:rFonts w:ascii="Arial" w:cs="Arial" w:eastAsia="Arial" w:hAnsi="Arial"/>
          <w:sz w:val="18"/>
          <w:szCs w:val="18"/>
          <w:color w:val="auto"/>
        </w:rPr>
        <w:t>4.3</w:t>
      </w:r>
      <w:r>
        <w:rPr>
          <w:sz w:val="20"/>
          <w:szCs w:val="20"/>
          <w:color w:val="auto"/>
        </w:rPr>
        <w:tab/>
      </w:r>
      <w:hyperlink r:id="rId126">
        <w:r>
          <w:rPr>
            <w:rFonts w:ascii="Arial" w:cs="Arial" w:eastAsia="Arial" w:hAnsi="Arial"/>
            <w:sz w:val="18"/>
            <w:szCs w:val="18"/>
            <w:u w:val="single" w:color="auto"/>
            <w:color w:val="0000FF"/>
          </w:rPr>
          <w:t>First Supplemental Indenture, dated March 28, 2018, relating to the 4.75% Convertible Senior Notes due 2023, by and between the Company and</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U.S. Bank National Association, as trustee</w:t>
        </w:r>
        <w:r>
          <w:rPr>
            <w:rFonts w:ascii="Arial" w:cs="Arial" w:eastAsia="Arial" w:hAnsi="Arial"/>
            <w:sz w:val="23"/>
            <w:szCs w:val="23"/>
            <w:color w:val="000000"/>
            <w:vertAlign w:val="superscript"/>
          </w:rPr>
          <w:t>(7)</w:t>
        </w:r>
      </w:hyperlink>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4.4</w:t>
      </w:r>
      <w:r>
        <w:rPr>
          <w:sz w:val="20"/>
          <w:szCs w:val="20"/>
          <w:color w:val="auto"/>
        </w:rPr>
        <w:tab/>
      </w:r>
      <w:hyperlink r:id="rId127">
        <w:r>
          <w:rPr>
            <w:rFonts w:ascii="Arial" w:cs="Arial" w:eastAsia="Arial" w:hAnsi="Arial"/>
            <w:sz w:val="16"/>
            <w:szCs w:val="16"/>
            <w:u w:val="single" w:color="auto"/>
            <w:color w:val="0000FF"/>
          </w:rPr>
          <w:t>Form of 4.75% Convertible Senior Note due 2023 (incorporated by reference to Exhibit 4.3)</w:t>
        </w:r>
      </w:hyperlink>
      <w:r>
        <w:rPr>
          <w:rFonts w:ascii="Arial" w:cs="Arial" w:eastAsia="Arial" w:hAnsi="Arial"/>
          <w:sz w:val="20"/>
          <w:szCs w:val="20"/>
          <w:color w:val="000000"/>
          <w:vertAlign w:val="superscript"/>
        </w:rPr>
        <w:t>(7)</w:t>
      </w:r>
    </w:p>
    <w:p>
      <w:pPr>
        <w:ind w:left="22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4.5</w:t>
      </w:r>
      <w:r>
        <w:rPr>
          <w:sz w:val="20"/>
          <w:szCs w:val="20"/>
          <w:color w:val="auto"/>
        </w:rPr>
        <w:tab/>
      </w:r>
      <w:hyperlink w:anchor="page145">
        <w:r>
          <w:rPr>
            <w:rFonts w:ascii="Arial" w:cs="Arial" w:eastAsia="Arial" w:hAnsi="Arial"/>
            <w:sz w:val="16"/>
            <w:szCs w:val="16"/>
            <w:u w:val="single" w:color="auto"/>
            <w:color w:val="0000FF"/>
          </w:rPr>
          <w:t>Description of Securities</w:t>
        </w:r>
      </w:hyperlink>
      <w:r>
        <w:rPr>
          <w:rFonts w:ascii="Arial" w:cs="Arial" w:eastAsia="Arial" w:hAnsi="Arial"/>
          <w:sz w:val="16"/>
          <w:szCs w:val="16"/>
          <w:color w:val="000000"/>
        </w:rPr>
        <w:t>*</w:t>
      </w:r>
    </w:p>
    <w:p>
      <w:pPr>
        <w:spacing w:after="0" w:line="7"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128">
        <w:r>
          <w:rPr>
            <w:rFonts w:ascii="Arial" w:cs="Arial" w:eastAsia="Arial" w:hAnsi="Arial"/>
            <w:sz w:val="16"/>
            <w:szCs w:val="16"/>
            <w:u w:val="single" w:color="auto"/>
            <w:color w:val="0000FF"/>
          </w:rPr>
          <w:t>Dividend Reinvestment Plan</w:t>
        </w:r>
      </w:hyperlink>
      <w:r>
        <w:rPr>
          <w:rFonts w:ascii="Arial" w:cs="Arial" w:eastAsia="Arial" w:hAnsi="Arial"/>
          <w:sz w:val="20"/>
          <w:szCs w:val="20"/>
          <w:color w:val="000000"/>
          <w:vertAlign w:val="superscript"/>
        </w:rPr>
        <w:t>(1)</w:t>
      </w:r>
    </w:p>
    <w:p>
      <w:pPr>
        <w:spacing w:after="0" w:line="14"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10.2</w:t>
      </w:r>
      <w:r>
        <w:rPr>
          <w:sz w:val="20"/>
          <w:szCs w:val="20"/>
          <w:color w:val="auto"/>
        </w:rPr>
        <w:tab/>
      </w:r>
      <w:hyperlink r:id="rId129">
        <w:r>
          <w:rPr>
            <w:rFonts w:ascii="Arial" w:cs="Arial" w:eastAsia="Arial" w:hAnsi="Arial"/>
            <w:sz w:val="16"/>
            <w:szCs w:val="16"/>
            <w:u w:val="single" w:color="auto"/>
            <w:color w:val="0000FF"/>
          </w:rPr>
          <w:t>SuRo Capital Corp. Amended and Restated 2019 Equity Incentive Plan</w:t>
        </w:r>
      </w:hyperlink>
      <w:r>
        <w:rPr>
          <w:rFonts w:ascii="Arial" w:cs="Arial" w:eastAsia="Arial" w:hAnsi="Arial"/>
          <w:sz w:val="20"/>
          <w:szCs w:val="20"/>
          <w:color w:val="000000"/>
          <w:vertAlign w:val="superscript"/>
        </w:rPr>
        <w:t>(8)</w:t>
      </w: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10.3</w:t>
      </w:r>
      <w:r>
        <w:rPr>
          <w:sz w:val="20"/>
          <w:szCs w:val="20"/>
          <w:color w:val="auto"/>
        </w:rPr>
        <w:tab/>
      </w:r>
      <w:hyperlink r:id="rId130">
        <w:r>
          <w:rPr>
            <w:rFonts w:ascii="Arial" w:cs="Arial" w:eastAsia="Arial" w:hAnsi="Arial"/>
            <w:sz w:val="16"/>
            <w:szCs w:val="16"/>
            <w:u w:val="single" w:color="auto"/>
            <w:color w:val="0000FF"/>
          </w:rPr>
          <w:t>Form of SuRo Capital Corp. Restricted Stock Agreement (Non-Employee Directors)</w:t>
        </w:r>
      </w:hyperlink>
      <w:r>
        <w:rPr>
          <w:rFonts w:ascii="Arial" w:cs="Arial" w:eastAsia="Arial" w:hAnsi="Arial"/>
          <w:sz w:val="20"/>
          <w:szCs w:val="20"/>
          <w:color w:val="000000"/>
          <w:vertAlign w:val="superscript"/>
        </w:rPr>
        <w:t>(8)</w:t>
      </w: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10.4</w:t>
      </w:r>
      <w:r>
        <w:rPr>
          <w:sz w:val="20"/>
          <w:szCs w:val="20"/>
          <w:color w:val="auto"/>
        </w:rPr>
        <w:tab/>
      </w:r>
      <w:hyperlink r:id="rId131">
        <w:r>
          <w:rPr>
            <w:rFonts w:ascii="Arial" w:cs="Arial" w:eastAsia="Arial" w:hAnsi="Arial"/>
            <w:sz w:val="16"/>
            <w:szCs w:val="16"/>
            <w:u w:val="single" w:color="auto"/>
            <w:color w:val="0000FF"/>
          </w:rPr>
          <w:t>Form of SuRo Capital Corp. Restricted Stock Agreement (Employees and Officers)</w:t>
        </w:r>
      </w:hyperlink>
      <w:r>
        <w:rPr>
          <w:rFonts w:ascii="Arial" w:cs="Arial" w:eastAsia="Arial" w:hAnsi="Arial"/>
          <w:sz w:val="20"/>
          <w:szCs w:val="20"/>
          <w:color w:val="000000"/>
          <w:vertAlign w:val="superscript"/>
        </w:rPr>
        <w:t>(8)</w:t>
      </w: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10.5</w:t>
      </w:r>
      <w:r>
        <w:rPr>
          <w:sz w:val="20"/>
          <w:szCs w:val="20"/>
          <w:color w:val="auto"/>
        </w:rPr>
        <w:tab/>
      </w:r>
      <w:hyperlink r:id="rId132">
        <w:r>
          <w:rPr>
            <w:rFonts w:ascii="Arial" w:cs="Arial" w:eastAsia="Arial" w:hAnsi="Arial"/>
            <w:sz w:val="16"/>
            <w:szCs w:val="16"/>
            <w:u w:val="single" w:color="auto"/>
            <w:color w:val="0000FF"/>
          </w:rPr>
          <w:t>Form of SuRo Capital Corp. Non-Qualified Stock Option Award</w:t>
        </w:r>
      </w:hyperlink>
      <w:r>
        <w:rPr>
          <w:rFonts w:ascii="Arial" w:cs="Arial" w:eastAsia="Arial" w:hAnsi="Arial"/>
          <w:sz w:val="20"/>
          <w:szCs w:val="20"/>
          <w:color w:val="000000"/>
          <w:vertAlign w:val="superscript"/>
        </w:rPr>
        <w:t>(8)</w:t>
      </w: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10.6</w:t>
      </w:r>
      <w:r>
        <w:rPr>
          <w:sz w:val="20"/>
          <w:szCs w:val="20"/>
          <w:color w:val="auto"/>
        </w:rPr>
        <w:tab/>
      </w:r>
      <w:hyperlink r:id="rId133">
        <w:r>
          <w:rPr>
            <w:rFonts w:ascii="Arial" w:cs="Arial" w:eastAsia="Arial" w:hAnsi="Arial"/>
            <w:sz w:val="16"/>
            <w:szCs w:val="16"/>
            <w:u w:val="single" w:color="auto"/>
            <w:color w:val="0000FF"/>
          </w:rPr>
          <w:t>Custody Agreement by and between the Company and U.S. Bank National Association</w:t>
        </w:r>
      </w:hyperlink>
      <w:r>
        <w:rPr>
          <w:rFonts w:ascii="Arial" w:cs="Arial" w:eastAsia="Arial" w:hAnsi="Arial"/>
          <w:sz w:val="20"/>
          <w:szCs w:val="20"/>
          <w:color w:val="000000"/>
          <w:vertAlign w:val="superscript"/>
        </w:rPr>
        <w:t>(9)</w:t>
      </w: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10.7</w:t>
      </w:r>
      <w:r>
        <w:rPr>
          <w:sz w:val="20"/>
          <w:szCs w:val="20"/>
          <w:color w:val="auto"/>
        </w:rPr>
        <w:tab/>
      </w:r>
      <w:hyperlink r:id="rId134">
        <w:r>
          <w:rPr>
            <w:rFonts w:ascii="Arial" w:cs="Arial" w:eastAsia="Arial" w:hAnsi="Arial"/>
            <w:sz w:val="16"/>
            <w:szCs w:val="16"/>
            <w:u w:val="single" w:color="auto"/>
            <w:color w:val="0000FF"/>
          </w:rPr>
          <w:t>Form of Indemnification Agreement by and between the Company and each of its directors</w:t>
        </w:r>
      </w:hyperlink>
      <w:r>
        <w:rPr>
          <w:rFonts w:ascii="Arial" w:cs="Arial" w:eastAsia="Arial" w:hAnsi="Arial"/>
          <w:sz w:val="20"/>
          <w:szCs w:val="20"/>
          <w:color w:val="000000"/>
          <w:vertAlign w:val="superscript"/>
        </w:rPr>
        <w:t>(1)</w:t>
      </w: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10.8</w:t>
      </w:r>
      <w:r>
        <w:rPr>
          <w:sz w:val="20"/>
          <w:szCs w:val="20"/>
          <w:color w:val="auto"/>
        </w:rPr>
        <w:tab/>
      </w:r>
      <w:hyperlink r:id="rId135">
        <w:r>
          <w:rPr>
            <w:rFonts w:ascii="Arial" w:cs="Arial" w:eastAsia="Arial" w:hAnsi="Arial"/>
            <w:sz w:val="16"/>
            <w:szCs w:val="16"/>
            <w:u w:val="single" w:color="auto"/>
            <w:color w:val="0000FF"/>
          </w:rPr>
          <w:t>Amended and Restated Employment Agreement, dated April 28, 2020, by and between Sutter Rock Capital Corp. and Mark D. Klein</w:t>
        </w:r>
      </w:hyperlink>
      <w:r>
        <w:rPr>
          <w:rFonts w:ascii="Arial" w:cs="Arial" w:eastAsia="Arial" w:hAnsi="Arial"/>
          <w:sz w:val="20"/>
          <w:szCs w:val="20"/>
          <w:color w:val="000000"/>
          <w:vertAlign w:val="superscript"/>
        </w:rPr>
        <w:t>(10)</w:t>
      </w: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10.9</w:t>
      </w:r>
      <w:r>
        <w:rPr>
          <w:sz w:val="20"/>
          <w:szCs w:val="20"/>
          <w:color w:val="auto"/>
        </w:rPr>
        <w:tab/>
      </w:r>
      <w:hyperlink r:id="rId136">
        <w:r>
          <w:rPr>
            <w:rFonts w:ascii="Arial" w:cs="Arial" w:eastAsia="Arial" w:hAnsi="Arial"/>
            <w:sz w:val="16"/>
            <w:szCs w:val="16"/>
            <w:u w:val="single" w:color="auto"/>
            <w:color w:val="0000FF"/>
          </w:rPr>
          <w:t>Amended and Restated Employment Agreement, dated April 28, 2020, by and between Sutter Rock Capital Corp. and Allison Green</w:t>
        </w:r>
      </w:hyperlink>
      <w:r>
        <w:rPr>
          <w:rFonts w:ascii="Arial" w:cs="Arial" w:eastAsia="Arial" w:hAnsi="Arial"/>
          <w:sz w:val="20"/>
          <w:szCs w:val="20"/>
          <w:color w:val="000000"/>
          <w:vertAlign w:val="superscript"/>
        </w:rPr>
        <w:t>(10)</w:t>
      </w:r>
    </w:p>
    <w:p>
      <w:pPr>
        <w:ind w:left="680" w:right="200" w:hanging="550"/>
        <w:spacing w:after="0" w:line="206" w:lineRule="auto"/>
        <w:tabs>
          <w:tab w:leader="none" w:pos="660" w:val="left"/>
        </w:tabs>
        <w:rPr>
          <w:rFonts w:ascii="Arial" w:cs="Arial" w:eastAsia="Arial" w:hAnsi="Arial"/>
          <w:sz w:val="18"/>
          <w:szCs w:val="18"/>
          <w:color w:val="0000FF"/>
        </w:rPr>
      </w:pPr>
      <w:r>
        <w:rPr>
          <w:rFonts w:ascii="Arial" w:cs="Arial" w:eastAsia="Arial" w:hAnsi="Arial"/>
          <w:sz w:val="18"/>
          <w:szCs w:val="18"/>
          <w:color w:val="auto"/>
        </w:rPr>
        <w:t>10.10</w:t>
      </w:r>
      <w:r>
        <w:rPr>
          <w:sz w:val="20"/>
          <w:szCs w:val="20"/>
          <w:color w:val="auto"/>
        </w:rPr>
        <w:tab/>
      </w:r>
      <w:hyperlink r:id="rId137">
        <w:r>
          <w:rPr>
            <w:rFonts w:ascii="Arial" w:cs="Arial" w:eastAsia="Arial" w:hAnsi="Arial"/>
            <w:sz w:val="18"/>
            <w:szCs w:val="18"/>
            <w:u w:val="single" w:color="auto"/>
            <w:color w:val="0000FF"/>
          </w:rPr>
          <w:t>At-the-Market Sales Agreement dated as of July 29, 2020, by and among SuRo Capital Corp., BTIG LLC, JMP Securities LLC, and Ladenburg</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Thalmann &amp; Co., Inc.</w:t>
        </w:r>
        <w:r>
          <w:rPr>
            <w:rFonts w:ascii="Arial" w:cs="Arial" w:eastAsia="Arial" w:hAnsi="Arial"/>
            <w:sz w:val="23"/>
            <w:szCs w:val="23"/>
            <w:color w:val="000000"/>
            <w:vertAlign w:val="superscript"/>
          </w:rPr>
          <w:t>(11)</w:t>
        </w:r>
      </w:hyperlink>
    </w:p>
    <w:p>
      <w:pPr>
        <w:ind w:left="680" w:right="220" w:hanging="547"/>
        <w:spacing w:after="0"/>
        <w:tabs>
          <w:tab w:leader="none" w:pos="660" w:val="left"/>
        </w:tabs>
        <w:rPr>
          <w:rFonts w:ascii="Arial" w:cs="Arial" w:eastAsia="Arial" w:hAnsi="Arial"/>
          <w:sz w:val="18"/>
          <w:szCs w:val="18"/>
          <w:color w:val="0000FF"/>
        </w:rPr>
      </w:pPr>
      <w:r>
        <w:rPr>
          <w:rFonts w:ascii="Arial" w:cs="Arial" w:eastAsia="Arial" w:hAnsi="Arial"/>
          <w:sz w:val="18"/>
          <w:szCs w:val="18"/>
          <w:color w:val="auto"/>
        </w:rPr>
        <w:t>10.11</w:t>
      </w:r>
      <w:r>
        <w:rPr>
          <w:sz w:val="20"/>
          <w:szCs w:val="20"/>
          <w:color w:val="auto"/>
        </w:rPr>
        <w:tab/>
      </w:r>
      <w:hyperlink r:id="rId138">
        <w:r>
          <w:rPr>
            <w:rFonts w:ascii="Arial" w:cs="Arial" w:eastAsia="Arial" w:hAnsi="Arial"/>
            <w:sz w:val="18"/>
            <w:szCs w:val="18"/>
            <w:u w:val="single" w:color="auto"/>
            <w:color w:val="0000FF"/>
          </w:rPr>
          <w:t>Amendment No.1 to the At-the-Market Sales Agreement, dated as of September 23, 2020, by and among SuRo Capital Corp., BTIG LLC, JMP</w:t>
        </w:r>
      </w:hyperlink>
      <w:r>
        <w:rPr>
          <w:rFonts w:ascii="Arial" w:cs="Arial" w:eastAsia="Arial" w:hAnsi="Arial"/>
          <w:sz w:val="18"/>
          <w:szCs w:val="18"/>
          <w:u w:val="single" w:color="auto"/>
          <w:color w:val="0000FF"/>
        </w:rPr>
        <w:t xml:space="preserve"> </w:t>
      </w:r>
      <w:hyperlink r:id="rId138">
        <w:r>
          <w:rPr>
            <w:rFonts w:ascii="Arial" w:cs="Arial" w:eastAsia="Arial" w:hAnsi="Arial"/>
            <w:sz w:val="18"/>
            <w:szCs w:val="18"/>
            <w:u w:val="single" w:color="auto"/>
            <w:color w:val="0000FF"/>
          </w:rPr>
          <w:t>Securities LLC, and Ladenburg Thalmann &amp; Co., Inc.</w:t>
        </w:r>
        <w:r>
          <w:rPr>
            <w:rFonts w:ascii="Arial" w:cs="Arial" w:eastAsia="Arial" w:hAnsi="Arial"/>
            <w:sz w:val="23"/>
            <w:szCs w:val="23"/>
            <w:color w:val="000000"/>
            <w:vertAlign w:val="superscript"/>
          </w:rPr>
          <w:t>(12)</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134" w:right="339" w:bottom="1440" w:gutter="0" w:footer="0" w:header="0"/>
        </w:sectPr>
      </w:pPr>
    </w:p>
    <w:bookmarkStart w:id="142" w:name="page143"/>
    <w:bookmarkEnd w:id="142"/>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14.1</w:t>
      </w:r>
      <w:r>
        <w:rPr>
          <w:sz w:val="20"/>
          <w:szCs w:val="20"/>
          <w:color w:val="auto"/>
        </w:rPr>
        <w:tab/>
      </w:r>
      <w:hyperlink r:id="rId139">
        <w:r>
          <w:rPr>
            <w:rFonts w:ascii="Arial" w:cs="Arial" w:eastAsia="Arial" w:hAnsi="Arial"/>
            <w:sz w:val="16"/>
            <w:szCs w:val="16"/>
            <w:u w:val="single" w:color="auto"/>
            <w:color w:val="0000FF"/>
          </w:rPr>
          <w:t>Code of Ethics</w:t>
        </w:r>
      </w:hyperlink>
      <w:r>
        <w:rPr>
          <w:rFonts w:ascii="Arial" w:cs="Arial" w:eastAsia="Arial" w:hAnsi="Arial"/>
          <w:sz w:val="20"/>
          <w:szCs w:val="20"/>
          <w:color w:val="000000"/>
          <w:vertAlign w:val="superscript"/>
        </w:rPr>
        <w:t>(13)</w:t>
      </w:r>
    </w:p>
    <w:p>
      <w:pPr>
        <w:spacing w:after="0" w:line="10" w:lineRule="exact"/>
        <w:rPr>
          <w:sz w:val="20"/>
          <w:szCs w:val="20"/>
          <w:color w:val="auto"/>
        </w:rPr>
      </w:pPr>
    </w:p>
    <w:p>
      <w:pPr>
        <w:ind w:left="180"/>
        <w:spacing w:after="0"/>
        <w:tabs>
          <w:tab w:leader="none" w:pos="660" w:val="left"/>
        </w:tabs>
        <w:rPr>
          <w:rFonts w:ascii="Arial" w:cs="Arial" w:eastAsia="Arial" w:hAnsi="Arial"/>
          <w:sz w:val="15"/>
          <w:szCs w:val="15"/>
          <w:u w:val="single" w:color="auto"/>
          <w:color w:val="0000FF"/>
        </w:rPr>
      </w:pPr>
      <w:r>
        <w:rPr>
          <w:rFonts w:ascii="Arial" w:cs="Arial" w:eastAsia="Arial" w:hAnsi="Arial"/>
          <w:sz w:val="18"/>
          <w:szCs w:val="18"/>
          <w:color w:val="auto"/>
        </w:rPr>
        <w:t>14.2</w:t>
      </w:r>
      <w:r>
        <w:rPr>
          <w:sz w:val="20"/>
          <w:szCs w:val="20"/>
          <w:color w:val="auto"/>
        </w:rPr>
        <w:tab/>
      </w:r>
      <w:hyperlink r:id="rId140">
        <w:r>
          <w:rPr>
            <w:rFonts w:ascii="Arial" w:cs="Arial" w:eastAsia="Arial" w:hAnsi="Arial"/>
            <w:sz w:val="15"/>
            <w:szCs w:val="15"/>
            <w:u w:val="single" w:color="auto"/>
            <w:color w:val="0000FF"/>
          </w:rPr>
          <w:t>Code of Business Conduct and Ethics</w:t>
        </w:r>
      </w:hyperlink>
      <w:r>
        <w:rPr>
          <w:rFonts w:ascii="Arial" w:cs="Arial" w:eastAsia="Arial" w:hAnsi="Arial"/>
          <w:sz w:val="19"/>
          <w:szCs w:val="19"/>
          <w:color w:val="000000"/>
          <w:vertAlign w:val="superscript"/>
        </w:rPr>
        <w:t>(13)</w:t>
      </w:r>
    </w:p>
    <w:p>
      <w:pPr>
        <w:spacing w:after="0" w:line="22" w:lineRule="exact"/>
        <w:rPr>
          <w:sz w:val="20"/>
          <w:szCs w:val="20"/>
          <w:color w:val="auto"/>
        </w:rPr>
      </w:pPr>
    </w:p>
    <w:p>
      <w:pPr>
        <w:ind w:left="180"/>
        <w:spacing w:after="0"/>
        <w:tabs>
          <w:tab w:leader="none" w:pos="6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(Included in the notes to the consolidated financial statements contained in this report)*</w:t>
      </w:r>
    </w:p>
    <w:p>
      <w:pPr>
        <w:spacing w:after="0" w:line="7" w:lineRule="exact"/>
        <w:rPr>
          <w:sz w:val="20"/>
          <w:szCs w:val="20"/>
          <w:color w:val="auto"/>
        </w:rPr>
      </w:pPr>
    </w:p>
    <w:p>
      <w:pPr>
        <w:ind w:left="180"/>
        <w:spacing w:after="0"/>
        <w:tabs>
          <w:tab w:leader="none" w:pos="660" w:val="left"/>
        </w:tabs>
        <w:rPr>
          <w:rFonts w:ascii="Arial" w:cs="Arial" w:eastAsia="Arial" w:hAnsi="Arial"/>
          <w:sz w:val="17"/>
          <w:szCs w:val="17"/>
          <w:u w:val="single" w:color="auto"/>
          <w:color w:val="0000FF"/>
        </w:rPr>
      </w:pPr>
      <w:r>
        <w:rPr>
          <w:rFonts w:ascii="Arial" w:cs="Arial" w:eastAsia="Arial" w:hAnsi="Arial"/>
          <w:sz w:val="18"/>
          <w:szCs w:val="18"/>
          <w:color w:val="auto"/>
        </w:rPr>
        <w:t>23.1</w:t>
      </w:r>
      <w:r>
        <w:rPr>
          <w:sz w:val="20"/>
          <w:szCs w:val="20"/>
          <w:color w:val="auto"/>
        </w:rPr>
        <w:tab/>
      </w:r>
      <w:hyperlink w:anchor="page151">
        <w:r>
          <w:rPr>
            <w:rFonts w:ascii="Arial" w:cs="Arial" w:eastAsia="Arial" w:hAnsi="Arial"/>
            <w:sz w:val="17"/>
            <w:szCs w:val="17"/>
            <w:u w:val="single" w:color="auto"/>
            <w:color w:val="0000FF"/>
          </w:rPr>
          <w:t>Consent of Marcum LLP</w:t>
        </w:r>
      </w:hyperlink>
      <w:r>
        <w:rPr>
          <w:rFonts w:ascii="Arial" w:cs="Arial" w:eastAsia="Arial" w:hAnsi="Arial"/>
          <w:sz w:val="17"/>
          <w:szCs w:val="17"/>
          <w:color w:val="000000"/>
        </w:rPr>
        <w:t>*</w:t>
      </w:r>
    </w:p>
    <w:p>
      <w:pPr>
        <w:spacing w:after="0" w:line="23"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23.2</w:t>
      </w:r>
      <w:r>
        <w:rPr>
          <w:sz w:val="20"/>
          <w:szCs w:val="20"/>
          <w:color w:val="auto"/>
        </w:rPr>
        <w:tab/>
      </w:r>
      <w:hyperlink w:anchor="page152">
        <w:r>
          <w:rPr>
            <w:rFonts w:ascii="Arial" w:cs="Arial" w:eastAsia="Arial" w:hAnsi="Arial"/>
            <w:sz w:val="16"/>
            <w:szCs w:val="16"/>
            <w:u w:val="single" w:color="auto"/>
            <w:color w:val="0000FF"/>
          </w:rPr>
          <w:t>Consent of Deloitte &amp; Touche LLP</w:t>
        </w:r>
      </w:hyperlink>
      <w:r>
        <w:rPr>
          <w:rFonts w:ascii="Arial" w:cs="Arial" w:eastAsia="Arial" w:hAnsi="Arial"/>
          <w:sz w:val="16"/>
          <w:szCs w:val="16"/>
          <w:color w:val="000000"/>
        </w:rPr>
        <w:t>*</w:t>
      </w:r>
    </w:p>
    <w:p>
      <w:pPr>
        <w:spacing w:after="0" w:line="23"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53">
        <w:r>
          <w:rPr>
            <w:rFonts w:ascii="Arial" w:cs="Arial" w:eastAsia="Arial" w:hAnsi="Arial"/>
            <w:sz w:val="16"/>
            <w:szCs w:val="16"/>
            <w:u w:val="single" w:color="auto"/>
            <w:color w:val="0000FF"/>
          </w:rPr>
          <w:t>Certification of Chief Executive Officer pursuant to Rule 13a-14 of the Securities Exchange Act of 1934, as amended*</w:t>
        </w:r>
      </w:hyperlink>
    </w:p>
    <w:p>
      <w:pPr>
        <w:spacing w:after="0" w:line="23"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54">
        <w:r>
          <w:rPr>
            <w:rFonts w:ascii="Arial" w:cs="Arial" w:eastAsia="Arial" w:hAnsi="Arial"/>
            <w:sz w:val="16"/>
            <w:szCs w:val="16"/>
            <w:u w:val="single" w:color="auto"/>
            <w:color w:val="0000FF"/>
          </w:rPr>
          <w:t>Certification of Chief Financial Officer pursuant to Rule 13a-14 of the Securities Exchange Act of 1934, as amended*</w:t>
        </w:r>
      </w:hyperlink>
    </w:p>
    <w:p>
      <w:pPr>
        <w:spacing w:after="0" w:line="49"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32.1</w:t>
      </w:r>
      <w:r>
        <w:rPr>
          <w:sz w:val="20"/>
          <w:szCs w:val="20"/>
          <w:color w:val="auto"/>
        </w:rPr>
        <w:tab/>
      </w:r>
      <w:hyperlink w:anchor="page155">
        <w:r>
          <w:rPr>
            <w:rFonts w:ascii="Arial" w:cs="Arial" w:eastAsia="Arial" w:hAnsi="Arial"/>
            <w:sz w:val="16"/>
            <w:szCs w:val="16"/>
            <w:u w:val="single" w:color="auto"/>
            <w:color w:val="0000FF"/>
          </w:rPr>
          <w:t>Certification of Chief Executive Officer pursuant to Section 906 of the Sarbanes-Oxley Act of 2002*</w:t>
        </w:r>
      </w:hyperlink>
    </w:p>
    <w:p>
      <w:pPr>
        <w:spacing w:after="0" w:line="23"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32.2</w:t>
      </w:r>
      <w:r>
        <w:rPr>
          <w:sz w:val="20"/>
          <w:szCs w:val="20"/>
          <w:color w:val="auto"/>
        </w:rPr>
        <w:tab/>
      </w:r>
      <w:hyperlink w:anchor="page156">
        <w:r>
          <w:rPr>
            <w:rFonts w:ascii="Arial" w:cs="Arial" w:eastAsia="Arial" w:hAnsi="Arial"/>
            <w:sz w:val="16"/>
            <w:szCs w:val="16"/>
            <w:u w:val="single" w:color="auto"/>
            <w:color w:val="0000FF"/>
          </w:rPr>
          <w:t>Certification of Chief Financial Officer pursuant to Section 906 of the Sarbanes-Oxley Act of 2002*</w:t>
        </w:r>
      </w:hyperlink>
    </w:p>
    <w:p>
      <w:pPr>
        <w:spacing w:after="0" w:line="49"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99.1</w:t>
      </w:r>
      <w:r>
        <w:rPr>
          <w:sz w:val="20"/>
          <w:szCs w:val="20"/>
          <w:color w:val="auto"/>
        </w:rPr>
        <w:tab/>
      </w:r>
      <w:hyperlink w:anchor="page157">
        <w:r>
          <w:rPr>
            <w:rFonts w:ascii="Arial" w:cs="Arial" w:eastAsia="Arial" w:hAnsi="Arial"/>
            <w:sz w:val="16"/>
            <w:szCs w:val="16"/>
            <w:u w:val="single" w:color="auto"/>
            <w:color w:val="0000FF"/>
          </w:rPr>
          <w:t>Report of Marcum LLP regarding the Senior Securities table</w:t>
        </w:r>
      </w:hyperlink>
      <w:r>
        <w:rPr>
          <w:rFonts w:ascii="Arial" w:cs="Arial" w:eastAsia="Arial" w:hAnsi="Arial"/>
          <w:sz w:val="16"/>
          <w:szCs w:val="16"/>
          <w:color w:val="000000"/>
        </w:rPr>
        <w:t>*</w:t>
      </w:r>
    </w:p>
    <w:p>
      <w:pPr>
        <w:spacing w:after="0" w:line="21" w:lineRule="exact"/>
        <w:rPr>
          <w:sz w:val="20"/>
          <w:szCs w:val="20"/>
          <w:color w:val="auto"/>
        </w:rPr>
      </w:pPr>
    </w:p>
    <w:p>
      <w:pPr>
        <w:ind w:left="180"/>
        <w:spacing w:after="0"/>
        <w:tabs>
          <w:tab w:leader="none" w:pos="660" w:val="left"/>
        </w:tabs>
        <w:rPr>
          <w:rFonts w:ascii="Arial" w:cs="Arial" w:eastAsia="Arial" w:hAnsi="Arial"/>
          <w:sz w:val="16"/>
          <w:szCs w:val="16"/>
          <w:u w:val="single" w:color="auto"/>
          <w:color w:val="0000FF"/>
        </w:rPr>
      </w:pPr>
      <w:r>
        <w:rPr>
          <w:rFonts w:ascii="Arial" w:cs="Arial" w:eastAsia="Arial" w:hAnsi="Arial"/>
          <w:sz w:val="18"/>
          <w:szCs w:val="18"/>
          <w:color w:val="auto"/>
        </w:rPr>
        <w:t>99.2</w:t>
      </w:r>
      <w:r>
        <w:rPr>
          <w:sz w:val="20"/>
          <w:szCs w:val="20"/>
          <w:color w:val="auto"/>
        </w:rPr>
        <w:tab/>
      </w:r>
      <w:hyperlink r:id="rId141">
        <w:r>
          <w:rPr>
            <w:rFonts w:ascii="Arial" w:cs="Arial" w:eastAsia="Arial" w:hAnsi="Arial"/>
            <w:sz w:val="16"/>
            <w:szCs w:val="16"/>
            <w:u w:val="single" w:color="auto"/>
            <w:color w:val="0000FF"/>
          </w:rPr>
          <w:t>Report of Deloitte &amp; Touche LLP regarding the Senior Securities table</w:t>
        </w:r>
      </w:hyperlink>
      <w:r>
        <w:rPr>
          <w:rFonts w:ascii="Arial" w:cs="Arial" w:eastAsia="Arial" w:hAnsi="Arial"/>
          <w:sz w:val="25"/>
          <w:szCs w:val="25"/>
          <w:color w:val="000000"/>
          <w:vertAlign w:val="superscript"/>
        </w:rPr>
        <w:t>(6)</w:t>
      </w:r>
    </w:p>
    <w:p>
      <w:pPr>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0"/>
          <w:szCs w:val="20"/>
          <w:color w:val="auto"/>
        </w:rPr>
      </w:pPr>
    </w:p>
    <w:p>
      <w:pPr>
        <w:ind w:left="500" w:right="120" w:hanging="492"/>
        <w:spacing w:after="0" w:line="235" w:lineRule="auto"/>
        <w:tabs>
          <w:tab w:leader="none" w:pos="4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2 to the Registrant’s Registration Statement on Form N-2 (File No. 333-171578), filed on March 30, 2011, and incorporated by reference herein.</w:t>
      </w:r>
    </w:p>
    <w:p>
      <w:pPr>
        <w:spacing w:after="0" w:line="1" w:lineRule="exact"/>
        <w:rPr>
          <w:rFonts w:ascii="Arial" w:cs="Arial" w:eastAsia="Arial" w:hAnsi="Arial"/>
          <w:sz w:val="18"/>
          <w:szCs w:val="18"/>
          <w:color w:val="auto"/>
        </w:rPr>
      </w:pPr>
    </w:p>
    <w:p>
      <w:pPr>
        <w:ind w:left="500" w:right="240" w:hanging="492"/>
        <w:spacing w:after="0" w:line="243" w:lineRule="auto"/>
        <w:tabs>
          <w:tab w:leader="none" w:pos="4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 2011, and incorporated by reference herein.</w:t>
      </w:r>
    </w:p>
    <w:p>
      <w:pPr>
        <w:spacing w:after="0" w:line="212" w:lineRule="exact"/>
        <w:rPr>
          <w:rFonts w:ascii="Arial" w:cs="Arial" w:eastAsia="Arial" w:hAnsi="Arial"/>
          <w:sz w:val="18"/>
          <w:szCs w:val="18"/>
          <w:color w:val="auto"/>
        </w:rPr>
      </w:pPr>
    </w:p>
    <w:p>
      <w:pPr>
        <w:ind w:left="500" w:right="100" w:hanging="492"/>
        <w:spacing w:after="0" w:line="261" w:lineRule="auto"/>
        <w:tabs>
          <w:tab w:leader="none" w:pos="4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1, 2019, and incorporated by reference herein.</w:t>
      </w:r>
    </w:p>
    <w:p>
      <w:pPr>
        <w:spacing w:after="0" w:line="197" w:lineRule="exact"/>
        <w:rPr>
          <w:rFonts w:ascii="Arial" w:cs="Arial" w:eastAsia="Arial" w:hAnsi="Arial"/>
          <w:sz w:val="18"/>
          <w:szCs w:val="18"/>
          <w:color w:val="auto"/>
        </w:rPr>
      </w:pPr>
    </w:p>
    <w:p>
      <w:pPr>
        <w:ind w:left="500" w:right="140" w:hanging="492"/>
        <w:spacing w:after="0" w:line="261" w:lineRule="auto"/>
        <w:tabs>
          <w:tab w:leader="none" w:pos="4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June 16, 2020, and incorporated by reference herein.</w:t>
      </w:r>
    </w:p>
    <w:p>
      <w:pPr>
        <w:spacing w:after="0" w:line="197" w:lineRule="exact"/>
        <w:rPr>
          <w:rFonts w:ascii="Arial" w:cs="Arial" w:eastAsia="Arial" w:hAnsi="Arial"/>
          <w:sz w:val="18"/>
          <w:szCs w:val="18"/>
          <w:color w:val="auto"/>
        </w:rPr>
      </w:pPr>
    </w:p>
    <w:p>
      <w:pPr>
        <w:ind w:left="500" w:right="60" w:hanging="492"/>
        <w:spacing w:after="0" w:line="261" w:lineRule="auto"/>
        <w:tabs>
          <w:tab w:leader="none" w:pos="4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333-175655), filed on September 20, 2011, and incorporated by reference herein.</w:t>
      </w:r>
    </w:p>
    <w:p>
      <w:pPr>
        <w:spacing w:after="0" w:line="197" w:lineRule="exact"/>
        <w:rPr>
          <w:rFonts w:ascii="Arial" w:cs="Arial" w:eastAsia="Arial" w:hAnsi="Arial"/>
          <w:sz w:val="18"/>
          <w:szCs w:val="18"/>
          <w:color w:val="auto"/>
        </w:rPr>
      </w:pPr>
    </w:p>
    <w:p>
      <w:pPr>
        <w:ind w:left="500" w:right="820" w:hanging="492"/>
        <w:spacing w:after="0" w:line="261" w:lineRule="auto"/>
        <w:tabs>
          <w:tab w:leader="none" w:pos="4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Registration Statement on Form N-2 (File No. 333-239681), filed on July 2, 2020 and incorporated by reference herein.</w:t>
      </w:r>
    </w:p>
    <w:p>
      <w:pPr>
        <w:spacing w:after="0" w:line="197" w:lineRule="exact"/>
        <w:rPr>
          <w:rFonts w:ascii="Arial" w:cs="Arial" w:eastAsia="Arial" w:hAnsi="Arial"/>
          <w:sz w:val="18"/>
          <w:szCs w:val="18"/>
          <w:color w:val="auto"/>
        </w:rPr>
      </w:pPr>
    </w:p>
    <w:p>
      <w:pPr>
        <w:ind w:left="500" w:hanging="492"/>
        <w:spacing w:after="0" w:line="261" w:lineRule="auto"/>
        <w:tabs>
          <w:tab w:leader="none" w:pos="4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Post-Effective Amendment No. 3 to the Registrant’s Registration Statement on Form N-2 (File No. 333-191307), filed on March 28, 2018, and incorporated herein by reference.</w:t>
      </w:r>
    </w:p>
    <w:p>
      <w:pPr>
        <w:spacing w:after="0" w:line="197" w:lineRule="exact"/>
        <w:rPr>
          <w:rFonts w:ascii="Arial" w:cs="Arial" w:eastAsia="Arial" w:hAnsi="Arial"/>
          <w:sz w:val="18"/>
          <w:szCs w:val="18"/>
          <w:color w:val="auto"/>
        </w:rPr>
      </w:pPr>
    </w:p>
    <w:p>
      <w:pPr>
        <w:ind w:left="500" w:right="880" w:hanging="492"/>
        <w:spacing w:after="0" w:line="261" w:lineRule="auto"/>
        <w:tabs>
          <w:tab w:leader="none" w:pos="40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Registration Statement on Form S-8 (File No. 333-239662) filed on July 2, 2020, and incorporated by reference herein.</w:t>
      </w:r>
    </w:p>
    <w:p>
      <w:pPr>
        <w:spacing w:after="0" w:line="197" w:lineRule="exact"/>
        <w:rPr>
          <w:rFonts w:ascii="Arial" w:cs="Arial" w:eastAsia="Arial" w:hAnsi="Arial"/>
          <w:sz w:val="18"/>
          <w:szCs w:val="18"/>
          <w:color w:val="auto"/>
        </w:rPr>
      </w:pPr>
    </w:p>
    <w:p>
      <w:pPr>
        <w:ind w:left="500" w:right="60" w:hanging="492"/>
        <w:spacing w:after="0" w:line="261" w:lineRule="auto"/>
        <w:tabs>
          <w:tab w:leader="none" w:pos="449"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Pre-Effective Amendment No. 3 to the Registrant’s Registration Statement on Form N-2 (File No. 333-171578), filed on April 15, 2011, and incorporated by reference herein.</w:t>
      </w:r>
    </w:p>
    <w:p>
      <w:pPr>
        <w:spacing w:after="0" w:line="197" w:lineRule="exact"/>
        <w:rPr>
          <w:rFonts w:ascii="Arial" w:cs="Arial" w:eastAsia="Arial" w:hAnsi="Arial"/>
          <w:sz w:val="18"/>
          <w:szCs w:val="18"/>
          <w:color w:val="auto"/>
        </w:rPr>
      </w:pPr>
    </w:p>
    <w:p>
      <w:pPr>
        <w:ind w:left="500" w:right="140" w:hanging="492"/>
        <w:spacing w:after="0" w:line="261" w:lineRule="auto"/>
        <w:tabs>
          <w:tab w:leader="none" w:pos="539"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Quarterly Report on Form 10-Q (File No. 814-00852), filed on May 8, 2020 and incorporated by reference herein.</w:t>
      </w:r>
    </w:p>
    <w:p>
      <w:pPr>
        <w:spacing w:after="0" w:line="197" w:lineRule="exact"/>
        <w:rPr>
          <w:rFonts w:ascii="Arial" w:cs="Arial" w:eastAsia="Arial" w:hAnsi="Arial"/>
          <w:sz w:val="18"/>
          <w:szCs w:val="18"/>
          <w:color w:val="auto"/>
        </w:rPr>
      </w:pPr>
    </w:p>
    <w:p>
      <w:pPr>
        <w:ind w:left="500" w:right="20" w:hanging="492"/>
        <w:spacing w:after="0" w:line="261" w:lineRule="auto"/>
        <w:tabs>
          <w:tab w:leader="none" w:pos="5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August 3, 2020 and incorporated by reference herein.</w:t>
      </w:r>
    </w:p>
    <w:p>
      <w:pPr>
        <w:spacing w:after="0" w:line="197" w:lineRule="exact"/>
        <w:rPr>
          <w:rFonts w:ascii="Arial" w:cs="Arial" w:eastAsia="Arial" w:hAnsi="Arial"/>
          <w:sz w:val="18"/>
          <w:szCs w:val="18"/>
          <w:color w:val="auto"/>
        </w:rPr>
      </w:pPr>
    </w:p>
    <w:p>
      <w:pPr>
        <w:ind w:left="500" w:right="840" w:hanging="492"/>
        <w:spacing w:after="0" w:line="261" w:lineRule="auto"/>
        <w:tabs>
          <w:tab w:leader="none" w:pos="539"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Current Report on Form 8-K (File No. 814-00852) filed on September 23, 2020 and incorporated by reference herein.</w:t>
      </w:r>
    </w:p>
    <w:p>
      <w:pPr>
        <w:spacing w:after="0" w:line="197" w:lineRule="exact"/>
        <w:rPr>
          <w:rFonts w:ascii="Arial" w:cs="Arial" w:eastAsia="Arial" w:hAnsi="Arial"/>
          <w:sz w:val="18"/>
          <w:szCs w:val="18"/>
          <w:color w:val="auto"/>
        </w:rPr>
      </w:pPr>
    </w:p>
    <w:p>
      <w:pPr>
        <w:ind w:left="500" w:right="120" w:hanging="492"/>
        <w:spacing w:after="0" w:line="261" w:lineRule="auto"/>
        <w:tabs>
          <w:tab w:leader="none" w:pos="494"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Previously filed in connection with the Registrant’s Annual Report on Form 10-K (File No. 814-00852), filed on March 13, 2020 and incorporated by reference herein.</w:t>
      </w:r>
    </w:p>
    <w:p>
      <w:pPr>
        <w:spacing w:after="0" w:line="198"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48"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160"/>
          </w:cols>
          <w:pgMar w:left="320" w:top="102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60"/>
          </w:cols>
          <w:pgMar w:left="320" w:top="1024" w:right="419" w:bottom="1440" w:gutter="0" w:footer="0" w:header="0"/>
          <w:type w:val="continuous"/>
        </w:sectPr>
      </w:pPr>
    </w:p>
    <w:bookmarkStart w:id="143" w:name="page144"/>
    <w:bookmarkEnd w:id="14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SURO CAPITAL CORP.</w:t>
      </w:r>
    </w:p>
    <w:p>
      <w:pPr>
        <w:spacing w:after="0" w:line="297" w:lineRule="exact"/>
        <w:rPr>
          <w:sz w:val="20"/>
          <w:szCs w:val="20"/>
          <w:color w:val="auto"/>
        </w:rPr>
      </w:pPr>
    </w:p>
    <w:p>
      <w:pPr>
        <w:ind w:left="60"/>
        <w:spacing w:after="0"/>
        <w:tabs>
          <w:tab w:leader="none" w:pos="700" w:val="left"/>
          <w:tab w:leader="none" w:pos="5480" w:val="left"/>
          <w:tab w:leader="none" w:pos="6000" w:val="left"/>
        </w:tabs>
        <w:rPr>
          <w:sz w:val="20"/>
          <w:szCs w:val="20"/>
          <w:color w:val="auto"/>
        </w:rPr>
      </w:pPr>
      <w:r>
        <w:rPr>
          <w:rFonts w:ascii="Arial" w:cs="Arial" w:eastAsia="Arial" w:hAnsi="Arial"/>
          <w:sz w:val="18"/>
          <w:szCs w:val="18"/>
          <w:color w:val="auto"/>
        </w:rPr>
        <w:t>Date:</w:t>
        <w:tab/>
        <w:t>March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Mark D. Klein</w:t>
      </w:r>
    </w:p>
    <w:p>
      <w:pPr>
        <w:spacing w:after="0" w:line="2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60"/>
        <w:spacing w:after="0"/>
        <w:tabs>
          <w:tab w:leader="none" w:pos="700" w:val="left"/>
          <w:tab w:leader="none" w:pos="5480" w:val="left"/>
          <w:tab w:leader="none" w:pos="6000" w:val="left"/>
        </w:tabs>
        <w:rPr>
          <w:sz w:val="20"/>
          <w:szCs w:val="20"/>
          <w:color w:val="auto"/>
        </w:rPr>
      </w:pPr>
      <w:r>
        <w:rPr>
          <w:rFonts w:ascii="Arial" w:cs="Arial" w:eastAsia="Arial" w:hAnsi="Arial"/>
          <w:sz w:val="18"/>
          <w:szCs w:val="18"/>
          <w:color w:val="auto"/>
        </w:rPr>
        <w:t>Date:</w:t>
        <w:tab/>
        <w:t>March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14605</wp:posOffset>
            </wp:positionV>
            <wp:extent cx="33261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12"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Allison Green</w:t>
      </w:r>
    </w:p>
    <w:p>
      <w:pPr>
        <w:spacing w:after="0" w:line="1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 Chief Compliance Officer, Treasurer, and</w:t>
      </w:r>
    </w:p>
    <w:p>
      <w:pPr>
        <w:ind w:left="6020"/>
        <w:spacing w:after="0"/>
        <w:rPr>
          <w:sz w:val="20"/>
          <w:szCs w:val="20"/>
          <w:color w:val="auto"/>
        </w:rPr>
      </w:pPr>
      <w:r>
        <w:rPr>
          <w:rFonts w:ascii="Arial" w:cs="Arial" w:eastAsia="Arial" w:hAnsi="Arial"/>
          <w:sz w:val="18"/>
          <w:szCs w:val="18"/>
          <w:color w:val="auto"/>
        </w:rPr>
        <w:t>Corporate Secretary</w:t>
      </w:r>
    </w:p>
    <w:p>
      <w:pPr>
        <w:spacing w:after="0" w:line="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380" w:firstLine="36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71"/>
        </w:trPr>
        <w:tc>
          <w:tcPr>
            <w:tcW w:w="3020" w:type="dxa"/>
            <w:vAlign w:val="bottom"/>
          </w:tcPr>
          <w:p>
            <w:pPr>
              <w:spacing w:after="0"/>
              <w:rPr>
                <w:sz w:val="20"/>
                <w:szCs w:val="20"/>
                <w:color w:val="auto"/>
              </w:rPr>
            </w:pPr>
            <w:r>
              <w:rPr>
                <w:rFonts w:ascii="Arial" w:cs="Arial" w:eastAsia="Arial" w:hAnsi="Arial"/>
                <w:sz w:val="18"/>
                <w:szCs w:val="18"/>
                <w:color w:val="auto"/>
              </w:rPr>
              <w:t>Date: March 12, 2021</w:t>
            </w:r>
          </w:p>
        </w:tc>
        <w:tc>
          <w:tcPr>
            <w:tcW w:w="1720" w:type="dxa"/>
            <w:vAlign w:val="bottom"/>
          </w:tcPr>
          <w:p>
            <w:pPr>
              <w:ind w:left="1440"/>
              <w:spacing w:after="0"/>
              <w:rPr>
                <w:sz w:val="20"/>
                <w:szCs w:val="20"/>
                <w:color w:val="auto"/>
              </w:rPr>
            </w:pPr>
            <w:r>
              <w:rPr>
                <w:rFonts w:ascii="Arial" w:cs="Arial" w:eastAsia="Arial" w:hAnsi="Arial"/>
                <w:sz w:val="18"/>
                <w:szCs w:val="18"/>
                <w:color w:val="auto"/>
                <w:w w:val="99"/>
              </w:rPr>
              <w:t>By:</w:t>
            </w:r>
          </w:p>
        </w:tc>
        <w:tc>
          <w:tcPr>
            <w:tcW w:w="6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Mark D. Klein</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6440" w:type="dxa"/>
            <w:vAlign w:val="bottom"/>
          </w:tcPr>
          <w:p>
            <w:pPr>
              <w:jc w:val="center"/>
              <w:spacing w:after="0"/>
              <w:rPr>
                <w:sz w:val="20"/>
                <w:szCs w:val="20"/>
                <w:color w:val="auto"/>
              </w:rPr>
            </w:pPr>
            <w:r>
              <w:rPr>
                <w:rFonts w:ascii="Arial" w:cs="Arial" w:eastAsia="Arial" w:hAnsi="Arial"/>
                <w:sz w:val="18"/>
                <w:szCs w:val="18"/>
                <w:b w:val="1"/>
                <w:bCs w:val="1"/>
                <w:color w:val="auto"/>
                <w:w w:val="98"/>
              </w:rPr>
              <w:t>Mark D. Klein</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40" w:type="dxa"/>
            <w:vAlign w:val="bottom"/>
          </w:tcPr>
          <w:p>
            <w:pPr>
              <w:jc w:val="center"/>
              <w:spacing w:after="0" w:line="176" w:lineRule="exact"/>
              <w:rPr>
                <w:sz w:val="20"/>
                <w:szCs w:val="20"/>
                <w:color w:val="auto"/>
              </w:rPr>
            </w:pPr>
            <w:r>
              <w:rPr>
                <w:rFonts w:ascii="Arial" w:cs="Arial" w:eastAsia="Arial" w:hAnsi="Arial"/>
                <w:sz w:val="18"/>
                <w:szCs w:val="18"/>
                <w:color w:val="auto"/>
                <w:w w:val="91"/>
              </w:rPr>
              <w:t>Chairman, President and Chief Executive Officer</w:t>
            </w:r>
          </w:p>
        </w:tc>
        <w:tc>
          <w:tcPr>
            <w:tcW w:w="0" w:type="dxa"/>
            <w:vAlign w:val="bottom"/>
          </w:tcPr>
          <w:p>
            <w:pPr>
              <w:spacing w:after="0"/>
              <w:rPr>
                <w:sz w:val="1"/>
                <w:szCs w:val="1"/>
                <w:color w:val="auto"/>
              </w:rPr>
            </w:pPr>
          </w:p>
        </w:tc>
      </w:tr>
      <w:tr>
        <w:trPr>
          <w:trHeight w:val="230"/>
        </w:trPr>
        <w:tc>
          <w:tcPr>
            <w:tcW w:w="3020" w:type="dxa"/>
            <w:vAlign w:val="bottom"/>
            <w:vMerge w:val="restart"/>
          </w:tcPr>
          <w:p>
            <w:pPr>
              <w:spacing w:after="0"/>
              <w:rPr>
                <w:sz w:val="20"/>
                <w:szCs w:val="20"/>
                <w:color w:val="auto"/>
              </w:rPr>
            </w:pPr>
            <w:r>
              <w:rPr>
                <w:rFonts w:ascii="Arial" w:cs="Arial" w:eastAsia="Arial" w:hAnsi="Arial"/>
                <w:sz w:val="18"/>
                <w:szCs w:val="18"/>
                <w:color w:val="auto"/>
              </w:rPr>
              <w:t>Date: March 12, 2021</w:t>
            </w:r>
          </w:p>
        </w:tc>
        <w:tc>
          <w:tcPr>
            <w:tcW w:w="1720" w:type="dxa"/>
            <w:vAlign w:val="bottom"/>
            <w:vMerge w:val="restart"/>
          </w:tcPr>
          <w:p>
            <w:pPr>
              <w:ind w:left="1440"/>
              <w:spacing w:after="0"/>
              <w:rPr>
                <w:sz w:val="20"/>
                <w:szCs w:val="20"/>
                <w:color w:val="auto"/>
              </w:rPr>
            </w:pPr>
            <w:r>
              <w:rPr>
                <w:rFonts w:ascii="Arial" w:cs="Arial" w:eastAsia="Arial" w:hAnsi="Arial"/>
                <w:sz w:val="18"/>
                <w:szCs w:val="18"/>
                <w:color w:val="auto"/>
                <w:w w:val="99"/>
              </w:rPr>
              <w:t>By:</w:t>
            </w:r>
          </w:p>
        </w:tc>
        <w:tc>
          <w:tcPr>
            <w:tcW w:w="644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c>
          <w:tcPr>
            <w:tcW w:w="0" w:type="dxa"/>
            <w:vAlign w:val="bottom"/>
          </w:tcPr>
          <w:p>
            <w:pPr>
              <w:spacing w:after="0"/>
              <w:rPr>
                <w:sz w:val="1"/>
                <w:szCs w:val="1"/>
                <w:color w:val="auto"/>
              </w:rPr>
            </w:pPr>
          </w:p>
        </w:tc>
      </w:tr>
      <w:tr>
        <w:trPr>
          <w:trHeight w:val="269"/>
        </w:trPr>
        <w:tc>
          <w:tcPr>
            <w:tcW w:w="3020" w:type="dxa"/>
            <w:vAlign w:val="bottom"/>
            <w:vMerge w:val="continue"/>
          </w:tcPr>
          <w:p>
            <w:pPr>
              <w:spacing w:after="0"/>
              <w:rPr>
                <w:sz w:val="23"/>
                <w:szCs w:val="23"/>
                <w:color w:val="auto"/>
              </w:rPr>
            </w:pPr>
          </w:p>
        </w:tc>
        <w:tc>
          <w:tcPr>
            <w:tcW w:w="1720" w:type="dxa"/>
            <w:vAlign w:val="bottom"/>
            <w:vMerge w:val="continue"/>
          </w:tcPr>
          <w:p>
            <w:pPr>
              <w:spacing w:after="0"/>
              <w:rPr>
                <w:sz w:val="23"/>
                <w:szCs w:val="23"/>
                <w:color w:val="auto"/>
              </w:rPr>
            </w:pPr>
          </w:p>
        </w:tc>
        <w:tc>
          <w:tcPr>
            <w:tcW w:w="6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Allison Green</w:t>
            </w:r>
          </w:p>
        </w:tc>
        <w:tc>
          <w:tcPr>
            <w:tcW w:w="0" w:type="dxa"/>
            <w:vAlign w:val="bottom"/>
          </w:tcPr>
          <w:p>
            <w:pPr>
              <w:spacing w:after="0"/>
              <w:rPr>
                <w:sz w:val="1"/>
                <w:szCs w:val="1"/>
                <w:color w:val="auto"/>
              </w:rPr>
            </w:pPr>
          </w:p>
        </w:tc>
      </w:tr>
      <w:tr>
        <w:trPr>
          <w:trHeight w:val="385"/>
        </w:trPr>
        <w:tc>
          <w:tcPr>
            <w:tcW w:w="30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440" w:type="dxa"/>
            <w:vAlign w:val="bottom"/>
          </w:tcPr>
          <w:p>
            <w:pPr>
              <w:jc w:val="center"/>
              <w:spacing w:after="0"/>
              <w:rPr>
                <w:sz w:val="20"/>
                <w:szCs w:val="20"/>
                <w:color w:val="auto"/>
              </w:rPr>
            </w:pPr>
            <w:r>
              <w:rPr>
                <w:rFonts w:ascii="Arial" w:cs="Arial" w:eastAsia="Arial" w:hAnsi="Arial"/>
                <w:sz w:val="18"/>
                <w:szCs w:val="18"/>
                <w:b w:val="1"/>
                <w:bCs w:val="1"/>
                <w:color w:val="auto"/>
                <w:w w:val="92"/>
              </w:rPr>
              <w:t>Allison Green</w:t>
            </w:r>
          </w:p>
        </w:tc>
        <w:tc>
          <w:tcPr>
            <w:tcW w:w="0" w:type="dxa"/>
            <w:vAlign w:val="bottom"/>
          </w:tcPr>
          <w:p>
            <w:pPr>
              <w:spacing w:after="0"/>
              <w:rPr>
                <w:sz w:val="1"/>
                <w:szCs w:val="1"/>
                <w:color w:val="auto"/>
              </w:rPr>
            </w:pPr>
          </w:p>
        </w:tc>
      </w:tr>
      <w:tr>
        <w:trPr>
          <w:trHeight w:val="230"/>
        </w:trPr>
        <w:tc>
          <w:tcPr>
            <w:tcW w:w="3020" w:type="dxa"/>
            <w:vAlign w:val="bottom"/>
            <w:vMerge w:val="restart"/>
          </w:tcPr>
          <w:p>
            <w:pPr>
              <w:spacing w:after="0"/>
              <w:rPr>
                <w:sz w:val="20"/>
                <w:szCs w:val="20"/>
                <w:color w:val="auto"/>
              </w:rPr>
            </w:pPr>
            <w:r>
              <w:rPr>
                <w:rFonts w:ascii="Arial" w:cs="Arial" w:eastAsia="Arial" w:hAnsi="Arial"/>
                <w:sz w:val="18"/>
                <w:szCs w:val="18"/>
                <w:color w:val="auto"/>
              </w:rPr>
              <w:t>Date: March 12, 2021</w:t>
            </w:r>
          </w:p>
        </w:tc>
        <w:tc>
          <w:tcPr>
            <w:tcW w:w="1720" w:type="dxa"/>
            <w:vAlign w:val="bottom"/>
            <w:vMerge w:val="restart"/>
          </w:tcPr>
          <w:p>
            <w:pPr>
              <w:ind w:left="1440"/>
              <w:spacing w:after="0"/>
              <w:rPr>
                <w:sz w:val="20"/>
                <w:szCs w:val="20"/>
                <w:color w:val="auto"/>
              </w:rPr>
            </w:pPr>
            <w:r>
              <w:rPr>
                <w:rFonts w:ascii="Arial" w:cs="Arial" w:eastAsia="Arial" w:hAnsi="Arial"/>
                <w:sz w:val="18"/>
                <w:szCs w:val="18"/>
                <w:color w:val="auto"/>
                <w:w w:val="99"/>
              </w:rPr>
              <w:t>By:</w:t>
            </w:r>
          </w:p>
        </w:tc>
        <w:tc>
          <w:tcPr>
            <w:tcW w:w="6440" w:type="dxa"/>
            <w:vAlign w:val="bottom"/>
          </w:tcPr>
          <w:p>
            <w:pPr>
              <w:jc w:val="center"/>
              <w:spacing w:after="0"/>
              <w:rPr>
                <w:sz w:val="20"/>
                <w:szCs w:val="20"/>
                <w:color w:val="auto"/>
              </w:rPr>
            </w:pPr>
            <w:r>
              <w:rPr>
                <w:rFonts w:ascii="Arial" w:cs="Arial" w:eastAsia="Arial" w:hAnsi="Arial"/>
                <w:sz w:val="18"/>
                <w:szCs w:val="18"/>
                <w:color w:val="auto"/>
                <w:w w:val="91"/>
              </w:rPr>
              <w:t>Chief Financial Officer, Chief Compliance Officer, Treasurer, and Corporate Secretary</w:t>
            </w:r>
          </w:p>
        </w:tc>
        <w:tc>
          <w:tcPr>
            <w:tcW w:w="0" w:type="dxa"/>
            <w:vAlign w:val="bottom"/>
          </w:tcPr>
          <w:p>
            <w:pPr>
              <w:spacing w:after="0"/>
              <w:rPr>
                <w:sz w:val="1"/>
                <w:szCs w:val="1"/>
                <w:color w:val="auto"/>
              </w:rPr>
            </w:pPr>
          </w:p>
        </w:tc>
      </w:tr>
      <w:tr>
        <w:trPr>
          <w:trHeight w:val="269"/>
        </w:trPr>
        <w:tc>
          <w:tcPr>
            <w:tcW w:w="3020" w:type="dxa"/>
            <w:vAlign w:val="bottom"/>
            <w:vMerge w:val="continue"/>
          </w:tcPr>
          <w:p>
            <w:pPr>
              <w:spacing w:after="0"/>
              <w:rPr>
                <w:sz w:val="23"/>
                <w:szCs w:val="23"/>
                <w:color w:val="auto"/>
              </w:rPr>
            </w:pPr>
          </w:p>
        </w:tc>
        <w:tc>
          <w:tcPr>
            <w:tcW w:w="1720" w:type="dxa"/>
            <w:vAlign w:val="bottom"/>
            <w:vMerge w:val="continue"/>
          </w:tcPr>
          <w:p>
            <w:pPr>
              <w:spacing w:after="0"/>
              <w:rPr>
                <w:sz w:val="23"/>
                <w:szCs w:val="23"/>
                <w:color w:val="auto"/>
              </w:rPr>
            </w:pPr>
          </w:p>
        </w:tc>
        <w:tc>
          <w:tcPr>
            <w:tcW w:w="6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Leonard A. Potter</w:t>
            </w: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2"/>
              </w:rPr>
              <w:t>Leonard A. Potter</w:t>
            </w:r>
          </w:p>
        </w:tc>
        <w:tc>
          <w:tcPr>
            <w:tcW w:w="0" w:type="dxa"/>
            <w:vAlign w:val="bottom"/>
          </w:tcPr>
          <w:p>
            <w:pPr>
              <w:spacing w:after="0"/>
              <w:rPr>
                <w:sz w:val="1"/>
                <w:szCs w:val="1"/>
                <w:color w:val="auto"/>
              </w:rPr>
            </w:pPr>
          </w:p>
        </w:tc>
      </w:tr>
      <w:tr>
        <w:trPr>
          <w:trHeight w:val="230"/>
        </w:trPr>
        <w:tc>
          <w:tcPr>
            <w:tcW w:w="3020" w:type="dxa"/>
            <w:vAlign w:val="bottom"/>
            <w:vMerge w:val="restart"/>
          </w:tcPr>
          <w:p>
            <w:pPr>
              <w:spacing w:after="0"/>
              <w:rPr>
                <w:sz w:val="20"/>
                <w:szCs w:val="20"/>
                <w:color w:val="auto"/>
              </w:rPr>
            </w:pPr>
            <w:r>
              <w:rPr>
                <w:rFonts w:ascii="Arial" w:cs="Arial" w:eastAsia="Arial" w:hAnsi="Arial"/>
                <w:sz w:val="18"/>
                <w:szCs w:val="18"/>
                <w:color w:val="auto"/>
              </w:rPr>
              <w:t>Date: March 12, 2021</w:t>
            </w:r>
          </w:p>
        </w:tc>
        <w:tc>
          <w:tcPr>
            <w:tcW w:w="1720" w:type="dxa"/>
            <w:vAlign w:val="bottom"/>
            <w:vMerge w:val="restart"/>
          </w:tcPr>
          <w:p>
            <w:pPr>
              <w:ind w:left="1440"/>
              <w:spacing w:after="0"/>
              <w:rPr>
                <w:sz w:val="20"/>
                <w:szCs w:val="20"/>
                <w:color w:val="auto"/>
              </w:rPr>
            </w:pPr>
            <w:r>
              <w:rPr>
                <w:rFonts w:ascii="Arial" w:cs="Arial" w:eastAsia="Arial" w:hAnsi="Arial"/>
                <w:sz w:val="18"/>
                <w:szCs w:val="18"/>
                <w:color w:val="auto"/>
                <w:w w:val="99"/>
              </w:rPr>
              <w:t>By:</w:t>
            </w:r>
          </w:p>
        </w:tc>
        <w:tc>
          <w:tcPr>
            <w:tcW w:w="6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69"/>
        </w:trPr>
        <w:tc>
          <w:tcPr>
            <w:tcW w:w="3020" w:type="dxa"/>
            <w:vAlign w:val="bottom"/>
            <w:vMerge w:val="continue"/>
          </w:tcPr>
          <w:p>
            <w:pPr>
              <w:spacing w:after="0"/>
              <w:rPr>
                <w:sz w:val="23"/>
                <w:szCs w:val="23"/>
                <w:color w:val="auto"/>
              </w:rPr>
            </w:pPr>
          </w:p>
        </w:tc>
        <w:tc>
          <w:tcPr>
            <w:tcW w:w="1720" w:type="dxa"/>
            <w:vAlign w:val="bottom"/>
            <w:vMerge w:val="continue"/>
          </w:tcPr>
          <w:p>
            <w:pPr>
              <w:spacing w:after="0"/>
              <w:rPr>
                <w:sz w:val="23"/>
                <w:szCs w:val="23"/>
                <w:color w:val="auto"/>
              </w:rPr>
            </w:pPr>
          </w:p>
        </w:tc>
        <w:tc>
          <w:tcPr>
            <w:tcW w:w="6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Ronald M. Lott</w:t>
            </w: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5"/>
              </w:rPr>
              <w:t>Ronald M. Lott</w:t>
            </w:r>
          </w:p>
        </w:tc>
        <w:tc>
          <w:tcPr>
            <w:tcW w:w="0" w:type="dxa"/>
            <w:vAlign w:val="bottom"/>
          </w:tcPr>
          <w:p>
            <w:pPr>
              <w:spacing w:after="0"/>
              <w:rPr>
                <w:sz w:val="1"/>
                <w:szCs w:val="1"/>
                <w:color w:val="auto"/>
              </w:rPr>
            </w:pPr>
          </w:p>
        </w:tc>
      </w:tr>
      <w:tr>
        <w:trPr>
          <w:trHeight w:val="229"/>
        </w:trPr>
        <w:tc>
          <w:tcPr>
            <w:tcW w:w="30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Date: March 12, 2021</w:t>
            </w:r>
          </w:p>
        </w:tc>
        <w:tc>
          <w:tcPr>
            <w:tcW w:w="1720" w:type="dxa"/>
            <w:vAlign w:val="bottom"/>
          </w:tcPr>
          <w:p>
            <w:pPr>
              <w:ind w:left="1440"/>
              <w:spacing w:after="0"/>
              <w:rPr>
                <w:sz w:val="20"/>
                <w:szCs w:val="20"/>
                <w:color w:val="auto"/>
              </w:rPr>
            </w:pPr>
            <w:r>
              <w:rPr>
                <w:rFonts w:ascii="Arial" w:cs="Arial" w:eastAsia="Arial" w:hAnsi="Arial"/>
                <w:sz w:val="18"/>
                <w:szCs w:val="18"/>
                <w:color w:val="auto"/>
                <w:w w:val="99"/>
              </w:rPr>
              <w:t>By:</w:t>
            </w:r>
          </w:p>
        </w:tc>
        <w:tc>
          <w:tcPr>
            <w:tcW w:w="6440" w:type="dxa"/>
            <w:vAlign w:val="bottom"/>
          </w:tcPr>
          <w:p>
            <w:pPr>
              <w:jc w:val="center"/>
              <w:spacing w:after="0"/>
              <w:rPr>
                <w:sz w:val="20"/>
                <w:szCs w:val="20"/>
                <w:color w:val="auto"/>
              </w:rPr>
            </w:pPr>
            <w:r>
              <w:rPr>
                <w:rFonts w:ascii="Arial" w:cs="Arial" w:eastAsia="Arial" w:hAnsi="Arial"/>
                <w:sz w:val="18"/>
                <w:szCs w:val="18"/>
                <w:color w:val="auto"/>
                <w:w w:val="94"/>
              </w:rPr>
              <w:t>/s/ Marc Mazur</w:t>
            </w:r>
          </w:p>
        </w:tc>
        <w:tc>
          <w:tcPr>
            <w:tcW w:w="0" w:type="dxa"/>
            <w:vAlign w:val="bottom"/>
          </w:tcPr>
          <w:p>
            <w:pPr>
              <w:spacing w:after="0"/>
              <w:rPr>
                <w:sz w:val="1"/>
                <w:szCs w:val="1"/>
                <w:color w:val="auto"/>
              </w:rPr>
            </w:pPr>
          </w:p>
        </w:tc>
      </w:tr>
      <w:tr>
        <w:trPr>
          <w:trHeight w:val="243"/>
        </w:trPr>
        <w:tc>
          <w:tcPr>
            <w:tcW w:w="30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64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rPr>
              <w:t>Marc Mazur</w:t>
            </w:r>
          </w:p>
        </w:tc>
        <w:tc>
          <w:tcPr>
            <w:tcW w:w="0" w:type="dxa"/>
            <w:vAlign w:val="bottom"/>
          </w:tcPr>
          <w:p>
            <w:pPr>
              <w:spacing w:after="0"/>
              <w:rPr>
                <w:sz w:val="1"/>
                <w:szCs w:val="1"/>
                <w:color w:val="auto"/>
              </w:rPr>
            </w:pPr>
          </w:p>
        </w:tc>
      </w:tr>
      <w:tr>
        <w:trPr>
          <w:trHeight w:val="230"/>
        </w:trPr>
        <w:tc>
          <w:tcPr>
            <w:tcW w:w="3020" w:type="dxa"/>
            <w:vAlign w:val="bottom"/>
            <w:vMerge w:val="restart"/>
          </w:tcPr>
          <w:p>
            <w:pPr>
              <w:spacing w:after="0"/>
              <w:rPr>
                <w:sz w:val="20"/>
                <w:szCs w:val="20"/>
                <w:color w:val="auto"/>
              </w:rPr>
            </w:pPr>
            <w:r>
              <w:rPr>
                <w:rFonts w:ascii="Arial" w:cs="Arial" w:eastAsia="Arial" w:hAnsi="Arial"/>
                <w:sz w:val="18"/>
                <w:szCs w:val="18"/>
                <w:color w:val="auto"/>
              </w:rPr>
              <w:t>Date: March 12, 2021</w:t>
            </w:r>
          </w:p>
        </w:tc>
        <w:tc>
          <w:tcPr>
            <w:tcW w:w="1720" w:type="dxa"/>
            <w:vAlign w:val="bottom"/>
            <w:vMerge w:val="restart"/>
          </w:tcPr>
          <w:p>
            <w:pPr>
              <w:ind w:left="1440"/>
              <w:spacing w:after="0"/>
              <w:rPr>
                <w:sz w:val="20"/>
                <w:szCs w:val="20"/>
                <w:color w:val="auto"/>
              </w:rPr>
            </w:pPr>
            <w:r>
              <w:rPr>
                <w:rFonts w:ascii="Arial" w:cs="Arial" w:eastAsia="Arial" w:hAnsi="Arial"/>
                <w:sz w:val="18"/>
                <w:szCs w:val="18"/>
                <w:color w:val="auto"/>
                <w:w w:val="99"/>
              </w:rPr>
              <w:t>By:</w:t>
            </w:r>
          </w:p>
        </w:tc>
        <w:tc>
          <w:tcPr>
            <w:tcW w:w="6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69"/>
        </w:trPr>
        <w:tc>
          <w:tcPr>
            <w:tcW w:w="3020" w:type="dxa"/>
            <w:vAlign w:val="bottom"/>
            <w:vMerge w:val="continue"/>
          </w:tcPr>
          <w:p>
            <w:pPr>
              <w:spacing w:after="0"/>
              <w:rPr>
                <w:sz w:val="23"/>
                <w:szCs w:val="23"/>
                <w:color w:val="auto"/>
              </w:rPr>
            </w:pPr>
          </w:p>
        </w:tc>
        <w:tc>
          <w:tcPr>
            <w:tcW w:w="1720" w:type="dxa"/>
            <w:vAlign w:val="bottom"/>
            <w:vMerge w:val="continue"/>
          </w:tcPr>
          <w:p>
            <w:pPr>
              <w:spacing w:after="0"/>
              <w:rPr>
                <w:sz w:val="23"/>
                <w:szCs w:val="23"/>
                <w:color w:val="auto"/>
              </w:rPr>
            </w:pPr>
          </w:p>
        </w:tc>
        <w:tc>
          <w:tcPr>
            <w:tcW w:w="6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Lisa Westley</w:t>
            </w:r>
          </w:p>
        </w:tc>
        <w:tc>
          <w:tcPr>
            <w:tcW w:w="0" w:type="dxa"/>
            <w:vAlign w:val="bottom"/>
          </w:tcPr>
          <w:p>
            <w:pPr>
              <w:spacing w:after="0"/>
              <w:rPr>
                <w:sz w:val="1"/>
                <w:szCs w:val="1"/>
                <w:color w:val="auto"/>
              </w:rPr>
            </w:pPr>
          </w:p>
        </w:tc>
      </w:tr>
      <w:tr>
        <w:trPr>
          <w:trHeight w:val="183"/>
        </w:trPr>
        <w:tc>
          <w:tcPr>
            <w:tcW w:w="30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44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87"/>
              </w:rPr>
              <w:t>Lisa Westley</w:t>
            </w:r>
          </w:p>
        </w:tc>
        <w:tc>
          <w:tcPr>
            <w:tcW w:w="0" w:type="dxa"/>
            <w:vAlign w:val="bottom"/>
          </w:tcPr>
          <w:p>
            <w:pPr>
              <w:spacing w:after="0"/>
              <w:rPr>
                <w:sz w:val="1"/>
                <w:szCs w:val="1"/>
                <w:color w:val="auto"/>
              </w:rPr>
            </w:pPr>
          </w:p>
        </w:tc>
      </w:tr>
      <w:tr>
        <w:trPr>
          <w:trHeight w:val="230"/>
        </w:trPr>
        <w:tc>
          <w:tcPr>
            <w:tcW w:w="30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4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00"/>
          </w:cols>
          <w:pgMar w:left="320" w:top="1134" w:right="37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color w:val="auto"/>
        </w:rPr>
        <w:t>Exhibit 4.5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is a brief description of the securities of SuRo Capital Corp. a Maryland corporation (the “Company,” “we,” “our” or “us”), registered pursuant to Section 12 of the Securities Exchange Act of 1934, as amended (the “Exchange Act”). This description of our securities does not purport to be complete and is subject to and qualified in its entirety by reference to the applicable provisions of Maryland General Corporation Law (the “MGCL”) and the full text of our charter and bylaws. As of December 31, 2020 and the date hereof, our common stock is the only securities that we have registered under Section 12 of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December 31, 2020, our authorized stock consisted solely of 100,000,000 shares of common stock, par value $0.01 per share, and no shares of preferred stock. Our common stock is listed on the Nasdaq Capital Market under the ticker symbol “SSSS.” As of December 31, 2020, 1,627,967 shares of common stock were authorized for issuance under the SuRo Capital Corp. Amended and Restated 2019 Equity Incentive Plan. There are no outstanding options or warrants to purchase our common stock. Under Maryland law, our stockholders generally are not personally liable for our debts or obligations.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our charter our board of directors is authorized to classify and reclassify any unissued shares of stock into other classes or series of stock without obtaining stockholder approval. As permitted by the MGCL,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All shares of our common stock have equal rights as to earnings, assets, voting, and distributions and, when they are issued, will be duly authorized, validly issued, fully paid and nonassessable. Distributions may be paid to the holders of our common stock if, as and when authorized by our board of directors and declared by us out of assets legally available therefor. Shares of our common stock have no preemptive, conversion or redemption rights and are freely transferable, except where their transfer is restricted by federal and state securities laws or by contract. In the event of our liquidation, dissolution or winding up,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MGCL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the MGCL, subject to the requirements of the Investment Company Act of 1940, as amended (the “1940 Act”).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charter authorizes us, to the maximum extent permitted by the MGCL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from and against any claim or liability to which that person may become subject or which that person may incur by reason of his or her</w:t>
      </w:r>
    </w:p>
    <w:p>
      <w:pPr>
        <w:sectPr>
          <w:pgSz w:w="11900" w:h="16838" w:orient="portrait"/>
          <w:cols w:equalWidth="0" w:num="1">
            <w:col w:w="11240"/>
          </w:cols>
          <w:pgMar w:left="320" w:top="1417" w:right="339" w:bottom="1440" w:gutter="0" w:footer="0" w:header="0"/>
        </w:sectPr>
      </w:pPr>
    </w:p>
    <w:bookmarkStart w:id="145" w:name="page146"/>
    <w:bookmarkEnd w:id="145"/>
    <w:p>
      <w:pPr>
        <w:jc w:val="both"/>
        <w:spacing w:after="0" w:line="288" w:lineRule="auto"/>
        <w:rPr>
          <w:sz w:val="20"/>
          <w:szCs w:val="20"/>
          <w:color w:val="auto"/>
        </w:rPr>
      </w:pPr>
      <w:r>
        <w:rPr>
          <w:rFonts w:ascii="Arial" w:cs="Arial" w:eastAsia="Arial" w:hAnsi="Arial"/>
          <w:sz w:val="16"/>
          <w:szCs w:val="16"/>
          <w:color w:val="auto"/>
        </w:rPr>
        <w:t>service in any such capacity and to pay or reimburse their reasonable expenses in advance of final disposition of a proceeding. Our bylaws obligate us, to the maximum extent permitted by the MGCL and subject to the requirements of the 1940 Act, to indemnify any present or former director or officer or any individual who, while serving as our director or officer and at our request, serves or has served another corporation, real estate investment trust, partnership, joint venture, trust, employee benefit plan or other enterprise as a director, officer, partner or trustee and who is made, or threatened to be made, a party to the proceeding by reason of his or her service in that capacity from and against any claim or liability to which that person may become subject or which that person may incur by reason of his or her service in any such capacity and to pay or reimburse his or her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MGCL requires a corporation (unless its charter provides otherwise, which our charter does not) to indemnify a director or officer who has been successful in the defense of any proceeding to which he or she is made, or threatened to be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the MGCL,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the MGCL permits a corporation to advance reasonable expenses to a director or officer in advance of final disposition of a proceeding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the MGCL and Our Charter and Bylaws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MGCL and our charter and bylaws contain provisions that could make it more difficult for a potential acquirer to acquire us by means of a tender offer, proxy contest or otherwise, the material ones of which are discussed below. These provisions are expected to discourage certain coercive takeover practices and inadequate takeover bids and to encourage persons seeking to acquire control of us to negotiate first with our board of directors. We expect the benefits of these provisions to outweigh the potential disadvantages of discouraging any such acquisition proposals because, among other things, the negotiation of such proposals may improve their terms.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current terms of the first, second and third classes will expire in 2021, 2022, and 2023, respectively, and in each case, those directors will serve until their successors are elected and qualify. Upon expiration of their terms, directors of each class will be elected to serve for three-year terms and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ectPr>
          <w:pgSz w:w="11900" w:h="16838" w:orient="portrait"/>
          <w:cols w:equalWidth="0" w:num="1">
            <w:col w:w="11240"/>
          </w:cols>
          <w:pgMar w:left="320" w:top="14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bylaws, as authorized by our charter, provide that a plurality of all the votes cast at a meeting of stockholders duly called and at which a quorum is present is required to elect a director. Pursuant to our charter our board of directors may amend the bylaws to alter the vote required to elect directors.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one nor more than nine. Our charter provides that, at such time as we have at least three independent directors and our common stock is registered under the Exchange Act, as amended, we elect to be subject to the provision of Subtitle 8 of Title 3 of the MGCL regarding the filling of vacancies on the board of directors. Accordingly, at such time,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for the remainder of the full term of the directorship in which the vacancy occurred and until a successor is elected and qualifies, subject to any applicable requirements of the 1940 Act.</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MGCL, stockholder action can be taken only at an annual or special meeting of stockholders or (unless the charter provides for stockholder action by less than unanimous written consent, which our charter does not) by unanimous written consent in lieu of a meeting.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our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22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 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ectPr>
          <w:pgSz w:w="11900" w:h="16838" w:orient="portrait"/>
          <w:cols w:equalWidth="0" w:num="1">
            <w:col w:w="11240"/>
          </w:cols>
          <w:pgMar w:left="320" w:top="14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Under the MGCL, a Maryland corporation generally cannot dissolve, amend its charter, merge, convert,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the following matters require the approval of stockholders entitled to cast at least 80% of the votes entitled to be cast: (i) certain charter amendments; (ii) any proposal for our conversion, whether by merger or otherwise, from a closed-end company to an open-end company; (iii) any proposal for our liquidation or dissolution; or (iv) any proposal regarding a merger, consolidation, share exchange or sale or exchange of all or substantially all of our assets that the MGCL requires to be approved by our stockholders. However, if such amendment or proposal is approved by a majority of our continuing directors (in addition to approval by our board of directors), such amendment or proposal may be approved by a majority of the votes entitled to be cast on such a matter. The “continuing directors” are defined in our charter as (1) our current directors, (2) those directors whose nomination for election by the stockholders or whose election by the directors to fill vacancies is approved by a majority of our current directors then on the board of directors or</w:t>
      </w:r>
    </w:p>
    <w:p>
      <w:pPr>
        <w:spacing w:after="0" w:line="3" w:lineRule="exact"/>
        <w:rPr>
          <w:sz w:val="20"/>
          <w:szCs w:val="20"/>
          <w:color w:val="auto"/>
        </w:rPr>
      </w:pPr>
    </w:p>
    <w:p>
      <w:pPr>
        <w:jc w:val="both"/>
        <w:ind w:firstLine="8"/>
        <w:spacing w:after="0" w:line="295" w:lineRule="auto"/>
        <w:tabs>
          <w:tab w:leader="none" w:pos="2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successor directors whose nomination for election by the stockholders or whose election by the directors to fill vacancies is approved by a majority of continuing directors or the successor continuing directors then in office. In any event, in accordance with the requirements of the 1940 Act, any amendment or proposal that would have the effect of changing the nature of our business so as to cause us to cease to be, or to withdraw our election as, a business development company would be required to be approved by a majority of our outstanding voting securities, as defined under the 1940 Act.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Our charter and bylaws provide that the board of directors will have the exclusive power to make, alter, amend or repeal any provision of our bylaws.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Except with respect to appraisal rights arising in connection with the Control Share Act discussed below, as permitted by the MGCL, our charter provides that stockholders will not be entitled to exercise appraisal rights unless a majority of the board of directors shall determine such rights apply.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MGCL, pursuant to the Control Share Act (the “Control Share Act”), provides that control shares of a Maryland corporation acquired in a control share acquisition have no voting rights except to the extent approved by a vote of two-thirds of the votes entitled to be cast on the matter. Shares owned by the acquiror, by officers or by directors who are employees of the corporation are excluded from shares entitled to vote on the matter. Control shares are voting shares of stock which, if aggregated with all other shares of stock owned by the acquiror or in respect of which the acquiror is able to exercise or direct the exercise of voting power (except solely by virtue of a revocable proxy), would entitle the acquiror to exercise voting power in electing directors within one of the increasing ranges of voting power listed in the Control Share Act. The requisite stockholder approval must be obtained each time an acquiror crosses one of the thresholds of voting power. Control shares do not include shares the acquiring person is</w:t>
      </w:r>
    </w:p>
    <w:p>
      <w:pPr>
        <w:sectPr>
          <w:pgSz w:w="11900" w:h="16838" w:orient="portrait"/>
          <w:cols w:equalWidth="0" w:num="1">
            <w:col w:w="11240"/>
          </w:cols>
          <w:pgMar w:left="320" w:top="1421" w:right="339" w:bottom="1440" w:gutter="0" w:footer="0" w:header="0"/>
        </w:sectPr>
      </w:pPr>
    </w:p>
    <w:bookmarkStart w:id="148" w:name="page149"/>
    <w:bookmarkEnd w:id="148"/>
    <w:p>
      <w:pPr>
        <w:jc w:val="both"/>
        <w:ind w:right="20"/>
        <w:spacing w:after="0" w:line="277" w:lineRule="auto"/>
        <w:rPr>
          <w:sz w:val="20"/>
          <w:szCs w:val="20"/>
          <w:color w:val="auto"/>
        </w:rPr>
      </w:pPr>
      <w:r>
        <w:rPr>
          <w:rFonts w:ascii="Arial" w:cs="Arial" w:eastAsia="Arial" w:hAnsi="Arial"/>
          <w:sz w:val="18"/>
          <w:szCs w:val="18"/>
          <w:color w:val="auto"/>
        </w:rPr>
        <w:t>then entitled to vote as a result of having previously obtained stockholder approval. A control share acquisition means the acquisition of control shares, subject to certain exceptions.</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bylaws contain a provision exempting from the Control Share Act any and all acquisitions by any person of our shares of stock. There can be no assurance that such provision will not be amended or eliminated at any time in the future. However, we will amend our bylaws to be subject to the Control Share Act only if our board of directors determines that it would be in our best interests and if the SEC staff does not object to our determination that our being subject to the Control Share Act does not conflict with the 1940 Act. The SEC staff has issued informal guidance setting forth its position that, if a closed-end investment company opts in to and triggers the Control Share Act, it would not violate Section 18(i) of the 1940 Act if the determination do so by the board of directors of the closed-end investment company was taken with reasonable care on a basis consistent with other applicable duties and laws, including those to the fund and its shareholders generally.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MGCL, “business combinations” between a Maryland corporation and an interested stockholder or an affiliate of an interested stockholder are prohibited for five years after the most recent date on which the interested stockholder becomes an interested stockholder (the “Business Combination Act”). These business combinations include a merger, consolidation, share exchange or, in circumstances specified in the statute, an asset transfer or issuance or reclassification of equity securities. An interested stockholder is defined as:</w:t>
      </w:r>
    </w:p>
    <w:p>
      <w:pPr>
        <w:spacing w:after="0" w:line="119" w:lineRule="exact"/>
        <w:rPr>
          <w:sz w:val="20"/>
          <w:szCs w:val="20"/>
          <w:color w:val="auto"/>
        </w:rPr>
      </w:pPr>
    </w:p>
    <w:p>
      <w:pPr>
        <w:ind w:left="820" w:hanging="430"/>
        <w:spacing w:after="0"/>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outstanding voting stock; or</w:t>
      </w:r>
    </w:p>
    <w:p>
      <w:pPr>
        <w:spacing w:after="0" w:line="279" w:lineRule="exact"/>
        <w:rPr>
          <w:rFonts w:ascii="Arial" w:cs="Arial" w:eastAsia="Arial" w:hAnsi="Arial"/>
          <w:sz w:val="18"/>
          <w:szCs w:val="18"/>
          <w:color w:val="auto"/>
        </w:rPr>
      </w:pPr>
    </w:p>
    <w:p>
      <w:pPr>
        <w:ind w:left="820" w:right="300" w:hanging="430"/>
        <w:spacing w:after="0" w:line="277" w:lineRule="auto"/>
        <w:tabs>
          <w:tab w:leader="none" w:pos="8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person is not an interested stockholder under this statute if the board of directors approved in advance the transaction by which the stockholder otherwise would have become an interested stockholder. However, in approving a transaction, the board of directors may provide that its approval is subject to compliance, at or after the time of approval, with any terms and conditions determined by the board of directors.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the five-year prohibition, any business combination between the Maryland corporation and an interested stockholder generally must be recommended by the board of directors of the corporation and approved by the affirmative vote of at least:</w:t>
      </w:r>
    </w:p>
    <w:p>
      <w:pPr>
        <w:spacing w:after="0" w:line="116" w:lineRule="exact"/>
        <w:rPr>
          <w:sz w:val="20"/>
          <w:szCs w:val="20"/>
          <w:color w:val="auto"/>
        </w:rPr>
      </w:pPr>
    </w:p>
    <w:p>
      <w:pPr>
        <w:ind w:left="820" w:hanging="430"/>
        <w:spacing w:after="0"/>
        <w:tabs>
          <w:tab w:leader="none" w:pos="8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292" w:lineRule="exact"/>
        <w:rPr>
          <w:rFonts w:ascii="Arial" w:cs="Arial" w:eastAsia="Arial" w:hAnsi="Arial"/>
          <w:sz w:val="18"/>
          <w:szCs w:val="18"/>
          <w:color w:val="auto"/>
        </w:rPr>
      </w:pPr>
    </w:p>
    <w:p>
      <w:pPr>
        <w:ind w:left="820" w:right="280" w:hanging="430"/>
        <w:spacing w:after="0" w:line="342" w:lineRule="auto"/>
        <w:tabs>
          <w:tab w:leader="none" w:pos="8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1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 as defined in the 1940 Act. This resolution may be altered or repealed in whole or in part at any time; however, our board of directors will adopt</w:t>
      </w:r>
    </w:p>
    <w:p>
      <w:pPr>
        <w:sectPr>
          <w:pgSz w:w="11900" w:h="16838" w:orient="portrait"/>
          <w:cols w:equalWidth="0" w:num="1">
            <w:col w:w="11240"/>
          </w:cols>
          <w:pgMar w:left="320" w:top="1421" w:right="339" w:bottom="1440" w:gutter="0" w:footer="0" w:header="0"/>
        </w:sectPr>
      </w:pPr>
    </w:p>
    <w:bookmarkStart w:id="149" w:name="page150"/>
    <w:bookmarkEnd w:id="149"/>
    <w:p>
      <w:pPr>
        <w:jc w:val="both"/>
        <w:spacing w:after="0" w:line="259" w:lineRule="auto"/>
        <w:rPr>
          <w:sz w:val="20"/>
          <w:szCs w:val="20"/>
          <w:color w:val="auto"/>
        </w:rPr>
      </w:pPr>
      <w:r>
        <w:rPr>
          <w:rFonts w:ascii="Arial" w:cs="Arial" w:eastAsia="Arial" w:hAnsi="Arial"/>
          <w:sz w:val="18"/>
          <w:szCs w:val="18"/>
          <w:color w:val="auto"/>
        </w:rPr>
        <w:t>resolutions so as to make us subject to the provisions of the Business Combination Act only if the board of directors determines that it would be in our best interests and if the SEC staff does not object to our determination that our being subject to the Business Combination Act does not conflict with the 1940 Act. If this resolution is repealed, or the board of directors does not otherwise approve a business combination, the statute may discourage others from trying to acquire control of us and increase the difficulty of consummating any offer.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bylaws provide that, if and to the extent that any provision of the MGCL, including the Control Share Act (if we amend our bylaws to be subject to such Act) and the Business Combination Act, or any provision of our charter or bylaws conflicts with any provision of the 1940 Act, the applicable provision of the 1940 Act will control.</w:t>
      </w:r>
    </w:p>
    <w:p>
      <w:pPr>
        <w:sectPr>
          <w:pgSz w:w="11900" w:h="16838" w:orient="portrait"/>
          <w:cols w:equalWidth="0" w:num="1">
            <w:col w:w="11240"/>
          </w:cols>
          <w:pgMar w:left="320" w:top="1421" w:right="3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INDEPENDENT REGISTERED PUBLIC ACCOUNTING FIRM'S CONSENT</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consent to the incorporation by reference in the Registration Statement on Form N-2 (File No. 333-239681) of SuRo Capital Corp. (the “Company”) and in the Registration Statement on Form S-8 (File No. 333-239662) of the Company (collectively, the “Registration Statements”) of our report dated March 12, 2021, with respect to our audits of the consolidated financial statements of the Company as of December 31, 2020 and 2019, and for the years then ended, which report is included in the Annual Report on Form 10-K of the Company for the year ended December 31, 2020 (the “Form 10-K”). We also consent to the reference to us under the heading “Senior Securities” in Part II, Item 5 of the Form 10-K.</w:t>
      </w:r>
    </w:p>
    <w:p>
      <w:pPr>
        <w:spacing w:after="0" w:line="20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consent to the incorporation by reference in the Registration Statements of our report dated March 12, 2021, relating to the financial information set forth under the heading “Senior Securities” in Part II, Item 5 of the Form 10-K, which report is included as an exhibit to the Form 10-K.</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ectPr>
          <w:pgSz w:w="11900" w:h="16838" w:orient="portrait"/>
          <w:cols w:equalWidth="0" w:num="1">
            <w:col w:w="11240"/>
          </w:cols>
          <w:pgMar w:left="320" w:top="1012"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333-239681 on Form N-2 and Registration Statement No. 333-239662 on Form S-8 of our report dated April 17, 2019, relating to the consolidated financial statements and financial highlights of SuRo Capital Corp., and our report dated July 2, 2020, relating to the financial information set forth under the heading “Senior Securities” appearing in this Annual Report on Form 10-K for the year ended December 31, 2020. We also consent to the reference to us under the heading “Senior Securities” in Part II, Item 5 appearing in this Annual Report on Form 10-K for the year ended December 31,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p>
      <w:pPr>
        <w:sectPr>
          <w:pgSz w:w="11900" w:h="16838" w:orient="portrait"/>
          <w:cols w:equalWidth="0" w:num="1">
            <w:col w:w="11240"/>
          </w:cols>
          <w:pgMar w:left="320" w:top="1417"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of SuRo Capital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Mark D. Klein, certify that:</w:t>
      </w:r>
    </w:p>
    <w:p>
      <w:pPr>
        <w:spacing w:after="0" w:line="252"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SuRo Capital Corp.;</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this 12th day of March, 2021.</w:t>
      </w:r>
    </w:p>
    <w:p>
      <w:pPr>
        <w:spacing w:after="0" w:line="17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4141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 D. Klein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89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of SuRo Capital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Allison Green, certify that:</w:t>
      </w:r>
    </w:p>
    <w:p>
      <w:pPr>
        <w:spacing w:after="0" w:line="252"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SuRo Capital Corp.;</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8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8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8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this 12th day of March, 2021.</w:t>
      </w:r>
    </w:p>
    <w:p>
      <w:pPr>
        <w:spacing w:after="0" w:line="17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1671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Allison Green</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89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3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connection with the annual report on Form 10-K for the year ended December 31, 2020 (the “Report”) of SuRo Capital Corp. (the “Registrant”), as filed with the Securities and Exchange Commission on the date hereof, I, Mark D. Klein, the Chief Executive Officer of the Registrant, hereby certify, to the best of my knowledge, that:</w:t>
      </w:r>
    </w:p>
    <w:p>
      <w:pPr>
        <w:spacing w:after="0" w:line="211" w:lineRule="exact"/>
        <w:rPr>
          <w:sz w:val="20"/>
          <w:szCs w:val="20"/>
          <w:color w:val="auto"/>
        </w:rPr>
      </w:pPr>
    </w:p>
    <w:p>
      <w:pPr>
        <w:ind w:left="640" w:hanging="308"/>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Mark D.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97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Name: Mark D. Klein</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March 12, 2021</w:t>
      </w:r>
    </w:p>
    <w:p>
      <w:pPr>
        <w:sectPr>
          <w:pgSz w:w="11900" w:h="16838" w:orient="portrait"/>
          <w:cols w:equalWidth="0" w:num="1">
            <w:col w:w="11240"/>
          </w:cols>
          <w:pgMar w:left="320" w:top="89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1350)</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annual report on Form 10-K for the year ended December 31, 2020 (the “Report”) of SuRo Capital Corp. (the “Registrant”), as filed with the Securities and Exchange Commission on the date hereof, I, Allison Green, the Chief Financial Officer of the Registrant, hereby certify, to the best of my knowledge, that:</w:t>
      </w:r>
    </w:p>
    <w:p>
      <w:pPr>
        <w:spacing w:after="0" w:line="211" w:lineRule="exact"/>
        <w:rPr>
          <w:sz w:val="20"/>
          <w:szCs w:val="20"/>
          <w:color w:val="auto"/>
        </w:rPr>
      </w:pPr>
    </w:p>
    <w:p>
      <w:pPr>
        <w:ind w:left="640" w:hanging="308"/>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640" w:hanging="308"/>
        <w:spacing w:after="0"/>
        <w:tabs>
          <w:tab w:leader="none" w:pos="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16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Allison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Name: Allison Green</w:t>
      </w:r>
    </w:p>
    <w:p>
      <w:pPr>
        <w:spacing w:after="0" w:line="2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Date: March 12, 2021</w:t>
      </w:r>
    </w:p>
    <w:p>
      <w:pPr>
        <w:sectPr>
          <w:pgSz w:w="11900" w:h="16838" w:orient="portrait"/>
          <w:cols w:equalWidth="0" w:num="1">
            <w:col w:w="11240"/>
          </w:cols>
          <w:pgMar w:left="320" w:top="891" w:right="339" w:bottom="1440" w:gutter="0" w:footer="0" w:header="0"/>
        </w:sectPr>
      </w:pPr>
    </w:p>
    <w:bookmarkStart w:id="156" w:name="page157"/>
    <w:bookmarkEnd w:id="156"/>
    <w:p>
      <w:pPr>
        <w:ind w:left="420"/>
        <w:spacing w:after="0"/>
        <w:rPr>
          <w:sz w:val="20"/>
          <w:szCs w:val="20"/>
          <w:color w:val="auto"/>
        </w:rPr>
      </w:pPr>
      <w:r>
        <w:rPr>
          <w:rFonts w:ascii="Arial" w:cs="Arial" w:eastAsia="Arial" w:hAnsi="Arial"/>
          <w:sz w:val="18"/>
          <w:szCs w:val="18"/>
          <w:b w:val="1"/>
          <w:bCs w:val="1"/>
          <w:color w:val="auto"/>
        </w:rPr>
        <w:t>REPORT OF INDEPENDENT REGISTERED PUBLIC ACCOUNTING FIRM ON SUPPLEMENTAL FINANCIAL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SuRo Capital Corp. (f/k/a Sutter Rock Capital Corp.)</w:t>
      </w:r>
    </w:p>
    <w:p>
      <w:pPr>
        <w:spacing w:after="0" w:line="23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have audited the consolidated statements of assets and liabilities of SuRo Capital Corp. and subsidiaries (the “Company”), including the consolidated schedule of investments as of December 31, 2020 and 2019, and the related consolidated statements of operations, changes in net assets, cash flows, and financial highlights for the years then ended and have issued our report thereon dated March 12, 2021, which contained an unqualified opinion on those consolidated financial statements. The supplemental financial information set forth under the heading “Senior Securities” as of December 31, 2020 and 2019 included in Part II, Item 5 of the Company’s Annual Report on Form 10-K has been subjected to audit procedures performed in conjunction with the audit of the Company’s consolidated financial statements. The supplemental financial information is the responsibility of the Company’s management. Our audit procedures included determining whether the supplemental financial information reconciles to the consolidated financial statements or the underlying accounting and other records, as applicable, and performing procedures to test the completeness and accuracy of the information presented in the supplemental financial information. In our opinion, such financial information is fairly stated, in all material respects, in relation to the consolidated financial statements as a whole.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B588F54"/>
    <w:multiLevelType w:val="hybridMultilevel"/>
    <w:lvl w:ilvl="0">
      <w:lvlJc w:val="left"/>
      <w:lvlText w:val="☐"/>
      <w:numFmt w:val="bullet"/>
      <w:start w:val="1"/>
    </w:lvl>
  </w:abstractNum>
  <w:abstractNum w:abstractNumId="1">
    <w:nsid w:val="542289EC"/>
    <w:multiLevelType w:val="hybridMultilevel"/>
    <w:lvl w:ilvl="0">
      <w:lvlJc w:val="left"/>
      <w:lvlText w:val="•"/>
      <w:numFmt w:val="bullet"/>
      <w:start w:val="1"/>
    </w:lvl>
  </w:abstractNum>
  <w:abstractNum w:abstractNumId="2">
    <w:nsid w:val="6DE91B18"/>
    <w:multiLevelType w:val="hybridMultilevel"/>
    <w:lvl w:ilvl="0">
      <w:lvlJc w:val="left"/>
      <w:lvlText w:val="•"/>
      <w:numFmt w:val="bullet"/>
      <w:start w:val="1"/>
    </w:lvl>
  </w:abstractNum>
  <w:abstractNum w:abstractNumId="3">
    <w:nsid w:val="38437FDB"/>
    <w:multiLevelType w:val="hybridMultilevel"/>
    <w:lvl w:ilvl="0">
      <w:lvlJc w:val="left"/>
      <w:lvlText w:val="•"/>
      <w:numFmt w:val="bullet"/>
      <w:start w:val="1"/>
    </w:lvl>
  </w:abstractNum>
  <w:abstractNum w:abstractNumId="4">
    <w:nsid w:val="7644A45C"/>
    <w:multiLevelType w:val="hybridMultilevel"/>
    <w:lvl w:ilvl="0">
      <w:lvlJc w:val="left"/>
      <w:lvlText w:val="•"/>
      <w:numFmt w:val="bullet"/>
      <w:start w:val="1"/>
    </w:lvl>
  </w:abstractNum>
  <w:abstractNum w:abstractNumId="5">
    <w:nsid w:val="32FFF902"/>
    <w:multiLevelType w:val="hybridMultilevel"/>
    <w:lvl w:ilvl="0">
      <w:lvlJc w:val="left"/>
      <w:lvlText w:val="%1."/>
      <w:numFmt w:val="decimal"/>
      <w:start w:val="1"/>
    </w:lvl>
  </w:abstractNum>
  <w:abstractNum w:abstractNumId="6">
    <w:nsid w:val="684A48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
    <w:nsid w:val="579478FE"/>
    <w:multiLevelType w:val="hybridMultilevel"/>
    <w:lvl w:ilvl="0">
      <w:lvlJc w:val="left"/>
      <w:lvlText w:val="%1"/>
      <w:numFmt w:val="decimal"/>
      <w:start w:val="1"/>
    </w:lvl>
    <w:lvl w:ilvl="1">
      <w:lvlJc w:val="left"/>
      <w:lvlText w:val="%2."/>
      <w:numFmt w:val="lowerRoman"/>
      <w:start w:val="5"/>
    </w:lvl>
  </w:abstractNum>
  <w:abstractNum w:abstractNumId="8">
    <w:nsid w:val="749ABB43"/>
    <w:multiLevelType w:val="hybridMultilevel"/>
    <w:lvl w:ilvl="0">
      <w:lvlJc w:val="left"/>
      <w:lvlText w:val="%1."/>
      <w:numFmt w:val="decimal"/>
      <w:start w:val="2"/>
    </w:lvl>
    <w:lvl w:ilvl="1">
      <w:lvlJc w:val="left"/>
      <w:lvlText w:val="%2"/>
      <w:numFmt w:val="lowerRoman"/>
      <w:start w:val="1"/>
    </w:lvl>
  </w:abstractNum>
  <w:abstractNum w:abstractNumId="9">
    <w:nsid w:val="3DC240FB"/>
    <w:multiLevelType w:val="hybridMultilevel"/>
    <w:lvl w:ilvl="0">
      <w:lvlJc w:val="left"/>
      <w:lvlText w:val="•"/>
      <w:numFmt w:val="bullet"/>
      <w:start w:val="1"/>
    </w:lvl>
  </w:abstractNum>
  <w:abstractNum w:abstractNumId="10">
    <w:nsid w:val="1BA026FA"/>
    <w:multiLevelType w:val="hybridMultilevel"/>
    <w:lvl w:ilvl="0">
      <w:lvlJc w:val="left"/>
      <w:lvlText w:val="•"/>
      <w:numFmt w:val="bullet"/>
      <w:start w:val="1"/>
    </w:lvl>
  </w:abstractNum>
  <w:abstractNum w:abstractNumId="11">
    <w:nsid w:val="79A1DEAA"/>
    <w:multiLevelType w:val="hybridMultilevel"/>
    <w:lvl w:ilvl="0">
      <w:lvlJc w:val="left"/>
      <w:lvlText w:val="•"/>
      <w:numFmt w:val="bullet"/>
      <w:start w:val="1"/>
    </w:lvl>
  </w:abstractNum>
  <w:abstractNum w:abstractNumId="12">
    <w:nsid w:val="75C6C33A"/>
    <w:multiLevelType w:val="hybridMultilevel"/>
    <w:lvl w:ilvl="0">
      <w:lvlJc w:val="left"/>
      <w:lvlText w:val="•"/>
      <w:numFmt w:val="bullet"/>
      <w:start w:val="1"/>
    </w:lvl>
  </w:abstractNum>
  <w:abstractNum w:abstractNumId="13">
    <w:nsid w:val="12E685FB"/>
    <w:multiLevelType w:val="hybridMultilevel"/>
    <w:lvl w:ilvl="0">
      <w:lvlJc w:val="left"/>
      <w:lvlText w:val="•"/>
      <w:numFmt w:val="bullet"/>
      <w:start w:val="1"/>
    </w:lvl>
    <w:lvl w:ilvl="1">
      <w:lvlJc w:val="left"/>
      <w:lvlText w:val="•"/>
      <w:numFmt w:val="bullet"/>
      <w:start w:val="1"/>
    </w:lvl>
  </w:abstractNum>
  <w:abstractNum w:abstractNumId="14">
    <w:nsid w:val="70C6A529"/>
    <w:multiLevelType w:val="hybridMultilevel"/>
    <w:lvl w:ilvl="0">
      <w:lvlJc w:val="left"/>
      <w:lvlText w:val="(%1)"/>
      <w:numFmt w:val="decimal"/>
      <w:start w:val="1"/>
    </w:lvl>
  </w:abstractNum>
  <w:abstractNum w:abstractNumId="15">
    <w:nsid w:val="520EEDD1"/>
    <w:multiLevelType w:val="hybridMultilevel"/>
    <w:lvl w:ilvl="0">
      <w:lvlJc w:val="left"/>
      <w:lvlText w:val="(%1)"/>
      <w:numFmt w:val="lowerRoman"/>
      <w:start w:val="1"/>
    </w:lvl>
  </w:abstractNum>
  <w:abstractNum w:abstractNumId="16">
    <w:nsid w:val="374A3FE6"/>
    <w:multiLevelType w:val="hybridMultilevel"/>
    <w:lvl w:ilvl="0">
      <w:lvlJc w:val="left"/>
      <w:lvlText w:val="•"/>
      <w:numFmt w:val="bullet"/>
      <w:start w:val="1"/>
    </w:lvl>
  </w:abstractNum>
  <w:abstractNum w:abstractNumId="17">
    <w:nsid w:val="4F4EF005"/>
    <w:multiLevelType w:val="hybridMultilevel"/>
    <w:lvl w:ilvl="0">
      <w:lvlJc w:val="left"/>
      <w:lvlText w:val="•"/>
      <w:numFmt w:val="bullet"/>
      <w:start w:val="1"/>
    </w:lvl>
  </w:abstractNum>
  <w:abstractNum w:abstractNumId="18">
    <w:nsid w:val="23F9C13C"/>
    <w:multiLevelType w:val="hybridMultilevel"/>
    <w:lvl w:ilvl="0">
      <w:lvlJc w:val="left"/>
      <w:lvlText w:val="•"/>
      <w:numFmt w:val="bullet"/>
      <w:start w:val="1"/>
    </w:lvl>
  </w:abstractNum>
  <w:abstractNum w:abstractNumId="19">
    <w:nsid w:val="649BB77C"/>
    <w:multiLevelType w:val="hybridMultilevel"/>
    <w:lvl w:ilvl="0">
      <w:lvlJc w:val="left"/>
      <w:lvlText w:val="•"/>
      <w:numFmt w:val="bullet"/>
      <w:start w:val="1"/>
    </w:lvl>
  </w:abstractNum>
  <w:abstractNum w:abstractNumId="20">
    <w:nsid w:val="275AC794"/>
    <w:multiLevelType w:val="hybridMultilevel"/>
    <w:lvl w:ilvl="0">
      <w:lvlJc w:val="left"/>
      <w:lvlText w:val="•"/>
      <w:numFmt w:val="bullet"/>
      <w:start w:val="1"/>
    </w:lvl>
  </w:abstractNum>
  <w:abstractNum w:abstractNumId="21">
    <w:nsid w:val="39386575"/>
    <w:multiLevelType w:val="hybridMultilevel"/>
    <w:lvl w:ilvl="0">
      <w:lvlJc w:val="left"/>
      <w:lvlText w:val="•"/>
      <w:numFmt w:val="bullet"/>
      <w:start w:val="1"/>
    </w:lvl>
  </w:abstractNum>
  <w:abstractNum w:abstractNumId="22">
    <w:nsid w:val="1CF10FD8"/>
    <w:multiLevelType w:val="hybridMultilevel"/>
    <w:lvl w:ilvl="0">
      <w:lvlJc w:val="left"/>
      <w:lvlText w:val="(%1)"/>
      <w:numFmt w:val="decimal"/>
      <w:start w:val="1"/>
    </w:lvl>
  </w:abstractNum>
  <w:abstractNum w:abstractNumId="23">
    <w:nsid w:val="180115BE"/>
    <w:multiLevelType w:val="hybridMultilevel"/>
    <w:lvl w:ilvl="0">
      <w:lvlJc w:val="left"/>
      <w:lvlText w:val="•"/>
      <w:numFmt w:val="bullet"/>
      <w:start w:val="1"/>
    </w:lvl>
  </w:abstractNum>
  <w:abstractNum w:abstractNumId="24">
    <w:nsid w:val="235BA861"/>
    <w:multiLevelType w:val="hybridMultilevel"/>
    <w:lvl w:ilvl="0">
      <w:lvlJc w:val="left"/>
      <w:lvlText w:val="•"/>
      <w:numFmt w:val="bullet"/>
      <w:start w:val="1"/>
    </w:lvl>
  </w:abstractNum>
  <w:abstractNum w:abstractNumId="25">
    <w:nsid w:val="47398C89"/>
    <w:multiLevelType w:val="hybridMultilevel"/>
    <w:lvl w:ilvl="0">
      <w:lvlJc w:val="left"/>
      <w:lvlText w:val="•"/>
      <w:numFmt w:val="bullet"/>
      <w:start w:val="1"/>
    </w:lvl>
  </w:abstractNum>
  <w:abstractNum w:abstractNumId="26">
    <w:nsid w:val="354FE9F9"/>
    <w:multiLevelType w:val="hybridMultilevel"/>
    <w:lvl w:ilvl="0">
      <w:lvlJc w:val="left"/>
      <w:lvlText w:val="•"/>
      <w:numFmt w:val="bullet"/>
      <w:start w:val="1"/>
    </w:lvl>
  </w:abstractNum>
  <w:abstractNum w:abstractNumId="27">
    <w:nsid w:val="15B5AF5C"/>
    <w:multiLevelType w:val="hybridMultilevel"/>
    <w:lvl w:ilvl="0">
      <w:lvlJc w:val="left"/>
      <w:lvlText w:val="(%1)"/>
      <w:numFmt w:val="decimal"/>
      <w:start w:val="1"/>
    </w:lvl>
  </w:abstractNum>
  <w:abstractNum w:abstractNumId="28">
    <w:nsid w:val="741226BB"/>
    <w:multiLevelType w:val="hybridMultilevel"/>
    <w:lvl w:ilvl="0">
      <w:lvlJc w:val="left"/>
      <w:lvlText w:val="(%1)"/>
      <w:numFmt w:val="decimal"/>
      <w:start w:val="1"/>
    </w:lvl>
  </w:abstractNum>
  <w:abstractNum w:abstractNumId="29">
    <w:nsid w:val="D34B6A8"/>
    <w:multiLevelType w:val="hybridMultilevel"/>
    <w:lvl w:ilvl="0">
      <w:lvlJc w:val="left"/>
      <w:lvlText w:val="(%1)"/>
      <w:numFmt w:val="decimal"/>
      <w:start w:val="1"/>
    </w:lvl>
  </w:abstractNum>
  <w:abstractNum w:abstractNumId="30">
    <w:nsid w:val="10233C99"/>
    <w:multiLevelType w:val="hybridMultilevel"/>
    <w:lvl w:ilvl="0">
      <w:lvlJc w:val="left"/>
      <w:lvlText w:val="(%1)"/>
      <w:numFmt w:val="decimal"/>
      <w:start w:val="1"/>
    </w:lvl>
  </w:abstractNum>
  <w:abstractNum w:abstractNumId="31">
    <w:nsid w:val="3F6AB60F"/>
    <w:multiLevelType w:val="hybridMultilevel"/>
    <w:lvl w:ilvl="0">
      <w:lvlJc w:val="left"/>
      <w:lvlText w:val="(%1)"/>
      <w:numFmt w:val="decimal"/>
      <w:start w:val="6"/>
    </w:lvl>
  </w:abstractNum>
  <w:abstractNum w:abstractNumId="32">
    <w:nsid w:val="61574095"/>
    <w:multiLevelType w:val="hybridMultilevel"/>
    <w:lvl w:ilvl="0">
      <w:lvlJc w:val="left"/>
      <w:lvlText w:val="(%1)"/>
      <w:numFmt w:val="decimal"/>
      <w:start w:val="1"/>
    </w:lvl>
  </w:abstractNum>
  <w:abstractNum w:abstractNumId="33">
    <w:nsid w:val="7E0C57B1"/>
    <w:multiLevelType w:val="hybridMultilevel"/>
    <w:lvl w:ilvl="0">
      <w:lvlJc w:val="left"/>
      <w:lvlText w:val="(%1)"/>
      <w:numFmt w:val="decimal"/>
      <w:start w:val="1"/>
    </w:lvl>
  </w:abstractNum>
  <w:abstractNum w:abstractNumId="34">
    <w:nsid w:val="77AE35EB"/>
    <w:multiLevelType w:val="hybridMultilevel"/>
    <w:lvl w:ilvl="0">
      <w:lvlJc w:val="left"/>
      <w:lvlText w:val="•"/>
      <w:numFmt w:val="bullet"/>
      <w:start w:val="1"/>
    </w:lvl>
  </w:abstractNum>
  <w:abstractNum w:abstractNumId="35">
    <w:nsid w:val="579BE4F1"/>
    <w:multiLevelType w:val="hybridMultilevel"/>
    <w:lvl w:ilvl="0">
      <w:lvlJc w:val="left"/>
      <w:lvlText w:val="•"/>
      <w:numFmt w:val="bullet"/>
      <w:start w:val="1"/>
    </w:lvl>
  </w:abstractNum>
  <w:abstractNum w:abstractNumId="36">
    <w:nsid w:val="310C50B3"/>
    <w:multiLevelType w:val="hybridMultilevel"/>
    <w:lvl w:ilvl="0">
      <w:lvlJc w:val="left"/>
      <w:lvlText w:val="(%1)"/>
      <w:numFmt w:val="decimal"/>
      <w:start w:val="1"/>
    </w:lvl>
  </w:abstractNum>
  <w:abstractNum w:abstractNumId="37">
    <w:nsid w:val="5FF87E05"/>
    <w:multiLevelType w:val="hybridMultilevel"/>
    <w:lvl w:ilvl="0">
      <w:lvlJc w:val="left"/>
      <w:lvlText w:val="(%1)"/>
      <w:numFmt w:val="decimal"/>
      <w:start w:val="7"/>
    </w:lvl>
  </w:abstractNum>
  <w:abstractNum w:abstractNumId="38">
    <w:nsid w:val="2F305DEF"/>
    <w:multiLevelType w:val="hybridMultilevel"/>
    <w:lvl w:ilvl="0">
      <w:lvlJc w:val="left"/>
      <w:lvlText w:val="(%1)"/>
      <w:numFmt w:val="decimal"/>
      <w:start w:val="1"/>
    </w:lvl>
  </w:abstractNum>
  <w:abstractNum w:abstractNumId="39">
    <w:nsid w:val="25A70BF7"/>
    <w:multiLevelType w:val="hybridMultilevel"/>
    <w:lvl w:ilvl="0">
      <w:lvlJc w:val="left"/>
      <w:lvlText w:val="(%1)"/>
      <w:numFmt w:val="decimal"/>
      <w:start w:val="1"/>
    </w:lvl>
  </w:abstractNum>
  <w:abstractNum w:abstractNumId="40">
    <w:nsid w:val="1DBABF00"/>
    <w:multiLevelType w:val="hybridMultilevel"/>
    <w:lvl w:ilvl="0">
      <w:lvlJc w:val="left"/>
      <w:lvlText w:val="(%1)"/>
      <w:numFmt w:val="decimal"/>
      <w:start w:val="1"/>
    </w:lvl>
  </w:abstractNum>
  <w:abstractNum w:abstractNumId="41">
    <w:nsid w:val="4AD084E9"/>
    <w:multiLevelType w:val="hybridMultilevel"/>
    <w:lvl w:ilvl="0">
      <w:lvlJc w:val="left"/>
      <w:lvlText w:val="(%1)"/>
      <w:numFmt w:val="decimal"/>
      <w:start w:val="5"/>
    </w:lvl>
  </w:abstractNum>
  <w:abstractNum w:abstractNumId="42">
    <w:nsid w:val="1F48EAA1"/>
    <w:multiLevelType w:val="hybridMultilevel"/>
    <w:lvl w:ilvl="0">
      <w:lvlJc w:val="left"/>
      <w:lvlText w:val="(%1)"/>
      <w:numFmt w:val="decimal"/>
      <w:start w:val="1"/>
    </w:lvl>
  </w:abstractNum>
  <w:abstractNum w:abstractNumId="43">
    <w:nsid w:val="1381823A"/>
    <w:multiLevelType w:val="hybridMultilevel"/>
    <w:lvl w:ilvl="0">
      <w:lvlJc w:val="left"/>
      <w:lvlText w:val="(%1)"/>
      <w:numFmt w:val="decimal"/>
      <w:start w:val="1"/>
    </w:lvl>
  </w:abstractNum>
  <w:abstractNum w:abstractNumId="44">
    <w:nsid w:val="5DB70AE5"/>
    <w:multiLevelType w:val="hybridMultilevel"/>
    <w:lvl w:ilvl="0">
      <w:lvlJc w:val="left"/>
      <w:lvlText w:val="(%1)"/>
      <w:numFmt w:val="decimal"/>
      <w:start w:val="1"/>
    </w:lvl>
  </w:abstractNum>
  <w:abstractNum w:abstractNumId="45">
    <w:nsid w:val="100F8FCA"/>
    <w:multiLevelType w:val="hybridMultilevel"/>
    <w:lvl w:ilvl="0">
      <w:lvlJc w:val="left"/>
      <w:lvlText w:val="(%1)"/>
      <w:numFmt w:val="decimal"/>
      <w:start w:val="1"/>
    </w:lvl>
  </w:abstractNum>
  <w:abstractNum w:abstractNumId="46">
    <w:nsid w:val="6590700B"/>
    <w:multiLevelType w:val="hybridMultilevel"/>
    <w:lvl w:ilvl="0">
      <w:lvlJc w:val="left"/>
      <w:lvlText w:val="(%1)"/>
      <w:numFmt w:val="decimal"/>
      <w:start w:val="1"/>
    </w:lvl>
  </w:abstractNum>
  <w:abstractNum w:abstractNumId="47">
    <w:nsid w:val="15014ACB"/>
    <w:multiLevelType w:val="hybridMultilevel"/>
    <w:lvl w:ilvl="0">
      <w:lvlJc w:val="left"/>
      <w:lvlText w:val="(%1)"/>
      <w:numFmt w:val="lowerRoman"/>
      <w:start w:val="1"/>
    </w:lvl>
  </w:abstractNum>
  <w:abstractNum w:abstractNumId="48">
    <w:nsid w:val="5F5E7FD0"/>
    <w:multiLevelType w:val="hybridMultilevel"/>
    <w:lvl w:ilvl="0">
      <w:lvlJc w:val="left"/>
      <w:lvlText w:val="(%1)"/>
      <w:numFmt w:val="decimal"/>
      <w:start w:val="1"/>
    </w:lvl>
  </w:abstractNum>
  <w:abstractNum w:abstractNumId="49">
    <w:nsid w:val="98A3148"/>
    <w:multiLevelType w:val="hybridMultilevel"/>
    <w:lvl w:ilvl="0">
      <w:lvlJc w:val="left"/>
      <w:lvlText w:val="(%1)"/>
      <w:numFmt w:val="decimal"/>
      <w:start w:val="1"/>
    </w:lvl>
  </w:abstractNum>
  <w:abstractNum w:abstractNumId="50">
    <w:nsid w:val="799D0247"/>
    <w:multiLevelType w:val="hybridMultilevel"/>
    <w:lvl w:ilvl="0">
      <w:lvlJc w:val="left"/>
      <w:lvlText w:val="(%1)"/>
      <w:numFmt w:val="decimal"/>
      <w:start w:val="1"/>
    </w:lvl>
  </w:abstractNum>
  <w:abstractNum w:abstractNumId="51">
    <w:nsid w:val="6B94764"/>
    <w:multiLevelType w:val="hybridMultilevel"/>
    <w:lvl w:ilvl="0">
      <w:lvlJc w:val="left"/>
      <w:lvlText w:val="(%1)"/>
      <w:numFmt w:val="decimal"/>
      <w:start w:val="1"/>
    </w:lvl>
  </w:abstractNum>
  <w:abstractNum w:abstractNumId="52">
    <w:nsid w:val="42C296BD"/>
    <w:multiLevelType w:val="hybridMultilevel"/>
    <w:lvl w:ilvl="0">
      <w:lvlJc w:val="left"/>
      <w:lvlText w:val="*"/>
      <w:numFmt w:val="bullet"/>
      <w:start w:val="1"/>
    </w:lvl>
  </w:abstractNum>
  <w:abstractNum w:abstractNumId="53">
    <w:nsid w:val="168E121F"/>
    <w:multiLevelType w:val="hybridMultilevel"/>
    <w:lvl w:ilvl="0">
      <w:lvlJc w:val="left"/>
      <w:lvlText w:val="**"/>
      <w:numFmt w:val="bullet"/>
      <w:start w:val="1"/>
    </w:lvl>
  </w:abstractNum>
  <w:abstractNum w:abstractNumId="54">
    <w:nsid w:val="1EBA5D23"/>
    <w:multiLevelType w:val="hybridMultilevel"/>
    <w:lvl w:ilvl="0">
      <w:lvlJc w:val="left"/>
      <w:lvlText w:val="***"/>
      <w:numFmt w:val="bullet"/>
      <w:start w:val="1"/>
    </w:lvl>
  </w:abstractNum>
  <w:abstractNum w:abstractNumId="55">
    <w:nsid w:val="661E3F1E"/>
    <w:multiLevelType w:val="hybridMultilevel"/>
    <w:lvl w:ilvl="0">
      <w:lvlJc w:val="left"/>
      <w:lvlText w:val="(%1)"/>
      <w:numFmt w:val="decimal"/>
      <w:start w:val="1"/>
    </w:lvl>
  </w:abstractNum>
  <w:abstractNum w:abstractNumId="56">
    <w:nsid w:val="5DC79EA8"/>
    <w:multiLevelType w:val="hybridMultilevel"/>
    <w:lvl w:ilvl="0">
      <w:lvlJc w:val="left"/>
      <w:lvlText w:val="(%1)"/>
      <w:numFmt w:val="decimal"/>
      <w:start w:val="3"/>
    </w:lvl>
  </w:abstractNum>
  <w:abstractNum w:abstractNumId="57">
    <w:nsid w:val="540A471C"/>
    <w:multiLevelType w:val="hybridMultilevel"/>
    <w:lvl w:ilvl="0">
      <w:lvlJc w:val="left"/>
      <w:lvlText w:val="*"/>
      <w:numFmt w:val="bullet"/>
      <w:start w:val="1"/>
    </w:lvl>
  </w:abstractNum>
  <w:abstractNum w:abstractNumId="58">
    <w:nsid w:val="7BD3EE7B"/>
    <w:multiLevelType w:val="hybridMultilevel"/>
    <w:lvl w:ilvl="0">
      <w:lvlJc w:val="left"/>
      <w:lvlText w:val="**"/>
      <w:numFmt w:val="bullet"/>
      <w:start w:val="1"/>
    </w:lvl>
  </w:abstractNum>
  <w:abstractNum w:abstractNumId="59">
    <w:nsid w:val="51D9C564"/>
    <w:multiLevelType w:val="hybridMultilevel"/>
    <w:lvl w:ilvl="0">
      <w:lvlJc w:val="left"/>
      <w:lvlText w:val="***"/>
      <w:numFmt w:val="bullet"/>
      <w:start w:val="1"/>
    </w:lvl>
  </w:abstractNum>
  <w:abstractNum w:abstractNumId="60">
    <w:nsid w:val="613EFDC5"/>
    <w:multiLevelType w:val="hybridMultilevel"/>
    <w:lvl w:ilvl="0">
      <w:lvlJc w:val="left"/>
      <w:lvlText w:val="(%1)"/>
      <w:numFmt w:val="decimal"/>
      <w:start w:val="1"/>
    </w:lvl>
  </w:abstractNum>
  <w:abstractNum w:abstractNumId="61">
    <w:nsid w:val="BF72B14"/>
    <w:multiLevelType w:val="hybridMultilevel"/>
    <w:lvl w:ilvl="0">
      <w:lvlJc w:val="left"/>
      <w:lvlText w:val="(%1)"/>
      <w:numFmt w:val="decimal"/>
      <w:start w:val="8"/>
    </w:lvl>
  </w:abstractNum>
  <w:abstractNum w:abstractNumId="62">
    <w:nsid w:val="11447B73"/>
    <w:multiLevelType w:val="hybridMultilevel"/>
    <w:lvl w:ilvl="0">
      <w:lvlJc w:val="left"/>
      <w:lvlText w:val="%1."/>
      <w:numFmt w:val="decimal"/>
      <w:start w:val="1"/>
    </w:lvl>
  </w:abstractNum>
  <w:abstractNum w:abstractNumId="63">
    <w:nsid w:val="42963E5A"/>
    <w:multiLevelType w:val="hybridMultilevel"/>
    <w:lvl w:ilvl="0">
      <w:lvlJc w:val="left"/>
      <w:lvlText w:val="(%1)"/>
      <w:numFmt w:val="decimal"/>
      <w:start w:val="1"/>
    </w:lvl>
  </w:abstractNum>
  <w:abstractNum w:abstractNumId="64">
    <w:nsid w:val="A0382C5"/>
    <w:multiLevelType w:val="hybridMultilevel"/>
    <w:lvl w:ilvl="0">
      <w:lvlJc w:val="left"/>
      <w:lvlText w:val="(%1)"/>
      <w:numFmt w:val="decimal"/>
      <w:start w:val="1"/>
    </w:lvl>
  </w:abstractNum>
  <w:abstractNum w:abstractNumId="65">
    <w:nsid w:val="8F2B15E"/>
    <w:multiLevelType w:val="hybridMultilevel"/>
    <w:lvl w:ilvl="0">
      <w:lvlJc w:val="left"/>
      <w:lvlText w:val="(%1)"/>
      <w:numFmt w:val="decimal"/>
      <w:start w:val="3"/>
    </w:lvl>
  </w:abstractNum>
  <w:abstractNum w:abstractNumId="66">
    <w:nsid w:val="1A32234B"/>
    <w:multiLevelType w:val="hybridMultilevel"/>
    <w:lvl w:ilvl="0">
      <w:lvlJc w:val="left"/>
      <w:lvlText w:val="(%1)"/>
      <w:numFmt w:val="decimal"/>
      <w:start w:val="1"/>
    </w:lvl>
  </w:abstractNum>
  <w:abstractNum w:abstractNumId="67">
    <w:nsid w:val="3B0FD379"/>
    <w:multiLevelType w:val="hybridMultilevel"/>
    <w:lvl w:ilvl="0">
      <w:lvlJc w:val="left"/>
      <w:lvlText w:val="(%1)"/>
      <w:numFmt w:val="decimal"/>
      <w:start w:val="3"/>
    </w:lvl>
  </w:abstractNum>
  <w:abstractNum w:abstractNumId="68">
    <w:nsid w:val="68EB2F63"/>
    <w:multiLevelType w:val="hybridMultilevel"/>
    <w:lvl w:ilvl="0">
      <w:lvlJc w:val="left"/>
      <w:lvlText w:val="*"/>
      <w:numFmt w:val="bullet"/>
      <w:start w:val="1"/>
    </w:lvl>
  </w:abstractNum>
  <w:abstractNum w:abstractNumId="69">
    <w:nsid w:val="4962813B"/>
    <w:multiLevelType w:val="hybridMultilevel"/>
    <w:lvl w:ilvl="0">
      <w:lvlJc w:val="left"/>
      <w:lvlText w:val="**"/>
      <w:numFmt w:val="bullet"/>
      <w:start w:val="1"/>
    </w:lvl>
  </w:abstractNum>
  <w:abstractNum w:abstractNumId="70">
    <w:nsid w:val="60B6DF70"/>
    <w:multiLevelType w:val="hybridMultilevel"/>
    <w:lvl w:ilvl="0">
      <w:lvlJc w:val="left"/>
      <w:lvlText w:val="***"/>
      <w:numFmt w:val="bullet"/>
      <w:start w:val="1"/>
    </w:lvl>
  </w:abstractNum>
  <w:abstractNum w:abstractNumId="71">
    <w:nsid w:val="6A5EE64"/>
    <w:multiLevelType w:val="hybridMultilevel"/>
    <w:lvl w:ilvl="0">
      <w:lvlJc w:val="left"/>
      <w:lvlText w:val="(%1)"/>
      <w:numFmt w:val="decimal"/>
      <w:start w:val="1"/>
    </w:lvl>
  </w:abstractNum>
  <w:abstractNum w:abstractNumId="72">
    <w:nsid w:val="14330624"/>
    <w:multiLevelType w:val="hybridMultilevel"/>
    <w:lvl w:ilvl="0">
      <w:lvlJc w:val="left"/>
      <w:lvlText w:val="(%1)"/>
      <w:numFmt w:val="decimal"/>
      <w:start w:val="2"/>
    </w:lvl>
  </w:abstractNum>
  <w:abstractNum w:abstractNumId="73">
    <w:nsid w:val="7FFFCA11"/>
    <w:multiLevelType w:val="hybridMultilevel"/>
    <w:lvl w:ilvl="0">
      <w:lvlJc w:val="left"/>
      <w:lvlText w:val="*"/>
      <w:numFmt w:val="bullet"/>
      <w:start w:val="1"/>
    </w:lvl>
  </w:abstractNum>
  <w:abstractNum w:abstractNumId="74">
    <w:nsid w:val="1A27709E"/>
    <w:multiLevelType w:val="hybridMultilevel"/>
    <w:lvl w:ilvl="0">
      <w:lvlJc w:val="left"/>
      <w:lvlText w:val="**"/>
      <w:numFmt w:val="bullet"/>
      <w:start w:val="1"/>
    </w:lvl>
  </w:abstractNum>
  <w:abstractNum w:abstractNumId="75">
    <w:nsid w:val="71EA1109"/>
    <w:multiLevelType w:val="hybridMultilevel"/>
    <w:lvl w:ilvl="0">
      <w:lvlJc w:val="left"/>
      <w:lvlText w:val="***"/>
      <w:numFmt w:val="bullet"/>
      <w:start w:val="1"/>
    </w:lvl>
  </w:abstractNum>
  <w:abstractNum w:abstractNumId="76">
    <w:nsid w:val="100F59DC"/>
    <w:multiLevelType w:val="hybridMultilevel"/>
    <w:lvl w:ilvl="0">
      <w:lvlJc w:val="left"/>
      <w:lvlText w:val="(%1)"/>
      <w:numFmt w:val="decimal"/>
      <w:start w:val="1"/>
    </w:lvl>
  </w:abstractNum>
  <w:abstractNum w:abstractNumId="77">
    <w:nsid w:val="7FB7E0AA"/>
    <w:multiLevelType w:val="hybridMultilevel"/>
    <w:lvl w:ilvl="0">
      <w:lvlJc w:val="left"/>
      <w:lvlText w:val="(%1)"/>
      <w:numFmt w:val="decimal"/>
      <w:start w:val="6"/>
    </w:lvl>
  </w:abstractNum>
  <w:abstractNum w:abstractNumId="78">
    <w:nsid w:val="6EB5BD4"/>
    <w:multiLevelType w:val="hybridMultilevel"/>
    <w:lvl w:ilvl="0">
      <w:lvlJc w:val="left"/>
      <w:lvlText w:val="(%1)"/>
      <w:numFmt w:val="decimal"/>
      <w:start w:val="1"/>
    </w:lvl>
  </w:abstractNum>
  <w:abstractNum w:abstractNumId="79">
    <w:nsid w:val="6F6DD9AC"/>
    <w:multiLevelType w:val="hybridMultilevel"/>
    <w:lvl w:ilvl="0">
      <w:lvlJc w:val="left"/>
      <w:lvlText w:val="(%1)"/>
      <w:numFmt w:val="decimal"/>
      <w:start w:val="1"/>
    </w:lvl>
  </w:abstractNum>
  <w:abstractNum w:abstractNumId="80">
    <w:nsid w:val="94211F2"/>
    <w:multiLevelType w:val="hybridMultilevel"/>
    <w:lvl w:ilvl="0">
      <w:lvlJc w:val="left"/>
      <w:lvlText w:val="(%1)"/>
      <w:numFmt w:val="decimal"/>
      <w:start w:val="1"/>
    </w:lvl>
  </w:abstractNum>
  <w:abstractNum w:abstractNumId="81">
    <w:nsid w:val="885E1B"/>
    <w:multiLevelType w:val="hybridMultilevel"/>
    <w:lvl w:ilvl="0">
      <w:lvlJc w:val="left"/>
      <w:lvlText w:val="(%1)"/>
      <w:numFmt w:val="decimal"/>
      <w:start w:val="1"/>
    </w:lvl>
  </w:abstractNum>
  <w:abstractNum w:abstractNumId="82">
    <w:nsid w:val="76272110"/>
    <w:multiLevelType w:val="hybridMultilevel"/>
    <w:lvl w:ilvl="0">
      <w:lvlJc w:val="left"/>
      <w:lvlText w:val="(%1)"/>
      <w:numFmt w:val="decimal"/>
      <w:start w:val="2"/>
    </w:lvl>
  </w:abstractNum>
  <w:abstractNum w:abstractNumId="83">
    <w:nsid w:val="4C04A8AF"/>
    <w:multiLevelType w:val="hybridMultilevel"/>
    <w:lvl w:ilvl="0">
      <w:lvlJc w:val="left"/>
      <w:lvlText w:val="(%1)"/>
      <w:numFmt w:val="decimal"/>
      <w:start w:val="1"/>
    </w:lvl>
  </w:abstractNum>
  <w:abstractNum w:abstractNumId="84">
    <w:nsid w:val="1716703B"/>
    <w:multiLevelType w:val="hybridMultilevel"/>
    <w:lvl w:ilvl="0">
      <w:lvlJc w:val="left"/>
      <w:lvlText w:val="(%1)"/>
      <w:numFmt w:val="decimal"/>
      <w:start w:val="3"/>
    </w:lvl>
  </w:abstractNum>
  <w:abstractNum w:abstractNumId="85">
    <w:nsid w:val="14E17E33"/>
    <w:multiLevelType w:val="hybridMultilevel"/>
    <w:lvl w:ilvl="0">
      <w:lvlJc w:val="left"/>
      <w:lvlText w:val="•"/>
      <w:numFmt w:val="bullet"/>
      <w:start w:val="1"/>
    </w:lvl>
  </w:abstractNum>
  <w:abstractNum w:abstractNumId="86">
    <w:nsid w:val="3222E7CD"/>
    <w:multiLevelType w:val="hybridMultilevel"/>
    <w:lvl w:ilvl="0">
      <w:lvlJc w:val="left"/>
      <w:lvlText w:val="•"/>
      <w:numFmt w:val="bullet"/>
      <w:start w:val="1"/>
    </w:lvl>
  </w:abstractNum>
  <w:abstractNum w:abstractNumId="87">
    <w:nsid w:val="74DE0EE3"/>
    <w:multiLevelType w:val="hybridMultilevel"/>
    <w:lvl w:ilvl="0">
      <w:lvlJc w:val="left"/>
      <w:lvlText w:val="%1."/>
      <w:numFmt w:val="decimal"/>
      <w:start w:val="1"/>
    </w:lvl>
    <w:lvl w:ilvl="1">
      <w:lvlJc w:val="left"/>
      <w:lvlText w:val="(%2)"/>
      <w:numFmt w:val="lowerLetter"/>
      <w:start w:val="1"/>
    </w:lvl>
  </w:abstractNum>
  <w:abstractNum w:abstractNumId="88">
    <w:nsid w:val="68EBC550"/>
    <w:multiLevelType w:val="hybridMultilevel"/>
    <w:lvl w:ilvl="0">
      <w:lvlJc w:val="left"/>
      <w:lvlText w:val="%1."/>
      <w:numFmt w:val="decimal"/>
      <w:start w:val="1"/>
    </w:lvl>
    <w:lvl w:ilvl="1">
      <w:lvlJc w:val="left"/>
      <w:lvlText w:val="(%2)"/>
      <w:numFmt w:val="lowerLetter"/>
      <w:start w:val="1"/>
    </w:lvl>
  </w:abstractNum>
  <w:abstractNum w:abstractNumId="89">
    <w:nsid w:val="2DF6D648"/>
    <w:multiLevelType w:val="hybridMultilevel"/>
    <w:lvl w:ilvl="0">
      <w:lvlJc w:val="left"/>
      <w:lvlText w:val="(%1)"/>
      <w:numFmt w:val="decimal"/>
      <w:start w:val="1"/>
    </w:lvl>
  </w:abstractNum>
  <w:abstractNum w:abstractNumId="90">
    <w:nsid w:val="46B7D4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19" Type="http://schemas.openxmlformats.org/officeDocument/2006/relationships/hyperlink" Target="http://www.sec.gov/Archives/edgar/data/1509470/000113379611000069/k216228_ex99-2a.htm" TargetMode="External"/><Relationship Id="rId120" Type="http://schemas.openxmlformats.org/officeDocument/2006/relationships/hyperlink" Target="http://www.sec.gov/Archives/edgar/data/1509470/000114420411033389/v224342_ex3-1.htm" TargetMode="External"/><Relationship Id="rId121" Type="http://schemas.openxmlformats.org/officeDocument/2006/relationships/hyperlink" Target="http://www.sec.gov/Archives/edgar/data/1509470/000114420419037014/tv526412_ex3-1.htm" TargetMode="External"/><Relationship Id="rId122" Type="http://schemas.openxmlformats.org/officeDocument/2006/relationships/hyperlink" Target="http://www.sec.gov/Archives/edgar/data/1509470/000110465920073783/tm2022743d1_ex3-1.htm" TargetMode="External"/><Relationship Id="rId123" Type="http://schemas.openxmlformats.org/officeDocument/2006/relationships/hyperlink" Target="http://www.sec.gov/Archives/edgar/data/1509470/000114420419037014/tv526412_ex3-2.htm" TargetMode="External"/><Relationship Id="rId124" Type="http://schemas.openxmlformats.org/officeDocument/2006/relationships/hyperlink" Target="http://www.sec.gov/Archives/edgar/data/1509470/000114420411053817/v235130_ex99-d1.htm" TargetMode="External"/><Relationship Id="rId125" Type="http://schemas.openxmlformats.org/officeDocument/2006/relationships/hyperlink" Target="http://www.sec.gov/Archives/edgar/data/1509470/000110465920080689/tm2023838d1_ex-d3.htm" TargetMode="External"/><Relationship Id="rId126" Type="http://schemas.openxmlformats.org/officeDocument/2006/relationships/hyperlink" Target="http://www.sec.gov/Archives/edgar/data/1509470/000114420418017614/tv489339_ex-d6.htm" TargetMode="External"/><Relationship Id="rId127" Type="http://schemas.openxmlformats.org/officeDocument/2006/relationships/hyperlink" Target="http://www.sec.gov/Archives/edgar/data/1509470/000114420418017614/tv489339_posex.htm" TargetMode="External"/><Relationship Id="rId128" Type="http://schemas.openxmlformats.org/officeDocument/2006/relationships/hyperlink" Target="http://www.sec.gov/Archives/edgar/data/1509470/000113379611000069/k216228_ex99-2e.htm" TargetMode="External"/><Relationship Id="rId129" Type="http://schemas.openxmlformats.org/officeDocument/2006/relationships/hyperlink" Target="http://www.sec.gov/Archives/edgar/data/1509470/000110465920080597/tm2023817d1_ex4-7.htm" TargetMode="External"/><Relationship Id="rId130" Type="http://schemas.openxmlformats.org/officeDocument/2006/relationships/hyperlink" Target="http://www.sec.gov/Archives/edgar/data/1509470/000110465920080597/tm2023817d1_ex4-8.htm" TargetMode="External"/><Relationship Id="rId131" Type="http://schemas.openxmlformats.org/officeDocument/2006/relationships/hyperlink" Target="http://www.sec.gov/Archives/edgar/data/1509470/000110465920080597/tm2023817d1_ex4-9.htm" TargetMode="External"/><Relationship Id="rId132" Type="http://schemas.openxmlformats.org/officeDocument/2006/relationships/hyperlink" Target="http://www.sec.gov/Archives/edgar/data/1509470/000110465920080597/tm2023817d1_ex4-10.htm" TargetMode="External"/><Relationship Id="rId133" Type="http://schemas.openxmlformats.org/officeDocument/2006/relationships/hyperlink" Target="http://www.sec.gov/Archives/edgar/data/1509470/000113379611000099/v217933_ex99-2j.htm" TargetMode="External"/><Relationship Id="rId134" Type="http://schemas.openxmlformats.org/officeDocument/2006/relationships/hyperlink" Target="http://www.sec.gov/Archives/edgar/data/1509470/000113379611000069/k216228_ex99-2k2.htm" TargetMode="External"/><Relationship Id="rId135" Type="http://schemas.openxmlformats.org/officeDocument/2006/relationships/hyperlink" Target="http://www.sec.gov/Archives/edgar/data/1509470/000162828020007178/ssss-03312020x10qex10x1.htm" TargetMode="External"/><Relationship Id="rId136" Type="http://schemas.openxmlformats.org/officeDocument/2006/relationships/hyperlink" Target="http://www.sec.gov/Archives/edgar/data/1509470/000162828020007178/ssss-03312020x10qex10x2.htm" TargetMode="External"/><Relationship Id="rId137" Type="http://schemas.openxmlformats.org/officeDocument/2006/relationships/hyperlink" Target="http://www.sec.gov/Archives/edgar/data/1509470/000110465920089216/tm2026282d1_ex10-1.htm" TargetMode="External"/><Relationship Id="rId138" Type="http://schemas.openxmlformats.org/officeDocument/2006/relationships/hyperlink" Target="http://www.sec.gov/Archives/edgar/data/1509470/000110465920107576/tm2031571d1_ex10-2.htm" TargetMode="External"/><Relationship Id="rId139" Type="http://schemas.openxmlformats.org/officeDocument/2006/relationships/hyperlink" Target="https://www.sec.gov/Archives/edgar/data/0001509470/000150947020000003/ssss-12312019x10kex141.htm" TargetMode="External"/><Relationship Id="rId140" Type="http://schemas.openxmlformats.org/officeDocument/2006/relationships/hyperlink" Target="https://www.sec.gov/Archives/edgar/data/0001509470/000150947020000003/ssss-12312019x10kex142.htm" TargetMode="External"/><Relationship Id="rId141" Type="http://schemas.openxmlformats.org/officeDocument/2006/relationships/hyperlink" Target="https://www.sec.gov/Archives/edgar/data/0001509470/000110465920080689/tm2023838d1_ex-n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2021-03-12T14:33:41Z</dcterms:created>
  <dcterms:modified xsi:type="dcterms:W3CDTF">2021-03-12T14:33:41Z</dcterms:modified>
</cp:coreProperties>
</file>