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341630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134620</wp:posOffset>
            </wp:positionV>
            <wp:extent cx="17837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154305</wp:posOffset>
            </wp:positionV>
            <wp:extent cx="17837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7"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w:t>
      </w:r>
    </w:p>
    <w:p>
      <w:pPr>
        <w:spacing w:after="0" w:line="217" w:lineRule="exact"/>
        <w:rPr>
          <w:rFonts w:ascii="MS PGothic" w:cs="MS PGothic" w:eastAsia="MS PGothic" w:hAnsi="MS PGothic"/>
          <w:sz w:val="18"/>
          <w:szCs w:val="18"/>
          <w:color w:val="auto"/>
          <w:highlight w:val="black"/>
        </w:rPr>
      </w:pPr>
    </w:p>
    <w:p>
      <w:pPr>
        <w:ind w:left="3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2023</w:t>
      </w:r>
    </w:p>
    <w:p>
      <w:pPr>
        <w:spacing w:after="0" w:line="217" w:lineRule="exact"/>
        <w:rPr>
          <w:sz w:val="24"/>
          <w:szCs w:val="24"/>
          <w:color w:val="auto"/>
        </w:rPr>
      </w:pPr>
    </w:p>
    <w:p>
      <w:pPr>
        <w:ind w:left="200" w:hanging="194"/>
        <w:spacing w:after="0"/>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w:t>
      </w:r>
    </w:p>
    <w:p>
      <w:pPr>
        <w:spacing w:after="0" w:line="217"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149225</wp:posOffset>
            </wp:positionV>
            <wp:extent cx="17837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SuRo Capital Corp.</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136525</wp:posOffset>
            </wp:positionV>
            <wp:extent cx="178371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6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6"/>
              </w:rPr>
              <w:t>Maryland</w:t>
            </w:r>
          </w:p>
        </w:tc>
        <w:tc>
          <w:tcPr>
            <w:tcW w:w="3900" w:type="dxa"/>
            <w:vAlign w:val="bottom"/>
          </w:tcPr>
          <w:p>
            <w:pPr>
              <w:jc w:val="right"/>
              <w:ind w:right="772"/>
              <w:spacing w:after="0"/>
              <w:rPr>
                <w:sz w:val="20"/>
                <w:szCs w:val="20"/>
                <w:color w:val="auto"/>
              </w:rPr>
            </w:pPr>
            <w:r>
              <w:rPr>
                <w:rFonts w:ascii="Arial" w:cs="Arial" w:eastAsia="Arial" w:hAnsi="Arial"/>
                <w:sz w:val="18"/>
                <w:szCs w:val="18"/>
                <w:b w:val="1"/>
                <w:bCs w:val="1"/>
                <w:color w:val="auto"/>
              </w:rPr>
              <w:t>27-4443543</w:t>
            </w:r>
          </w:p>
        </w:tc>
      </w:tr>
      <w:tr>
        <w:trPr>
          <w:trHeight w:val="223"/>
        </w:trPr>
        <w:tc>
          <w:tcPr>
            <w:tcW w:w="4680" w:type="dxa"/>
            <w:vAlign w:val="bottom"/>
          </w:tcPr>
          <w:p>
            <w:pPr>
              <w:jc w:val="center"/>
              <w:ind w:right="1252"/>
              <w:spacing w:after="0"/>
              <w:rPr>
                <w:sz w:val="20"/>
                <w:szCs w:val="20"/>
                <w:color w:val="auto"/>
              </w:rPr>
            </w:pPr>
            <w:r>
              <w:rPr>
                <w:rFonts w:ascii="Arial" w:cs="Arial" w:eastAsia="Arial" w:hAnsi="Arial"/>
                <w:sz w:val="18"/>
                <w:szCs w:val="18"/>
                <w:color w:val="auto"/>
                <w:w w:val="90"/>
              </w:rPr>
              <w:t>(State of incorporation)</w:t>
            </w:r>
          </w:p>
        </w:tc>
        <w:tc>
          <w:tcPr>
            <w:tcW w:w="3900" w:type="dxa"/>
            <w:vAlign w:val="bottom"/>
          </w:tcPr>
          <w:p>
            <w:pPr>
              <w:jc w:val="center"/>
              <w:ind w:left="1252"/>
              <w:spacing w:after="0"/>
              <w:rPr>
                <w:sz w:val="20"/>
                <w:szCs w:val="20"/>
                <w:color w:val="auto"/>
              </w:rPr>
            </w:pPr>
            <w:r>
              <w:rPr>
                <w:rFonts w:ascii="Arial" w:cs="Arial" w:eastAsia="Arial" w:hAnsi="Arial"/>
                <w:sz w:val="18"/>
                <w:szCs w:val="18"/>
                <w:color w:val="auto"/>
                <w:w w:val="92"/>
              </w:rPr>
              <w:t>(I.R.S. Employer Identification No.)</w:t>
            </w:r>
          </w:p>
        </w:tc>
      </w:tr>
      <w:tr>
        <w:trPr>
          <w:trHeight w:val="439"/>
        </w:trPr>
        <w:tc>
          <w:tcPr>
            <w:tcW w:w="4680" w:type="dxa"/>
            <w:vAlign w:val="bottom"/>
          </w:tcPr>
          <w:p>
            <w:pPr>
              <w:jc w:val="center"/>
              <w:ind w:right="1252"/>
              <w:spacing w:after="0"/>
              <w:rPr>
                <w:sz w:val="20"/>
                <w:szCs w:val="20"/>
                <w:color w:val="auto"/>
              </w:rPr>
            </w:pPr>
            <w:r>
              <w:rPr>
                <w:rFonts w:ascii="Arial" w:cs="Arial" w:eastAsia="Arial" w:hAnsi="Arial"/>
                <w:sz w:val="18"/>
                <w:szCs w:val="18"/>
                <w:b w:val="1"/>
                <w:bCs w:val="1"/>
                <w:color w:val="auto"/>
                <w:w w:val="90"/>
              </w:rPr>
              <w:t>640 Fifth Avenue, 12th Floor, New York, NY</w:t>
            </w:r>
          </w:p>
        </w:tc>
        <w:tc>
          <w:tcPr>
            <w:tcW w:w="3900" w:type="dxa"/>
            <w:vAlign w:val="bottom"/>
          </w:tcPr>
          <w:p>
            <w:pPr>
              <w:jc w:val="right"/>
              <w:ind w:right="972"/>
              <w:spacing w:after="0"/>
              <w:rPr>
                <w:sz w:val="20"/>
                <w:szCs w:val="20"/>
                <w:color w:val="auto"/>
              </w:rPr>
            </w:pPr>
            <w:r>
              <w:rPr>
                <w:rFonts w:ascii="Arial" w:cs="Arial" w:eastAsia="Arial" w:hAnsi="Arial"/>
                <w:sz w:val="18"/>
                <w:szCs w:val="18"/>
                <w:b w:val="1"/>
                <w:bCs w:val="1"/>
                <w:color w:val="auto"/>
              </w:rPr>
              <w:t>10019</w:t>
            </w:r>
          </w:p>
        </w:tc>
      </w:tr>
      <w:tr>
        <w:trPr>
          <w:trHeight w:val="223"/>
        </w:trPr>
        <w:tc>
          <w:tcPr>
            <w:tcW w:w="4680" w:type="dxa"/>
            <w:vAlign w:val="bottom"/>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3900" w:type="dxa"/>
            <w:vAlign w:val="bottom"/>
          </w:tcPr>
          <w:p>
            <w:pPr>
              <w:jc w:val="center"/>
              <w:ind w:left="1232"/>
              <w:spacing w:after="0"/>
              <w:rPr>
                <w:sz w:val="20"/>
                <w:szCs w:val="20"/>
                <w:color w:val="auto"/>
              </w:rPr>
            </w:pPr>
            <w:r>
              <w:rPr>
                <w:rFonts w:ascii="Arial" w:cs="Arial" w:eastAsia="Arial" w:hAnsi="Arial"/>
                <w:sz w:val="18"/>
                <w:szCs w:val="18"/>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931-6331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0"/>
        </w:trPr>
        <w:tc>
          <w:tcPr>
            <w:tcW w:w="40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w w:val="88"/>
              </w:rPr>
              <w:t>Common Stock, par value $0.01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w w:val="79"/>
              </w:rPr>
              <w:t>SSSS</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w w:val="88"/>
              </w:rPr>
              <w:t>Nasdaq Global Select Market</w:t>
            </w:r>
          </w:p>
        </w:tc>
      </w:tr>
      <w:tr>
        <w:trPr>
          <w:trHeight w:val="223"/>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6.00% Notes due 2026</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SSSSL</w:t>
            </w:r>
          </w:p>
        </w:tc>
        <w:tc>
          <w:tcPr>
            <w:tcW w:w="4480" w:type="dxa"/>
            <w:vAlign w:val="bottom"/>
          </w:tcPr>
          <w:p>
            <w:pPr>
              <w:jc w:val="center"/>
              <w:spacing w:after="0"/>
              <w:rPr>
                <w:sz w:val="20"/>
                <w:szCs w:val="20"/>
                <w:color w:val="auto"/>
              </w:rPr>
            </w:pPr>
            <w:r>
              <w:rPr>
                <w:rFonts w:ascii="Arial" w:cs="Arial" w:eastAsia="Arial" w:hAnsi="Arial"/>
                <w:sz w:val="18"/>
                <w:szCs w:val="18"/>
                <w:color w:val="auto"/>
                <w:w w:val="88"/>
              </w:rPr>
              <w:t>Nasdaq Global Select Market</w:t>
            </w:r>
          </w:p>
        </w:tc>
      </w:tr>
    </w:tbl>
    <w:p>
      <w:pPr>
        <w:spacing w:after="0" w:line="201" w:lineRule="exact"/>
        <w:rPr>
          <w:sz w:val="24"/>
          <w:szCs w:val="24"/>
          <w:color w:val="auto"/>
        </w:rPr>
      </w:pPr>
    </w:p>
    <w:p>
      <w:pPr>
        <w:jc w:val="both"/>
        <w:ind w:firstLine="358"/>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jc w:val="both"/>
        <w:ind w:firstLine="358"/>
        <w:spacing w:after="0" w:line="23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ind w:firstLine="35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34" w:right="339" w:bottom="1440" w:gutter="0" w:footer="0" w:header="0"/>
        </w:sectPr>
      </w:pPr>
    </w:p>
    <w:p>
      <w:pPr>
        <w:spacing w:after="0" w:line="144"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64" w:lineRule="exact"/>
        <w:rPr>
          <w:sz w:val="24"/>
          <w:szCs w:val="24"/>
          <w:color w:val="auto"/>
        </w:rPr>
      </w:pPr>
    </w:p>
    <w:p>
      <w:pPr>
        <w:ind w:left="3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40"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6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46" w:lineRule="exact"/>
        <w:rPr>
          <w:sz w:val="24"/>
          <w:szCs w:val="24"/>
          <w:color w:val="auto"/>
        </w:rPr>
      </w:pPr>
    </w:p>
    <w:p>
      <w:pPr>
        <w:sectPr>
          <w:pgSz w:w="11900" w:h="16838" w:orient="portrait"/>
          <w:cols w:equalWidth="0" w:num="2">
            <w:col w:w="7980" w:space="720"/>
            <w:col w:w="2540"/>
          </w:cols>
          <w:pgMar w:left="320" w:top="734" w:right="339" w:bottom="1440" w:gutter="0" w:footer="0" w:header="0"/>
          <w:type w:val="continuous"/>
        </w:sectPr>
      </w:pPr>
    </w:p>
    <w:p>
      <w:pPr>
        <w:spacing w:after="0" w:line="3" w:lineRule="exact"/>
        <w:rPr>
          <w:sz w:val="24"/>
          <w:szCs w:val="24"/>
          <w:color w:val="auto"/>
        </w:rPr>
      </w:pPr>
    </w:p>
    <w:p>
      <w:pPr>
        <w:ind w:firstLine="358"/>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issuer had 25,209,108 shares of common stock, $0.01 par value per share, outstanding as of November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490855</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10"/>
          </w:tcPr>
          <w:p>
            <w:pPr>
              <w:ind w:left="620"/>
              <w:spacing w:after="0"/>
              <w:rPr>
                <w:sz w:val="20"/>
                <w:szCs w:val="20"/>
                <w:color w:val="auto"/>
              </w:rPr>
            </w:pPr>
            <w:r>
              <w:rPr>
                <w:rFonts w:ascii="Arial" w:cs="Arial" w:eastAsia="Arial" w:hAnsi="Arial"/>
                <w:sz w:val="18"/>
                <w:szCs w:val="18"/>
                <w:b w:val="1"/>
                <w:bCs w:val="1"/>
                <w:color w:val="auto"/>
              </w:rPr>
              <w:t>SURO CAPITAL CORP.</w:t>
            </w:r>
          </w:p>
        </w:tc>
        <w:tc>
          <w:tcPr>
            <w:tcW w:w="640" w:type="dxa"/>
            <w:vAlign w:val="bottom"/>
          </w:tcPr>
          <w:p>
            <w:pPr>
              <w:spacing w:after="0"/>
              <w:rPr>
                <w:sz w:val="19"/>
                <w:szCs w:val="19"/>
                <w:color w:val="auto"/>
              </w:rPr>
            </w:pPr>
          </w:p>
        </w:tc>
      </w:tr>
      <w:tr>
        <w:trPr>
          <w:trHeight w:val="424"/>
        </w:trPr>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40" w:type="dxa"/>
            <w:vAlign w:val="bottom"/>
            <w:gridSpan w:val="10"/>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32"/>
        </w:trPr>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192"/>
        </w:trPr>
        <w:tc>
          <w:tcPr>
            <w:tcW w:w="3020" w:type="dxa"/>
            <w:vAlign w:val="bottom"/>
            <w:tcBorders>
              <w:bottom w:val="single" w:sz="8" w:color="0000EE"/>
            </w:tcBorders>
            <w:gridSpan w:val="9"/>
            <w:shd w:val="clear" w:color="auto" w:fill="CCEEFF"/>
          </w:tcPr>
          <w:p>
            <w:pPr>
              <w:spacing w:after="0" w:line="172" w:lineRule="exact"/>
              <w:rPr>
                <w:sz w:val="20"/>
                <w:szCs w:val="20"/>
                <w:color w:val="auto"/>
              </w:rPr>
            </w:pPr>
            <w:r>
              <w:rPr>
                <w:rFonts w:ascii="Arial" w:cs="Arial" w:eastAsia="Arial" w:hAnsi="Arial"/>
                <w:sz w:val="18"/>
                <w:szCs w:val="18"/>
                <w:b w:val="1"/>
                <w:bCs w:val="1"/>
                <w:color w:val="0000EE"/>
              </w:rPr>
              <w:t>PART I. FINANCIAL INFORMATION</w:t>
            </w:r>
          </w:p>
        </w:tc>
        <w:tc>
          <w:tcPr>
            <w:tcW w:w="7580" w:type="dxa"/>
            <w:vAlign w:val="bottom"/>
            <w:tcBorders>
              <w:bottom w:val="single" w:sz="8" w:color="CCEEFF"/>
            </w:tcBorders>
            <w:gridSpan w:val="1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7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line="172" w:lineRule="exact"/>
              <w:rPr>
                <w:sz w:val="20"/>
                <w:szCs w:val="20"/>
                <w:color w:val="auto"/>
              </w:rPr>
            </w:pPr>
            <w:r>
              <w:rPr>
                <w:rFonts w:ascii="Arial" w:cs="Arial" w:eastAsia="Arial" w:hAnsi="Arial"/>
                <w:sz w:val="18"/>
                <w:szCs w:val="18"/>
                <w:color w:val="0000EE"/>
              </w:rPr>
              <w:t>Condensed Consolidated Financial Statements</w:t>
            </w:r>
          </w:p>
        </w:tc>
        <w:tc>
          <w:tcPr>
            <w:tcW w:w="64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0000EE"/>
            </w:tcBorders>
            <w:gridSpan w:val="16"/>
            <w:shd w:val="clear" w:color="auto" w:fill="CCEEFF"/>
          </w:tcPr>
          <w:p>
            <w:pPr>
              <w:spacing w:after="0" w:line="192" w:lineRule="exact"/>
              <w:rPr>
                <w:sz w:val="20"/>
                <w:szCs w:val="20"/>
                <w:color w:val="auto"/>
              </w:rPr>
            </w:pPr>
            <w:r>
              <w:rPr>
                <w:rFonts w:ascii="Arial" w:cs="Arial" w:eastAsia="Arial" w:hAnsi="Arial"/>
                <w:sz w:val="18"/>
                <w:szCs w:val="18"/>
                <w:color w:val="0000EE"/>
                <w:w w:val="87"/>
              </w:rPr>
              <w:t>Condensed Consolidated Statements of Assets and Liabilities as of September 30, 2023 (Unaudited) and December 31, 2022</w:t>
            </w:r>
          </w:p>
        </w:tc>
        <w:tc>
          <w:tcPr>
            <w:tcW w:w="1000" w:type="dxa"/>
            <w:vAlign w:val="bottom"/>
            <w:tcBorders>
              <w:bottom w:val="single" w:sz="8" w:color="CCEEFF"/>
            </w:tcBorders>
            <w:gridSpan w:val="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w:t>
            </w:r>
          </w:p>
        </w:tc>
      </w:tr>
      <w:tr>
        <w:trPr>
          <w:trHeight w:val="172"/>
        </w:trPr>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gridSpan w:val="19"/>
          </w:tcPr>
          <w:p>
            <w:pPr>
              <w:spacing w:after="0" w:line="172" w:lineRule="exact"/>
              <w:rPr>
                <w:sz w:val="20"/>
                <w:szCs w:val="20"/>
                <w:color w:val="auto"/>
              </w:rPr>
            </w:pPr>
            <w:r>
              <w:rPr>
                <w:rFonts w:ascii="Arial" w:cs="Arial" w:eastAsia="Arial" w:hAnsi="Arial"/>
                <w:sz w:val="18"/>
                <w:szCs w:val="18"/>
                <w:color w:val="0000EE"/>
                <w:w w:val="92"/>
              </w:rPr>
              <w:t>Condensed Consolidated Statements of Operations for the Three and Nine Months Ended September 30, 2023 and 2022 (Unaudited)</w:t>
            </w:r>
          </w:p>
        </w:tc>
        <w:tc>
          <w:tcPr>
            <w:tcW w:w="640" w:type="dxa"/>
            <w:vAlign w:val="bottom"/>
          </w:tcPr>
          <w:p>
            <w:pPr>
              <w:jc w:val="right"/>
              <w:spacing w:after="0" w:line="17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20" w:type="dxa"/>
            <w:vAlign w:val="bottom"/>
            <w:gridSpan w:val="19"/>
            <w:shd w:val="clear" w:color="auto" w:fill="CCEEFF"/>
          </w:tcPr>
          <w:p>
            <w:pPr>
              <w:spacing w:after="0" w:line="192" w:lineRule="exact"/>
              <w:rPr>
                <w:sz w:val="20"/>
                <w:szCs w:val="20"/>
                <w:color w:val="auto"/>
              </w:rPr>
            </w:pPr>
            <w:r>
              <w:rPr>
                <w:rFonts w:ascii="Arial" w:cs="Arial" w:eastAsia="Arial" w:hAnsi="Arial"/>
                <w:sz w:val="18"/>
                <w:szCs w:val="18"/>
                <w:color w:val="0000EE"/>
                <w:w w:val="91"/>
              </w:rPr>
              <w:t>Condensed Consolidated Statements of Changes in Net Assets for the Nine Months Ended September 30, 2023 and 2022 (Unaudited)</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w:t>
            </w:r>
          </w:p>
        </w:tc>
      </w:tr>
      <w:tr>
        <w:trPr>
          <w:trHeight w:val="172"/>
        </w:trPr>
        <w:tc>
          <w:tcPr>
            <w:tcW w:w="7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9440" w:type="dxa"/>
            <w:vAlign w:val="bottom"/>
            <w:tcBorders>
              <w:top w:val="single" w:sz="8" w:color="0000EE"/>
            </w:tcBorders>
            <w:gridSpan w:val="18"/>
          </w:tcPr>
          <w:p>
            <w:pPr>
              <w:spacing w:after="0" w:line="172" w:lineRule="exact"/>
              <w:rPr>
                <w:sz w:val="20"/>
                <w:szCs w:val="20"/>
                <w:color w:val="auto"/>
              </w:rPr>
            </w:pPr>
            <w:r>
              <w:rPr>
                <w:rFonts w:ascii="Arial" w:cs="Arial" w:eastAsia="Arial" w:hAnsi="Arial"/>
                <w:sz w:val="18"/>
                <w:szCs w:val="18"/>
                <w:color w:val="0000EE"/>
                <w:w w:val="95"/>
              </w:rPr>
              <w:t>Condensed Consolidated Statements of Cash Flows for the Nine Months Ended September 30, 2023 and 2022 (Unaudited)</w:t>
            </w:r>
          </w:p>
        </w:tc>
        <w:tc>
          <w:tcPr>
            <w:tcW w:w="3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5</w:t>
            </w:r>
          </w:p>
        </w:tc>
      </w:tr>
      <w:tr>
        <w:trPr>
          <w:trHeight w:val="212"/>
        </w:trPr>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top w:val="single" w:sz="8" w:color="0000EE"/>
              <w:bottom w:val="single" w:sz="8" w:color="0000EE"/>
            </w:tcBorders>
            <w:gridSpan w:val="12"/>
            <w:shd w:val="clear" w:color="auto" w:fill="CCEEFF"/>
          </w:tcPr>
          <w:p>
            <w:pPr>
              <w:spacing w:after="0" w:line="192" w:lineRule="exact"/>
              <w:rPr>
                <w:sz w:val="20"/>
                <w:szCs w:val="20"/>
                <w:color w:val="auto"/>
              </w:rPr>
            </w:pPr>
            <w:r>
              <w:rPr>
                <w:rFonts w:ascii="Arial" w:cs="Arial" w:eastAsia="Arial" w:hAnsi="Arial"/>
                <w:sz w:val="18"/>
                <w:szCs w:val="18"/>
                <w:color w:val="0000EE"/>
                <w:w w:val="87"/>
              </w:rPr>
              <w:t>Condensed Consolidated Schedule of Investments as of September 30, 2023 (Unaudited)</w:t>
            </w:r>
          </w:p>
        </w:tc>
        <w:tc>
          <w:tcPr>
            <w:tcW w:w="23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gridSpan w:val="4"/>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w:t>
            </w:r>
          </w:p>
        </w:tc>
      </w:tr>
      <w:tr>
        <w:trPr>
          <w:trHeight w:val="172"/>
        </w:trPr>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gridSpan w:val="19"/>
          </w:tcPr>
          <w:p>
            <w:pPr>
              <w:spacing w:after="0" w:line="172" w:lineRule="exact"/>
              <w:rPr>
                <w:sz w:val="20"/>
                <w:szCs w:val="20"/>
                <w:color w:val="auto"/>
              </w:rPr>
            </w:pPr>
            <w:r>
              <w:rPr>
                <w:rFonts w:ascii="Arial" w:cs="Arial" w:eastAsia="Arial" w:hAnsi="Arial"/>
                <w:sz w:val="18"/>
                <w:szCs w:val="18"/>
                <w:color w:val="0000EE"/>
              </w:rPr>
              <w:t>Condensed Consolidated Schedule of Investments as of December 31, 2022</w:t>
            </w:r>
          </w:p>
        </w:tc>
        <w:tc>
          <w:tcPr>
            <w:tcW w:w="640" w:type="dxa"/>
            <w:vAlign w:val="bottom"/>
          </w:tcPr>
          <w:p>
            <w:pPr>
              <w:jc w:val="right"/>
              <w:spacing w:after="0" w:line="172"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20" w:type="dxa"/>
            <w:vAlign w:val="bottom"/>
            <w:gridSpan w:val="19"/>
            <w:shd w:val="clear" w:color="auto" w:fill="CCEEFF"/>
          </w:tcPr>
          <w:p>
            <w:pPr>
              <w:spacing w:after="0" w:line="192" w:lineRule="exact"/>
              <w:rPr>
                <w:sz w:val="20"/>
                <w:szCs w:val="20"/>
                <w:color w:val="auto"/>
              </w:rPr>
            </w:pPr>
            <w:r>
              <w:rPr>
                <w:rFonts w:ascii="Arial" w:cs="Arial" w:eastAsia="Arial" w:hAnsi="Arial"/>
                <w:sz w:val="18"/>
                <w:szCs w:val="18"/>
                <w:color w:val="0000EE"/>
              </w:rPr>
              <w:t>Notes to Condensed Consolidated Financial Statements as of September 30, 2023 (Unaudited)</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72"/>
        </w:trPr>
        <w:tc>
          <w:tcPr>
            <w:tcW w:w="780" w:type="dxa"/>
            <w:vAlign w:val="bottom"/>
            <w:tcBorders>
              <w:top w:val="single" w:sz="8" w:color="CCEEFF"/>
            </w:tcBorders>
            <w:gridSpan w:val="2"/>
          </w:tcPr>
          <w:p>
            <w:pPr>
              <w:spacing w:after="0" w:line="172" w:lineRule="exact"/>
              <w:rPr>
                <w:sz w:val="20"/>
                <w:szCs w:val="20"/>
                <w:color w:val="auto"/>
              </w:rPr>
            </w:pPr>
            <w:r>
              <w:rPr>
                <w:rFonts w:ascii="Arial" w:cs="Arial" w:eastAsia="Arial" w:hAnsi="Arial"/>
                <w:sz w:val="18"/>
                <w:szCs w:val="18"/>
                <w:color w:val="auto"/>
              </w:rPr>
              <w:t>Item 2.</w:t>
            </w:r>
          </w:p>
        </w:tc>
        <w:tc>
          <w:tcPr>
            <w:tcW w:w="6660" w:type="dxa"/>
            <w:vAlign w:val="bottom"/>
            <w:tcBorders>
              <w:top w:val="single" w:sz="8" w:color="0000EE"/>
            </w:tcBorders>
            <w:gridSpan w:val="14"/>
          </w:tcPr>
          <w:p>
            <w:pPr>
              <w:spacing w:after="0" w:line="172" w:lineRule="exact"/>
              <w:rPr>
                <w:sz w:val="20"/>
                <w:szCs w:val="20"/>
                <w:color w:val="auto"/>
              </w:rPr>
            </w:pPr>
            <w:r>
              <w:rPr>
                <w:rFonts w:ascii="Arial" w:cs="Arial" w:eastAsia="Arial" w:hAnsi="Arial"/>
                <w:sz w:val="18"/>
                <w:szCs w:val="18"/>
                <w:color w:val="0000EE"/>
                <w:w w:val="93"/>
              </w:rPr>
              <w:t>Management’s Discussion and Analysis of Financial Condition and Results of Operations</w:t>
            </w:r>
          </w:p>
        </w:tc>
        <w:tc>
          <w:tcPr>
            <w:tcW w:w="3160" w:type="dxa"/>
            <w:vAlign w:val="bottom"/>
            <w:tcBorders>
              <w:top w:val="single" w:sz="8" w:color="CCEEFF"/>
            </w:tcBorders>
            <w:gridSpan w:val="5"/>
          </w:tcPr>
          <w:p>
            <w:pPr>
              <w:spacing w:after="0"/>
              <w:rPr>
                <w:sz w:val="14"/>
                <w:szCs w:val="14"/>
                <w:color w:val="auto"/>
              </w:rPr>
            </w:pPr>
          </w:p>
        </w:tc>
        <w:tc>
          <w:tcPr>
            <w:tcW w:w="64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44</w:t>
            </w:r>
          </w:p>
        </w:tc>
      </w:tr>
      <w:tr>
        <w:trPr>
          <w:trHeight w:val="212"/>
        </w:trPr>
        <w:tc>
          <w:tcPr>
            <w:tcW w:w="7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Item 3.</w:t>
            </w:r>
          </w:p>
        </w:tc>
        <w:tc>
          <w:tcPr>
            <w:tcW w:w="6340" w:type="dxa"/>
            <w:vAlign w:val="bottom"/>
            <w:tcBorders>
              <w:top w:val="single" w:sz="8" w:color="0000EE"/>
            </w:tcBorders>
            <w:gridSpan w:val="13"/>
            <w:shd w:val="clear" w:color="auto" w:fill="CCEEFF"/>
          </w:tcPr>
          <w:p>
            <w:pPr>
              <w:spacing w:after="0" w:line="192" w:lineRule="exact"/>
              <w:rPr>
                <w:sz w:val="20"/>
                <w:szCs w:val="20"/>
                <w:color w:val="auto"/>
              </w:rPr>
            </w:pPr>
            <w:r>
              <w:rPr>
                <w:rFonts w:ascii="Arial" w:cs="Arial" w:eastAsia="Arial" w:hAnsi="Arial"/>
                <w:sz w:val="18"/>
                <w:szCs w:val="18"/>
                <w:color w:val="0000EE"/>
              </w:rPr>
              <w:t>Quantitative and Qualitative Disclosures About Market Risk</w:t>
            </w:r>
          </w:p>
        </w:tc>
        <w:tc>
          <w:tcPr>
            <w:tcW w:w="3480" w:type="dxa"/>
            <w:vAlign w:val="bottom"/>
            <w:gridSpan w:val="6"/>
            <w:shd w:val="clear" w:color="auto" w:fill="CCEEFF"/>
          </w:tcPr>
          <w:p>
            <w:pPr>
              <w:spacing w:after="0"/>
              <w:rPr>
                <w:sz w:val="18"/>
                <w:szCs w:val="18"/>
                <w:color w:val="auto"/>
              </w:rPr>
            </w:pP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72"/>
        </w:trPr>
        <w:tc>
          <w:tcPr>
            <w:tcW w:w="780" w:type="dxa"/>
            <w:vAlign w:val="bottom"/>
            <w:tcBorders>
              <w:top w:val="single" w:sz="8" w:color="CCEEFF"/>
            </w:tcBorders>
            <w:gridSpan w:val="2"/>
          </w:tcPr>
          <w:p>
            <w:pPr>
              <w:spacing w:after="0" w:line="172" w:lineRule="exact"/>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10"/>
          </w:tcPr>
          <w:p>
            <w:pPr>
              <w:spacing w:after="0" w:line="172" w:lineRule="exact"/>
              <w:rPr>
                <w:sz w:val="20"/>
                <w:szCs w:val="20"/>
                <w:color w:val="auto"/>
              </w:rPr>
            </w:pPr>
            <w:r>
              <w:rPr>
                <w:rFonts w:ascii="Arial" w:cs="Arial" w:eastAsia="Arial" w:hAnsi="Arial"/>
                <w:sz w:val="18"/>
                <w:szCs w:val="18"/>
                <w:color w:val="0000EE"/>
              </w:rPr>
              <w:t>Controls and Procedures</w:t>
            </w:r>
          </w:p>
        </w:tc>
        <w:tc>
          <w:tcPr>
            <w:tcW w:w="5540" w:type="dxa"/>
            <w:vAlign w:val="bottom"/>
            <w:tcBorders>
              <w:top w:val="single" w:sz="8" w:color="CCEEFF"/>
            </w:tcBorders>
            <w:gridSpan w:val="9"/>
          </w:tcPr>
          <w:p>
            <w:pPr>
              <w:spacing w:after="0"/>
              <w:rPr>
                <w:sz w:val="14"/>
                <w:szCs w:val="14"/>
                <w:color w:val="auto"/>
              </w:rPr>
            </w:pPr>
          </w:p>
        </w:tc>
        <w:tc>
          <w:tcPr>
            <w:tcW w:w="64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56</w:t>
            </w:r>
          </w:p>
        </w:tc>
      </w:tr>
      <w:tr>
        <w:trPr>
          <w:trHeight w:val="30"/>
        </w:trPr>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5"/>
        </w:trPr>
        <w:tc>
          <w:tcPr>
            <w:tcW w:w="1060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shd w:val="clear" w:color="auto" w:fill="CCEEFF"/>
          </w:tcPr>
          <w:p>
            <w:pPr>
              <w:spacing w:after="0"/>
              <w:rPr>
                <w:sz w:val="18"/>
                <w:szCs w:val="18"/>
                <w:color w:val="auto"/>
              </w:rPr>
            </w:pPr>
          </w:p>
        </w:tc>
      </w:tr>
      <w:tr>
        <w:trPr>
          <w:trHeight w:val="172"/>
        </w:trPr>
        <w:tc>
          <w:tcPr>
            <w:tcW w:w="780" w:type="dxa"/>
            <w:vAlign w:val="bottom"/>
            <w:tcBorders>
              <w:top w:val="single" w:sz="8" w:color="0000EE"/>
            </w:tcBorders>
            <w:gridSpan w:val="2"/>
          </w:tcPr>
          <w:p>
            <w:pPr>
              <w:spacing w:after="0" w:line="172" w:lineRule="exact"/>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4"/>
          </w:tcPr>
          <w:p>
            <w:pPr>
              <w:spacing w:after="0" w:line="172" w:lineRule="exact"/>
              <w:rPr>
                <w:sz w:val="20"/>
                <w:szCs w:val="20"/>
                <w:color w:val="auto"/>
              </w:rPr>
            </w:pPr>
            <w:r>
              <w:rPr>
                <w:rFonts w:ascii="Arial" w:cs="Arial" w:eastAsia="Arial" w:hAnsi="Arial"/>
                <w:sz w:val="18"/>
                <w:szCs w:val="18"/>
                <w:color w:val="0000EE"/>
                <w:w w:val="87"/>
              </w:rPr>
              <w:t>Legal Proceedings</w:t>
            </w:r>
          </w:p>
        </w:tc>
        <w:tc>
          <w:tcPr>
            <w:tcW w:w="620" w:type="dxa"/>
            <w:vAlign w:val="bottom"/>
            <w:tcBorders>
              <w:top w:val="single" w:sz="8" w:color="0000EE"/>
            </w:tcBorders>
            <w:gridSpan w:val="2"/>
          </w:tcPr>
          <w:p>
            <w:pPr>
              <w:spacing w:after="0"/>
              <w:rPr>
                <w:sz w:val="14"/>
                <w:szCs w:val="14"/>
                <w:color w:val="auto"/>
              </w:rPr>
            </w:pPr>
          </w:p>
        </w:tc>
        <w:tc>
          <w:tcPr>
            <w:tcW w:w="7880" w:type="dxa"/>
            <w:vAlign w:val="bottom"/>
            <w:tcBorders>
              <w:top w:val="single" w:sz="8" w:color="CCEEFF"/>
            </w:tcBorders>
            <w:gridSpan w:val="13"/>
          </w:tcPr>
          <w:p>
            <w:pPr>
              <w:spacing w:after="0"/>
              <w:rPr>
                <w:sz w:val="14"/>
                <w:szCs w:val="14"/>
                <w:color w:val="auto"/>
              </w:rPr>
            </w:pPr>
          </w:p>
        </w:tc>
        <w:tc>
          <w:tcPr>
            <w:tcW w:w="64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57</w:t>
            </w:r>
          </w:p>
        </w:tc>
      </w:tr>
      <w:tr>
        <w:trPr>
          <w:trHeight w:val="212"/>
        </w:trPr>
        <w:tc>
          <w:tcPr>
            <w:tcW w:w="7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192" w:lineRule="exact"/>
              <w:rPr>
                <w:sz w:val="20"/>
                <w:szCs w:val="20"/>
                <w:color w:val="auto"/>
              </w:rPr>
            </w:pPr>
            <w:r>
              <w:rPr>
                <w:rFonts w:ascii="Arial" w:cs="Arial" w:eastAsia="Arial" w:hAnsi="Arial"/>
                <w:sz w:val="18"/>
                <w:szCs w:val="18"/>
                <w:color w:val="0000EE"/>
                <w:w w:val="87"/>
              </w:rPr>
              <w:t>Risk Factors</w:t>
            </w:r>
          </w:p>
        </w:tc>
        <w:tc>
          <w:tcPr>
            <w:tcW w:w="8920" w:type="dxa"/>
            <w:vAlign w:val="bottom"/>
            <w:tcBorders>
              <w:bottom w:val="single" w:sz="8" w:color="CCEEFF"/>
            </w:tcBorders>
            <w:gridSpan w:val="17"/>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57</w:t>
            </w:r>
          </w:p>
        </w:tc>
      </w:tr>
      <w:tr>
        <w:trPr>
          <w:trHeight w:val="172"/>
        </w:trPr>
        <w:tc>
          <w:tcPr>
            <w:tcW w:w="780" w:type="dxa"/>
            <w:vAlign w:val="bottom"/>
            <w:gridSpan w:val="2"/>
          </w:tcPr>
          <w:p>
            <w:pPr>
              <w:spacing w:after="0" w:line="172" w:lineRule="exact"/>
              <w:rPr>
                <w:sz w:val="20"/>
                <w:szCs w:val="20"/>
                <w:color w:val="auto"/>
              </w:rPr>
            </w:pPr>
            <w:r>
              <w:rPr>
                <w:rFonts w:ascii="Arial" w:cs="Arial" w:eastAsia="Arial" w:hAnsi="Arial"/>
                <w:sz w:val="18"/>
                <w:szCs w:val="18"/>
                <w:color w:val="auto"/>
              </w:rPr>
              <w:t>Item 2.</w:t>
            </w:r>
          </w:p>
        </w:tc>
        <w:tc>
          <w:tcPr>
            <w:tcW w:w="4280" w:type="dxa"/>
            <w:vAlign w:val="bottom"/>
            <w:tcBorders>
              <w:bottom w:val="single" w:sz="8" w:color="0000EE"/>
            </w:tcBorders>
            <w:gridSpan w:val="10"/>
          </w:tcPr>
          <w:p>
            <w:pPr>
              <w:spacing w:after="0" w:line="172" w:lineRule="exact"/>
              <w:rPr>
                <w:sz w:val="20"/>
                <w:szCs w:val="20"/>
                <w:color w:val="auto"/>
              </w:rPr>
            </w:pPr>
            <w:r>
              <w:rPr>
                <w:rFonts w:ascii="Arial" w:cs="Arial" w:eastAsia="Arial" w:hAnsi="Arial"/>
                <w:sz w:val="18"/>
                <w:szCs w:val="18"/>
                <w:color w:val="0000EE"/>
                <w:w w:val="87"/>
              </w:rPr>
              <w:t>Unregistered Sales of Equity Securities and Use of Proceeds</w:t>
            </w:r>
          </w:p>
        </w:tc>
        <w:tc>
          <w:tcPr>
            <w:tcW w:w="5540" w:type="dxa"/>
            <w:vAlign w:val="bottom"/>
            <w:gridSpan w:val="9"/>
          </w:tcPr>
          <w:p>
            <w:pPr>
              <w:spacing w:after="0"/>
              <w:rPr>
                <w:sz w:val="14"/>
                <w:szCs w:val="14"/>
                <w:color w:val="auto"/>
              </w:rPr>
            </w:pPr>
          </w:p>
        </w:tc>
        <w:tc>
          <w:tcPr>
            <w:tcW w:w="640" w:type="dxa"/>
            <w:vAlign w:val="bottom"/>
          </w:tcPr>
          <w:p>
            <w:pPr>
              <w:jc w:val="right"/>
              <w:spacing w:after="0" w:line="172" w:lineRule="exact"/>
              <w:rPr>
                <w:sz w:val="20"/>
                <w:szCs w:val="20"/>
                <w:color w:val="auto"/>
              </w:rPr>
            </w:pPr>
            <w:r>
              <w:rPr>
                <w:rFonts w:ascii="Arial" w:cs="Arial" w:eastAsia="Arial" w:hAnsi="Arial"/>
                <w:sz w:val="18"/>
                <w:szCs w:val="18"/>
                <w:color w:val="auto"/>
              </w:rPr>
              <w:t>57</w:t>
            </w:r>
          </w:p>
        </w:tc>
      </w:tr>
      <w:tr>
        <w:trPr>
          <w:trHeight w:val="212"/>
        </w:trPr>
        <w:tc>
          <w:tcPr>
            <w:tcW w:w="7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Item 3.</w:t>
            </w:r>
          </w:p>
        </w:tc>
        <w:tc>
          <w:tcPr>
            <w:tcW w:w="9820" w:type="dxa"/>
            <w:vAlign w:val="bottom"/>
            <w:gridSpan w:val="19"/>
            <w:shd w:val="clear" w:color="auto" w:fill="CCEEFF"/>
          </w:tcPr>
          <w:p>
            <w:pPr>
              <w:spacing w:after="0" w:line="192"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72"/>
        </w:trPr>
        <w:tc>
          <w:tcPr>
            <w:tcW w:w="780" w:type="dxa"/>
            <w:vAlign w:val="bottom"/>
            <w:tcBorders>
              <w:top w:val="single" w:sz="8" w:color="CCEEFF"/>
            </w:tcBorders>
            <w:gridSpan w:val="2"/>
          </w:tcPr>
          <w:p>
            <w:pPr>
              <w:spacing w:after="0" w:line="172" w:lineRule="exact"/>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8"/>
          </w:tcPr>
          <w:p>
            <w:pPr>
              <w:spacing w:after="0" w:line="172" w:lineRule="exact"/>
              <w:rPr>
                <w:sz w:val="20"/>
                <w:szCs w:val="20"/>
                <w:color w:val="auto"/>
              </w:rPr>
            </w:pPr>
            <w:r>
              <w:rPr>
                <w:rFonts w:ascii="Arial" w:cs="Arial" w:eastAsia="Arial" w:hAnsi="Arial"/>
                <w:sz w:val="18"/>
                <w:szCs w:val="18"/>
                <w:color w:val="0000EE"/>
              </w:rPr>
              <w:t>Mine Safety Disclosures</w:t>
            </w:r>
          </w:p>
        </w:tc>
        <w:tc>
          <w:tcPr>
            <w:tcW w:w="754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58</w:t>
            </w:r>
          </w:p>
        </w:tc>
      </w:tr>
      <w:tr>
        <w:trPr>
          <w:trHeight w:val="212"/>
        </w:trPr>
        <w:tc>
          <w:tcPr>
            <w:tcW w:w="7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3"/>
            <w:shd w:val="clear" w:color="auto" w:fill="CCEEFF"/>
          </w:tcPr>
          <w:p>
            <w:pPr>
              <w:spacing w:after="0" w:line="192" w:lineRule="exact"/>
              <w:rPr>
                <w:sz w:val="20"/>
                <w:szCs w:val="20"/>
                <w:color w:val="auto"/>
              </w:rPr>
            </w:pPr>
            <w:r>
              <w:rPr>
                <w:rFonts w:ascii="Arial" w:cs="Arial" w:eastAsia="Arial" w:hAnsi="Arial"/>
                <w:sz w:val="18"/>
                <w:szCs w:val="18"/>
                <w:color w:val="0000EE"/>
                <w:w w:val="91"/>
              </w:rPr>
              <w:t>Other Information</w:t>
            </w:r>
          </w:p>
        </w:tc>
        <w:tc>
          <w:tcPr>
            <w:tcW w:w="4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8080" w:type="dxa"/>
            <w:vAlign w:val="bottom"/>
            <w:tcBorders>
              <w:bottom w:val="single" w:sz="8" w:color="CCEEFF"/>
            </w:tcBorders>
            <w:gridSpan w:val="14"/>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72"/>
        </w:trPr>
        <w:tc>
          <w:tcPr>
            <w:tcW w:w="780" w:type="dxa"/>
            <w:vAlign w:val="bottom"/>
            <w:gridSpan w:val="2"/>
          </w:tcPr>
          <w:p>
            <w:pPr>
              <w:spacing w:after="0" w:line="172" w:lineRule="exact"/>
              <w:rPr>
                <w:sz w:val="20"/>
                <w:szCs w:val="20"/>
                <w:color w:val="auto"/>
              </w:rPr>
            </w:pPr>
            <w:r>
              <w:rPr>
                <w:rFonts w:ascii="Arial" w:cs="Arial" w:eastAsia="Arial" w:hAnsi="Arial"/>
                <w:sz w:val="18"/>
                <w:szCs w:val="18"/>
                <w:color w:val="auto"/>
              </w:rPr>
              <w:t>Item 6.</w:t>
            </w:r>
          </w:p>
        </w:tc>
        <w:tc>
          <w:tcPr>
            <w:tcW w:w="9820" w:type="dxa"/>
            <w:vAlign w:val="bottom"/>
            <w:gridSpan w:val="19"/>
          </w:tcPr>
          <w:p>
            <w:pPr>
              <w:spacing w:after="0" w:line="172" w:lineRule="exact"/>
              <w:rPr>
                <w:sz w:val="20"/>
                <w:szCs w:val="20"/>
                <w:color w:val="auto"/>
              </w:rPr>
            </w:pPr>
            <w:r>
              <w:rPr>
                <w:rFonts w:ascii="Arial" w:cs="Arial" w:eastAsia="Arial" w:hAnsi="Arial"/>
                <w:sz w:val="18"/>
                <w:szCs w:val="18"/>
                <w:color w:val="0000EE"/>
              </w:rPr>
              <w:t>Exhibits</w:t>
            </w:r>
          </w:p>
        </w:tc>
        <w:tc>
          <w:tcPr>
            <w:tcW w:w="640" w:type="dxa"/>
            <w:vAlign w:val="bottom"/>
          </w:tcPr>
          <w:p>
            <w:pPr>
              <w:jc w:val="right"/>
              <w:spacing w:after="0" w:line="172" w:lineRule="exact"/>
              <w:rPr>
                <w:sz w:val="20"/>
                <w:szCs w:val="20"/>
                <w:color w:val="auto"/>
              </w:rPr>
            </w:pPr>
            <w:r>
              <w:rPr>
                <w:rFonts w:ascii="Arial" w:cs="Arial" w:eastAsia="Arial" w:hAnsi="Arial"/>
                <w:sz w:val="18"/>
                <w:szCs w:val="18"/>
                <w:color w:val="auto"/>
              </w:rPr>
              <w:t>58</w:t>
            </w:r>
          </w:p>
        </w:tc>
      </w:tr>
      <w:tr>
        <w:trPr>
          <w:trHeight w:val="212"/>
        </w:trPr>
        <w:tc>
          <w:tcPr>
            <w:tcW w:w="760" w:type="dxa"/>
            <w:vAlign w:val="bottom"/>
            <w:tcBorders>
              <w:bottom w:val="single" w:sz="8" w:color="0000EE"/>
            </w:tcBorders>
            <w:shd w:val="clear" w:color="auto" w:fill="CCEEFF"/>
          </w:tcPr>
          <w:p>
            <w:pPr>
              <w:spacing w:after="0" w:line="192" w:lineRule="exact"/>
              <w:rPr>
                <w:sz w:val="20"/>
                <w:szCs w:val="20"/>
                <w:color w:val="auto"/>
              </w:rPr>
            </w:pPr>
            <w:r>
              <w:rPr>
                <w:rFonts w:ascii="Arial" w:cs="Arial" w:eastAsia="Arial" w:hAnsi="Arial"/>
                <w:sz w:val="18"/>
                <w:szCs w:val="18"/>
                <w:color w:val="0000EE"/>
                <w:w w:val="85"/>
              </w:rPr>
              <w:t>Signatures</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-1353820</wp:posOffset>
            </wp:positionV>
            <wp:extent cx="673100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0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-2842895</wp:posOffset>
            </wp:positionV>
            <wp:extent cx="6731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00" cy="825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December 31, 2022</w:t>
            </w: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Non-controlled/non-affiliate investments (cost of $162,899,416 and $155,103,810,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152,267,563</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130,901,546</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w w:val="94"/>
              </w:rPr>
              <w:t>Non-controlled/affiliate investments (cost of $32,911,517 and $41,140,804, respectively)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30,297,127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12,591,162</w:t>
            </w: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 (cost of $17,168,157 and $19,883,894, respectively)</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10,928,028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13,695,870</w:t>
            </w:r>
          </w:p>
        </w:tc>
        <w:tc>
          <w:tcPr>
            <w:tcW w:w="0" w:type="dxa"/>
            <w:vAlign w:val="bottom"/>
          </w:tcPr>
          <w:p>
            <w:pPr>
              <w:spacing w:after="0"/>
              <w:rPr>
                <w:sz w:val="1"/>
                <w:szCs w:val="1"/>
                <w:color w:val="auto"/>
              </w:rPr>
            </w:pPr>
          </w:p>
        </w:tc>
      </w:tr>
      <w:tr>
        <w:trPr>
          <w:trHeight w:val="198"/>
        </w:trPr>
        <w:tc>
          <w:tcPr>
            <w:tcW w:w="6640" w:type="dxa"/>
            <w:vAlign w:val="bottom"/>
            <w:tcBorders>
              <w:top w:val="single" w:sz="8" w:color="CCEEFF"/>
            </w:tcBorders>
          </w:tcPr>
          <w:p>
            <w:pPr>
              <w:ind w:left="180"/>
              <w:spacing w:after="0" w:line="199" w:lineRule="exact"/>
              <w:rPr>
                <w:sz w:val="20"/>
                <w:szCs w:val="20"/>
                <w:color w:val="auto"/>
              </w:rPr>
            </w:pPr>
            <w:r>
              <w:rPr>
                <w:rFonts w:ascii="Arial" w:cs="Arial" w:eastAsia="Arial" w:hAnsi="Arial"/>
                <w:sz w:val="18"/>
                <w:szCs w:val="18"/>
                <w:color w:val="auto"/>
              </w:rPr>
              <w:t>Total Portfolio Investments</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193,492,718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157,188,578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6"/>
              </w:rPr>
              <w:t>Investments in U.S. Treasury bills (cost of $19,990,216 and $84,999,598, respectively)</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20,265,064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85,056,817</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tcPr>
          <w:p>
            <w:pPr>
              <w:spacing w:after="0" w:line="199" w:lineRule="exact"/>
              <w:rPr>
                <w:sz w:val="20"/>
                <w:szCs w:val="20"/>
                <w:color w:val="auto"/>
              </w:rPr>
            </w:pPr>
            <w:r>
              <w:rPr>
                <w:rFonts w:ascii="Arial" w:cs="Arial" w:eastAsia="Arial" w:hAnsi="Arial"/>
                <w:sz w:val="18"/>
                <w:szCs w:val="18"/>
                <w:color w:val="auto"/>
              </w:rPr>
              <w:t>Total Investments (cost of $232,969,306 and $301,128,106, respectively)</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213,757,782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242,245,395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73,503,279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40,117,598</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Escrow proceeds receivable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309,484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628,332</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receivable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138,766</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611,736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555,761</w:t>
            </w:r>
          </w:p>
        </w:tc>
        <w:tc>
          <w:tcPr>
            <w:tcW w:w="0" w:type="dxa"/>
            <w:vAlign w:val="bottom"/>
          </w:tcPr>
          <w:p>
            <w:pPr>
              <w:spacing w:after="0"/>
              <w:rPr>
                <w:sz w:val="1"/>
                <w:szCs w:val="1"/>
                <w:color w:val="auto"/>
              </w:rPr>
            </w:pPr>
          </w:p>
        </w:tc>
      </w:tr>
      <w:tr>
        <w:trPr>
          <w:trHeight w:val="258"/>
        </w:trPr>
        <w:tc>
          <w:tcPr>
            <w:tcW w:w="664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Prepaid expenses and other assets</w:t>
            </w:r>
            <w:r>
              <w:rPr>
                <w:rFonts w:ascii="Arial" w:cs="Arial" w:eastAsia="Arial" w:hAnsi="Arial"/>
                <w:sz w:val="27"/>
                <w:szCs w:val="27"/>
                <w:color w:val="auto"/>
                <w:vertAlign w:val="superscript"/>
              </w:rPr>
              <w:t>(1)</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693,687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727,006</w:t>
            </w:r>
          </w:p>
        </w:tc>
        <w:tc>
          <w:tcPr>
            <w:tcW w:w="0" w:type="dxa"/>
            <w:vAlign w:val="bottom"/>
          </w:tcPr>
          <w:p>
            <w:pPr>
              <w:spacing w:after="0"/>
              <w:rPr>
                <w:sz w:val="1"/>
                <w:szCs w:val="1"/>
                <w:color w:val="auto"/>
              </w:rPr>
            </w:pPr>
          </w:p>
        </w:tc>
      </w:tr>
      <w:tr>
        <w:trPr>
          <w:trHeight w:val="205"/>
        </w:trPr>
        <w:tc>
          <w:tcPr>
            <w:tcW w:w="6640" w:type="dxa"/>
            <w:vAlign w:val="bottom"/>
            <w:tcBorders>
              <w:top w:val="single" w:sz="8" w:color="CCEEFF"/>
              <w:bottom w:val="single" w:sz="8" w:color="CCEEFF"/>
            </w:tcBorders>
          </w:tcPr>
          <w:p>
            <w:pPr>
              <w:ind w:left="360"/>
              <w:spacing w:after="0" w:line="199" w:lineRule="exact"/>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288,976,828</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284,412,858</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tcPr>
          <w:p>
            <w:pPr>
              <w:spacing w:after="0" w:line="252" w:lineRule="exact"/>
              <w:rPr>
                <w:sz w:val="20"/>
                <w:szCs w:val="20"/>
                <w:color w:val="auto"/>
              </w:rPr>
            </w:pPr>
            <w:r>
              <w:rPr>
                <w:rFonts w:ascii="Arial" w:cs="Arial" w:eastAsia="Arial" w:hAnsi="Arial"/>
                <w:sz w:val="18"/>
                <w:szCs w:val="18"/>
                <w:color w:val="auto"/>
              </w:rPr>
              <w:t>Accounts payable and accrued expenses</w:t>
            </w:r>
            <w:r>
              <w:rPr>
                <w:rFonts w:ascii="Arial" w:cs="Arial" w:eastAsia="Arial" w:hAnsi="Arial"/>
                <w:sz w:val="29"/>
                <w:szCs w:val="29"/>
                <w:color w:val="auto"/>
                <w:vertAlign w:val="superscript"/>
              </w:rPr>
              <w:t>(1)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3,162,468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708,827</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188,357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296,170</w:t>
            </w:r>
          </w:p>
        </w:tc>
        <w:tc>
          <w:tcPr>
            <w:tcW w:w="0" w:type="dxa"/>
            <w:vAlign w:val="bottom"/>
          </w:tcPr>
          <w:p>
            <w:pPr>
              <w:spacing w:after="0"/>
              <w:rPr>
                <w:sz w:val="1"/>
                <w:szCs w:val="1"/>
                <w:color w:val="auto"/>
              </w:rPr>
            </w:pPr>
          </w:p>
        </w:tc>
      </w:tr>
      <w:tr>
        <w:trPr>
          <w:trHeight w:val="245"/>
        </w:trPr>
        <w:tc>
          <w:tcPr>
            <w:tcW w:w="6640" w:type="dxa"/>
            <w:vAlign w:val="bottom"/>
          </w:tcPr>
          <w:p>
            <w:pPr>
              <w:spacing w:after="0" w:line="239" w:lineRule="exact"/>
              <w:rPr>
                <w:sz w:val="20"/>
                <w:szCs w:val="20"/>
                <w:color w:val="auto"/>
              </w:rPr>
            </w:pPr>
            <w:r>
              <w:rPr>
                <w:rFonts w:ascii="Arial" w:cs="Arial" w:eastAsia="Arial" w:hAnsi="Arial"/>
                <w:sz w:val="17"/>
                <w:szCs w:val="17"/>
                <w:color w:val="auto"/>
              </w:rPr>
              <w:t>6.00% Notes due December 30, 2026</w:t>
            </w:r>
            <w:r>
              <w:rPr>
                <w:rFonts w:ascii="Arial" w:cs="Arial" w:eastAsia="Arial" w:hAnsi="Arial"/>
                <w:sz w:val="27"/>
                <w:szCs w:val="27"/>
                <w:color w:val="auto"/>
                <w:vertAlign w:val="superscript"/>
              </w:rPr>
              <w:t>(2)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73,654,960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73,387,159</w:t>
            </w: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77,005,785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74,392,156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(Notes 7 and 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211,971,043</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210,020,702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$0.01 per share (100,000,000 authorized; 25,209,108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28,429,499 issued and outstanding, respectively)</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252,091</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284,295</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318,691,954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330,899,254</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investment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(75,528,136)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(64,832,605)</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Accumulated net realized gain/(loss) on investments, net of distributions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(11,989,672)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2,552,465</w:t>
            </w: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appreciation/(depreciation) of investments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(19,455,194)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(58,882,707)</w:t>
            </w:r>
          </w:p>
        </w:tc>
        <w:tc>
          <w:tcPr>
            <w:tcW w:w="0" w:type="dxa"/>
            <w:vAlign w:val="bottom"/>
          </w:tcPr>
          <w:p>
            <w:pPr>
              <w:spacing w:after="0"/>
              <w:rPr>
                <w:sz w:val="1"/>
                <w:szCs w:val="1"/>
                <w:color w:val="auto"/>
              </w:rPr>
            </w:pPr>
          </w:p>
        </w:tc>
      </w:tr>
      <w:tr>
        <w:trPr>
          <w:trHeight w:val="239"/>
        </w:trPr>
        <w:tc>
          <w:tcPr>
            <w:tcW w:w="6640" w:type="dxa"/>
            <w:vAlign w:val="bottom"/>
            <w:tcBorders>
              <w:top w:val="single" w:sz="8" w:color="CCEEFF"/>
              <w:bottom w:val="single" w:sz="8" w:color="CCEEFF"/>
            </w:tcBorders>
          </w:tcPr>
          <w:p>
            <w:pPr>
              <w:ind w:left="360"/>
              <w:spacing w:after="0" w:line="199" w:lineRule="exact"/>
              <w:rPr>
                <w:sz w:val="20"/>
                <w:szCs w:val="20"/>
                <w:color w:val="auto"/>
              </w:rPr>
            </w:pPr>
            <w:r>
              <w:rPr>
                <w:rFonts w:ascii="Arial" w:cs="Arial" w:eastAsia="Arial" w:hAnsi="Arial"/>
                <w:sz w:val="18"/>
                <w:szCs w:val="18"/>
                <w:b w:val="1"/>
                <w:bCs w:val="1"/>
                <w:color w:val="auto"/>
              </w:rPr>
              <w:t>Net Assets</w:t>
            </w:r>
          </w:p>
        </w:tc>
        <w:tc>
          <w:tcPr>
            <w:tcW w:w="34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211,971,043</w:t>
            </w:r>
          </w:p>
        </w:tc>
        <w:tc>
          <w:tcPr>
            <w:tcW w:w="20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210,020,702</w:t>
            </w:r>
          </w:p>
        </w:tc>
        <w:tc>
          <w:tcPr>
            <w:tcW w:w="10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shd w:val="clear" w:color="auto" w:fill="CCEEFF"/>
          </w:tcPr>
          <w:p>
            <w:pPr>
              <w:ind w:left="360"/>
              <w:spacing w:after="0" w:line="192" w:lineRule="exact"/>
              <w:rPr>
                <w:sz w:val="20"/>
                <w:szCs w:val="20"/>
                <w:color w:val="auto"/>
              </w:rPr>
            </w:pPr>
            <w:r>
              <w:rPr>
                <w:rFonts w:ascii="Arial" w:cs="Arial" w:eastAsia="Arial" w:hAnsi="Arial"/>
                <w:sz w:val="18"/>
                <w:szCs w:val="18"/>
                <w:b w:val="1"/>
                <w:bCs w:val="1"/>
                <w:color w:val="auto"/>
              </w:rPr>
              <w:t>Net Asset Value Per Share</w:t>
            </w: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8.41</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17837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37" w:lineRule="exact"/>
        <w:rPr>
          <w:sz w:val="20"/>
          <w:szCs w:val="20"/>
          <w:color w:val="auto"/>
        </w:rPr>
      </w:pPr>
    </w:p>
    <w:p>
      <w:pPr>
        <w:ind w:left="320" w:hanging="314"/>
        <w:spacing w:after="0" w:line="252"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This balance includes a right of use asset and corresponding operating lease liability, respectively. Refer to “Note 7—Commitments and Contingencies— </w:t>
      </w:r>
      <w:r>
        <w:rPr>
          <w:rFonts w:ascii="Arial" w:cs="Arial" w:eastAsia="Arial" w:hAnsi="Arial"/>
          <w:sz w:val="18"/>
          <w:szCs w:val="18"/>
          <w:i w:val="1"/>
          <w:iCs w:val="1"/>
          <w:color w:val="auto"/>
        </w:rPr>
        <w:t>Operating Leases and Related Deposits</w:t>
      </w:r>
      <w:r>
        <w:rPr>
          <w:rFonts w:ascii="Arial" w:cs="Arial" w:eastAsia="Arial" w:hAnsi="Arial"/>
          <w:sz w:val="18"/>
          <w:szCs w:val="18"/>
          <w:color w:val="auto"/>
        </w:rPr>
        <w:t>” for more detail.</w:t>
      </w:r>
    </w:p>
    <w:p>
      <w:pPr>
        <w:jc w:val="both"/>
        <w:ind w:left="320" w:hanging="314"/>
        <w:spacing w:after="0" w:line="248"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2023, the 6.00% Notes due December 30, 2026 (effective interest rate of 6.53%) had a face value $75,000,000. As of December 31, 2022, the 6.00% Notes due December 30, 2026 (effective interest rate of 6.53%) had a face value $75,000,000. Refer to “Note 10—Debt Capital Activities” for a reconciliation of the carrying value to the face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5"/>
          </w:tcPr>
          <w:p>
            <w:pPr>
              <w:jc w:val="right"/>
              <w:ind w:right="203"/>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18"/>
        </w:trPr>
        <w:tc>
          <w:tcPr>
            <w:tcW w:w="4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color w:val="auto"/>
              </w:rPr>
              <w:t>Non-controlled/non-affiliate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28,070</w:t>
            </w:r>
          </w:p>
        </w:tc>
        <w:tc>
          <w:tcPr>
            <w:tcW w:w="4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26,747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117,939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338,484</w:t>
            </w:r>
          </w:p>
        </w:tc>
        <w:tc>
          <w:tcPr>
            <w:tcW w:w="0" w:type="dxa"/>
            <w:vAlign w:val="bottom"/>
          </w:tcPr>
          <w:p>
            <w:pPr>
              <w:spacing w:after="0"/>
              <w:rPr>
                <w:sz w:val="1"/>
                <w:szCs w:val="1"/>
                <w:color w:val="auto"/>
              </w:rPr>
            </w:pPr>
          </w:p>
        </w:tc>
      </w:tr>
      <w:tr>
        <w:trPr>
          <w:trHeight w:val="212"/>
        </w:trPr>
        <w:tc>
          <w:tcPr>
            <w:tcW w:w="4620" w:type="dxa"/>
            <w:vAlign w:val="bottom"/>
          </w:tcPr>
          <w:p>
            <w:pPr>
              <w:ind w:left="540"/>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63,145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107,764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189,435</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429,758</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5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385,000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954,425</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1,225,000</w:t>
            </w: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U.S. Treasury bills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974,531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2,875,247</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620" w:type="dxa"/>
            <w:vAlign w:val="bottom"/>
            <w:tcBorders>
              <w:top w:val="single" w:sz="8" w:color="CCEEFF"/>
              <w:bottom w:val="single" w:sz="8" w:color="CCEEFF"/>
            </w:tcBorders>
          </w:tcPr>
          <w:p>
            <w:pPr>
              <w:ind w:left="180"/>
              <w:spacing w:after="0" w:line="199" w:lineRule="exact"/>
              <w:rPr>
                <w:sz w:val="20"/>
                <w:szCs w:val="20"/>
                <w:color w:val="auto"/>
              </w:rPr>
            </w:pPr>
            <w:r>
              <w:rPr>
                <w:rFonts w:ascii="Arial" w:cs="Arial" w:eastAsia="Arial" w:hAnsi="Arial"/>
                <w:sz w:val="18"/>
                <w:szCs w:val="18"/>
                <w:color w:val="auto"/>
              </w:rPr>
              <w:t>Total Investment Income</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1,465,746</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519,511</w:t>
            </w:r>
          </w:p>
        </w:tc>
        <w:tc>
          <w:tcPr>
            <w:tcW w:w="1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4,137,046</w:t>
            </w:r>
          </w:p>
        </w:tc>
        <w:tc>
          <w:tcPr>
            <w:tcW w:w="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1,993,242</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color w:val="auto"/>
              </w:rPr>
              <w:t>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2,123,704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1,836,808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6,378,330</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5,456,771</w:t>
            </w:r>
          </w:p>
        </w:tc>
        <w:tc>
          <w:tcPr>
            <w:tcW w:w="0" w:type="dxa"/>
            <w:vAlign w:val="bottom"/>
          </w:tcPr>
          <w:p>
            <w:pPr>
              <w:spacing w:after="0"/>
              <w:rPr>
                <w:sz w:val="1"/>
                <w:szCs w:val="1"/>
                <w:color w:val="auto"/>
              </w:rPr>
            </w:pPr>
          </w:p>
        </w:tc>
      </w:tr>
      <w:tr>
        <w:trPr>
          <w:trHeight w:val="252"/>
        </w:trPr>
        <w:tc>
          <w:tcPr>
            <w:tcW w:w="462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Directors’ fees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161,661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161,661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483,887</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514,055</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277,075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565,411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2,184,488</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2,916,583</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1,215,248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3,642,801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3,630,301</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74,497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620,606</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82,238</w:t>
            </w: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356,484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487,619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1,522,465</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1,238,120</w:t>
            </w:r>
          </w:p>
        </w:tc>
        <w:tc>
          <w:tcPr>
            <w:tcW w:w="0" w:type="dxa"/>
            <w:vAlign w:val="bottom"/>
          </w:tcPr>
          <w:p>
            <w:pPr>
              <w:spacing w:after="0"/>
              <w:rPr>
                <w:sz w:val="1"/>
                <w:szCs w:val="1"/>
                <w:color w:val="auto"/>
              </w:rPr>
            </w:pPr>
          </w:p>
        </w:tc>
      </w:tr>
      <w:tr>
        <w:trPr>
          <w:trHeight w:val="206"/>
        </w:trPr>
        <w:tc>
          <w:tcPr>
            <w:tcW w:w="4620" w:type="dxa"/>
            <w:vAlign w:val="bottom"/>
            <w:tcBorders>
              <w:top w:val="single" w:sz="8" w:color="CCEEFF"/>
              <w:bottom w:val="single" w:sz="8" w:color="CCEEFF"/>
            </w:tcBorders>
          </w:tcPr>
          <w:p>
            <w:pPr>
              <w:ind w:left="180"/>
              <w:spacing w:after="0" w:line="199"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4,134,172</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4,328,744</w:t>
            </w:r>
          </w:p>
        </w:tc>
        <w:tc>
          <w:tcPr>
            <w:tcW w:w="1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14,832,577</w:t>
            </w:r>
          </w:p>
        </w:tc>
        <w:tc>
          <w:tcPr>
            <w:tcW w:w="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13,838,068</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Investment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(10,695,531)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b w:val="1"/>
                <w:bCs w:val="1"/>
                <w:color w:val="auto"/>
              </w:rPr>
              <w:t>Realized Loss on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Non-controlled/non-affiliated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(1,461,281)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(5,141,097)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(3,597,113)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(3,940,668)</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r>
              <w:rPr>
                <w:rFonts w:ascii="Arial" w:cs="Arial" w:eastAsia="Arial" w:hAnsi="Arial"/>
                <w:sz w:val="18"/>
                <w:szCs w:val="18"/>
                <w:color w:val="auto"/>
              </w:rPr>
              <w:t>Non-controlled/affiliate investments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(10,945,024)</w:t>
            </w: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12"/>
        </w:trPr>
        <w:tc>
          <w:tcPr>
            <w:tcW w:w="4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Realized Loss on Investments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(5,141,097)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(14,542,137)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(4,011,047)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Arial" w:cs="Arial" w:eastAsia="Arial" w:hAnsi="Arial"/>
                <w:sz w:val="18"/>
                <w:szCs w:val="18"/>
                <w:b w:val="1"/>
                <w:bCs w:val="1"/>
                <w:color w:val="auto"/>
              </w:rPr>
              <w:t>Change in Unrealized Appreciation/(Depreciation)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Non-controlled/non-affiliated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27,760,743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(34,763,904)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13,544,366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(101,639,973)</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8"/>
                <w:szCs w:val="18"/>
                <w:color w:val="auto"/>
              </w:rPr>
              <w:t>Non-controlled/affiliate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1,568,324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(1,866,488)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25,939,147</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(2,228,109)</w:t>
            </w: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(321,528)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(56,000)</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0" w:type="dxa"/>
            <w:vAlign w:val="bottom"/>
          </w:tcPr>
          <w:p>
            <w:pPr>
              <w:spacing w:after="0"/>
              <w:rPr>
                <w:sz w:val="1"/>
                <w:szCs w:val="1"/>
                <w:color w:val="auto"/>
              </w:rPr>
            </w:pPr>
          </w:p>
        </w:tc>
      </w:tr>
      <w:tr>
        <w:trPr>
          <w:trHeight w:val="167"/>
        </w:trPr>
        <w:tc>
          <w:tcPr>
            <w:tcW w:w="4620" w:type="dxa"/>
            <w:vAlign w:val="bottom"/>
            <w:tcBorders>
              <w:top w:val="single" w:sz="8" w:color="CCEEFF"/>
            </w:tcBorders>
          </w:tcPr>
          <w:p>
            <w:pPr>
              <w:ind w:left="180"/>
              <w:spacing w:after="0" w:line="168" w:lineRule="exact"/>
              <w:rPr>
                <w:sz w:val="20"/>
                <w:szCs w:val="20"/>
                <w:color w:val="auto"/>
              </w:rPr>
            </w:pPr>
            <w:r>
              <w:rPr>
                <w:rFonts w:ascii="Arial" w:cs="Arial" w:eastAsia="Arial" w:hAnsi="Arial"/>
                <w:sz w:val="18"/>
                <w:szCs w:val="18"/>
                <w:b w:val="1"/>
                <w:bCs w:val="1"/>
                <w:color w:val="auto"/>
                <w:w w:val="92"/>
              </w:rPr>
              <w:t>Net Change in Unrealized Appreciation/(Depreciation) of</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Investments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29,323,067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(36,951,920)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39,427,513</w:t>
            </w:r>
          </w:p>
        </w:tc>
        <w:tc>
          <w:tcPr>
            <w:tcW w:w="2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(103,929,610)</w:t>
            </w: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Net Change in Net Assets Resulting from Operations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25,193,360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(45,902,250</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14,189,845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(119,785,483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180"/>
              <w:spacing w:after="0" w:line="187" w:lineRule="exact"/>
              <w:rPr>
                <w:sz w:val="20"/>
                <w:szCs w:val="20"/>
                <w:color w:val="auto"/>
              </w:rPr>
            </w:pPr>
            <w:r>
              <w:rPr>
                <w:rFonts w:ascii="Arial" w:cs="Arial" w:eastAsia="Arial" w:hAnsi="Arial"/>
                <w:sz w:val="18"/>
                <w:szCs w:val="18"/>
                <w:b w:val="1"/>
                <w:bCs w:val="1"/>
                <w:color w:val="auto"/>
                <w:w w:val="91"/>
              </w:rPr>
              <w:t>Net Change in Net Assets Resulting from Operations per</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Common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4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540"/>
              <w:spacing w:after="0" w:line="271"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92"/>
        </w:trPr>
        <w:tc>
          <w:tcPr>
            <w:tcW w:w="46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5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25,351,306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29,781,801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26,549,672</w:t>
            </w:r>
          </w:p>
        </w:tc>
        <w:tc>
          <w:tcPr>
            <w:tcW w:w="240" w:type="dxa"/>
            <w:vAlign w:val="bottom"/>
          </w:tcPr>
          <w:p>
            <w:pPr>
              <w:spacing w:after="0"/>
              <w:rPr>
                <w:sz w:val="18"/>
                <w:szCs w:val="18"/>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8"/>
                <w:szCs w:val="18"/>
                <w:color w:val="auto"/>
              </w:rPr>
              <w:t>30,542,611</w:t>
            </w:r>
          </w:p>
        </w:tc>
        <w:tc>
          <w:tcPr>
            <w:tcW w:w="0" w:type="dxa"/>
            <w:vAlign w:val="bottom"/>
          </w:tcPr>
          <w:p>
            <w:pPr>
              <w:spacing w:after="0"/>
              <w:rPr>
                <w:sz w:val="1"/>
                <w:szCs w:val="1"/>
                <w:color w:val="auto"/>
              </w:rPr>
            </w:pPr>
          </w:p>
        </w:tc>
      </w:tr>
      <w:tr>
        <w:trPr>
          <w:trHeight w:val="252"/>
        </w:trPr>
        <w:tc>
          <w:tcPr>
            <w:tcW w:w="4620" w:type="dxa"/>
            <w:vAlign w:val="bottom"/>
            <w:shd w:val="clear" w:color="auto" w:fill="CCEEFF"/>
          </w:tcPr>
          <w:p>
            <w:pPr>
              <w:ind w:left="540"/>
              <w:spacing w:after="0" w:line="252"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25,351,306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29,781,801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26,549,672</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30,542,611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178371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37" w:lineRule="exact"/>
        <w:rPr>
          <w:sz w:val="20"/>
          <w:szCs w:val="20"/>
          <w:color w:val="auto"/>
        </w:rPr>
      </w:pPr>
    </w:p>
    <w:p>
      <w:pPr>
        <w:ind w:left="320" w:hanging="314"/>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 to “Note 11 — Stock-Based Compensation” for more detail.</w:t>
      </w:r>
    </w:p>
    <w:p>
      <w:pPr>
        <w:spacing w:after="0" w:line="16" w:lineRule="exact"/>
        <w:rPr>
          <w:rFonts w:ascii="Arial" w:cs="Arial" w:eastAsia="Arial" w:hAnsi="Arial"/>
          <w:sz w:val="18"/>
          <w:szCs w:val="18"/>
          <w:color w:val="auto"/>
        </w:rPr>
      </w:pPr>
    </w:p>
    <w:p>
      <w:pPr>
        <w:ind w:left="320" w:hanging="314"/>
        <w:spacing w:after="0" w:line="25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2023 and September 30, 2022, there were no potentially dilutive securities outstanding. Refer to “Note 6 — Net Change in Net Assets Resulting from Operations per Common Share — Basic and Diluted”.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jc w:val="right"/>
              <w:ind w:right="343"/>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32"/>
        </w:trPr>
        <w:tc>
          <w:tcPr>
            <w:tcW w:w="64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Beginning of Year</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210,020,702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364,846,624</w:t>
            </w:r>
          </w:p>
        </w:tc>
        <w:tc>
          <w:tcPr>
            <w:tcW w:w="100" w:type="dxa"/>
            <w:vAlign w:val="bottom"/>
            <w:shd w:val="clear" w:color="auto" w:fill="CCEEFF"/>
          </w:tcPr>
          <w:p>
            <w:pPr>
              <w:spacing w:after="0"/>
              <w:rPr>
                <w:sz w:val="18"/>
                <w:szCs w:val="18"/>
                <w:color w:val="auto"/>
              </w:rPr>
            </w:pPr>
          </w:p>
        </w:tc>
      </w:tr>
      <w:tr>
        <w:trPr>
          <w:trHeight w:val="212"/>
        </w:trPr>
        <w:tc>
          <w:tcPr>
            <w:tcW w:w="6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4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23"/>
              <w:spacing w:after="0"/>
              <w:rPr>
                <w:sz w:val="20"/>
                <w:szCs w:val="20"/>
                <w:color w:val="auto"/>
              </w:rPr>
            </w:pPr>
            <w:r>
              <w:rPr>
                <w:rFonts w:ascii="Arial" w:cs="Arial" w:eastAsia="Arial" w:hAnsi="Arial"/>
                <w:sz w:val="18"/>
                <w:szCs w:val="18"/>
                <w:color w:val="auto"/>
              </w:rPr>
              <w:t>(4,221,765)</w:t>
            </w:r>
          </w:p>
        </w:tc>
        <w:tc>
          <w:tcPr>
            <w:tcW w:w="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(4,224,705)</w:t>
            </w: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gain on investments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189,343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3,096,275</w:t>
            </w: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8,648,931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3"/>
              <w:spacing w:after="0"/>
              <w:rPr>
                <w:sz w:val="20"/>
                <w:szCs w:val="20"/>
                <w:color w:val="auto"/>
              </w:rPr>
            </w:pPr>
            <w:r>
              <w:rPr>
                <w:rFonts w:ascii="Arial" w:cs="Arial" w:eastAsia="Arial" w:hAnsi="Arial"/>
                <w:sz w:val="18"/>
                <w:szCs w:val="18"/>
                <w:color w:val="auto"/>
              </w:rPr>
              <w:t>21,584,885</w:t>
            </w:r>
          </w:p>
        </w:tc>
      </w:tr>
      <w:tr>
        <w:trPr>
          <w:trHeight w:val="212"/>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4,616,509</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6460" w:type="dxa"/>
            <w:vAlign w:val="bottom"/>
          </w:tcPr>
          <w:p>
            <w:pPr>
              <w:spacing w:after="0"/>
              <w:rPr>
                <w:sz w:val="20"/>
                <w:szCs w:val="20"/>
                <w:color w:val="auto"/>
              </w:rPr>
            </w:pPr>
            <w:r>
              <w:rPr>
                <w:rFonts w:ascii="Arial" w:cs="Arial" w:eastAsia="Arial" w:hAnsi="Arial"/>
                <w:sz w:val="18"/>
                <w:szCs w:val="18"/>
                <w:b w:val="1"/>
                <w:bCs w:val="1"/>
                <w:color w:val="auto"/>
              </w:rPr>
              <w:t>Distributions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declared</w:t>
            </w: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(3,441,824)</w:t>
            </w:r>
          </w:p>
        </w:tc>
      </w:tr>
      <w:tr>
        <w:trPr>
          <w:trHeight w:val="199"/>
        </w:trPr>
        <w:tc>
          <w:tcPr>
            <w:tcW w:w="6460" w:type="dxa"/>
            <w:vAlign w:val="bottom"/>
            <w:tcBorders>
              <w:top w:val="single" w:sz="8" w:color="CCEEFF"/>
            </w:tcBorders>
          </w:tcPr>
          <w:p>
            <w:pPr>
              <w:ind w:left="360"/>
              <w:spacing w:after="0" w:line="199" w:lineRule="exact"/>
              <w:rPr>
                <w:sz w:val="20"/>
                <w:szCs w:val="20"/>
                <w:color w:val="auto"/>
              </w:rPr>
            </w:pPr>
            <w:r>
              <w:rPr>
                <w:rFonts w:ascii="Arial" w:cs="Arial" w:eastAsia="Arial" w:hAnsi="Arial"/>
                <w:sz w:val="18"/>
                <w:szCs w:val="18"/>
                <w:b w:val="1"/>
                <w:bCs w:val="1"/>
                <w:color w:val="auto"/>
              </w:rPr>
              <w:t>Total Distributions</w:t>
            </w:r>
          </w:p>
        </w:tc>
        <w:tc>
          <w:tcPr>
            <w:tcW w:w="14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(3,441,824)</w:t>
            </w:r>
          </w:p>
        </w:tc>
        <w:tc>
          <w:tcPr>
            <w:tcW w:w="100" w:type="dxa"/>
            <w:vAlign w:val="bottom"/>
            <w:tcBorders>
              <w:top w:val="single" w:sz="8" w:color="CCEEFF"/>
            </w:tcBorders>
          </w:tcPr>
          <w:p>
            <w:pPr>
              <w:spacing w:after="0"/>
              <w:rPr>
                <w:sz w:val="17"/>
                <w:szCs w:val="17"/>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460" w:type="dxa"/>
            <w:vAlign w:val="bottom"/>
          </w:tcPr>
          <w:p>
            <w:pPr>
              <w:ind w:left="180"/>
              <w:spacing w:after="0"/>
              <w:rPr>
                <w:sz w:val="20"/>
                <w:szCs w:val="20"/>
                <w:color w:val="auto"/>
              </w:rPr>
            </w:pPr>
            <w:r>
              <w:rPr>
                <w:rFonts w:ascii="Arial" w:cs="Arial" w:eastAsia="Arial" w:hAnsi="Arial"/>
                <w:sz w:val="18"/>
                <w:szCs w:val="18"/>
                <w:color w:val="auto"/>
              </w:rPr>
              <w:t>Issuance of common stock from public offering</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3"/>
              <w:spacing w:after="0"/>
              <w:rPr>
                <w:sz w:val="20"/>
                <w:szCs w:val="20"/>
                <w:color w:val="auto"/>
              </w:rPr>
            </w:pPr>
            <w:r>
              <w:rPr>
                <w:rFonts w:ascii="Arial" w:cs="Arial" w:eastAsia="Arial" w:hAnsi="Arial"/>
                <w:sz w:val="18"/>
                <w:szCs w:val="18"/>
                <w:color w:val="auto"/>
              </w:rPr>
              <w:t>229,896</w:t>
            </w: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405,858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(30,016)</w:t>
            </w: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(1,359,607)</w:t>
            </w:r>
          </w:p>
        </w:tc>
      </w:tr>
      <w:tr>
        <w:trPr>
          <w:trHeight w:val="232"/>
        </w:trPr>
        <w:tc>
          <w:tcPr>
            <w:tcW w:w="6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Capital Transactions</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r>
      <w:tr>
        <w:trPr>
          <w:trHeight w:val="205"/>
        </w:trPr>
        <w:tc>
          <w:tcPr>
            <w:tcW w:w="646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b w:val="1"/>
                <w:bCs w:val="1"/>
                <w:color w:val="auto"/>
              </w:rPr>
              <w:t>Total Change in Net Assets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5,022,367</w:t>
            </w:r>
          </w:p>
        </w:tc>
        <w:tc>
          <w:tcPr>
            <w:tcW w:w="3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15,854,904</w:t>
            </w:r>
          </w:p>
        </w:tc>
        <w:tc>
          <w:tcPr>
            <w:tcW w:w="100" w:type="dxa"/>
            <w:vAlign w:val="bottom"/>
            <w:tcBorders>
              <w:bottom w:val="single" w:sz="8" w:color="CCEEFF"/>
            </w:tcBorders>
          </w:tcPr>
          <w:p>
            <w:pPr>
              <w:spacing w:after="0"/>
              <w:rPr>
                <w:sz w:val="17"/>
                <w:szCs w:val="17"/>
                <w:color w:val="auto"/>
              </w:rPr>
            </w:pPr>
          </w:p>
        </w:tc>
      </w:tr>
      <w:tr>
        <w:trPr>
          <w:trHeight w:val="225"/>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March 31</w:t>
            </w:r>
          </w:p>
        </w:tc>
        <w:tc>
          <w:tcPr>
            <w:tcW w:w="16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215,043,069</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380,701,528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2"/>
        </w:trPr>
        <w:tc>
          <w:tcPr>
            <w:tcW w:w="6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4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23"/>
              <w:spacing w:after="0"/>
              <w:rPr>
                <w:sz w:val="20"/>
                <w:szCs w:val="20"/>
                <w:color w:val="auto"/>
              </w:rPr>
            </w:pPr>
            <w:r>
              <w:rPr>
                <w:rFonts w:ascii="Arial" w:cs="Arial" w:eastAsia="Arial" w:hAnsi="Arial"/>
                <w:sz w:val="18"/>
                <w:szCs w:val="18"/>
                <w:color w:val="auto"/>
              </w:rPr>
              <w:t>(3,805,340)</w:t>
            </w:r>
          </w:p>
        </w:tc>
        <w:tc>
          <w:tcPr>
            <w:tcW w:w="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(3,810,888)</w:t>
            </w: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loss on investments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(13,270,199)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(1,966,225)</w:t>
            </w: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1,455,515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(88,562,575)</w:t>
            </w:r>
          </w:p>
        </w:tc>
      </w:tr>
      <w:tr>
        <w:trPr>
          <w:trHeight w:val="212"/>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(15,620,024)</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(94,339,688)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6460" w:type="dxa"/>
            <w:vAlign w:val="bottom"/>
          </w:tcPr>
          <w:p>
            <w:pPr>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769,679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703,566</w:t>
            </w: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3"/>
              <w:spacing w:after="0"/>
              <w:rPr>
                <w:sz w:val="20"/>
                <w:szCs w:val="20"/>
                <w:color w:val="auto"/>
              </w:rPr>
            </w:pPr>
            <w:r>
              <w:rPr>
                <w:rFonts w:ascii="Arial" w:cs="Arial" w:eastAsia="Arial" w:hAnsi="Arial"/>
                <w:sz w:val="18"/>
                <w:szCs w:val="18"/>
                <w:color w:val="auto"/>
              </w:rPr>
              <w:t>(13,500,000)</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(6,892,934)</w:t>
            </w:r>
          </w:p>
        </w:tc>
      </w:tr>
      <w:tr>
        <w:trPr>
          <w:trHeight w:val="232"/>
        </w:trPr>
        <w:tc>
          <w:tcPr>
            <w:tcW w:w="6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Capital Transactions</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(12,730,321</w:t>
            </w:r>
          </w:p>
        </w:tc>
        <w:tc>
          <w:tcPr>
            <w:tcW w:w="360" w:type="dxa"/>
            <w:vAlign w:val="bottom"/>
            <w:tcBorders>
              <w:top w:val="single" w:sz="8" w:color="CCEEFF"/>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79"/>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(6,189,368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r>
      <w:tr>
        <w:trPr>
          <w:trHeight w:val="205"/>
        </w:trPr>
        <w:tc>
          <w:tcPr>
            <w:tcW w:w="646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b w:val="1"/>
                <w:bCs w:val="1"/>
                <w:color w:val="auto"/>
              </w:rPr>
              <w:t>Total Change in Net Assets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(28,350,345</w:t>
            </w:r>
          </w:p>
        </w:tc>
        <w:tc>
          <w:tcPr>
            <w:tcW w:w="360" w:type="dxa"/>
            <w:vAlign w:val="bottom"/>
            <w:tcBorders>
              <w:bottom w:val="single" w:sz="8" w:color="CCEEFF"/>
            </w:tcBorders>
          </w:tcPr>
          <w:p>
            <w:pPr>
              <w:jc w:val="right"/>
              <w:ind w:right="223"/>
              <w:spacing w:after="0"/>
              <w:rPr>
                <w:sz w:val="20"/>
                <w:szCs w:val="20"/>
                <w:color w:val="auto"/>
              </w:rPr>
            </w:pPr>
            <w:r>
              <w:rPr>
                <w:rFonts w:ascii="Arial" w:cs="Arial" w:eastAsia="Arial" w:hAnsi="Arial"/>
                <w:sz w:val="15"/>
                <w:szCs w:val="15"/>
                <w:color w:val="auto"/>
                <w:w w:val="79"/>
              </w:rPr>
              <w:t>)</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(100,529,056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r>
      <w:tr>
        <w:trPr>
          <w:trHeight w:val="225"/>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June 30</w:t>
            </w:r>
          </w:p>
        </w:tc>
        <w:tc>
          <w:tcPr>
            <w:tcW w:w="16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186,692,724</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280,172,472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 -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32"/>
        </w:trPr>
        <w:tc>
          <w:tcPr>
            <w:tcW w:w="64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(2,668,426)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(3,809,233)</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loss on investments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(1,461,281)</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(5,141,097)</w:t>
            </w:r>
          </w:p>
        </w:tc>
        <w:tc>
          <w:tcPr>
            <w:tcW w:w="0" w:type="dxa"/>
            <w:vAlign w:val="bottom"/>
          </w:tcPr>
          <w:p>
            <w:pPr>
              <w:spacing w:after="0"/>
              <w:rPr>
                <w:sz w:val="1"/>
                <w:szCs w:val="1"/>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29,323,067</w:t>
            </w: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(36,951,920)</w:t>
            </w:r>
          </w:p>
        </w:tc>
        <w:tc>
          <w:tcPr>
            <w:tcW w:w="0" w:type="dxa"/>
            <w:vAlign w:val="bottom"/>
          </w:tcPr>
          <w:p>
            <w:pPr>
              <w:spacing w:after="0"/>
              <w:rPr>
                <w:sz w:val="1"/>
                <w:szCs w:val="1"/>
                <w:color w:val="auto"/>
              </w:rPr>
            </w:pPr>
          </w:p>
        </w:tc>
      </w:tr>
      <w:tr>
        <w:trPr>
          <w:trHeight w:val="212"/>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25,193,360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(45,902,250)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tcPr>
          <w:p>
            <w:pPr>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763,644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(678,685)</w:t>
            </w: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(13,200,000)</w:t>
            </w:r>
          </w:p>
        </w:tc>
        <w:tc>
          <w:tcPr>
            <w:tcW w:w="0" w:type="dxa"/>
            <w:vAlign w:val="bottom"/>
          </w:tcPr>
          <w:p>
            <w:pPr>
              <w:spacing w:after="0"/>
              <w:rPr>
                <w:sz w:val="1"/>
                <w:szCs w:val="1"/>
                <w:color w:val="auto"/>
              </w:rPr>
            </w:pPr>
          </w:p>
        </w:tc>
      </w:tr>
      <w:tr>
        <w:trPr>
          <w:trHeight w:val="232"/>
        </w:trPr>
        <w:tc>
          <w:tcPr>
            <w:tcW w:w="6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Capital Transactions</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(12,486,611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646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b w:val="1"/>
                <w:bCs w:val="1"/>
                <w:color w:val="auto"/>
              </w:rPr>
              <w:t>Total Change in Net Assets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25,278,319</w:t>
            </w: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(58,388,861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25"/>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September 30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211,971,043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221,783,611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28,429,499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31,118,556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from public offering</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460" w:type="dxa"/>
            <w:vAlign w:val="bottom"/>
          </w:tcPr>
          <w:p>
            <w:pPr>
              <w:ind w:left="180"/>
              <w:spacing w:after="0" w:line="252" w:lineRule="exact"/>
              <w:rPr>
                <w:sz w:val="20"/>
                <w:szCs w:val="20"/>
                <w:color w:val="auto"/>
              </w:rPr>
            </w:pPr>
            <w:r>
              <w:rPr>
                <w:rFonts w:ascii="Arial" w:cs="Arial" w:eastAsia="Arial" w:hAnsi="Arial"/>
                <w:sz w:val="18"/>
                <w:szCs w:val="18"/>
                <w:color w:val="auto"/>
              </w:rPr>
              <w:t>Issuance of common stock under restricted stock plan, net</w:t>
            </w:r>
            <w:r>
              <w:rPr>
                <w:rFonts w:ascii="Arial" w:cs="Arial" w:eastAsia="Arial" w:hAnsi="Arial"/>
                <w:sz w:val="29"/>
                <w:szCs w:val="29"/>
                <w:color w:val="auto"/>
                <w:vertAlign w:val="superscript"/>
              </w:rPr>
              <w:t>(1)</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(33,898)</w:t>
            </w:r>
          </w:p>
        </w:tc>
        <w:tc>
          <w:tcPr>
            <w:tcW w:w="3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205,974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repurchased</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(3,186,493)</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(3,008,676)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25,209,108</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28,333,661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17837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 Refer to “Note 11 — Stock-Based Compensation” for more detail.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32"/>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2"/>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spacing w:after="0"/>
              <w:rPr>
                <w:sz w:val="20"/>
                <w:szCs w:val="20"/>
                <w:color w:val="auto"/>
              </w:rPr>
            </w:pPr>
            <w:r>
              <w:rPr>
                <w:rFonts w:ascii="Arial" w:cs="Arial" w:eastAsia="Arial" w:hAnsi="Arial"/>
                <w:sz w:val="18"/>
                <w:szCs w:val="18"/>
                <w:color w:val="auto"/>
              </w:rPr>
              <w:t>Net change in net assets resulting from operations</w:t>
            </w:r>
          </w:p>
        </w:tc>
        <w:tc>
          <w:tcPr>
            <w:tcW w:w="58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14,189,845</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(119,785,483)</w:t>
            </w:r>
          </w:p>
        </w:tc>
      </w:tr>
      <w:tr>
        <w:trPr>
          <w:trHeight w:val="200"/>
        </w:trPr>
        <w:tc>
          <w:tcPr>
            <w:tcW w:w="68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89"/>
              </w:rPr>
              <w:t>Adjustments to reconcile net change in net assets resulting from operations to net cash used</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operating activities: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Net realized loss on investments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14,542,137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4,011,047</w:t>
            </w: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(39,427,513)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103,929,610</w:t>
            </w: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Amortization of discount on 6.00% Notes due 2026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211,835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318,289</w:t>
            </w: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1,939,181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1,386,939</w:t>
            </w: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Adjustments to escrow proceeds receivable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116,052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(855,758)</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on U.S. Treasury bills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(243,674)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Purchases of investments in:</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Portfolio investments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(19,836,933)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(12,526,206)</w:t>
            </w:r>
          </w:p>
        </w:tc>
      </w:tr>
      <w:tr>
        <w:trPr>
          <w:trHeight w:val="212"/>
        </w:trPr>
        <w:tc>
          <w:tcPr>
            <w:tcW w:w="682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03"/>
              <w:spacing w:after="0"/>
              <w:rPr>
                <w:sz w:val="20"/>
                <w:szCs w:val="20"/>
                <w:color w:val="auto"/>
              </w:rPr>
            </w:pPr>
            <w:r>
              <w:rPr>
                <w:rFonts w:ascii="Arial" w:cs="Arial" w:eastAsia="Arial" w:hAnsi="Arial"/>
                <w:sz w:val="18"/>
                <w:szCs w:val="18"/>
                <w:color w:val="auto"/>
              </w:rPr>
              <w:t>(141,793,045)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(99,173,075)</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or maturity of investments in: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ind w:left="360"/>
              <w:spacing w:after="0"/>
              <w:rPr>
                <w:sz w:val="20"/>
                <w:szCs w:val="20"/>
                <w:color w:val="auto"/>
              </w:rPr>
            </w:pPr>
            <w:r>
              <w:rPr>
                <w:rFonts w:ascii="Arial" w:cs="Arial" w:eastAsia="Arial" w:hAnsi="Arial"/>
                <w:sz w:val="18"/>
                <w:szCs w:val="18"/>
                <w:color w:val="auto"/>
              </w:rPr>
              <w:t>Portfolio investments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8,328,163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7,776,744</w:t>
            </w: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206,802,427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682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33,319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48,810</w:t>
            </w: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Interest and dividends receivable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37,906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(35,953)</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receivable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52,493</w:t>
            </w: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ind w:left="180"/>
              <w:spacing w:after="0"/>
              <w:rPr>
                <w:sz w:val="20"/>
                <w:szCs w:val="20"/>
                <w:color w:val="auto"/>
              </w:rPr>
            </w:pPr>
            <w:r>
              <w:rPr>
                <w:rFonts w:ascii="Arial" w:cs="Arial" w:eastAsia="Arial" w:hAnsi="Arial"/>
                <w:sz w:val="18"/>
                <w:szCs w:val="18"/>
                <w:color w:val="auto"/>
              </w:rPr>
              <w:t>Escrow proceeds receivable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318,848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1,392,854</w:t>
            </w:r>
          </w:p>
        </w:tc>
        <w:tc>
          <w:tcPr>
            <w:tcW w:w="80" w:type="dxa"/>
            <w:vAlign w:val="bottom"/>
          </w:tcPr>
          <w:p>
            <w:pPr>
              <w:spacing w:after="0"/>
              <w:rPr>
                <w:sz w:val="18"/>
                <w:szCs w:val="18"/>
                <w:color w:val="auto"/>
              </w:rPr>
            </w:pP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2,453,641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2,556,347</w:t>
            </w:r>
          </w:p>
        </w:tc>
        <w:tc>
          <w:tcPr>
            <w:tcW w:w="80" w:type="dxa"/>
            <w:vAlign w:val="bottom"/>
            <w:shd w:val="clear" w:color="auto" w:fill="CCEEFF"/>
          </w:tcPr>
          <w:p>
            <w:pPr>
              <w:spacing w:after="0"/>
              <w:rPr>
                <w:sz w:val="18"/>
                <w:szCs w:val="18"/>
                <w:color w:val="auto"/>
              </w:rPr>
            </w:pPr>
          </w:p>
        </w:tc>
      </w:tr>
      <w:tr>
        <w:trPr>
          <w:trHeight w:val="232"/>
        </w:trPr>
        <w:tc>
          <w:tcPr>
            <w:tcW w:w="68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(175,000)</w:t>
            </w:r>
          </w:p>
        </w:tc>
      </w:tr>
      <w:tr>
        <w:trPr>
          <w:trHeight w:val="232"/>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47,672,189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(111,078,342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r>
      <w:tr>
        <w:trPr>
          <w:trHeight w:val="198"/>
        </w:trPr>
        <w:tc>
          <w:tcPr>
            <w:tcW w:w="6820" w:type="dxa"/>
            <w:vAlign w:val="bottom"/>
          </w:tcPr>
          <w:p>
            <w:pPr>
              <w:spacing w:after="0" w:line="199" w:lineRule="exact"/>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229,896</w:t>
            </w:r>
          </w:p>
        </w:tc>
        <w:tc>
          <w:tcPr>
            <w:tcW w:w="80" w:type="dxa"/>
            <w:vAlign w:val="bottom"/>
            <w:shd w:val="clear" w:color="auto" w:fill="CCEEFF"/>
          </w:tcPr>
          <w:p>
            <w:pPr>
              <w:spacing w:after="0"/>
              <w:rPr>
                <w:sz w:val="18"/>
                <w:szCs w:val="18"/>
                <w:color w:val="auto"/>
              </w:rPr>
            </w:pPr>
          </w:p>
        </w:tc>
      </w:tr>
      <w:tr>
        <w:trPr>
          <w:trHeight w:val="212"/>
        </w:trPr>
        <w:tc>
          <w:tcPr>
            <w:tcW w:w="68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203"/>
              <w:spacing w:after="0"/>
              <w:rPr>
                <w:sz w:val="20"/>
                <w:szCs w:val="20"/>
                <w:color w:val="auto"/>
              </w:rPr>
            </w:pPr>
            <w:r>
              <w:rPr>
                <w:rFonts w:ascii="Arial" w:cs="Arial" w:eastAsia="Arial" w:hAnsi="Arial"/>
                <w:sz w:val="18"/>
                <w:szCs w:val="18"/>
                <w:color w:val="auto"/>
              </w:rPr>
              <w:t>(14,178,685)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(21,452,541)</w:t>
            </w:r>
          </w:p>
        </w:tc>
      </w:tr>
      <w:tr>
        <w:trPr>
          <w:trHeight w:val="212"/>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(107,823)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(26,481,943)</w:t>
            </w:r>
          </w:p>
        </w:tc>
      </w:tr>
      <w:tr>
        <w:trPr>
          <w:trHeight w:val="232"/>
        </w:trPr>
        <w:tc>
          <w:tcPr>
            <w:tcW w:w="68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(1,540)</w:t>
            </w:r>
          </w:p>
        </w:tc>
      </w:tr>
      <w:tr>
        <w:trPr>
          <w:trHeight w:val="232"/>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(14,286,508</w:t>
            </w:r>
          </w:p>
        </w:tc>
        <w:tc>
          <w:tcPr>
            <w:tcW w:w="340" w:type="dxa"/>
            <w:vAlign w:val="bottom"/>
            <w:tcBorders>
              <w:top w:val="single" w:sz="8" w:color="CCEEFF"/>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79"/>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(47,706,128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r>
      <w:tr>
        <w:trPr>
          <w:trHeight w:val="205"/>
        </w:trPr>
        <w:tc>
          <w:tcPr>
            <w:tcW w:w="682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b w:val="1"/>
                <w:bCs w:val="1"/>
                <w:color w:val="auto"/>
              </w:rPr>
              <w:t>Total Decrease in Cash Balance</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33,385,681</w:t>
            </w: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(158,784,470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w w:val="79"/>
              </w:rPr>
              <w:t>)</w:t>
            </w:r>
          </w:p>
        </w:tc>
      </w:tr>
      <w:tr>
        <w:trPr>
          <w:trHeight w:val="232"/>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Balance at Beginning of Year</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40,117,598</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198,437,078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5"/>
        </w:trPr>
        <w:tc>
          <w:tcPr>
            <w:tcW w:w="6820" w:type="dxa"/>
            <w:vAlign w:val="bottom"/>
          </w:tcPr>
          <w:p>
            <w:pPr>
              <w:spacing w:after="0" w:line="199" w:lineRule="exact"/>
              <w:rPr>
                <w:sz w:val="20"/>
                <w:szCs w:val="20"/>
                <w:color w:val="auto"/>
              </w:rPr>
            </w:pPr>
            <w:r>
              <w:rPr>
                <w:rFonts w:ascii="Arial" w:cs="Arial" w:eastAsia="Arial" w:hAnsi="Arial"/>
                <w:sz w:val="18"/>
                <w:szCs w:val="18"/>
                <w:b w:val="1"/>
                <w:bCs w:val="1"/>
                <w:color w:val="auto"/>
              </w:rPr>
              <w:t>Cash Balance at End of Period</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73,503,279</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39,652,608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Supplemental Information:</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2"/>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3,537,500</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Taxes paid</w:t>
            </w:r>
          </w:p>
        </w:tc>
        <w:tc>
          <w:tcPr>
            <w:tcW w:w="46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530,556</w:t>
            </w:r>
          </w:p>
        </w:tc>
        <w:tc>
          <w:tcPr>
            <w:tcW w:w="4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7,569</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(UNAUDITED) September 30, 2023</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Headquarters/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of Initial</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gridSpan w:val="13"/>
          </w:tcPr>
          <w:p>
            <w:pPr>
              <w:spacing w:after="0"/>
              <w:rPr>
                <w:sz w:val="20"/>
                <w:szCs w:val="20"/>
                <w:color w:val="auto"/>
              </w:rPr>
            </w:pPr>
            <w:r>
              <w:rPr>
                <w:rFonts w:ascii="Arial" w:cs="Arial" w:eastAsia="Arial" w:hAnsi="Arial"/>
                <w:sz w:val="18"/>
                <w:szCs w:val="18"/>
                <w:b w:val="1"/>
                <w:bCs w:val="1"/>
                <w:color w:val="auto"/>
              </w:rPr>
              <w:t>Portfolio Investments*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Industry</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Investment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Principal</w:t>
            </w:r>
          </w:p>
        </w:tc>
        <w:tc>
          <w:tcPr>
            <w:tcW w:w="260" w:type="dxa"/>
            <w:vAlign w:val="bottom"/>
          </w:tcPr>
          <w:p>
            <w:pPr>
              <w:spacing w:after="0"/>
              <w:rPr>
                <w:sz w:val="20"/>
                <w:szCs w:val="20"/>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Fair Value</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86"/>
              </w:rPr>
              <w:t>% of Net Assets</w:t>
            </w:r>
          </w:p>
        </w:tc>
        <w:tc>
          <w:tcPr>
            <w:tcW w:w="0" w:type="dxa"/>
            <w:vAlign w:val="bottom"/>
          </w:tcPr>
          <w:p>
            <w:pPr>
              <w:spacing w:after="0"/>
              <w:rPr>
                <w:sz w:val="1"/>
                <w:szCs w:val="1"/>
                <w:color w:val="auto"/>
              </w:rPr>
            </w:pPr>
          </w:p>
        </w:tc>
      </w:tr>
      <w:tr>
        <w:trPr>
          <w:trHeight w:val="194"/>
        </w:trPr>
        <w:tc>
          <w:tcPr>
            <w:tcW w:w="1800" w:type="dxa"/>
            <w:vAlign w:val="bottom"/>
            <w:tcBorders>
              <w:top w:val="single" w:sz="8" w:color="auto"/>
            </w:tcBorders>
            <w:gridSpan w:val="1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NON-</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b w:val="1"/>
                <w:bCs w:val="1"/>
                <w:color w:val="auto"/>
              </w:rPr>
              <w:t>CONTROLLED/NON-</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b w:val="1"/>
                <w:bCs w:val="1"/>
                <w:color w:val="auto"/>
              </w:rPr>
              <w:t>AFFILIATE</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gridSpan w:val="7"/>
          </w:tcPr>
          <w:p>
            <w:pPr>
              <w:spacing w:after="0" w:line="172" w:lineRule="exact"/>
              <w:rPr>
                <w:sz w:val="20"/>
                <w:szCs w:val="20"/>
                <w:color w:val="auto"/>
              </w:rPr>
            </w:pPr>
            <w:r>
              <w:rPr>
                <w:rFonts w:ascii="Arial" w:cs="Arial" w:eastAsia="Arial" w:hAnsi="Arial"/>
                <w:sz w:val="18"/>
                <w:szCs w:val="18"/>
                <w:b w:val="1"/>
                <w:bCs w:val="1"/>
                <w:color w:val="auto"/>
                <w:w w:val="91"/>
              </w:rPr>
              <w:t>Learneo, Inc. (f/k/a</w:t>
            </w:r>
          </w:p>
        </w:tc>
        <w:tc>
          <w:tcPr>
            <w:tcW w:w="580" w:type="dxa"/>
            <w:vAlign w:val="bottom"/>
            <w:gridSpan w:val="6"/>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3"/>
          </w:tcPr>
          <w:p>
            <w:pPr>
              <w:spacing w:after="0" w:line="192" w:lineRule="exact"/>
              <w:rPr>
                <w:sz w:val="20"/>
                <w:szCs w:val="20"/>
                <w:color w:val="auto"/>
              </w:rPr>
            </w:pPr>
            <w:r>
              <w:rPr>
                <w:rFonts w:ascii="Arial" w:cs="Arial" w:eastAsia="Arial" w:hAnsi="Arial"/>
                <w:sz w:val="18"/>
                <w:szCs w:val="18"/>
                <w:b w:val="1"/>
                <w:bCs w:val="1"/>
                <w:color w:val="auto"/>
              </w:rPr>
              <w:t>Course Hero, Inc.)</w:t>
            </w: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91"/>
              </w:rPr>
              <w:t>Redwood City, CA</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A 8%</w:t>
            </w: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Online Education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9/18/2014</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2,145,509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55,402,498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gridSpan w:val="13"/>
          </w:tcPr>
          <w:p>
            <w:pPr>
              <w:spacing w:after="0"/>
              <w:rPr>
                <w:sz w:val="20"/>
                <w:szCs w:val="20"/>
                <w:color w:val="auto"/>
              </w:rPr>
            </w:pPr>
            <w:r>
              <w:rPr>
                <w:rFonts w:ascii="Arial" w:cs="Arial" w:eastAsia="Arial" w:hAnsi="Arial"/>
                <w:sz w:val="18"/>
                <w:szCs w:val="18"/>
                <w:color w:val="auto"/>
              </w:rPr>
              <w:t>C 8%</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11/5/2021</w:t>
            </w:r>
          </w:p>
        </w:tc>
        <w:tc>
          <w:tcPr>
            <w:tcW w:w="22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275,659</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9,999,971</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9,999,971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14,999,972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65,402,469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2040" w:type="dxa"/>
            <w:vAlign w:val="bottom"/>
            <w:gridSpan w:val="13"/>
          </w:tcPr>
          <w:p>
            <w:pPr>
              <w:spacing w:after="0" w:line="159" w:lineRule="exact"/>
              <w:rPr>
                <w:sz w:val="20"/>
                <w:szCs w:val="20"/>
                <w:color w:val="auto"/>
              </w:rPr>
            </w:pPr>
            <w:r>
              <w:rPr>
                <w:rFonts w:ascii="Arial" w:cs="Arial" w:eastAsia="Arial" w:hAnsi="Arial"/>
                <w:sz w:val="18"/>
                <w:szCs w:val="18"/>
                <w:b w:val="1"/>
                <w:bCs w:val="1"/>
                <w:color w:val="auto"/>
              </w:rPr>
              <w:t>ServiceTitan, Inc.</w:t>
            </w:r>
          </w:p>
        </w:tc>
        <w:tc>
          <w:tcPr>
            <w:tcW w:w="1680" w:type="dxa"/>
            <w:vAlign w:val="bottom"/>
            <w:gridSpan w:val="2"/>
          </w:tcPr>
          <w:p>
            <w:pPr>
              <w:jc w:val="center"/>
              <w:ind w:right="220"/>
              <w:spacing w:after="0" w:line="159" w:lineRule="exact"/>
              <w:rPr>
                <w:sz w:val="20"/>
                <w:szCs w:val="20"/>
                <w:color w:val="auto"/>
              </w:rPr>
            </w:pPr>
            <w:r>
              <w:rPr>
                <w:rFonts w:ascii="Arial" w:cs="Arial" w:eastAsia="Arial" w:hAnsi="Arial"/>
                <w:sz w:val="18"/>
                <w:szCs w:val="18"/>
                <w:color w:val="auto"/>
                <w:w w:val="91"/>
              </w:rPr>
              <w:t>Glendale, CA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Contractor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Management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Software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6/30/2023</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151,515</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10,008,233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11,948,583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gridSpan w:val="5"/>
          </w:tcPr>
          <w:p>
            <w:pPr>
              <w:spacing w:after="0" w:line="172" w:lineRule="exact"/>
              <w:rPr>
                <w:sz w:val="20"/>
                <w:szCs w:val="20"/>
                <w:color w:val="auto"/>
              </w:rPr>
            </w:pPr>
            <w:r>
              <w:rPr>
                <w:rFonts w:ascii="Arial" w:cs="Arial" w:eastAsia="Arial" w:hAnsi="Arial"/>
                <w:sz w:val="18"/>
                <w:szCs w:val="18"/>
                <w:b w:val="1"/>
                <w:bCs w:val="1"/>
                <w:color w:val="auto"/>
                <w:w w:val="92"/>
              </w:rPr>
              <w:t>Blink Health, Inc.</w:t>
            </w:r>
          </w:p>
        </w:tc>
        <w:tc>
          <w:tcPr>
            <w:tcW w:w="680" w:type="dxa"/>
            <w:vAlign w:val="bottom"/>
            <w:gridSpan w:val="8"/>
          </w:tcPr>
          <w:p>
            <w:pPr>
              <w:spacing w:after="0"/>
              <w:rPr>
                <w:sz w:val="15"/>
                <w:szCs w:val="15"/>
                <w:color w:val="auto"/>
              </w:rPr>
            </w:pPr>
          </w:p>
        </w:tc>
        <w:tc>
          <w:tcPr>
            <w:tcW w:w="1680" w:type="dxa"/>
            <w:vAlign w:val="bottom"/>
            <w:gridSpan w:val="2"/>
          </w:tcPr>
          <w:p>
            <w:pPr>
              <w:jc w:val="center"/>
              <w:ind w:right="220"/>
              <w:spacing w:after="0" w:line="172" w:lineRule="exact"/>
              <w:rPr>
                <w:sz w:val="20"/>
                <w:szCs w:val="20"/>
                <w:color w:val="auto"/>
              </w:rPr>
            </w:pPr>
            <w:r>
              <w:rPr>
                <w:rFonts w:ascii="Arial" w:cs="Arial" w:eastAsia="Arial" w:hAnsi="Arial"/>
                <w:sz w:val="18"/>
                <w:szCs w:val="18"/>
                <w:color w:val="auto"/>
                <w:w w:val="93"/>
              </w:rPr>
              <w:t>New York, NY</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Pharmaceutical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A</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10/27/2020</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238,095</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5,000,423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1,649,024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10,003,917</w:t>
            </w:r>
          </w:p>
        </w:tc>
        <w:tc>
          <w:tcPr>
            <w:tcW w:w="160" w:type="dxa"/>
            <w:vAlign w:val="bottom"/>
          </w:tcPr>
          <w:p>
            <w:pPr>
              <w:spacing w:after="0"/>
              <w:rPr>
                <w:sz w:val="17"/>
                <w:szCs w:val="17"/>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9,999,975</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8"/>
        </w:trPr>
        <w:tc>
          <w:tcPr>
            <w:tcW w:w="2040" w:type="dxa"/>
            <w:vAlign w:val="bottom"/>
            <w:gridSpan w:val="13"/>
          </w:tcPr>
          <w:p>
            <w:pPr>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10/27/2020</w:t>
            </w:r>
          </w:p>
        </w:tc>
        <w:tc>
          <w:tcPr>
            <w:tcW w:w="2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261,944</w:t>
            </w:r>
          </w:p>
        </w:tc>
        <w:tc>
          <w:tcPr>
            <w:tcW w:w="2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15,004,340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11,648,999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auto"/>
            </w:tcBorders>
            <w:gridSpan w:val="9"/>
          </w:tcPr>
          <w:p>
            <w:pPr>
              <w:spacing w:after="0" w:line="159" w:lineRule="exact"/>
              <w:rPr>
                <w:sz w:val="20"/>
                <w:szCs w:val="20"/>
                <w:color w:val="auto"/>
              </w:rPr>
            </w:pPr>
            <w:r>
              <w:rPr>
                <w:rFonts w:ascii="Arial" w:cs="Arial" w:eastAsia="Arial" w:hAnsi="Arial"/>
                <w:sz w:val="18"/>
                <w:szCs w:val="18"/>
                <w:b w:val="1"/>
                <w:bCs w:val="1"/>
                <w:color w:val="auto"/>
                <w:w w:val="86"/>
              </w:rPr>
              <w:t>Locus Robotics Corp.</w:t>
            </w:r>
          </w:p>
        </w:tc>
        <w:tc>
          <w:tcPr>
            <w:tcW w:w="400" w:type="dxa"/>
            <w:vAlign w:val="bottom"/>
            <w:gridSpan w:val="4"/>
          </w:tcPr>
          <w:p>
            <w:pPr>
              <w:spacing w:after="0"/>
              <w:rPr>
                <w:sz w:val="14"/>
                <w:szCs w:val="14"/>
                <w:color w:val="auto"/>
              </w:rPr>
            </w:pPr>
          </w:p>
        </w:tc>
        <w:tc>
          <w:tcPr>
            <w:tcW w:w="1680" w:type="dxa"/>
            <w:vAlign w:val="bottom"/>
            <w:gridSpan w:val="2"/>
          </w:tcPr>
          <w:p>
            <w:pPr>
              <w:jc w:val="center"/>
              <w:ind w:right="220"/>
              <w:spacing w:after="0" w:line="159" w:lineRule="exact"/>
              <w:rPr>
                <w:sz w:val="20"/>
                <w:szCs w:val="20"/>
                <w:color w:val="auto"/>
              </w:rPr>
            </w:pPr>
            <w:r>
              <w:rPr>
                <w:rFonts w:ascii="Arial" w:cs="Arial" w:eastAsia="Arial" w:hAnsi="Arial"/>
                <w:sz w:val="18"/>
                <w:szCs w:val="18"/>
                <w:color w:val="auto"/>
                <w:w w:val="96"/>
              </w:rPr>
              <w:t>Wilmington, MA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Warehouse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F 6%</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Automation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11/30/2022</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232,568</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10,004,286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auto"/>
            </w:tcBorders>
            <w:gridSpan w:val="8"/>
          </w:tcPr>
          <w:p>
            <w:pPr>
              <w:spacing w:after="0" w:line="172" w:lineRule="exact"/>
              <w:rPr>
                <w:sz w:val="20"/>
                <w:szCs w:val="20"/>
                <w:color w:val="auto"/>
              </w:rPr>
            </w:pPr>
            <w:r>
              <w:rPr>
                <w:rFonts w:ascii="Arial" w:cs="Arial" w:eastAsia="Arial" w:hAnsi="Arial"/>
                <w:sz w:val="18"/>
                <w:szCs w:val="18"/>
                <w:b w:val="1"/>
                <w:bCs w:val="1"/>
                <w:color w:val="auto"/>
                <w:w w:val="86"/>
              </w:rPr>
              <w:t>Shogun Enterprises,</w:t>
            </w:r>
          </w:p>
        </w:tc>
        <w:tc>
          <w:tcPr>
            <w:tcW w:w="500" w:type="dxa"/>
            <w:vAlign w:val="bottom"/>
            <w:gridSpan w:val="5"/>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40" w:type="dxa"/>
            <w:vAlign w:val="bottom"/>
            <w:gridSpan w:val="13"/>
          </w:tcPr>
          <w:p>
            <w:pPr>
              <w:spacing w:after="0" w:line="232" w:lineRule="exact"/>
              <w:rPr>
                <w:sz w:val="20"/>
                <w:szCs w:val="20"/>
                <w:color w:val="auto"/>
              </w:rPr>
            </w:pPr>
            <w:r>
              <w:rPr>
                <w:rFonts w:ascii="Arial" w:cs="Arial" w:eastAsia="Arial" w:hAnsi="Arial"/>
                <w:sz w:val="16"/>
                <w:szCs w:val="16"/>
                <w:b w:val="1"/>
                <w:bCs w:val="1"/>
                <w:color w:val="auto"/>
              </w:rPr>
              <w:t>Inc. (d/b/a Hearth)</w:t>
            </w:r>
            <w:r>
              <w:rPr>
                <w:rFonts w:ascii="Arial" w:cs="Arial" w:eastAsia="Arial" w:hAnsi="Arial"/>
                <w:sz w:val="26"/>
                <w:szCs w:val="26"/>
                <w:color w:val="auto"/>
                <w:vertAlign w:val="superscript"/>
              </w:rPr>
              <w:t>(14)</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Austin, TX</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Home Improvement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B-1</w:t>
            </w: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Finance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2/26/2021</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436,844</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3,501,657</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3,499,994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B-2</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2/26/2021</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301,750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3,501,661</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3,499,998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0"/>
        </w:trPr>
        <w:tc>
          <w:tcPr>
            <w:tcW w:w="2040" w:type="dxa"/>
            <w:vAlign w:val="bottom"/>
            <w:gridSpan w:val="13"/>
            <w:shd w:val="clear" w:color="auto" w:fill="CCEEFF"/>
          </w:tcPr>
          <w:p>
            <w:pPr>
              <w:spacing w:after="0" w:line="201" w:lineRule="exact"/>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B-3</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5/2/2022</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56,936</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530,822</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530,820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B-4</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7/12/2023</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48,267</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366,606</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359,938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0"/>
        </w:trPr>
        <w:tc>
          <w:tcPr>
            <w:tcW w:w="2040" w:type="dxa"/>
            <w:vAlign w:val="bottom"/>
            <w:gridSpan w:val="13"/>
            <w:shd w:val="clear" w:color="auto" w:fill="CCEEFF"/>
          </w:tcPr>
          <w:p>
            <w:pPr>
              <w:spacing w:after="0" w:line="201" w:lineRule="exact"/>
              <w:rPr>
                <w:sz w:val="20"/>
                <w:szCs w:val="20"/>
                <w:color w:val="auto"/>
              </w:rPr>
            </w:pPr>
            <w:r>
              <w:rPr>
                <w:rFonts w:ascii="Arial" w:cs="Arial" w:eastAsia="Arial" w:hAnsi="Arial"/>
                <w:sz w:val="18"/>
                <w:szCs w:val="18"/>
                <w:color w:val="auto"/>
              </w:rPr>
              <w:t>Common Warrants,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Strike Price $0.01,</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140,060</w:t>
            </w:r>
          </w:p>
        </w:tc>
        <w:tc>
          <w:tcPr>
            <w:tcW w:w="16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140,060</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1"/>
        </w:trPr>
        <w:tc>
          <w:tcPr>
            <w:tcW w:w="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7/12/2026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7/12/2023</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86,076</w:t>
            </w:r>
          </w:p>
        </w:tc>
        <w:tc>
          <w:tcPr>
            <w:tcW w:w="26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3"/>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4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8,040,806</w:t>
            </w:r>
          </w:p>
        </w:tc>
        <w:tc>
          <w:tcPr>
            <w:tcW w:w="3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8,030,810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3.79</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9"/>
        </w:trPr>
        <w:tc>
          <w:tcPr>
            <w:tcW w:w="1720" w:type="dxa"/>
            <w:vAlign w:val="bottom"/>
            <w:tcBorders>
              <w:bottom w:val="single" w:sz="8" w:color="auto"/>
            </w:tcBorders>
            <w:gridSpan w:val="10"/>
            <w:shd w:val="clear" w:color="auto" w:fill="CCEEFF"/>
          </w:tcPr>
          <w:p>
            <w:pPr>
              <w:spacing w:after="0" w:line="159" w:lineRule="exact"/>
              <w:rPr>
                <w:sz w:val="20"/>
                <w:szCs w:val="20"/>
                <w:color w:val="auto"/>
              </w:rPr>
            </w:pPr>
            <w:r>
              <w:rPr>
                <w:rFonts w:ascii="Arial" w:cs="Arial" w:eastAsia="Arial" w:hAnsi="Arial"/>
                <w:sz w:val="18"/>
                <w:szCs w:val="18"/>
                <w:b w:val="1"/>
                <w:bCs w:val="1"/>
                <w:color w:val="auto"/>
                <w:w w:val="86"/>
              </w:rPr>
              <w:t>Orchard Technologies,</w:t>
            </w:r>
          </w:p>
        </w:tc>
        <w:tc>
          <w:tcPr>
            <w:tcW w:w="320" w:type="dxa"/>
            <w:vAlign w:val="bottom"/>
            <w:tcBorders>
              <w:bottom w:val="single" w:sz="8" w:color="CCEEFF"/>
            </w:tcBorders>
            <w:gridSpan w:val="3"/>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40" w:type="dxa"/>
            <w:vAlign w:val="bottom"/>
            <w:gridSpan w:val="13"/>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Inc.</w:t>
            </w:r>
            <w:r>
              <w:rPr>
                <w:rFonts w:ascii="Arial" w:cs="Arial" w:eastAsia="Arial" w:hAnsi="Arial"/>
                <w:sz w:val="26"/>
                <w:szCs w:val="26"/>
                <w:color w:val="auto"/>
                <w:vertAlign w:val="superscript"/>
              </w:rPr>
              <w:t>(13)</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 w:type="dxa"/>
            <w:vAlign w:val="bottom"/>
            <w:shd w:val="clear" w:color="auto" w:fill="000000"/>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D 8%</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Real Estate Platform</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8/9/2021</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558,053</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3,751,518</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40" w:type="dxa"/>
            <w:vAlign w:val="bottom"/>
            <w:gridSpan w:val="13"/>
            <w:shd w:val="clear" w:color="auto" w:fill="CCEEFF"/>
          </w:tcPr>
          <w:p>
            <w:pPr>
              <w:spacing w:after="0" w:line="201" w:lineRule="exact"/>
              <w:rPr>
                <w:sz w:val="20"/>
                <w:szCs w:val="20"/>
                <w:color w:val="auto"/>
              </w:rPr>
            </w:pPr>
            <w:r>
              <w:rPr>
                <w:rFonts w:ascii="Arial" w:cs="Arial" w:eastAsia="Arial" w:hAnsi="Arial"/>
                <w:sz w:val="18"/>
                <w:szCs w:val="18"/>
                <w:color w:val="auto"/>
              </w:rPr>
              <w:t>Senior Preferred shares,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Series 2</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8/9/2021</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58,771</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587,951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Senior Preferred shares,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Series 1 7%</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1/13/2023</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441,228</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4,418,406</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7,728,148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3"/>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8/9/2021</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558,053</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3,751,518</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3"/>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4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12,509,393</w:t>
            </w:r>
          </w:p>
        </w:tc>
        <w:tc>
          <w:tcPr>
            <w:tcW w:w="3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7,728,148</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3.65</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2"/>
        </w:trPr>
        <w:tc>
          <w:tcPr>
            <w:tcW w:w="2040" w:type="dxa"/>
            <w:vAlign w:val="bottom"/>
            <w:gridSpan w:val="1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FourKites, Inc.</w:t>
            </w:r>
          </w:p>
        </w:tc>
        <w:tc>
          <w:tcPr>
            <w:tcW w:w="1680" w:type="dxa"/>
            <w:vAlign w:val="bottom"/>
            <w:gridSpan w:val="2"/>
            <w:shd w:val="clear" w:color="auto" w:fill="CCEEFF"/>
          </w:tcPr>
          <w:p>
            <w:pPr>
              <w:jc w:val="center"/>
              <w:ind w:right="220"/>
              <w:spacing w:after="0" w:line="172" w:lineRule="exact"/>
              <w:rPr>
                <w:sz w:val="20"/>
                <w:szCs w:val="20"/>
                <w:color w:val="auto"/>
              </w:rPr>
            </w:pPr>
            <w:r>
              <w:rPr>
                <w:rFonts w:ascii="Arial" w:cs="Arial" w:eastAsia="Arial" w:hAnsi="Arial"/>
                <w:sz w:val="18"/>
                <w:szCs w:val="18"/>
                <w:color w:val="auto"/>
                <w:w w:val="94"/>
              </w:rPr>
              <w:t>Chicago, IL</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91"/>
              </w:rPr>
              <w:t>Supply Chain</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7/7/2023</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851,443</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5,813,716</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5,803,269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2"/>
        </w:trPr>
        <w:tc>
          <w:tcPr>
            <w:tcW w:w="2040" w:type="dxa"/>
            <w:vAlign w:val="bottom"/>
            <w:gridSpan w:val="13"/>
            <w:shd w:val="clear" w:color="auto" w:fill="CCEEFF"/>
          </w:tcPr>
          <w:p>
            <w:pPr>
              <w:spacing w:after="0" w:line="212" w:lineRule="exact"/>
              <w:rPr>
                <w:sz w:val="20"/>
                <w:szCs w:val="20"/>
                <w:color w:val="auto"/>
              </w:rPr>
            </w:pPr>
            <w:r>
              <w:rPr>
                <w:rFonts w:ascii="Arial" w:cs="Arial" w:eastAsia="Arial" w:hAnsi="Arial"/>
                <w:sz w:val="15"/>
                <w:szCs w:val="15"/>
                <w:b w:val="1"/>
                <w:bCs w:val="1"/>
                <w:color w:val="auto"/>
              </w:rPr>
              <w:t>Forge Global, Inc.</w:t>
            </w:r>
            <w:r>
              <w:rPr>
                <w:rFonts w:ascii="Arial" w:cs="Arial" w:eastAsia="Arial" w:hAnsi="Arial"/>
                <w:sz w:val="24"/>
                <w:szCs w:val="24"/>
                <w:b w:val="1"/>
                <w:bCs w:val="1"/>
                <w:color w:val="auto"/>
                <w:vertAlign w:val="superscript"/>
              </w:rPr>
              <w:t>**</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San Francisco, CA</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00" w:type="dxa"/>
            <w:vAlign w:val="bottom"/>
            <w:tcBorders>
              <w:top w:val="single" w:sz="8" w:color="auto"/>
            </w:tcBorders>
            <w:gridSpan w:val="6"/>
            <w:vMerge w:val="restart"/>
          </w:tcPr>
          <w:p>
            <w:pPr>
              <w:spacing w:after="0"/>
              <w:rPr>
                <w:sz w:val="20"/>
                <w:szCs w:val="20"/>
                <w:color w:val="auto"/>
              </w:rPr>
            </w:pPr>
            <w:r>
              <w:rPr>
                <w:rFonts w:ascii="Arial" w:cs="Arial" w:eastAsia="Arial" w:hAnsi="Arial"/>
                <w:sz w:val="18"/>
                <w:szCs w:val="18"/>
                <w:color w:val="auto"/>
                <w:w w:val="87"/>
              </w:rPr>
              <w:t>Common shares</w:t>
            </w:r>
            <w:r>
              <w:rPr>
                <w:rFonts w:ascii="Arial" w:cs="Arial" w:eastAsia="Arial" w:hAnsi="Arial"/>
                <w:sz w:val="29"/>
                <w:szCs w:val="29"/>
                <w:color w:val="auto"/>
                <w:w w:val="87"/>
                <w:vertAlign w:val="superscript"/>
              </w:rPr>
              <w:t>(3)</w:t>
            </w:r>
          </w:p>
        </w:tc>
        <w:tc>
          <w:tcPr>
            <w:tcW w:w="640" w:type="dxa"/>
            <w:vAlign w:val="bottom"/>
            <w:tcBorders>
              <w:top w:val="single" w:sz="8" w:color="CCEEFF"/>
            </w:tcBorders>
            <w:gridSpan w:val="7"/>
            <w:vMerge w:val="restart"/>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91"/>
              </w:rPr>
              <w:t>Online Marketplace</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00" w:type="dxa"/>
            <w:vAlign w:val="bottom"/>
            <w:gridSpan w:val="6"/>
            <w:vMerge w:val="continue"/>
          </w:tcPr>
          <w:p>
            <w:pPr>
              <w:spacing w:after="0"/>
              <w:rPr>
                <w:sz w:val="19"/>
                <w:szCs w:val="19"/>
                <w:color w:val="auto"/>
              </w:rPr>
            </w:pPr>
          </w:p>
        </w:tc>
        <w:tc>
          <w:tcPr>
            <w:tcW w:w="640" w:type="dxa"/>
            <w:vAlign w:val="bottom"/>
            <w:gridSpan w:val="7"/>
            <w:vMerge w:val="continue"/>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Finance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7/20/2011</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2,508,074</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3,443,483</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5,091,390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72"/>
        </w:trPr>
        <w:tc>
          <w:tcPr>
            <w:tcW w:w="1760" w:type="dxa"/>
            <w:vAlign w:val="bottom"/>
            <w:tcBorders>
              <w:bottom w:val="single" w:sz="8" w:color="auto"/>
            </w:tcBorders>
            <w:gridSpan w:val="11"/>
            <w:shd w:val="clear" w:color="auto" w:fill="CCEEFF"/>
          </w:tcPr>
          <w:p>
            <w:pPr>
              <w:spacing w:after="0" w:line="152" w:lineRule="exact"/>
              <w:rPr>
                <w:sz w:val="20"/>
                <w:szCs w:val="20"/>
                <w:color w:val="auto"/>
              </w:rPr>
            </w:pPr>
            <w:r>
              <w:rPr>
                <w:rFonts w:ascii="Arial" w:cs="Arial" w:eastAsia="Arial" w:hAnsi="Arial"/>
                <w:sz w:val="17"/>
                <w:szCs w:val="17"/>
                <w:b w:val="1"/>
                <w:bCs w:val="1"/>
                <w:color w:val="auto"/>
                <w:w w:val="93"/>
              </w:rPr>
              <w:t>True Global Ventures 4</w:t>
            </w:r>
          </w:p>
        </w:tc>
        <w:tc>
          <w:tcPr>
            <w:tcW w:w="280" w:type="dxa"/>
            <w:vAlign w:val="bottom"/>
            <w:tcBorders>
              <w:bottom w:val="single" w:sz="8" w:color="CCEEFF"/>
            </w:tcBorders>
            <w:gridSpan w:val="2"/>
            <w:shd w:val="clear" w:color="auto" w:fill="CCEEFF"/>
          </w:tcPr>
          <w:p>
            <w:pPr>
              <w:spacing w:after="0"/>
              <w:rPr>
                <w:sz w:val="14"/>
                <w:szCs w:val="14"/>
                <w:color w:val="auto"/>
              </w:rPr>
            </w:pPr>
          </w:p>
        </w:tc>
        <w:tc>
          <w:tcPr>
            <w:tcW w:w="16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7"/>
              </w:rPr>
              <w:t>Singapore,</w:t>
            </w:r>
          </w:p>
        </w:tc>
        <w:tc>
          <w:tcPr>
            <w:tcW w:w="1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40" w:type="dxa"/>
            <w:vAlign w:val="bottom"/>
            <w:gridSpan w:val="13"/>
            <w:vMerge w:val="restart"/>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Plus Pte Ltd</w:t>
            </w:r>
            <w:r>
              <w:rPr>
                <w:rFonts w:ascii="Arial" w:cs="Arial" w:eastAsia="Arial" w:hAnsi="Arial"/>
                <w:sz w:val="26"/>
                <w:szCs w:val="26"/>
                <w:b w:val="1"/>
                <w:bCs w:val="1"/>
                <w:color w:val="auto"/>
                <w:vertAlign w:val="superscript"/>
              </w:rPr>
              <w:t>**</w:t>
            </w:r>
          </w:p>
        </w:tc>
        <w:tc>
          <w:tcPr>
            <w:tcW w:w="1680" w:type="dxa"/>
            <w:vAlign w:val="bottom"/>
            <w:gridSpan w:val="2"/>
            <w:vMerge w:val="continue"/>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40" w:type="dxa"/>
            <w:vAlign w:val="bottom"/>
            <w:gridSpan w:val="13"/>
            <w:vMerge w:val="continue"/>
            <w:shd w:val="clear" w:color="auto" w:fill="CCEEFF"/>
          </w:tcPr>
          <w:p>
            <w:pPr>
              <w:spacing w:after="0"/>
              <w:rPr>
                <w:sz w:val="16"/>
                <w:szCs w:val="16"/>
                <w:color w:val="auto"/>
              </w:rPr>
            </w:pPr>
          </w:p>
        </w:tc>
        <w:tc>
          <w:tcPr>
            <w:tcW w:w="1680" w:type="dxa"/>
            <w:vAlign w:val="bottom"/>
            <w:gridSpan w:val="2"/>
            <w:shd w:val="clear" w:color="auto" w:fill="CCEEFF"/>
          </w:tcPr>
          <w:p>
            <w:pPr>
              <w:jc w:val="center"/>
              <w:ind w:right="220"/>
              <w:spacing w:after="0" w:line="185" w:lineRule="exact"/>
              <w:rPr>
                <w:sz w:val="20"/>
                <w:szCs w:val="20"/>
                <w:color w:val="auto"/>
              </w:rPr>
            </w:pPr>
            <w:r>
              <w:rPr>
                <w:rFonts w:ascii="Arial" w:cs="Arial" w:eastAsia="Arial" w:hAnsi="Arial"/>
                <w:sz w:val="18"/>
                <w:szCs w:val="18"/>
                <w:color w:val="auto"/>
                <w:w w:val="85"/>
              </w:rPr>
              <w:t>Singapore</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00" w:type="dxa"/>
            <w:vAlign w:val="bottom"/>
            <w:shd w:val="clear" w:color="auto" w:fill="000000"/>
          </w:tcPr>
          <w:p>
            <w:pPr>
              <w:spacing w:after="0"/>
              <w:rPr>
                <w:sz w:val="3"/>
                <w:szCs w:val="3"/>
                <w:color w:val="auto"/>
              </w:rPr>
            </w:pPr>
          </w:p>
        </w:tc>
        <w:tc>
          <w:tcPr>
            <w:tcW w:w="64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gridSpan w:val="13"/>
          </w:tcPr>
          <w:p>
            <w:pPr>
              <w:spacing w:after="0" w:line="201" w:lineRule="exact"/>
              <w:rPr>
                <w:sz w:val="20"/>
                <w:szCs w:val="20"/>
                <w:color w:val="auto"/>
              </w:rPr>
            </w:pPr>
            <w:r>
              <w:rPr>
                <w:rFonts w:ascii="Arial" w:cs="Arial" w:eastAsia="Arial" w:hAnsi="Arial"/>
                <w:sz w:val="18"/>
                <w:szCs w:val="18"/>
                <w:color w:val="auto"/>
              </w:rPr>
              <w:t>Limited Partner Fund</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Venture Investment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40" w:type="dxa"/>
            <w:vAlign w:val="bottom"/>
            <w:gridSpan w:val="13"/>
          </w:tcPr>
          <w:p>
            <w:pPr>
              <w:spacing w:after="0" w:line="262" w:lineRule="exact"/>
              <w:rPr>
                <w:sz w:val="20"/>
                <w:szCs w:val="20"/>
                <w:color w:val="auto"/>
              </w:rPr>
            </w:pPr>
            <w:r>
              <w:rPr>
                <w:rFonts w:ascii="Arial" w:cs="Arial" w:eastAsia="Arial" w:hAnsi="Arial"/>
                <w:sz w:val="18"/>
                <w:szCs w:val="18"/>
                <w:color w:val="auto"/>
              </w:rPr>
              <w:t>Investment</w:t>
            </w:r>
            <w:r>
              <w:rPr>
                <w:rFonts w:ascii="Arial" w:cs="Arial" w:eastAsia="Arial" w:hAnsi="Arial"/>
                <w:sz w:val="29"/>
                <w:szCs w:val="29"/>
                <w:color w:val="auto"/>
                <w:vertAlign w:val="superscript"/>
              </w:rPr>
              <w:t>(8)</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Fund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8/27/2021</w:t>
            </w:r>
          </w:p>
        </w:tc>
        <w:tc>
          <w:tcPr>
            <w:tcW w:w="22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1,077,371</w:t>
            </w: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4,081,077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right w:val="single" w:sz="8" w:color="CCEEFF"/>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8"/>
              </w:rPr>
              <w:t>Whoop, Inc.</w:t>
            </w:r>
          </w:p>
        </w:tc>
        <w:tc>
          <w:tcPr>
            <w:tcW w:w="1100" w:type="dxa"/>
            <w:vAlign w:val="bottom"/>
            <w:tcBorders>
              <w:bottom w:val="single" w:sz="8" w:color="CCEEFF"/>
            </w:tcBorders>
            <w:gridSpan w:val="11"/>
            <w:shd w:val="clear" w:color="auto" w:fill="CCEEFF"/>
          </w:tcPr>
          <w:p>
            <w:pPr>
              <w:spacing w:after="0"/>
              <w:rPr>
                <w:sz w:val="16"/>
                <w:szCs w:val="16"/>
                <w:color w:val="auto"/>
              </w:rPr>
            </w:pPr>
          </w:p>
        </w:tc>
        <w:tc>
          <w:tcPr>
            <w:tcW w:w="1680" w:type="dxa"/>
            <w:vAlign w:val="bottom"/>
            <w:tcBorders>
              <w:bottom w:val="single" w:sz="8" w:color="CCEEFF"/>
            </w:tcBorders>
            <w:gridSpan w:val="2"/>
            <w:shd w:val="clear" w:color="auto" w:fill="CCEEFF"/>
          </w:tcPr>
          <w:p>
            <w:pPr>
              <w:jc w:val="center"/>
              <w:ind w:right="220"/>
              <w:spacing w:after="0" w:line="172" w:lineRule="exact"/>
              <w:rPr>
                <w:sz w:val="20"/>
                <w:szCs w:val="20"/>
                <w:color w:val="auto"/>
              </w:rPr>
            </w:pPr>
            <w:r>
              <w:rPr>
                <w:rFonts w:ascii="Arial" w:cs="Arial" w:eastAsia="Arial" w:hAnsi="Arial"/>
                <w:sz w:val="18"/>
                <w:szCs w:val="18"/>
                <w:color w:val="auto"/>
                <w:w w:val="92"/>
              </w:rPr>
              <w:t>Boston, MA</w:t>
            </w: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40" w:type="dxa"/>
            <w:vAlign w:val="bottom"/>
            <w:gridSpan w:val="13"/>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C</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Fitness 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6/30/2022</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13,293,450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10,011,460</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3,694,462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3"/>
        </w:trPr>
        <w:tc>
          <w:tcPr>
            <w:tcW w:w="2040" w:type="dxa"/>
            <w:vAlign w:val="bottom"/>
            <w:gridSpan w:val="13"/>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PayJoy, Inc.</w:t>
            </w:r>
          </w:p>
        </w:tc>
        <w:tc>
          <w:tcPr>
            <w:tcW w:w="1680" w:type="dxa"/>
            <w:vAlign w:val="bottom"/>
            <w:gridSpan w:val="2"/>
            <w:shd w:val="clear" w:color="auto" w:fill="CCEEFF"/>
          </w:tcPr>
          <w:p>
            <w:pPr>
              <w:jc w:val="center"/>
              <w:ind w:right="220"/>
              <w:spacing w:after="0" w:line="173" w:lineRule="exact"/>
              <w:rPr>
                <w:sz w:val="20"/>
                <w:szCs w:val="20"/>
                <w:color w:val="auto"/>
              </w:rPr>
            </w:pPr>
            <w:r>
              <w:rPr>
                <w:rFonts w:ascii="Arial" w:cs="Arial" w:eastAsia="Arial" w:hAnsi="Arial"/>
                <w:sz w:val="18"/>
                <w:szCs w:val="18"/>
                <w:color w:val="auto"/>
                <w:w w:val="89"/>
              </w:rPr>
              <w:t>San Francisco, CA</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91"/>
              </w:rPr>
              <w:t>Mobile Access</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3"/>
          </w:tcPr>
          <w:p>
            <w:pPr>
              <w:spacing w:after="0"/>
              <w:rPr>
                <w:sz w:val="20"/>
                <w:szCs w:val="20"/>
                <w:color w:val="auto"/>
              </w:rPr>
            </w:pPr>
            <w:r>
              <w:rPr>
                <w:rFonts w:ascii="Arial" w:cs="Arial" w:eastAsia="Arial" w:hAnsi="Arial"/>
                <w:sz w:val="18"/>
                <w:szCs w:val="18"/>
                <w:color w:val="auto"/>
              </w:rPr>
              <w:t>Preferred shares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7/23/2021</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244,117</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2,501,570</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2,500,002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0"/>
        </w:trPr>
        <w:tc>
          <w:tcPr>
            <w:tcW w:w="2040" w:type="dxa"/>
            <w:vAlign w:val="bottom"/>
            <w:gridSpan w:val="13"/>
            <w:shd w:val="clear" w:color="auto" w:fill="CCEEFF"/>
          </w:tcPr>
          <w:p>
            <w:pPr>
              <w:spacing w:after="0" w:line="201" w:lineRule="exact"/>
              <w:rPr>
                <w:sz w:val="20"/>
                <w:szCs w:val="20"/>
                <w:color w:val="auto"/>
              </w:rPr>
            </w:pPr>
            <w:r>
              <w:rPr>
                <w:rFonts w:ascii="Arial" w:cs="Arial" w:eastAsia="Arial" w:hAnsi="Arial"/>
                <w:sz w:val="18"/>
                <w:szCs w:val="18"/>
                <w:color w:val="auto"/>
              </w:rPr>
              <w:t>Simple Agreement for</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501,470</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1"/>
        </w:trPr>
        <w:tc>
          <w:tcPr>
            <w:tcW w:w="20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Future Equity</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5/25/2023</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3"/>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4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3,003,040</w:t>
            </w:r>
          </w:p>
        </w:tc>
        <w:tc>
          <w:tcPr>
            <w:tcW w:w="3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3,000,002</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1.42</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4"/>
        </w:trPr>
        <w:tc>
          <w:tcPr>
            <w:tcW w:w="30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33"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180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Varo Money, Inc.</w:t>
            </w:r>
            <w:r>
              <w:rPr>
                <w:rFonts w:ascii="Arial" w:cs="Arial" w:eastAsia="Arial" w:hAnsi="Arial"/>
                <w:sz w:val="29"/>
                <w:szCs w:val="29"/>
                <w:b w:val="1"/>
                <w:bCs w:val="1"/>
                <w:color w:val="auto"/>
                <w:vertAlign w:val="superscript"/>
              </w:rPr>
              <w:t>**</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San Francisco, CA</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66"/>
        </w:trPr>
        <w:tc>
          <w:tcPr>
            <w:tcW w:w="1300" w:type="dxa"/>
            <w:vAlign w:val="bottom"/>
            <w:tcBorders>
              <w:top w:val="single" w:sz="8" w:color="auto"/>
            </w:tcBorders>
            <w:gridSpan w:val="4"/>
          </w:tcPr>
          <w:p>
            <w:pPr>
              <w:spacing w:after="0" w:line="165" w:lineRule="exact"/>
              <w:rPr>
                <w:sz w:val="20"/>
                <w:szCs w:val="20"/>
                <w:color w:val="auto"/>
              </w:rPr>
            </w:pPr>
            <w:r>
              <w:rPr>
                <w:rFonts w:ascii="Arial" w:cs="Arial" w:eastAsia="Arial" w:hAnsi="Arial"/>
                <w:sz w:val="18"/>
                <w:szCs w:val="18"/>
                <w:color w:val="auto"/>
                <w:w w:val="96"/>
              </w:rPr>
              <w:t>Common shares</w:t>
            </w:r>
          </w:p>
        </w:tc>
        <w:tc>
          <w:tcPr>
            <w:tcW w:w="500" w:type="dxa"/>
            <w:vAlign w:val="bottom"/>
            <w:tcBorders>
              <w:top w:val="single" w:sz="8" w:color="CCEEFF"/>
            </w:tcBorders>
            <w:gridSpan w:val="5"/>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jc w:val="center"/>
              <w:spacing w:after="0" w:line="165" w:lineRule="exact"/>
              <w:rPr>
                <w:sz w:val="20"/>
                <w:szCs w:val="20"/>
                <w:color w:val="auto"/>
              </w:rPr>
            </w:pPr>
            <w:r>
              <w:rPr>
                <w:rFonts w:ascii="Arial" w:cs="Arial" w:eastAsia="Arial" w:hAnsi="Arial"/>
                <w:sz w:val="18"/>
                <w:szCs w:val="18"/>
                <w:color w:val="auto"/>
                <w:w w:val="88"/>
              </w:rPr>
              <w:t>Financial Services</w:t>
            </w:r>
          </w:p>
        </w:tc>
        <w:tc>
          <w:tcPr>
            <w:tcW w:w="22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center"/>
              <w:spacing w:after="0" w:line="165" w:lineRule="exact"/>
              <w:rPr>
                <w:sz w:val="20"/>
                <w:szCs w:val="20"/>
                <w:color w:val="auto"/>
              </w:rPr>
            </w:pPr>
            <w:r>
              <w:rPr>
                <w:rFonts w:ascii="Arial" w:cs="Arial" w:eastAsia="Arial" w:hAnsi="Arial"/>
                <w:sz w:val="18"/>
                <w:szCs w:val="18"/>
                <w:color w:val="auto"/>
                <w:w w:val="87"/>
              </w:rPr>
              <w:t>8/11/2021</w:t>
            </w:r>
          </w:p>
        </w:tc>
        <w:tc>
          <w:tcPr>
            <w:tcW w:w="54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ind w:right="252"/>
              <w:spacing w:after="0" w:line="165" w:lineRule="exact"/>
              <w:rPr>
                <w:sz w:val="20"/>
                <w:szCs w:val="20"/>
                <w:color w:val="auto"/>
              </w:rPr>
            </w:pPr>
            <w:r>
              <w:rPr>
                <w:rFonts w:ascii="Arial" w:cs="Arial" w:eastAsia="Arial" w:hAnsi="Arial"/>
                <w:sz w:val="18"/>
                <w:szCs w:val="18"/>
                <w:color w:val="auto"/>
              </w:rPr>
              <w:t>1,079,266</w:t>
            </w:r>
          </w:p>
        </w:tc>
        <w:tc>
          <w:tcPr>
            <w:tcW w:w="1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jc w:val="right"/>
              <w:spacing w:after="0" w:line="165" w:lineRule="exact"/>
              <w:rPr>
                <w:sz w:val="20"/>
                <w:szCs w:val="20"/>
                <w:color w:val="auto"/>
              </w:rPr>
            </w:pPr>
            <w:r>
              <w:rPr>
                <w:rFonts w:ascii="Arial" w:cs="Arial" w:eastAsia="Arial" w:hAnsi="Arial"/>
                <w:sz w:val="18"/>
                <w:szCs w:val="18"/>
                <w:color w:val="auto"/>
              </w:rPr>
              <w:t>10,005,548</w:t>
            </w: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jc w:val="right"/>
              <w:spacing w:after="0" w:line="165" w:lineRule="exact"/>
              <w:rPr>
                <w:sz w:val="20"/>
                <w:szCs w:val="20"/>
                <w:color w:val="auto"/>
              </w:rPr>
            </w:pPr>
            <w:r>
              <w:rPr>
                <w:rFonts w:ascii="Arial" w:cs="Arial" w:eastAsia="Arial" w:hAnsi="Arial"/>
                <w:sz w:val="18"/>
                <w:szCs w:val="18"/>
                <w:color w:val="auto"/>
              </w:rPr>
              <w:t>2,975,826</w:t>
            </w:r>
          </w:p>
        </w:tc>
        <w:tc>
          <w:tcPr>
            <w:tcW w:w="3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gridSpan w:val="2"/>
          </w:tcPr>
          <w:p>
            <w:pPr>
              <w:jc w:val="right"/>
              <w:spacing w:after="0" w:line="165" w:lineRule="exact"/>
              <w:rPr>
                <w:sz w:val="20"/>
                <w:szCs w:val="20"/>
                <w:color w:val="auto"/>
              </w:rPr>
            </w:pPr>
            <w:r>
              <w:rPr>
                <w:rFonts w:ascii="Arial" w:cs="Arial" w:eastAsia="Arial" w:hAnsi="Arial"/>
                <w:sz w:val="18"/>
                <w:szCs w:val="18"/>
                <w:color w:val="auto"/>
              </w:rPr>
              <w:t>1.40%</w:t>
            </w:r>
          </w:p>
        </w:tc>
      </w:tr>
      <w:tr>
        <w:trPr>
          <w:trHeight w:val="172"/>
        </w:trPr>
        <w:tc>
          <w:tcPr>
            <w:tcW w:w="1800" w:type="dxa"/>
            <w:vAlign w:val="bottom"/>
            <w:gridSpan w:val="9"/>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Residential Homes for</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92"/>
        </w:trPr>
        <w:tc>
          <w:tcPr>
            <w:tcW w:w="1680" w:type="dxa"/>
            <w:vAlign w:val="bottom"/>
            <w:tcBorders>
              <w:top w:val="single" w:sz="8" w:color="auto"/>
            </w:tcBorders>
            <w:gridSpan w:val="8"/>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Rent, LLC (d/b/a</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2"/>
        </w:trPr>
        <w:tc>
          <w:tcPr>
            <w:tcW w:w="1300" w:type="dxa"/>
            <w:vAlign w:val="bottom"/>
            <w:tcBorders>
              <w:top w:val="single" w:sz="8" w:color="auto"/>
            </w:tcBorders>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0"/>
              </w:rPr>
              <w:t>Second Avenue)</w:t>
            </w:r>
          </w:p>
        </w:tc>
        <w:tc>
          <w:tcPr>
            <w:tcW w:w="500" w:type="dxa"/>
            <w:vAlign w:val="bottom"/>
            <w:tcBorders>
              <w:top w:val="single" w:sz="8" w:color="CCEEFF"/>
            </w:tcBorders>
            <w:gridSpan w:val="5"/>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4"/>
              </w:rPr>
              <w:t>Chicago, IL</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40"/>
        </w:trPr>
        <w:tc>
          <w:tcPr>
            <w:tcW w:w="8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201"/>
        </w:trPr>
        <w:tc>
          <w:tcPr>
            <w:tcW w:w="1800" w:type="dxa"/>
            <w:vAlign w:val="bottom"/>
            <w:gridSpan w:val="9"/>
          </w:tcPr>
          <w:p>
            <w:pPr>
              <w:spacing w:after="0" w:line="201" w:lineRule="exact"/>
              <w:rPr>
                <w:sz w:val="20"/>
                <w:szCs w:val="20"/>
                <w:color w:val="auto"/>
              </w:rPr>
            </w:pPr>
            <w:r>
              <w:rPr>
                <w:rFonts w:ascii="Arial" w:cs="Arial" w:eastAsia="Arial" w:hAnsi="Arial"/>
                <w:sz w:val="18"/>
                <w:szCs w:val="18"/>
                <w:color w:val="auto"/>
                <w:w w:val="91"/>
              </w:rPr>
              <w:t>Preferred shares, Series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2"/>
        </w:trPr>
        <w:tc>
          <w:tcPr>
            <w:tcW w:w="1800" w:type="dxa"/>
            <w:vAlign w:val="bottom"/>
            <w:gridSpan w:val="9"/>
          </w:tcPr>
          <w:p>
            <w:pPr>
              <w:spacing w:after="0" w:line="262" w:lineRule="exact"/>
              <w:rPr>
                <w:sz w:val="20"/>
                <w:szCs w:val="20"/>
                <w:color w:val="auto"/>
              </w:rPr>
            </w:pPr>
            <w:r>
              <w:rPr>
                <w:rFonts w:ascii="Arial" w:cs="Arial" w:eastAsia="Arial" w:hAnsi="Arial"/>
                <w:sz w:val="30"/>
                <w:szCs w:val="30"/>
                <w:color w:val="auto"/>
                <w:vertAlign w:val="subscript"/>
              </w:rPr>
              <w:t>A</w:t>
            </w:r>
            <w:r>
              <w:rPr>
                <w:rFonts w:ascii="Arial" w:cs="Arial" w:eastAsia="Arial" w:hAnsi="Arial"/>
                <w:sz w:val="13"/>
                <w:szCs w:val="13"/>
                <w:color w:val="auto"/>
              </w:rPr>
              <w:t>(6)</w:t>
            </w:r>
          </w:p>
        </w:tc>
        <w:tc>
          <w:tcPr>
            <w:tcW w:w="24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Real Estate Platform</w:t>
            </w:r>
          </w:p>
        </w:tc>
        <w:tc>
          <w:tcPr>
            <w:tcW w:w="148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12/23/2020</w:t>
            </w:r>
          </w:p>
        </w:tc>
        <w:tc>
          <w:tcPr>
            <w:tcW w:w="540" w:type="dxa"/>
            <w:vAlign w:val="bottom"/>
          </w:tcPr>
          <w:p>
            <w:pPr>
              <w:spacing w:after="0"/>
              <w:rPr>
                <w:sz w:val="22"/>
                <w:szCs w:val="22"/>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150,000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1,500,000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2,668,120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1.26%</w:t>
            </w:r>
          </w:p>
        </w:tc>
      </w:tr>
      <w:tr>
        <w:trPr>
          <w:trHeight w:val="201"/>
        </w:trPr>
        <w:tc>
          <w:tcPr>
            <w:tcW w:w="18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rPr>
              <w:t>Term loan 15%, Due</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9"/>
        </w:trPr>
        <w:tc>
          <w:tcPr>
            <w:tcW w:w="1380" w:type="dxa"/>
            <w:vAlign w:val="bottom"/>
            <w:tcBorders>
              <w:right w:val="single" w:sz="8" w:color="CCEEFF"/>
            </w:tcBorders>
            <w:gridSpan w:val="5"/>
            <w:shd w:val="clear" w:color="auto" w:fill="CCEEFF"/>
          </w:tcPr>
          <w:p>
            <w:pPr>
              <w:spacing w:after="0" w:line="249" w:lineRule="exact"/>
              <w:rPr>
                <w:sz w:val="20"/>
                <w:szCs w:val="20"/>
                <w:color w:val="auto"/>
              </w:rPr>
            </w:pPr>
            <w:r>
              <w:rPr>
                <w:rFonts w:ascii="Arial" w:cs="Arial" w:eastAsia="Arial" w:hAnsi="Arial"/>
                <w:sz w:val="17"/>
                <w:szCs w:val="17"/>
                <w:color w:val="auto"/>
                <w:w w:val="96"/>
              </w:rPr>
              <w:t>12/23/2023***</w:t>
            </w:r>
            <w:r>
              <w:rPr>
                <w:rFonts w:ascii="Arial" w:cs="Arial" w:eastAsia="Arial" w:hAnsi="Arial"/>
                <w:sz w:val="28"/>
                <w:szCs w:val="28"/>
                <w:color w:val="auto"/>
                <w:w w:val="96"/>
                <w:vertAlign w:val="superscript"/>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12/23/2020</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250,000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5"/>
        </w:trPr>
        <w:tc>
          <w:tcPr>
            <w:tcW w:w="1800" w:type="dxa"/>
            <w:vAlign w:val="bottom"/>
            <w:tcBorders>
              <w:top w:val="single" w:sz="8" w:color="CCEEFF"/>
              <w:bottom w:val="single" w:sz="8" w:color="CCEEFF"/>
            </w:tcBorders>
            <w:gridSpan w:val="9"/>
          </w:tcPr>
          <w:p>
            <w:pPr>
              <w:ind w:left="180"/>
              <w:spacing w:after="0" w:line="199"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tcPr>
          <w:p>
            <w:pPr>
              <w:spacing w:after="0"/>
              <w:rPr>
                <w:sz w:val="17"/>
                <w:szCs w:val="17"/>
                <w:color w:val="auto"/>
              </w:rPr>
            </w:pP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54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9" w:lineRule="exact"/>
              <w:rPr>
                <w:sz w:val="20"/>
                <w:szCs w:val="20"/>
                <w:color w:val="auto"/>
              </w:rPr>
            </w:pPr>
            <w:r>
              <w:rPr>
                <w:rFonts w:ascii="Arial" w:cs="Arial" w:eastAsia="Arial" w:hAnsi="Arial"/>
                <w:sz w:val="18"/>
                <w:szCs w:val="18"/>
                <w:color w:val="auto"/>
              </w:rPr>
              <w:t>1,750,000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9" w:lineRule="exact"/>
              <w:rPr>
                <w:sz w:val="20"/>
                <w:szCs w:val="20"/>
                <w:color w:val="auto"/>
              </w:rPr>
            </w:pPr>
            <w:r>
              <w:rPr>
                <w:rFonts w:ascii="Arial" w:cs="Arial" w:eastAsia="Arial" w:hAnsi="Arial"/>
                <w:sz w:val="18"/>
                <w:szCs w:val="18"/>
                <w:color w:val="auto"/>
              </w:rPr>
              <w:t>2,918,120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9" w:lineRule="exact"/>
              <w:rPr>
                <w:sz w:val="20"/>
                <w:szCs w:val="20"/>
                <w:color w:val="auto"/>
              </w:rPr>
            </w:pPr>
            <w:r>
              <w:rPr>
                <w:rFonts w:ascii="Arial" w:cs="Arial" w:eastAsia="Arial" w:hAnsi="Arial"/>
                <w:sz w:val="18"/>
                <w:szCs w:val="18"/>
                <w:color w:val="auto"/>
              </w:rPr>
              <w:t>1.38</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r>
      <w:tr>
        <w:trPr>
          <w:trHeight w:val="159"/>
        </w:trPr>
        <w:tc>
          <w:tcPr>
            <w:tcW w:w="1800" w:type="dxa"/>
            <w:vAlign w:val="bottom"/>
            <w:gridSpan w:val="9"/>
            <w:shd w:val="clear" w:color="auto" w:fill="CCEEFF"/>
          </w:tcPr>
          <w:p>
            <w:pPr>
              <w:spacing w:after="0" w:line="159" w:lineRule="exact"/>
              <w:rPr>
                <w:sz w:val="20"/>
                <w:szCs w:val="20"/>
                <w:color w:val="auto"/>
              </w:rPr>
            </w:pPr>
            <w:r>
              <w:rPr>
                <w:rFonts w:ascii="Arial" w:cs="Arial" w:eastAsia="Arial" w:hAnsi="Arial"/>
                <w:sz w:val="18"/>
                <w:szCs w:val="18"/>
                <w:b w:val="1"/>
                <w:bCs w:val="1"/>
                <w:color w:val="auto"/>
              </w:rPr>
              <w:t>NewLake Capital</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2"/>
        </w:trPr>
        <w:tc>
          <w:tcPr>
            <w:tcW w:w="1500" w:type="dxa"/>
            <w:vAlign w:val="bottom"/>
            <w:tcBorders>
              <w:bottom w:val="single" w:sz="8" w:color="auto"/>
            </w:tcBorders>
            <w:gridSpan w:val="7"/>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1"/>
              </w:rPr>
              <w:t>Partners, Inc. (f/k/a</w:t>
            </w:r>
          </w:p>
        </w:tc>
        <w:tc>
          <w:tcPr>
            <w:tcW w:w="30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92"/>
        </w:trPr>
        <w:tc>
          <w:tcPr>
            <w:tcW w:w="1480" w:type="dxa"/>
            <w:vAlign w:val="bottom"/>
            <w:tcBorders>
              <w:bottom w:val="single" w:sz="8" w:color="auto"/>
            </w:tcBorders>
            <w:gridSpan w:val="6"/>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7"/>
              </w:rPr>
              <w:t>GreenAcreage Real</w:t>
            </w:r>
          </w:p>
        </w:tc>
        <w:tc>
          <w:tcPr>
            <w:tcW w:w="320" w:type="dxa"/>
            <w:vAlign w:val="bottom"/>
            <w:tcBorders>
              <w:bottom w:val="single" w:sz="8" w:color="CCEEFF"/>
            </w:tcBorders>
            <w:gridSpan w:val="3"/>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92"/>
        </w:trPr>
        <w:tc>
          <w:tcPr>
            <w:tcW w:w="1800" w:type="dxa"/>
            <w:vAlign w:val="bottom"/>
            <w:gridSpan w:val="9"/>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Estate Corp.)**</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88"/>
              </w:rPr>
              <w:t>New Canaan, CT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40"/>
        </w:trPr>
        <w:tc>
          <w:tcPr>
            <w:tcW w:w="8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252"/>
        </w:trPr>
        <w:tc>
          <w:tcPr>
            <w:tcW w:w="1800" w:type="dxa"/>
            <w:vAlign w:val="bottom"/>
            <w:gridSpan w:val="9"/>
          </w:tcPr>
          <w:p>
            <w:pPr>
              <w:spacing w:after="0" w:line="252"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Cannabis REIT</w:t>
            </w:r>
          </w:p>
        </w:tc>
        <w:tc>
          <w:tcPr>
            <w:tcW w:w="14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8/12/2019</w:t>
            </w:r>
          </w:p>
        </w:tc>
        <w:tc>
          <w:tcPr>
            <w:tcW w:w="540" w:type="dxa"/>
            <w:vAlign w:val="bottom"/>
          </w:tcPr>
          <w:p>
            <w:pPr>
              <w:spacing w:after="0"/>
              <w:rPr>
                <w:sz w:val="21"/>
                <w:szCs w:val="21"/>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105,820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2,198,836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1,441,268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0.68%</w:t>
            </w:r>
          </w:p>
        </w:tc>
      </w:tr>
      <w:tr>
        <w:trPr>
          <w:trHeight w:val="172"/>
        </w:trPr>
        <w:tc>
          <w:tcPr>
            <w:tcW w:w="1800" w:type="dxa"/>
            <w:vAlign w:val="bottom"/>
            <w:gridSpan w:val="9"/>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Aventine Property</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92"/>
        </w:trPr>
        <w:tc>
          <w:tcPr>
            <w:tcW w:w="1380" w:type="dxa"/>
            <w:vAlign w:val="bottom"/>
            <w:tcBorders>
              <w:top w:val="single" w:sz="8" w:color="auto"/>
              <w:right w:val="single" w:sz="8" w:color="CCEEFF"/>
            </w:tcBorders>
            <w:gridSpan w:val="5"/>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Group, Inc.</w:t>
            </w:r>
          </w:p>
        </w:tc>
        <w:tc>
          <w:tcPr>
            <w:tcW w:w="420" w:type="dxa"/>
            <w:vAlign w:val="bottom"/>
            <w:tcBorders>
              <w:top w:val="single" w:sz="8" w:color="CCEEFF"/>
            </w:tcBorders>
            <w:gridSpan w:val="4"/>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4"/>
              </w:rPr>
              <w:t>Chicago, IL</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40"/>
        </w:trPr>
        <w:tc>
          <w:tcPr>
            <w:tcW w:w="88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223"/>
        </w:trPr>
        <w:tc>
          <w:tcPr>
            <w:tcW w:w="1800" w:type="dxa"/>
            <w:vAlign w:val="bottom"/>
            <w:gridSpan w:val="9"/>
          </w:tcPr>
          <w:p>
            <w:pPr>
              <w:spacing w:after="0"/>
              <w:rPr>
                <w:sz w:val="20"/>
                <w:szCs w:val="20"/>
                <w:color w:val="auto"/>
              </w:rPr>
            </w:pPr>
            <w:r>
              <w:rPr>
                <w:rFonts w:ascii="Arial" w:cs="Arial" w:eastAsia="Arial" w:hAnsi="Arial"/>
                <w:sz w:val="18"/>
                <w:szCs w:val="18"/>
                <w:color w:val="auto"/>
              </w:rPr>
              <w:t>Common shares***</w:t>
            </w:r>
          </w:p>
        </w:tc>
        <w:tc>
          <w:tcPr>
            <w:tcW w:w="2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Cannabis REIT</w:t>
            </w:r>
          </w:p>
        </w:tc>
        <w:tc>
          <w:tcPr>
            <w:tcW w:w="148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9/11/2019</w:t>
            </w:r>
          </w:p>
        </w:tc>
        <w:tc>
          <w:tcPr>
            <w:tcW w:w="54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312,500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2,580,750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1,157,953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-2387600</wp:posOffset>
            </wp:positionV>
            <wp:extent cx="713486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8" w:right="339" w:bottom="144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Headquarters/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of Initial</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gridSpan w:val="12"/>
          </w:tcPr>
          <w:p>
            <w:pPr>
              <w:spacing w:after="0"/>
              <w:rPr>
                <w:sz w:val="20"/>
                <w:szCs w:val="20"/>
                <w:color w:val="auto"/>
              </w:rPr>
            </w:pPr>
            <w:r>
              <w:rPr>
                <w:rFonts w:ascii="Arial" w:cs="Arial" w:eastAsia="Arial" w:hAnsi="Arial"/>
                <w:sz w:val="18"/>
                <w:szCs w:val="18"/>
                <w:b w:val="1"/>
                <w:bCs w:val="1"/>
                <w:color w:val="auto"/>
              </w:rPr>
              <w:t>Portfolio Investments*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Industry</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Investment</w:t>
            </w: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Principal</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86"/>
              </w:rPr>
              <w:t>% of Net Assets</w:t>
            </w:r>
          </w:p>
        </w:tc>
        <w:tc>
          <w:tcPr>
            <w:tcW w:w="0" w:type="dxa"/>
            <w:vAlign w:val="bottom"/>
          </w:tcPr>
          <w:p>
            <w:pPr>
              <w:spacing w:after="0"/>
              <w:rPr>
                <w:sz w:val="1"/>
                <w:szCs w:val="1"/>
                <w:color w:val="auto"/>
              </w:rPr>
            </w:pPr>
          </w:p>
        </w:tc>
      </w:tr>
      <w:tr>
        <w:trPr>
          <w:trHeight w:val="172"/>
        </w:trPr>
        <w:tc>
          <w:tcPr>
            <w:tcW w:w="1800" w:type="dxa"/>
            <w:vAlign w:val="bottom"/>
            <w:tcBorders>
              <w:top w:val="single" w:sz="8" w:color="auto"/>
              <w:bottom w:val="single" w:sz="8" w:color="auto"/>
              <w:right w:val="single" w:sz="8" w:color="CCEEFF"/>
            </w:tcBorders>
            <w:gridSpan w:val="11"/>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9"/>
              </w:rPr>
              <w:t>Commercial Streaming</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Solutions Inc. (d/b/a</w:t>
            </w: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20" w:type="dxa"/>
            <w:vAlign w:val="bottom"/>
            <w:tcBorders>
              <w:top w:val="single" w:sz="8" w:color="auto"/>
            </w:tcBorders>
            <w:gridSpan w:val="10"/>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BettorView)</w:t>
            </w:r>
            <w:r>
              <w:rPr>
                <w:rFonts w:ascii="Arial" w:cs="Arial" w:eastAsia="Arial" w:hAnsi="Arial"/>
                <w:sz w:val="26"/>
                <w:szCs w:val="26"/>
                <w:color w:val="auto"/>
                <w:vertAlign w:val="superscript"/>
              </w:rPr>
              <w:t>(7)</w:t>
            </w:r>
          </w:p>
        </w:tc>
        <w:tc>
          <w:tcPr>
            <w:tcW w:w="520" w:type="dxa"/>
            <w:vAlign w:val="bottom"/>
            <w:tcBorders>
              <w:top w:val="single" w:sz="8" w:color="CCEEFF"/>
            </w:tcBorders>
            <w:gridSpan w:val="2"/>
            <w:shd w:val="clear" w:color="auto" w:fill="CCEEFF"/>
          </w:tcPr>
          <w:p>
            <w:pPr>
              <w:spacing w:after="0"/>
              <w:rPr>
                <w:sz w:val="20"/>
                <w:szCs w:val="20"/>
                <w:color w:val="auto"/>
              </w:rPr>
            </w:pPr>
          </w:p>
        </w:tc>
        <w:tc>
          <w:tcPr>
            <w:tcW w:w="168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Las Vegas, NV</w:t>
            </w:r>
          </w:p>
        </w:tc>
        <w:tc>
          <w:tcPr>
            <w:tcW w:w="1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CCEEFF"/>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Simple Agreement for</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2"/>
              </w:rPr>
              <w:t>Interactive Media &amp;</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Future Equity</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Services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3/26/2021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1,004,240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73"/>
        </w:trPr>
        <w:tc>
          <w:tcPr>
            <w:tcW w:w="2040" w:type="dxa"/>
            <w:vAlign w:val="bottom"/>
            <w:gridSpan w:val="1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Stake Trade, Inc. (d/b/a</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40" w:type="dxa"/>
            <w:vAlign w:val="bottom"/>
            <w:tcBorders>
              <w:top w:val="single" w:sz="8" w:color="auto"/>
              <w:bottom w:val="single" w:sz="8" w:color="auto"/>
            </w:tcBorders>
            <w:gridSpan w:val="7"/>
            <w:vMerge w:val="restart"/>
            <w:shd w:val="clear" w:color="auto" w:fill="CCEEFF"/>
          </w:tcPr>
          <w:p>
            <w:pPr>
              <w:spacing w:after="0"/>
              <w:rPr>
                <w:sz w:val="20"/>
                <w:szCs w:val="20"/>
                <w:color w:val="auto"/>
              </w:rPr>
            </w:pPr>
            <w:r>
              <w:rPr>
                <w:rFonts w:ascii="Arial" w:cs="Arial" w:eastAsia="Arial" w:hAnsi="Arial"/>
                <w:sz w:val="18"/>
                <w:szCs w:val="18"/>
                <w:b w:val="1"/>
                <w:bCs w:val="1"/>
                <w:color w:val="auto"/>
                <w:w w:val="86"/>
              </w:rPr>
              <w:t>Prophet Exchange)</w:t>
            </w:r>
          </w:p>
        </w:tc>
        <w:tc>
          <w:tcPr>
            <w:tcW w:w="360" w:type="dxa"/>
            <w:vAlign w:val="bottom"/>
            <w:tcBorders>
              <w:top w:val="single" w:sz="8" w:color="auto"/>
              <w:bottom w:val="single" w:sz="8" w:color="auto"/>
              <w:right w:val="single" w:sz="8" w:color="CCEEFF"/>
            </w:tcBorders>
            <w:gridSpan w:val="4"/>
            <w:shd w:val="clear" w:color="auto" w:fill="CCEEFF"/>
          </w:tcPr>
          <w:p>
            <w:pPr>
              <w:jc w:val="right"/>
              <w:ind w:right="180"/>
              <w:spacing w:after="0" w:line="152" w:lineRule="exact"/>
              <w:rPr>
                <w:sz w:val="20"/>
                <w:szCs w:val="20"/>
                <w:color w:val="auto"/>
              </w:rPr>
            </w:pPr>
            <w:r>
              <w:rPr>
                <w:rFonts w:ascii="Arial" w:cs="Arial" w:eastAsia="Arial" w:hAnsi="Arial"/>
                <w:sz w:val="15"/>
                <w:szCs w:val="15"/>
                <w:b w:val="1"/>
                <w:bCs w:val="1"/>
                <w:color w:val="auto"/>
                <w:w w:val="87"/>
              </w:rPr>
              <w:t>(7)</w:t>
            </w:r>
          </w:p>
        </w:tc>
        <w:tc>
          <w:tcPr>
            <w:tcW w:w="24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168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440" w:type="dxa"/>
            <w:vAlign w:val="bottom"/>
            <w:tcBorders>
              <w:bottom w:val="single" w:sz="8" w:color="auto"/>
            </w:tcBorders>
            <w:gridSpan w:val="7"/>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right w:val="single" w:sz="8" w:color="CCEEFF"/>
            </w:tcBorders>
            <w:gridSpan w:val="2"/>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2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Simple Agreement for</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Future Equity</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Sports Betting</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7/26/2023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1,002,153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73"/>
        </w:trPr>
        <w:tc>
          <w:tcPr>
            <w:tcW w:w="2040" w:type="dxa"/>
            <w:vAlign w:val="bottom"/>
            <w:gridSpan w:val="1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Xgroup Holdings</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tcBorders>
              <w:top w:val="single" w:sz="8" w:color="auto"/>
              <w:bottom w:val="single" w:sz="8" w:color="auto"/>
            </w:tcBorders>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2"/>
              </w:rPr>
              <w:t>Limited (d/b/a</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40" w:type="dxa"/>
            <w:vAlign w:val="bottom"/>
            <w:gridSpan w:val="12"/>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Xpoint)**</w:t>
            </w:r>
            <w:r>
              <w:rPr>
                <w:rFonts w:ascii="Arial" w:cs="Arial" w:eastAsia="Arial" w:hAnsi="Arial"/>
                <w:sz w:val="26"/>
                <w:szCs w:val="26"/>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Dubai, UAE</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gridSpan w:val="12"/>
          </w:tcPr>
          <w:p>
            <w:pPr>
              <w:spacing w:after="0" w:line="201" w:lineRule="exact"/>
              <w:rPr>
                <w:sz w:val="20"/>
                <w:szCs w:val="20"/>
                <w:color w:val="auto"/>
              </w:rPr>
            </w:pPr>
            <w:r>
              <w:rPr>
                <w:rFonts w:ascii="Arial" w:cs="Arial" w:eastAsia="Arial" w:hAnsi="Arial"/>
                <w:sz w:val="18"/>
                <w:szCs w:val="18"/>
                <w:color w:val="auto"/>
              </w:rPr>
              <w:t>Convertible Note 6%,</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Geolocation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40" w:type="dxa"/>
            <w:vAlign w:val="bottom"/>
            <w:gridSpan w:val="12"/>
          </w:tcPr>
          <w:p>
            <w:pPr>
              <w:spacing w:after="0" w:line="262" w:lineRule="exact"/>
              <w:rPr>
                <w:sz w:val="20"/>
                <w:szCs w:val="20"/>
                <w:color w:val="auto"/>
              </w:rPr>
            </w:pPr>
            <w:r>
              <w:rPr>
                <w:rFonts w:ascii="Arial" w:cs="Arial" w:eastAsia="Arial" w:hAnsi="Arial"/>
                <w:sz w:val="18"/>
                <w:szCs w:val="18"/>
                <w:color w:val="auto"/>
              </w:rPr>
              <w:t>Due 10/17/2024</w:t>
            </w:r>
            <w:r>
              <w:rPr>
                <w:rFonts w:ascii="Arial" w:cs="Arial" w:eastAsia="Arial" w:hAnsi="Arial"/>
                <w:sz w:val="29"/>
                <w:szCs w:val="29"/>
                <w:color w:val="auto"/>
                <w:vertAlign w:val="superscript"/>
              </w:rPr>
              <w:t>(4)</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8/17/2022</w:t>
            </w:r>
          </w:p>
        </w:tc>
        <w:tc>
          <w:tcPr>
            <w:tcW w:w="22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1,010,091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72"/>
        </w:trPr>
        <w:tc>
          <w:tcPr>
            <w:tcW w:w="2040" w:type="dxa"/>
            <w:vAlign w:val="bottom"/>
            <w:gridSpan w:val="12"/>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AltC Sponsor LLC**</w:t>
            </w:r>
          </w:p>
        </w:tc>
        <w:tc>
          <w:tcPr>
            <w:tcW w:w="16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(11)(15)</w:t>
            </w: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gridSpan w:val="2"/>
            <w:vMerge w:val="continue"/>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w w:val="98"/>
              </w:rPr>
              <w:t>Common shares, Class B</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7/21/2021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214,400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224,753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724,243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5"/>
        </w:trPr>
        <w:tc>
          <w:tcPr>
            <w:tcW w:w="204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98"/>
              </w:rPr>
              <w:t>Common shares, Class A</w:t>
            </w: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7/21/2021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26,102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2"/>
          </w:tcPr>
          <w:p>
            <w:pPr>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250,855</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892,467</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0.42</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2"/>
        </w:trPr>
        <w:tc>
          <w:tcPr>
            <w:tcW w:w="2040" w:type="dxa"/>
            <w:vAlign w:val="bottom"/>
            <w:gridSpan w:val="12"/>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Skillsoft Corp.**</w:t>
            </w:r>
          </w:p>
        </w:tc>
        <w:tc>
          <w:tcPr>
            <w:tcW w:w="1680" w:type="dxa"/>
            <w:vAlign w:val="bottom"/>
            <w:gridSpan w:val="2"/>
            <w:shd w:val="clear" w:color="auto" w:fill="CCEEFF"/>
          </w:tcPr>
          <w:p>
            <w:pPr>
              <w:jc w:val="center"/>
              <w:ind w:right="220"/>
              <w:spacing w:after="0" w:line="172" w:lineRule="exact"/>
              <w:rPr>
                <w:sz w:val="20"/>
                <w:szCs w:val="20"/>
                <w:color w:val="auto"/>
              </w:rPr>
            </w:pPr>
            <w:r>
              <w:rPr>
                <w:rFonts w:ascii="Arial" w:cs="Arial" w:eastAsia="Arial" w:hAnsi="Arial"/>
                <w:sz w:val="18"/>
                <w:szCs w:val="18"/>
                <w:color w:val="auto"/>
                <w:w w:val="87"/>
              </w:rPr>
              <w:t>Nashua, NH</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40" w:type="dxa"/>
            <w:vAlign w:val="bottom"/>
            <w:gridSpan w:val="12"/>
          </w:tcPr>
          <w:p>
            <w:pPr>
              <w:spacing w:after="0" w:line="252"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Online Education</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6/8/2021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981,843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9,818,430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873,840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72"/>
        </w:trPr>
        <w:tc>
          <w:tcPr>
            <w:tcW w:w="1380" w:type="dxa"/>
            <w:vAlign w:val="bottom"/>
            <w:tcBorders>
              <w:bottom w:val="single" w:sz="8" w:color="auto"/>
            </w:tcBorders>
            <w:gridSpan w:val="6"/>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0"/>
              </w:rPr>
              <w:t>Rebric, Inc. (d/b/a</w:t>
            </w:r>
          </w:p>
        </w:tc>
        <w:tc>
          <w:tcPr>
            <w:tcW w:w="660" w:type="dxa"/>
            <w:vAlign w:val="bottom"/>
            <w:tcBorders>
              <w:bottom w:val="single" w:sz="8" w:color="CCEEFF"/>
            </w:tcBorders>
            <w:gridSpan w:val="6"/>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40" w:type="dxa"/>
            <w:vAlign w:val="bottom"/>
            <w:gridSpan w:val="12"/>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Compliable)</w:t>
            </w:r>
            <w:r>
              <w:rPr>
                <w:rFonts w:ascii="Arial" w:cs="Arial" w:eastAsia="Arial" w:hAnsi="Arial"/>
                <w:sz w:val="26"/>
                <w:szCs w:val="26"/>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Denver, CO</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Seed-4</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Gaming Licensing</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10/12/2021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2,406,492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1,002,755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799,323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3"/>
        </w:trPr>
        <w:tc>
          <w:tcPr>
            <w:tcW w:w="2040" w:type="dxa"/>
            <w:vAlign w:val="bottom"/>
            <w:gridSpan w:val="12"/>
            <w:shd w:val="clear" w:color="auto" w:fill="CCEEFF"/>
          </w:tcPr>
          <w:p>
            <w:pPr>
              <w:spacing w:after="0" w:line="212" w:lineRule="exact"/>
              <w:rPr>
                <w:sz w:val="20"/>
                <w:szCs w:val="20"/>
                <w:color w:val="auto"/>
              </w:rPr>
            </w:pPr>
            <w:r>
              <w:rPr>
                <w:rFonts w:ascii="Arial" w:cs="Arial" w:eastAsia="Arial" w:hAnsi="Arial"/>
                <w:sz w:val="15"/>
                <w:szCs w:val="15"/>
                <w:b w:val="1"/>
                <w:bCs w:val="1"/>
                <w:color w:val="auto"/>
              </w:rPr>
              <w:t>EDGE Markets, Inc.</w:t>
            </w:r>
            <w:r>
              <w:rPr>
                <w:rFonts w:ascii="Arial" w:cs="Arial" w:eastAsia="Arial" w:hAnsi="Arial"/>
                <w:sz w:val="24"/>
                <w:szCs w:val="24"/>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San Diego, CA</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80" w:type="dxa"/>
            <w:vAlign w:val="bottom"/>
            <w:tcBorders>
              <w:right w:val="single" w:sz="8" w:color="auto"/>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Seed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Gaming 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5/18/2022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456,704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501,330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gridSpan w:val="8"/>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7"/>
              </w:rPr>
              <w:t>Nextdoor Holdings,</w:t>
            </w:r>
          </w:p>
        </w:tc>
        <w:tc>
          <w:tcPr>
            <w:tcW w:w="560" w:type="dxa"/>
            <w:vAlign w:val="bottom"/>
            <w:tcBorders>
              <w:bottom w:val="single" w:sz="8" w:color="CCEEFF"/>
            </w:tcBorders>
            <w:gridSpan w:val="4"/>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40" w:type="dxa"/>
            <w:vAlign w:val="bottom"/>
            <w:gridSpan w:val="1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w:t>
            </w:r>
          </w:p>
        </w:tc>
        <w:tc>
          <w:tcPr>
            <w:tcW w:w="1680" w:type="dxa"/>
            <w:vAlign w:val="bottom"/>
            <w:gridSpan w:val="2"/>
            <w:shd w:val="clear" w:color="auto" w:fill="CCEEFF"/>
          </w:tcPr>
          <w:p>
            <w:pPr>
              <w:jc w:val="center"/>
              <w:ind w:right="220"/>
              <w:spacing w:after="0" w:line="192" w:lineRule="exact"/>
              <w:rPr>
                <w:sz w:val="20"/>
                <w:szCs w:val="20"/>
                <w:color w:val="auto"/>
              </w:rPr>
            </w:pPr>
            <w:r>
              <w:rPr>
                <w:rFonts w:ascii="Arial" w:cs="Arial" w:eastAsia="Arial" w:hAnsi="Arial"/>
                <w:sz w:val="18"/>
                <w:szCs w:val="18"/>
                <w:color w:val="auto"/>
                <w:w w:val="89"/>
              </w:rPr>
              <w:t>San Francisco, CA</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CCEEFF"/>
            </w:tcBorders>
            <w:shd w:val="clear" w:color="auto" w:fill="000000"/>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gridSpan w:val="12"/>
          </w:tcPr>
          <w:p>
            <w:pPr>
              <w:spacing w:after="0" w:line="201" w:lineRule="exact"/>
              <w:rPr>
                <w:sz w:val="20"/>
                <w:szCs w:val="20"/>
                <w:color w:val="auto"/>
              </w:rPr>
            </w:pPr>
            <w:r>
              <w:rPr>
                <w:rFonts w:ascii="Arial" w:cs="Arial" w:eastAsia="Arial" w:hAnsi="Arial"/>
                <w:sz w:val="18"/>
                <w:szCs w:val="18"/>
                <w:color w:val="auto"/>
              </w:rPr>
              <w:t>Common shares, Class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40" w:type="dxa"/>
            <w:vAlign w:val="bottom"/>
            <w:gridSpan w:val="12"/>
          </w:tcPr>
          <w:p>
            <w:pPr>
              <w:spacing w:after="0" w:line="262" w:lineRule="exact"/>
              <w:rPr>
                <w:sz w:val="20"/>
                <w:szCs w:val="20"/>
                <w:color w:val="auto"/>
              </w:rPr>
            </w:pPr>
            <w:r>
              <w:rPr>
                <w:rFonts w:ascii="Arial" w:cs="Arial" w:eastAsia="Arial" w:hAnsi="Arial"/>
                <w:sz w:val="30"/>
                <w:szCs w:val="30"/>
                <w:color w:val="auto"/>
                <w:vertAlign w:val="subscript"/>
              </w:rPr>
              <w:t>B</w:t>
            </w:r>
            <w:r>
              <w:rPr>
                <w:rFonts w:ascii="Arial" w:cs="Arial" w:eastAsia="Arial" w:hAnsi="Arial"/>
                <w:sz w:val="13"/>
                <w:szCs w:val="13"/>
                <w:color w:val="auto"/>
              </w:rPr>
              <w:t>(3)</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Social Networking</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9/27/2018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262,420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1,462,357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477,604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72"/>
        </w:trPr>
        <w:tc>
          <w:tcPr>
            <w:tcW w:w="2040" w:type="dxa"/>
            <w:vAlign w:val="bottom"/>
            <w:gridSpan w:val="12"/>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Churchill Sponsor VII</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800" w:type="dxa"/>
            <w:vAlign w:val="bottom"/>
            <w:tcBorders>
              <w:top w:val="single" w:sz="8" w:color="auto"/>
              <w:right w:val="single" w:sz="8" w:color="CCEEFF"/>
            </w:tcBorders>
            <w:gridSpan w:val="11"/>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LLC**</w:t>
            </w:r>
            <w:r>
              <w:rPr>
                <w:rFonts w:ascii="Arial" w:cs="Arial" w:eastAsia="Arial" w:hAnsi="Arial"/>
                <w:sz w:val="26"/>
                <w:szCs w:val="26"/>
                <w:color w:val="auto"/>
                <w:vertAlign w:val="superscript"/>
              </w:rPr>
              <w:t>(11)</w:t>
            </w:r>
          </w:p>
        </w:tc>
        <w:tc>
          <w:tcPr>
            <w:tcW w:w="24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292,100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205,820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356,332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3"/>
        </w:trPr>
        <w:tc>
          <w:tcPr>
            <w:tcW w:w="20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Warrant units</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94,180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2"/>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387,216</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0.18</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9"/>
        </w:trPr>
        <w:tc>
          <w:tcPr>
            <w:tcW w:w="1800" w:type="dxa"/>
            <w:vAlign w:val="bottom"/>
            <w:tcBorders>
              <w:bottom w:val="single" w:sz="8" w:color="auto"/>
              <w:right w:val="single" w:sz="8" w:color="CCEEFF"/>
            </w:tcBorders>
            <w:gridSpan w:val="11"/>
            <w:shd w:val="clear" w:color="auto" w:fill="CCEEFF"/>
          </w:tcPr>
          <w:p>
            <w:pPr>
              <w:spacing w:after="0" w:line="159" w:lineRule="exact"/>
              <w:rPr>
                <w:sz w:val="20"/>
                <w:szCs w:val="20"/>
                <w:color w:val="auto"/>
              </w:rPr>
            </w:pPr>
            <w:r>
              <w:rPr>
                <w:rFonts w:ascii="Arial" w:cs="Arial" w:eastAsia="Arial" w:hAnsi="Arial"/>
                <w:sz w:val="18"/>
                <w:szCs w:val="18"/>
                <w:b w:val="1"/>
                <w:bCs w:val="1"/>
                <w:color w:val="auto"/>
                <w:w w:val="98"/>
              </w:rPr>
              <w:t>Churchill Sponsor VI</w:t>
            </w:r>
          </w:p>
        </w:tc>
        <w:tc>
          <w:tcPr>
            <w:tcW w:w="2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40" w:type="dxa"/>
            <w:vAlign w:val="bottom"/>
            <w:gridSpan w:val="12"/>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LLC**</w:t>
            </w:r>
            <w:r>
              <w:rPr>
                <w:rFonts w:ascii="Arial" w:cs="Arial" w:eastAsia="Arial" w:hAnsi="Arial"/>
                <w:sz w:val="26"/>
                <w:szCs w:val="26"/>
                <w:color w:val="auto"/>
                <w:vertAlign w:val="superscript"/>
              </w:rPr>
              <w:t>(11)</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195,000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134,297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134,297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3"/>
        </w:trPr>
        <w:tc>
          <w:tcPr>
            <w:tcW w:w="20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Warrant units</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65,703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2"/>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0.09</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9"/>
        </w:trPr>
        <w:tc>
          <w:tcPr>
            <w:tcW w:w="1500" w:type="dxa"/>
            <w:vAlign w:val="bottom"/>
            <w:tcBorders>
              <w:bottom w:val="single" w:sz="8" w:color="auto"/>
            </w:tcBorders>
            <w:gridSpan w:val="9"/>
            <w:shd w:val="clear" w:color="auto" w:fill="CCEEFF"/>
          </w:tcPr>
          <w:p>
            <w:pPr>
              <w:spacing w:after="0" w:line="159" w:lineRule="exact"/>
              <w:rPr>
                <w:sz w:val="20"/>
                <w:szCs w:val="20"/>
                <w:color w:val="auto"/>
              </w:rPr>
            </w:pPr>
            <w:r>
              <w:rPr>
                <w:rFonts w:ascii="Arial" w:cs="Arial" w:eastAsia="Arial" w:hAnsi="Arial"/>
                <w:sz w:val="18"/>
                <w:szCs w:val="18"/>
                <w:b w:val="1"/>
                <w:bCs w:val="1"/>
                <w:color w:val="auto"/>
                <w:w w:val="85"/>
              </w:rPr>
              <w:t>YouBet Technology,</w:t>
            </w:r>
          </w:p>
        </w:tc>
        <w:tc>
          <w:tcPr>
            <w:tcW w:w="540" w:type="dxa"/>
            <w:vAlign w:val="bottom"/>
            <w:tcBorders>
              <w:bottom w:val="single" w:sz="8" w:color="CCEEFF"/>
            </w:tcBorders>
            <w:gridSpan w:val="3"/>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40" w:type="dxa"/>
            <w:vAlign w:val="bottom"/>
            <w:gridSpan w:val="1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 (d/b/a FanPower)</w:t>
            </w:r>
          </w:p>
        </w:tc>
        <w:tc>
          <w:tcPr>
            <w:tcW w:w="16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(7)</w:t>
            </w:r>
          </w:p>
        </w:tc>
        <w:tc>
          <w:tcPr>
            <w:tcW w:w="400" w:type="dxa"/>
            <w:vAlign w:val="bottom"/>
            <w:tcBorders>
              <w:top w:val="single" w:sz="8" w:color="auto"/>
              <w:right w:val="single" w:sz="8" w:color="CCEEFF"/>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right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gridSpan w:val="2"/>
            <w:vMerge w:val="continue"/>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Preferred shares, Series</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4"/>
              </w:rPr>
              <w:t>Digital Media</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Seed-2</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8/26/2021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578,029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752,943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187,500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3"/>
        </w:trPr>
        <w:tc>
          <w:tcPr>
            <w:tcW w:w="2040" w:type="dxa"/>
            <w:vAlign w:val="bottom"/>
            <w:gridSpan w:val="1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Kinetiq Holdings, LLC</w:t>
            </w:r>
          </w:p>
        </w:tc>
        <w:tc>
          <w:tcPr>
            <w:tcW w:w="1680" w:type="dxa"/>
            <w:vAlign w:val="bottom"/>
            <w:gridSpan w:val="2"/>
            <w:shd w:val="clear" w:color="auto" w:fill="CCEEFF"/>
          </w:tcPr>
          <w:p>
            <w:pPr>
              <w:jc w:val="center"/>
              <w:ind w:right="220"/>
              <w:spacing w:after="0" w:line="173" w:lineRule="exact"/>
              <w:rPr>
                <w:sz w:val="20"/>
                <w:szCs w:val="20"/>
                <w:color w:val="auto"/>
              </w:rPr>
            </w:pPr>
            <w:r>
              <w:rPr>
                <w:rFonts w:ascii="Arial" w:cs="Arial" w:eastAsia="Arial" w:hAnsi="Arial"/>
                <w:sz w:val="18"/>
                <w:szCs w:val="18"/>
                <w:color w:val="auto"/>
                <w:w w:val="89"/>
              </w:rPr>
              <w:t>Philadelphia, PA</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89"/>
              </w:rPr>
              <w:t>Social Data</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w w:val="98"/>
              </w:rPr>
              <w:t>Common shares, Class A</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Platform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3/30/2012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112,374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27,232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0"/>
        </w:trPr>
        <w:tc>
          <w:tcPr>
            <w:tcW w:w="2040" w:type="dxa"/>
            <w:vAlign w:val="bottom"/>
            <w:gridSpan w:val="12"/>
            <w:vMerge w:val="restart"/>
            <w:shd w:val="clear" w:color="auto" w:fill="CCEEFF"/>
          </w:tcPr>
          <w:p>
            <w:pPr>
              <w:spacing w:after="0"/>
              <w:rPr>
                <w:sz w:val="20"/>
                <w:szCs w:val="20"/>
                <w:color w:val="auto"/>
              </w:rPr>
            </w:pPr>
            <w:r>
              <w:rPr>
                <w:rFonts w:ascii="Arial" w:cs="Arial" w:eastAsia="Arial" w:hAnsi="Arial"/>
                <w:sz w:val="18"/>
                <w:szCs w:val="18"/>
                <w:b w:val="1"/>
                <w:bCs w:val="1"/>
                <w:color w:val="auto"/>
              </w:rPr>
              <w:t>Trax Ltd.**</w:t>
            </w:r>
          </w:p>
        </w:tc>
        <w:tc>
          <w:tcPr>
            <w:tcW w:w="16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7"/>
              </w:rPr>
              <w:t>Singapore,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40" w:type="dxa"/>
            <w:vAlign w:val="bottom"/>
            <w:gridSpan w:val="12"/>
            <w:vMerge w:val="continue"/>
            <w:shd w:val="clear" w:color="auto" w:fill="CCEEFF"/>
          </w:tcPr>
          <w:p>
            <w:pPr>
              <w:spacing w:after="0"/>
              <w:rPr>
                <w:sz w:val="16"/>
                <w:szCs w:val="16"/>
                <w:color w:val="auto"/>
              </w:rPr>
            </w:pPr>
          </w:p>
        </w:tc>
        <w:tc>
          <w:tcPr>
            <w:tcW w:w="1680" w:type="dxa"/>
            <w:vAlign w:val="bottom"/>
            <w:gridSpan w:val="2"/>
            <w:shd w:val="clear" w:color="auto" w:fill="CCEEFF"/>
          </w:tcPr>
          <w:p>
            <w:pPr>
              <w:jc w:val="center"/>
              <w:ind w:right="220"/>
              <w:spacing w:after="0" w:line="185" w:lineRule="exact"/>
              <w:rPr>
                <w:sz w:val="20"/>
                <w:szCs w:val="20"/>
                <w:color w:val="auto"/>
              </w:rPr>
            </w:pPr>
            <w:r>
              <w:rPr>
                <w:rFonts w:ascii="Arial" w:cs="Arial" w:eastAsia="Arial" w:hAnsi="Arial"/>
                <w:sz w:val="18"/>
                <w:szCs w:val="18"/>
                <w:color w:val="auto"/>
                <w:w w:val="85"/>
              </w:rPr>
              <w:t>Singapore</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400" w:type="dxa"/>
            <w:vAlign w:val="bottom"/>
            <w:tcBorders>
              <w:right w:val="single" w:sz="8" w:color="CCEEFF"/>
            </w:tcBorders>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40" w:type="dxa"/>
            <w:vAlign w:val="bottom"/>
            <w:gridSpan w:val="12"/>
          </w:tcPr>
          <w:p>
            <w:pPr>
              <w:spacing w:after="0"/>
              <w:rPr>
                <w:sz w:val="20"/>
                <w:szCs w:val="20"/>
                <w:color w:val="auto"/>
              </w:rPr>
            </w:pPr>
            <w:r>
              <w:rPr>
                <w:rFonts w:ascii="Arial" w:cs="Arial" w:eastAsia="Arial" w:hAnsi="Arial"/>
                <w:sz w:val="18"/>
                <w:szCs w:val="18"/>
                <w:color w:val="auto"/>
              </w:rPr>
              <w:t>Common shares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Retail 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6/9/2021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55,591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2,781,148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40" w:type="dxa"/>
            <w:vAlign w:val="bottom"/>
            <w:gridSpan w:val="12"/>
            <w:shd w:val="clear" w:color="auto" w:fill="CCEEFF"/>
          </w:tcPr>
          <w:p>
            <w:pPr>
              <w:spacing w:after="0" w:line="200" w:lineRule="exact"/>
              <w:rPr>
                <w:sz w:val="20"/>
                <w:szCs w:val="20"/>
                <w:color w:val="auto"/>
              </w:rPr>
            </w:pPr>
            <w:r>
              <w:rPr>
                <w:rFonts w:ascii="Arial" w:cs="Arial" w:eastAsia="Arial" w:hAnsi="Arial"/>
                <w:sz w:val="18"/>
                <w:szCs w:val="18"/>
                <w:color w:val="auto"/>
              </w:rPr>
              <w:t>Preferred shares,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Investec Series</w:t>
            </w:r>
          </w:p>
        </w:tc>
        <w:tc>
          <w:tcPr>
            <w:tcW w:w="1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6/9/2021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144,409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7,224,600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2"/>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10,005,748</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9"/>
        </w:trPr>
        <w:tc>
          <w:tcPr>
            <w:tcW w:w="1800" w:type="dxa"/>
            <w:vAlign w:val="bottom"/>
            <w:tcBorders>
              <w:bottom w:val="single" w:sz="8" w:color="auto"/>
              <w:right w:val="single" w:sz="8" w:color="CCEEFF"/>
            </w:tcBorders>
            <w:gridSpan w:val="11"/>
            <w:shd w:val="clear" w:color="auto" w:fill="CCEEFF"/>
          </w:tcPr>
          <w:p>
            <w:pPr>
              <w:spacing w:after="0" w:line="159" w:lineRule="exact"/>
              <w:rPr>
                <w:sz w:val="20"/>
                <w:szCs w:val="20"/>
                <w:color w:val="auto"/>
              </w:rPr>
            </w:pPr>
            <w:r>
              <w:rPr>
                <w:rFonts w:ascii="Arial" w:cs="Arial" w:eastAsia="Arial" w:hAnsi="Arial"/>
                <w:sz w:val="18"/>
                <w:szCs w:val="18"/>
                <w:b w:val="1"/>
                <w:bCs w:val="1"/>
                <w:color w:val="auto"/>
              </w:rPr>
              <w:t>Aspiration Partners,</w:t>
            </w:r>
          </w:p>
        </w:tc>
        <w:tc>
          <w:tcPr>
            <w:tcW w:w="2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0" w:type="dxa"/>
            <w:vAlign w:val="bottom"/>
            <w:tcBorders>
              <w:bottom w:val="single" w:sz="8" w:color="auto"/>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w:t>
            </w:r>
          </w:p>
        </w:tc>
        <w:tc>
          <w:tcPr>
            <w:tcW w:w="1680" w:type="dxa"/>
            <w:vAlign w:val="bottom"/>
            <w:tcBorders>
              <w:bottom w:val="single" w:sz="8" w:color="CCEEFF"/>
            </w:tcBorders>
            <w:gridSpan w:val="11"/>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center"/>
              <w:ind w:right="220"/>
              <w:spacing w:after="0" w:line="192" w:lineRule="exact"/>
              <w:rPr>
                <w:sz w:val="20"/>
                <w:szCs w:val="20"/>
                <w:color w:val="auto"/>
              </w:rPr>
            </w:pPr>
            <w:r>
              <w:rPr>
                <w:rFonts w:ascii="Arial" w:cs="Arial" w:eastAsia="Arial" w:hAnsi="Arial"/>
                <w:sz w:val="18"/>
                <w:szCs w:val="18"/>
                <w:color w:val="auto"/>
                <w:w w:val="91"/>
              </w:rPr>
              <w:t>Marina Del Rey, CA</w:t>
            </w:r>
          </w:p>
        </w:tc>
        <w:tc>
          <w:tcPr>
            <w:tcW w:w="1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40" w:type="dxa"/>
            <w:vAlign w:val="bottom"/>
            <w:gridSpan w:val="12"/>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2"/>
          </w:tcPr>
          <w:p>
            <w:pPr>
              <w:spacing w:after="0"/>
              <w:rPr>
                <w:sz w:val="20"/>
                <w:szCs w:val="20"/>
                <w:color w:val="auto"/>
              </w:rPr>
            </w:pPr>
            <w:r>
              <w:rPr>
                <w:rFonts w:ascii="Arial" w:cs="Arial" w:eastAsia="Arial" w:hAnsi="Arial"/>
                <w:sz w:val="18"/>
                <w:szCs w:val="18"/>
                <w:color w:val="auto"/>
              </w:rPr>
              <w:t>A</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Financial Services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8/11/2015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540,270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1,001,815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36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33" w:right="339" w:bottom="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421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8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Preferred shares, Series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8/12/2019</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24,912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281,190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1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C-3</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9"/>
        </w:trPr>
        <w:tc>
          <w:tcPr>
            <w:tcW w:w="1800" w:type="dxa"/>
            <w:vAlign w:val="bottom"/>
            <w:gridSpan w:val="4"/>
          </w:tcPr>
          <w:p>
            <w:pPr>
              <w:ind w:left="180"/>
              <w:spacing w:after="0" w:line="152" w:lineRule="exact"/>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Pr>
          <w:p>
            <w:pPr>
              <w:jc w:val="right"/>
              <w:spacing w:after="0" w:line="152" w:lineRule="exact"/>
              <w:rPr>
                <w:sz w:val="20"/>
                <w:szCs w:val="20"/>
                <w:color w:val="auto"/>
              </w:rPr>
            </w:pPr>
            <w:r>
              <w:rPr>
                <w:rFonts w:ascii="Arial" w:cs="Arial" w:eastAsia="Arial" w:hAnsi="Arial"/>
                <w:sz w:val="17"/>
                <w:szCs w:val="17"/>
                <w:color w:val="auto"/>
              </w:rPr>
              <w:t>1,283,005</w:t>
            </w: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Pr>
          <w:p>
            <w:pPr>
              <w:ind w:left="920"/>
              <w:spacing w:after="0" w:line="152" w:lineRule="exact"/>
              <w:rPr>
                <w:sz w:val="20"/>
                <w:szCs w:val="20"/>
                <w:color w:val="auto"/>
              </w:rPr>
            </w:pPr>
            <w:r>
              <w:rPr>
                <w:rFonts w:ascii="Arial" w:cs="Arial" w:eastAsia="Arial" w:hAnsi="Arial"/>
                <w:sz w:val="17"/>
                <w:szCs w:val="17"/>
                <w:color w:val="auto"/>
                <w:w w:val="93"/>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Pr>
          <w:p>
            <w:pPr>
              <w:ind w:left="940"/>
              <w:spacing w:after="0" w:line="152" w:lineRule="exact"/>
              <w:rPr>
                <w:sz w:val="20"/>
                <w:szCs w:val="20"/>
                <w:color w:val="auto"/>
              </w:rPr>
            </w:pPr>
            <w:r>
              <w:rPr>
                <w:rFonts w:ascii="Arial" w:cs="Arial" w:eastAsia="Arial" w:hAnsi="Arial"/>
                <w:sz w:val="17"/>
                <w:szCs w:val="17"/>
                <w:color w:val="auto"/>
                <w:w w:val="93"/>
              </w:rPr>
              <w:t>—</w:t>
            </w:r>
          </w:p>
        </w:tc>
        <w:tc>
          <w:tcPr>
            <w:tcW w:w="160" w:type="dxa"/>
            <w:vAlign w:val="bottom"/>
          </w:tcPr>
          <w:p>
            <w:pPr>
              <w:jc w:val="right"/>
              <w:spacing w:after="0" w:line="152" w:lineRule="exact"/>
              <w:rPr>
                <w:sz w:val="20"/>
                <w:szCs w:val="20"/>
                <w:color w:val="auto"/>
              </w:rPr>
            </w:pPr>
            <w:r>
              <w:rPr>
                <w:rFonts w:ascii="Arial" w:cs="Arial" w:eastAsia="Arial" w:hAnsi="Arial"/>
                <w:sz w:val="17"/>
                <w:szCs w:val="17"/>
                <w:color w:val="auto"/>
                <w:w w:val="92"/>
              </w:rPr>
              <w:t>%</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58"/>
        </w:trPr>
        <w:tc>
          <w:tcPr>
            <w:tcW w:w="1800" w:type="dxa"/>
            <w:vAlign w:val="bottom"/>
            <w:gridSpan w:val="4"/>
            <w:shd w:val="clear" w:color="auto" w:fill="CCEEFF"/>
          </w:tcPr>
          <w:p>
            <w:pPr>
              <w:spacing w:after="0" w:line="158" w:lineRule="exact"/>
              <w:rPr>
                <w:sz w:val="20"/>
                <w:szCs w:val="20"/>
                <w:color w:val="auto"/>
              </w:rPr>
            </w:pPr>
            <w:r>
              <w:rPr>
                <w:rFonts w:ascii="Arial" w:cs="Arial" w:eastAsia="Arial" w:hAnsi="Arial"/>
                <w:sz w:val="18"/>
                <w:szCs w:val="18"/>
                <w:b w:val="1"/>
                <w:bCs w:val="1"/>
                <w:color w:val="auto"/>
                <w:w w:val="92"/>
              </w:rPr>
              <w:t>Neutron Holdings, Inc.</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12"/>
        </w:trPr>
        <w:tc>
          <w:tcPr>
            <w:tcW w:w="100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2"/>
              </w:rPr>
              <w:t>(d/b/a/ Lime)</w:t>
            </w:r>
          </w:p>
        </w:tc>
        <w:tc>
          <w:tcPr>
            <w:tcW w:w="72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89"/>
              </w:rPr>
              <w:t>San Francisco, CA</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0"/>
        </w:trPr>
        <w:tc>
          <w:tcPr>
            <w:tcW w:w="1800" w:type="dxa"/>
            <w:vAlign w:val="bottom"/>
            <w:gridSpan w:val="4"/>
          </w:tcPr>
          <w:p>
            <w:pPr>
              <w:spacing w:after="0" w:line="200" w:lineRule="exact"/>
              <w:rPr>
                <w:sz w:val="20"/>
                <w:szCs w:val="20"/>
                <w:color w:val="auto"/>
              </w:rPr>
            </w:pPr>
            <w:r>
              <w:rPr>
                <w:rFonts w:ascii="Arial" w:cs="Arial" w:eastAsia="Arial" w:hAnsi="Arial"/>
                <w:sz w:val="18"/>
                <w:szCs w:val="18"/>
                <w:color w:val="auto"/>
                <w:w w:val="92"/>
              </w:rPr>
              <w:t>Junior Preferred shares,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1800" w:type="dxa"/>
            <w:vAlign w:val="bottom"/>
            <w:gridSpan w:val="4"/>
          </w:tcPr>
          <w:p>
            <w:pPr>
              <w:spacing w:after="0"/>
              <w:rPr>
                <w:sz w:val="20"/>
                <w:szCs w:val="20"/>
                <w:color w:val="auto"/>
              </w:rPr>
            </w:pPr>
            <w:r>
              <w:rPr>
                <w:rFonts w:ascii="Arial" w:cs="Arial" w:eastAsia="Arial" w:hAnsi="Arial"/>
                <w:sz w:val="18"/>
                <w:szCs w:val="18"/>
                <w:color w:val="auto"/>
              </w:rPr>
              <w:t>Series 1-D</w:t>
            </w:r>
          </w:p>
        </w:tc>
        <w:tc>
          <w:tcPr>
            <w:tcW w:w="2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Micromobility</w:t>
            </w:r>
          </w:p>
        </w:tc>
        <w:tc>
          <w:tcPr>
            <w:tcW w:w="146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1/25/2019</w:t>
            </w:r>
          </w:p>
        </w:tc>
        <w:tc>
          <w:tcPr>
            <w:tcW w:w="52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41,237,113</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10,007,322</w:t>
            </w:r>
          </w:p>
        </w:tc>
        <w:tc>
          <w:tcPr>
            <w:tcW w:w="120" w:type="dxa"/>
            <w:vAlign w:val="bottom"/>
          </w:tcPr>
          <w:p>
            <w:pPr>
              <w:spacing w:after="0"/>
              <w:rPr>
                <w:sz w:val="19"/>
                <w:szCs w:val="19"/>
                <w:color w:val="auto"/>
              </w:rPr>
            </w:pP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18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Junior Preferred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1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Note 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2"/>
        </w:trPr>
        <w:tc>
          <w:tcPr>
            <w:tcW w:w="1800" w:type="dxa"/>
            <w:vAlign w:val="bottom"/>
            <w:gridSpan w:val="4"/>
            <w:shd w:val="clear" w:color="auto" w:fill="CCEEFF"/>
          </w:tcPr>
          <w:p>
            <w:pPr>
              <w:spacing w:after="0" w:line="262" w:lineRule="exact"/>
              <w:rPr>
                <w:sz w:val="20"/>
                <w:szCs w:val="20"/>
                <w:color w:val="auto"/>
              </w:rPr>
            </w:pPr>
            <w:r>
              <w:rPr>
                <w:rFonts w:ascii="Arial" w:cs="Arial" w:eastAsia="Arial" w:hAnsi="Arial"/>
                <w:sz w:val="18"/>
                <w:szCs w:val="18"/>
                <w:color w:val="auto"/>
              </w:rPr>
              <w:t>Due 5/11/2027</w:t>
            </w:r>
            <w:r>
              <w:rPr>
                <w:rFonts w:ascii="Arial" w:cs="Arial" w:eastAsia="Arial" w:hAnsi="Arial"/>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5/11/2020</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506,339</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506,339</w:t>
            </w:r>
          </w:p>
        </w:tc>
        <w:tc>
          <w:tcPr>
            <w:tcW w:w="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1800" w:type="dxa"/>
            <w:vAlign w:val="bottom"/>
            <w:gridSpan w:val="4"/>
          </w:tcPr>
          <w:p>
            <w:pPr>
              <w:spacing w:after="0" w:line="200" w:lineRule="exact"/>
              <w:rPr>
                <w:sz w:val="20"/>
                <w:szCs w:val="20"/>
                <w:color w:val="auto"/>
              </w:rPr>
            </w:pPr>
            <w:r>
              <w:rPr>
                <w:rFonts w:ascii="Arial" w:cs="Arial" w:eastAsia="Arial" w:hAnsi="Arial"/>
                <w:sz w:val="18"/>
                <w:szCs w:val="18"/>
                <w:color w:val="auto"/>
              </w:rPr>
              <w:t>Common Warrants,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1800" w:type="dxa"/>
            <w:vAlign w:val="bottom"/>
            <w:gridSpan w:val="4"/>
          </w:tcPr>
          <w:p>
            <w:pPr>
              <w:spacing w:after="0"/>
              <w:rPr>
                <w:sz w:val="20"/>
                <w:szCs w:val="20"/>
                <w:color w:val="auto"/>
              </w:rPr>
            </w:pPr>
            <w:r>
              <w:rPr>
                <w:rFonts w:ascii="Arial" w:cs="Arial" w:eastAsia="Arial" w:hAnsi="Arial"/>
                <w:sz w:val="18"/>
                <w:szCs w:val="18"/>
                <w:color w:val="auto"/>
              </w:rPr>
              <w:t>Strike Price $0.01,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1800" w:type="dxa"/>
            <w:vAlign w:val="bottom"/>
            <w:gridSpan w:val="4"/>
          </w:tcPr>
          <w:p>
            <w:pPr>
              <w:spacing w:after="0"/>
              <w:rPr>
                <w:sz w:val="20"/>
                <w:szCs w:val="20"/>
                <w:color w:val="auto"/>
              </w:rPr>
            </w:pPr>
            <w:r>
              <w:rPr>
                <w:rFonts w:ascii="Arial" w:cs="Arial" w:eastAsia="Arial" w:hAnsi="Arial"/>
                <w:sz w:val="18"/>
                <w:szCs w:val="18"/>
                <w:color w:val="auto"/>
              </w:rPr>
              <w:t>Expiration Date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4"/>
        </w:trPr>
        <w:tc>
          <w:tcPr>
            <w:tcW w:w="1000" w:type="dxa"/>
            <w:vAlign w:val="bottom"/>
          </w:tcPr>
          <w:p>
            <w:pPr>
              <w:spacing w:after="0"/>
              <w:rPr>
                <w:sz w:val="20"/>
                <w:szCs w:val="20"/>
                <w:color w:val="auto"/>
              </w:rPr>
            </w:pPr>
            <w:r>
              <w:rPr>
                <w:rFonts w:ascii="Arial" w:cs="Arial" w:eastAsia="Arial" w:hAnsi="Arial"/>
                <w:sz w:val="18"/>
                <w:szCs w:val="18"/>
                <w:color w:val="auto"/>
              </w:rPr>
              <w:t>5/11/2027</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5/11/2020</w:t>
            </w:r>
          </w:p>
        </w:tc>
        <w:tc>
          <w:tcPr>
            <w:tcW w:w="520" w:type="dxa"/>
            <w:vAlign w:val="bottom"/>
          </w:tcPr>
          <w:p>
            <w:pPr>
              <w:spacing w:after="0"/>
              <w:rPr>
                <w:sz w:val="21"/>
                <w:szCs w:val="21"/>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2,032,967</w:t>
            </w:r>
          </w:p>
        </w:tc>
        <w:tc>
          <w:tcPr>
            <w:tcW w:w="120" w:type="dxa"/>
            <w:vAlign w:val="bottom"/>
          </w:tcPr>
          <w:p>
            <w:pPr>
              <w:spacing w:after="0"/>
              <w:rPr>
                <w:sz w:val="21"/>
                <w:szCs w:val="21"/>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180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10,513,661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69"/>
        </w:trPr>
        <w:tc>
          <w:tcPr>
            <w:tcW w:w="11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8"/>
                <w:szCs w:val="18"/>
                <w:b w:val="1"/>
                <w:bCs w:val="1"/>
                <w:color w:val="auto"/>
                <w:w w:val="90"/>
              </w:rPr>
              <w:t>Fullbridge, Inc.</w:t>
            </w:r>
          </w:p>
        </w:tc>
        <w:tc>
          <w:tcPr>
            <w:tcW w:w="6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spacing w:after="0" w:line="159" w:lineRule="exact"/>
              <w:rPr>
                <w:sz w:val="20"/>
                <w:szCs w:val="20"/>
                <w:color w:val="auto"/>
              </w:rPr>
            </w:pPr>
            <w:r>
              <w:rPr>
                <w:rFonts w:ascii="Arial" w:cs="Arial" w:eastAsia="Arial" w:hAnsi="Arial"/>
                <w:sz w:val="18"/>
                <w:szCs w:val="18"/>
                <w:color w:val="auto"/>
                <w:w w:val="92"/>
              </w:rPr>
              <w:t>Cambridge, MA</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2"/>
        </w:trPr>
        <w:tc>
          <w:tcPr>
            <w:tcW w:w="1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Business Education</w:t>
            </w:r>
          </w:p>
        </w:tc>
        <w:tc>
          <w:tcPr>
            <w:tcW w:w="14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5/13/2012</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517,917</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6,150,506</w:t>
            </w: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1"/>
        </w:trPr>
        <w:tc>
          <w:tcPr>
            <w:tcW w:w="1800" w:type="dxa"/>
            <w:vAlign w:val="bottom"/>
            <w:gridSpan w:val="4"/>
          </w:tcPr>
          <w:p>
            <w:pPr>
              <w:spacing w:after="0" w:line="201" w:lineRule="exact"/>
              <w:rPr>
                <w:sz w:val="20"/>
                <w:szCs w:val="20"/>
                <w:color w:val="auto"/>
              </w:rPr>
            </w:pPr>
            <w:r>
              <w:rPr>
                <w:rFonts w:ascii="Arial" w:cs="Arial" w:eastAsia="Arial" w:hAnsi="Arial"/>
                <w:sz w:val="18"/>
                <w:szCs w:val="18"/>
                <w:color w:val="auto"/>
                <w:w w:val="91"/>
              </w:rPr>
              <w:t>Promissory Note 1.47%,</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2"/>
        </w:trPr>
        <w:tc>
          <w:tcPr>
            <w:tcW w:w="1800" w:type="dxa"/>
            <w:vAlign w:val="bottom"/>
            <w:gridSpan w:val="4"/>
          </w:tcPr>
          <w:p>
            <w:pPr>
              <w:spacing w:after="0" w:line="276" w:lineRule="exact"/>
              <w:rPr>
                <w:sz w:val="20"/>
                <w:szCs w:val="20"/>
                <w:color w:val="auto"/>
              </w:rPr>
            </w:pPr>
            <w:r>
              <w:rPr>
                <w:rFonts w:ascii="Arial" w:cs="Arial" w:eastAsia="Arial" w:hAnsi="Arial"/>
                <w:sz w:val="18"/>
                <w:szCs w:val="18"/>
                <w:color w:val="auto"/>
              </w:rPr>
              <w:t>Due 11/9/2021</w:t>
            </w:r>
            <w:r>
              <w:rPr>
                <w:rFonts w:ascii="Arial" w:cs="Arial" w:eastAsia="Arial" w:hAnsi="Arial"/>
                <w:sz w:val="29"/>
                <w:szCs w:val="29"/>
                <w:color w:val="auto"/>
                <w:vertAlign w:val="superscript"/>
              </w:rPr>
              <w:t>(4)(12)</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3/3/2016</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2,270,458</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2,270,858</w:t>
            </w:r>
          </w:p>
        </w:tc>
        <w:tc>
          <w:tcPr>
            <w:tcW w:w="120" w:type="dxa"/>
            <w:vAlign w:val="bottom"/>
          </w:tcPr>
          <w:p>
            <w:pPr>
              <w:spacing w:after="0"/>
              <w:rPr>
                <w:sz w:val="24"/>
                <w:szCs w:val="24"/>
                <w:color w:val="auto"/>
              </w:rPr>
            </w:pP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180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8,421,364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Headquarters/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Date of Initial</w:t>
            </w: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7"/>
        </w:trPr>
        <w:tc>
          <w:tcPr>
            <w:tcW w:w="2620" w:type="dxa"/>
            <w:vAlign w:val="bottom"/>
            <w:gridSpan w:val="11"/>
          </w:tcPr>
          <w:p>
            <w:pPr>
              <w:spacing w:after="0"/>
              <w:rPr>
                <w:sz w:val="20"/>
                <w:szCs w:val="20"/>
                <w:color w:val="auto"/>
              </w:rPr>
            </w:pPr>
            <w:r>
              <w:rPr>
                <w:rFonts w:ascii="Arial" w:cs="Arial" w:eastAsia="Arial" w:hAnsi="Arial"/>
                <w:sz w:val="18"/>
                <w:szCs w:val="18"/>
                <w:b w:val="1"/>
                <w:bCs w:val="1"/>
                <w:color w:val="auto"/>
              </w:rPr>
              <w:t>Portfolio Investments*</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Industry</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Investment</w:t>
            </w:r>
          </w:p>
        </w:tc>
        <w:tc>
          <w:tcPr>
            <w:tcW w:w="16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Principal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0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4"/>
        </w:trPr>
        <w:tc>
          <w:tcPr>
            <w:tcW w:w="2440" w:type="dxa"/>
            <w:vAlign w:val="bottom"/>
            <w:tcBorders>
              <w:top w:val="single" w:sz="8" w:color="auto"/>
            </w:tcBorders>
            <w:gridSpan w:val="10"/>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Treehouse Real Estate</w:t>
            </w:r>
          </w:p>
        </w:tc>
        <w:tc>
          <w:tcPr>
            <w:tcW w:w="1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Investment Trust, Inc.</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Chicago, IL</w:t>
            </w: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62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Cannabis REIT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9/11/2019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312,500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4,919,250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20" w:type="dxa"/>
            <w:vAlign w:val="bottom"/>
            <w:gridSpan w:val="11"/>
          </w:tcPr>
          <w:p>
            <w:pPr>
              <w:ind w:left="180"/>
              <w:spacing w:after="0" w:line="194" w:lineRule="exact"/>
              <w:rPr>
                <w:sz w:val="20"/>
                <w:szCs w:val="20"/>
                <w:color w:val="auto"/>
              </w:rPr>
            </w:pPr>
            <w:r>
              <w:rPr>
                <w:rFonts w:ascii="Arial" w:cs="Arial" w:eastAsia="Arial" w:hAnsi="Arial"/>
                <w:sz w:val="18"/>
                <w:szCs w:val="18"/>
                <w:b w:val="1"/>
                <w:bCs w:val="1"/>
                <w:color w:val="auto"/>
              </w:rPr>
              <w:t>Total Non-controlled/Non-</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gridSpan w:val="11"/>
          </w:tcPr>
          <w:p>
            <w:pPr>
              <w:ind w:left="180"/>
              <w:spacing w:after="0"/>
              <w:rPr>
                <w:sz w:val="20"/>
                <w:szCs w:val="20"/>
                <w:color w:val="auto"/>
              </w:rPr>
            </w:pPr>
            <w:r>
              <w:rPr>
                <w:rFonts w:ascii="Arial" w:cs="Arial" w:eastAsia="Arial" w:hAnsi="Arial"/>
                <w:sz w:val="18"/>
                <w:szCs w:val="18"/>
                <w:b w:val="1"/>
                <w:bCs w:val="1"/>
                <w:color w:val="auto"/>
              </w:rPr>
              <w:t>affiliate</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162,899,416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152,267,563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71.83%</w:t>
            </w:r>
          </w:p>
        </w:tc>
        <w:tc>
          <w:tcPr>
            <w:tcW w:w="0" w:type="dxa"/>
            <w:vAlign w:val="bottom"/>
          </w:tcPr>
          <w:p>
            <w:pPr>
              <w:spacing w:after="0"/>
              <w:rPr>
                <w:sz w:val="1"/>
                <w:szCs w:val="1"/>
                <w:color w:val="auto"/>
              </w:rPr>
            </w:pPr>
          </w:p>
        </w:tc>
      </w:tr>
      <w:tr>
        <w:trPr>
          <w:trHeight w:val="213"/>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20" w:type="dxa"/>
            <w:vAlign w:val="bottom"/>
            <w:gridSpan w:val="11"/>
          </w:tcPr>
          <w:p>
            <w:pPr>
              <w:spacing w:after="0" w:line="201" w:lineRule="exact"/>
              <w:rPr>
                <w:sz w:val="20"/>
                <w:szCs w:val="20"/>
                <w:color w:val="auto"/>
              </w:rPr>
            </w:pPr>
            <w:r>
              <w:rPr>
                <w:rFonts w:ascii="Arial" w:cs="Arial" w:eastAsia="Arial" w:hAnsi="Arial"/>
                <w:sz w:val="18"/>
                <w:szCs w:val="18"/>
                <w:b w:val="1"/>
                <w:bCs w:val="1"/>
                <w:color w:val="auto"/>
              </w:rPr>
              <w:t>NON-</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gridSpan w:val="11"/>
          </w:tcPr>
          <w:p>
            <w:pPr>
              <w:spacing w:after="0" w:line="262" w:lineRule="exact"/>
              <w:rPr>
                <w:sz w:val="20"/>
                <w:szCs w:val="20"/>
                <w:color w:val="auto"/>
              </w:rPr>
            </w:pPr>
            <w:r>
              <w:rPr>
                <w:rFonts w:ascii="Arial" w:cs="Arial" w:eastAsia="Arial" w:hAnsi="Arial"/>
                <w:sz w:val="18"/>
                <w:szCs w:val="18"/>
                <w:b w:val="1"/>
                <w:bCs w:val="1"/>
                <w:color w:val="auto"/>
              </w:rPr>
              <w:t>CONTROLLED/AFFILIATE</w:t>
            </w:r>
            <w:r>
              <w:rPr>
                <w:rFonts w:ascii="Arial" w:cs="Arial" w:eastAsia="Arial" w:hAnsi="Arial"/>
                <w:sz w:val="29"/>
                <w:szCs w:val="29"/>
                <w:color w:val="auto"/>
                <w:vertAlign w:val="superscript"/>
              </w:rPr>
              <w:t>(1)</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620" w:type="dxa"/>
            <w:vAlign w:val="bottom"/>
            <w:gridSpan w:val="11"/>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PSQ Holdings, Inc. (d/b/a</w:t>
            </w:r>
          </w:p>
        </w:tc>
        <w:tc>
          <w:tcPr>
            <w:tcW w:w="1560" w:type="dxa"/>
            <w:vAlign w:val="bottom"/>
            <w:gridSpan w:val="2"/>
            <w:shd w:val="clear" w:color="auto" w:fill="CCEEFF"/>
          </w:tcPr>
          <w:p>
            <w:pPr>
              <w:jc w:val="center"/>
              <w:ind w:right="200"/>
              <w:spacing w:after="0" w:line="199" w:lineRule="exact"/>
              <w:rPr>
                <w:sz w:val="20"/>
                <w:szCs w:val="20"/>
                <w:color w:val="auto"/>
              </w:rPr>
            </w:pPr>
            <w:r>
              <w:rPr>
                <w:rFonts w:ascii="Arial" w:cs="Arial" w:eastAsia="Arial" w:hAnsi="Arial"/>
                <w:sz w:val="18"/>
                <w:szCs w:val="18"/>
                <w:color w:val="auto"/>
                <w:w w:val="86"/>
              </w:rPr>
              <w:t>West Palm Beach,</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20" w:type="dxa"/>
            <w:vAlign w:val="bottom"/>
            <w:gridSpan w:val="11"/>
            <w:shd w:val="clear" w:color="auto" w:fill="CCEEFF"/>
          </w:tcPr>
          <w:p>
            <w:pPr>
              <w:spacing w:after="0" w:line="265" w:lineRule="exact"/>
              <w:rPr>
                <w:sz w:val="20"/>
                <w:szCs w:val="20"/>
                <w:color w:val="auto"/>
              </w:rPr>
            </w:pPr>
            <w:r>
              <w:rPr>
                <w:rFonts w:ascii="Arial" w:cs="Arial" w:eastAsia="Arial" w:hAnsi="Arial"/>
                <w:sz w:val="18"/>
                <w:szCs w:val="18"/>
                <w:b w:val="1"/>
                <w:bCs w:val="1"/>
                <w:color w:val="auto"/>
              </w:rPr>
              <w:t>PublicSq.)**</w:t>
            </w:r>
            <w:r>
              <w:rPr>
                <w:rFonts w:ascii="Arial" w:cs="Arial" w:eastAsia="Arial" w:hAnsi="Arial"/>
                <w:sz w:val="29"/>
                <w:szCs w:val="29"/>
                <w:b w:val="1"/>
                <w:bCs w:val="1"/>
                <w:color w:val="auto"/>
                <w:vertAlign w:val="superscript"/>
              </w:rPr>
              <w:t>(3)(16)</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FL</w:t>
            </w:r>
          </w:p>
        </w:tc>
        <w:tc>
          <w:tcPr>
            <w:tcW w:w="1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620" w:type="dxa"/>
            <w:vAlign w:val="bottom"/>
            <w:gridSpan w:val="11"/>
          </w:tcPr>
          <w:p>
            <w:pPr>
              <w:spacing w:after="0" w:line="200" w:lineRule="exact"/>
              <w:rPr>
                <w:sz w:val="20"/>
                <w:szCs w:val="20"/>
                <w:color w:val="auto"/>
              </w:rPr>
            </w:pPr>
            <w:r>
              <w:rPr>
                <w:rFonts w:ascii="Arial" w:cs="Arial" w:eastAsia="Arial" w:hAnsi="Arial"/>
                <w:sz w:val="18"/>
                <w:szCs w:val="18"/>
                <w:color w:val="auto"/>
              </w:rPr>
              <w:t>Common shares,</w:t>
            </w:r>
          </w:p>
        </w:tc>
        <w:tc>
          <w:tcPr>
            <w:tcW w:w="1560" w:type="dxa"/>
            <w:vAlign w:val="bottom"/>
            <w:gridSpan w:val="2"/>
          </w:tcPr>
          <w:p>
            <w:pPr>
              <w:jc w:val="center"/>
              <w:ind w:right="180"/>
              <w:spacing w:after="0" w:line="200" w:lineRule="exact"/>
              <w:rPr>
                <w:sz w:val="20"/>
                <w:szCs w:val="20"/>
                <w:color w:val="auto"/>
              </w:rPr>
            </w:pPr>
            <w:r>
              <w:rPr>
                <w:rFonts w:ascii="Arial" w:cs="Arial" w:eastAsia="Arial" w:hAnsi="Arial"/>
                <w:sz w:val="18"/>
                <w:szCs w:val="18"/>
                <w:color w:val="auto"/>
                <w:w w:val="88"/>
              </w:rPr>
              <w:t>E-Commerce</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gridSpan w:val="11"/>
          </w:tcPr>
          <w:p>
            <w:pPr>
              <w:spacing w:after="0"/>
              <w:rPr>
                <w:sz w:val="20"/>
                <w:szCs w:val="20"/>
                <w:color w:val="auto"/>
              </w:rPr>
            </w:pPr>
            <w:r>
              <w:rPr>
                <w:rFonts w:ascii="Arial" w:cs="Arial" w:eastAsia="Arial" w:hAnsi="Arial"/>
                <w:sz w:val="18"/>
                <w:szCs w:val="18"/>
                <w:color w:val="auto"/>
              </w:rPr>
              <w:t>Class A</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Marketplace</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4/1/2021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1,976,032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1,556,587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14,353,896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0"/>
        </w:trPr>
        <w:tc>
          <w:tcPr>
            <w:tcW w:w="26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Warrants, Strike Price $11.50,</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Expiration Date 7/19/2028</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3,753,000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2"/>
        </w:trPr>
        <w:tc>
          <w:tcPr>
            <w:tcW w:w="26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2,715,737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18,106,896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2"/>
        </w:trPr>
        <w:tc>
          <w:tcPr>
            <w:tcW w:w="2620" w:type="dxa"/>
            <w:vAlign w:val="bottom"/>
            <w:gridSpan w:val="11"/>
            <w:shd w:val="clear" w:color="auto" w:fill="CCEEFF"/>
          </w:tcPr>
          <w:p>
            <w:pPr>
              <w:spacing w:after="0" w:line="212" w:lineRule="exact"/>
              <w:rPr>
                <w:sz w:val="20"/>
                <w:szCs w:val="20"/>
                <w:color w:val="auto"/>
              </w:rPr>
            </w:pPr>
            <w:r>
              <w:rPr>
                <w:rFonts w:ascii="Arial" w:cs="Arial" w:eastAsia="Arial" w:hAnsi="Arial"/>
                <w:sz w:val="15"/>
                <w:szCs w:val="15"/>
                <w:b w:val="1"/>
                <w:bCs w:val="1"/>
                <w:color w:val="auto"/>
              </w:rPr>
              <w:t>StormWind, LLC</w:t>
            </w:r>
            <w:r>
              <w:rPr>
                <w:rFonts w:ascii="Arial" w:cs="Arial" w:eastAsia="Arial" w:hAnsi="Arial"/>
                <w:sz w:val="24"/>
                <w:szCs w:val="24"/>
                <w:color w:val="auto"/>
                <w:vertAlign w:val="superscript"/>
              </w:rPr>
              <w:t>(5)</w:t>
            </w:r>
          </w:p>
        </w:tc>
        <w:tc>
          <w:tcPr>
            <w:tcW w:w="1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Scottsdale, AZ</w:t>
            </w: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gridSpan w:val="2"/>
          </w:tcPr>
          <w:p>
            <w:pPr>
              <w:jc w:val="center"/>
              <w:ind w:right="200"/>
              <w:spacing w:after="0" w:line="200" w:lineRule="exact"/>
              <w:rPr>
                <w:sz w:val="20"/>
                <w:szCs w:val="20"/>
                <w:color w:val="auto"/>
              </w:rPr>
            </w:pPr>
            <w:r>
              <w:rPr>
                <w:rFonts w:ascii="Arial" w:cs="Arial" w:eastAsia="Arial" w:hAnsi="Arial"/>
                <w:sz w:val="18"/>
                <w:szCs w:val="18"/>
                <w:color w:val="auto"/>
                <w:w w:val="91"/>
              </w:rPr>
              <w:t>Interactive</w:t>
            </w:r>
          </w:p>
        </w:tc>
        <w:tc>
          <w:tcPr>
            <w:tcW w:w="1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gridSpan w:val="11"/>
          </w:tcPr>
          <w:p>
            <w:pPr>
              <w:spacing w:after="0"/>
              <w:rPr>
                <w:sz w:val="20"/>
                <w:szCs w:val="20"/>
                <w:color w:val="auto"/>
              </w:rPr>
            </w:pPr>
            <w:r>
              <w:rPr>
                <w:rFonts w:ascii="Arial" w:cs="Arial" w:eastAsia="Arial" w:hAnsi="Arial"/>
                <w:sz w:val="18"/>
                <w:szCs w:val="18"/>
                <w:color w:val="auto"/>
              </w:rPr>
              <w:t>Preferred shares, Series D 8%</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Learning</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11/26/2019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329,337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257,267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549,801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3"/>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Preferred shares, Series C 8%</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1/7/2014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2,779,134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4,000,787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5,828,526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2"/>
        </w:trPr>
        <w:tc>
          <w:tcPr>
            <w:tcW w:w="2620" w:type="dxa"/>
            <w:vAlign w:val="bottom"/>
            <w:gridSpan w:val="11"/>
          </w:tcPr>
          <w:p>
            <w:pPr>
              <w:spacing w:after="0"/>
              <w:rPr>
                <w:sz w:val="20"/>
                <w:szCs w:val="20"/>
                <w:color w:val="auto"/>
              </w:rPr>
            </w:pPr>
            <w:r>
              <w:rPr>
                <w:rFonts w:ascii="Arial" w:cs="Arial" w:eastAsia="Arial" w:hAnsi="Arial"/>
                <w:sz w:val="18"/>
                <w:szCs w:val="18"/>
                <w:color w:val="auto"/>
              </w:rPr>
              <w:t>Preferred shares, Series B 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12/16/2011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3,279,629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2,019,687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3,713,661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5"/>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Preferred shares, Series A 8%</w:t>
            </w: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2/25/2014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366,666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209,921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5"/>
        </w:trPr>
        <w:tc>
          <w:tcPr>
            <w:tcW w:w="2620" w:type="dxa"/>
            <w:vAlign w:val="bottom"/>
            <w:tcBorders>
              <w:top w:val="single" w:sz="8" w:color="CCEEFF"/>
              <w:bottom w:val="single" w:sz="8" w:color="CCEEFF"/>
            </w:tcBorders>
            <w:gridSpan w:val="11"/>
          </w:tcPr>
          <w:p>
            <w:pPr>
              <w:ind w:left="180"/>
              <w:spacing w:after="0" w:line="199"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1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10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6,387,741</w:t>
            </w:r>
          </w:p>
        </w:tc>
        <w:tc>
          <w:tcPr>
            <w:tcW w:w="1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10,301,909</w:t>
            </w:r>
          </w:p>
        </w:tc>
        <w:tc>
          <w:tcPr>
            <w:tcW w:w="3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4.86</w:t>
            </w:r>
          </w:p>
        </w:tc>
        <w:tc>
          <w:tcPr>
            <w:tcW w:w="18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59"/>
        </w:trPr>
        <w:tc>
          <w:tcPr>
            <w:tcW w:w="2620" w:type="dxa"/>
            <w:vAlign w:val="bottom"/>
            <w:gridSpan w:val="11"/>
            <w:shd w:val="clear" w:color="auto" w:fill="CCEEFF"/>
          </w:tcPr>
          <w:p>
            <w:pPr>
              <w:spacing w:after="0" w:line="159" w:lineRule="exact"/>
              <w:rPr>
                <w:sz w:val="20"/>
                <w:szCs w:val="20"/>
                <w:color w:val="auto"/>
              </w:rPr>
            </w:pPr>
            <w:r>
              <w:rPr>
                <w:rFonts w:ascii="Arial" w:cs="Arial" w:eastAsia="Arial" w:hAnsi="Arial"/>
                <w:sz w:val="18"/>
                <w:szCs w:val="18"/>
                <w:b w:val="1"/>
                <w:bCs w:val="1"/>
                <w:color w:val="auto"/>
                <w:w w:val="99"/>
              </w:rPr>
              <w:t>OneValley, Inc. (f/k/a NestGSV,</w:t>
            </w:r>
          </w:p>
        </w:tc>
        <w:tc>
          <w:tcPr>
            <w:tcW w:w="1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1"/>
              </w:rPr>
              <w:t>Inc.)</w:t>
            </w:r>
          </w:p>
        </w:tc>
        <w:tc>
          <w:tcPr>
            <w:tcW w:w="2000" w:type="dxa"/>
            <w:vAlign w:val="bottom"/>
            <w:tcBorders>
              <w:top w:val="single" w:sz="8" w:color="auto"/>
              <w:bottom w:val="single" w:sz="8" w:color="CCEEFF"/>
            </w:tcBorders>
            <w:gridSpan w:val="8"/>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560" w:type="dxa"/>
            <w:vAlign w:val="bottom"/>
            <w:tcBorders>
              <w:top w:val="single" w:sz="8" w:color="CCEEFF"/>
              <w:bottom w:val="single" w:sz="8" w:color="CCEEFF"/>
            </w:tcBorders>
            <w:gridSpan w:val="2"/>
            <w:shd w:val="clear" w:color="auto" w:fill="CCEEFF"/>
          </w:tcPr>
          <w:p>
            <w:pPr>
              <w:jc w:val="center"/>
              <w:ind w:right="180"/>
              <w:spacing w:after="0" w:line="192" w:lineRule="exact"/>
              <w:rPr>
                <w:sz w:val="20"/>
                <w:szCs w:val="20"/>
                <w:color w:val="auto"/>
              </w:rPr>
            </w:pPr>
            <w:r>
              <w:rPr>
                <w:rFonts w:ascii="Arial" w:cs="Arial" w:eastAsia="Arial" w:hAnsi="Arial"/>
                <w:sz w:val="18"/>
                <w:szCs w:val="18"/>
                <w:color w:val="auto"/>
                <w:w w:val="90"/>
              </w:rPr>
              <w:t>San Mateo, CA</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20" w:type="dxa"/>
            <w:vAlign w:val="bottom"/>
            <w:gridSpan w:val="11"/>
          </w:tcPr>
          <w:p>
            <w:pPr>
              <w:spacing w:after="0" w:line="201" w:lineRule="exact"/>
              <w:rPr>
                <w:sz w:val="20"/>
                <w:szCs w:val="20"/>
                <w:color w:val="auto"/>
              </w:rPr>
            </w:pPr>
            <w:r>
              <w:rPr>
                <w:rFonts w:ascii="Arial" w:cs="Arial" w:eastAsia="Arial" w:hAnsi="Arial"/>
                <w:sz w:val="18"/>
                <w:szCs w:val="18"/>
                <w:color w:val="auto"/>
              </w:rPr>
              <w:t>Derivative Security, Expiration</w:t>
            </w: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2"/>
              </w:rPr>
              <w:t>Global Innovation</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gridSpan w:val="11"/>
          </w:tcPr>
          <w:p>
            <w:pPr>
              <w:spacing w:after="0" w:line="262" w:lineRule="exact"/>
              <w:rPr>
                <w:sz w:val="20"/>
                <w:szCs w:val="20"/>
                <w:color w:val="auto"/>
              </w:rPr>
            </w:pPr>
            <w:r>
              <w:rPr>
                <w:rFonts w:ascii="Arial" w:cs="Arial" w:eastAsia="Arial" w:hAnsi="Arial"/>
                <w:sz w:val="18"/>
                <w:szCs w:val="18"/>
                <w:color w:val="auto"/>
              </w:rPr>
              <w:t>Date 8/23/2024</w:t>
            </w:r>
            <w:r>
              <w:rPr>
                <w:rFonts w:ascii="Arial" w:cs="Arial" w:eastAsia="Arial" w:hAnsi="Arial"/>
                <w:sz w:val="29"/>
                <w:szCs w:val="29"/>
                <w:color w:val="auto"/>
                <w:vertAlign w:val="superscript"/>
              </w:rPr>
              <w:t>(9)</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Platform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8/23/2019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8,555,124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676,286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1"/>
        </w:trPr>
        <w:tc>
          <w:tcPr>
            <w:tcW w:w="26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9"/>
              </w:rPr>
              <w:t>Convertible Promissory Note 8%</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gridSpan w:val="11"/>
            <w:shd w:val="clear" w:color="auto" w:fill="CCEEFF"/>
          </w:tcPr>
          <w:p>
            <w:pPr>
              <w:spacing w:after="0" w:line="262" w:lineRule="exact"/>
              <w:rPr>
                <w:sz w:val="20"/>
                <w:szCs w:val="20"/>
                <w:color w:val="auto"/>
              </w:rPr>
            </w:pPr>
            <w:r>
              <w:rPr>
                <w:rFonts w:ascii="Arial" w:cs="Arial" w:eastAsia="Arial" w:hAnsi="Arial"/>
                <w:sz w:val="18"/>
                <w:szCs w:val="18"/>
                <w:color w:val="auto"/>
              </w:rPr>
              <w:t>Due 8/23/2024</w:t>
            </w:r>
            <w:r>
              <w:rPr>
                <w:rFonts w:ascii="Arial" w:cs="Arial" w:eastAsia="Arial" w:hAnsi="Arial"/>
                <w:sz w:val="29"/>
                <w:szCs w:val="29"/>
                <w:color w:val="auto"/>
                <w:vertAlign w:val="superscript"/>
              </w:rPr>
              <w:t>(4)</w:t>
            </w: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2/17/2016</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1,010,198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1,030,176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1,212,036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0"/>
        </w:trPr>
        <w:tc>
          <w:tcPr>
            <w:tcW w:w="2620" w:type="dxa"/>
            <w:vAlign w:val="bottom"/>
            <w:gridSpan w:val="11"/>
          </w:tcPr>
          <w:p>
            <w:pPr>
              <w:spacing w:after="0" w:line="200" w:lineRule="exact"/>
              <w:rPr>
                <w:sz w:val="20"/>
                <w:szCs w:val="20"/>
                <w:color w:val="auto"/>
              </w:rPr>
            </w:pPr>
            <w:r>
              <w:rPr>
                <w:rFonts w:ascii="Arial" w:cs="Arial" w:eastAsia="Arial" w:hAnsi="Arial"/>
                <w:sz w:val="18"/>
                <w:szCs w:val="18"/>
                <w:color w:val="auto"/>
                <w:w w:val="95"/>
              </w:rPr>
              <w:t>Preferred Warrant Series B, Strike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gridSpan w:val="11"/>
          </w:tcPr>
          <w:p>
            <w:pPr>
              <w:spacing w:after="0"/>
              <w:rPr>
                <w:sz w:val="20"/>
                <w:szCs w:val="20"/>
                <w:color w:val="auto"/>
              </w:rPr>
            </w:pPr>
            <w:r>
              <w:rPr>
                <w:rFonts w:ascii="Arial" w:cs="Arial" w:eastAsia="Arial" w:hAnsi="Arial"/>
                <w:sz w:val="18"/>
                <w:szCs w:val="18"/>
                <w:color w:val="auto"/>
              </w:rPr>
              <w:t>Price $2.31, Expiration Date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040" w:type="dxa"/>
            <w:vAlign w:val="bottom"/>
            <w:gridSpan w:val="2"/>
          </w:tcPr>
          <w:p>
            <w:pPr>
              <w:spacing w:after="0"/>
              <w:rPr>
                <w:sz w:val="20"/>
                <w:szCs w:val="20"/>
                <w:color w:val="auto"/>
              </w:rPr>
            </w:pPr>
            <w:r>
              <w:rPr>
                <w:rFonts w:ascii="Arial" w:cs="Arial" w:eastAsia="Arial" w:hAnsi="Arial"/>
                <w:sz w:val="18"/>
                <w:szCs w:val="18"/>
                <w:color w:val="auto"/>
              </w:rPr>
              <w:t>12/31/2023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12/31/2018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tcBorders>
              <w:top w:val="single" w:sz="8" w:color="CCEEFF"/>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9,590,380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1,888,322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2620" w:type="dxa"/>
            <w:vAlign w:val="bottom"/>
            <w:gridSpan w:val="11"/>
          </w:tcPr>
          <w:p>
            <w:pPr>
              <w:spacing w:after="0" w:line="159" w:lineRule="exact"/>
              <w:rPr>
                <w:sz w:val="20"/>
                <w:szCs w:val="20"/>
                <w:color w:val="auto"/>
              </w:rPr>
            </w:pPr>
            <w:r>
              <w:rPr>
                <w:rFonts w:ascii="Arial" w:cs="Arial" w:eastAsia="Arial" w:hAnsi="Arial"/>
                <w:sz w:val="18"/>
                <w:szCs w:val="18"/>
                <w:b w:val="1"/>
                <w:bCs w:val="1"/>
                <w:color w:val="auto"/>
              </w:rPr>
              <w:t>Maven Research, Inc.</w:t>
            </w:r>
          </w:p>
        </w:tc>
        <w:tc>
          <w:tcPr>
            <w:tcW w:w="1560" w:type="dxa"/>
            <w:vAlign w:val="bottom"/>
            <w:gridSpan w:val="2"/>
          </w:tcPr>
          <w:p>
            <w:pPr>
              <w:jc w:val="center"/>
              <w:ind w:right="200"/>
              <w:spacing w:after="0" w:line="159" w:lineRule="exact"/>
              <w:rPr>
                <w:sz w:val="20"/>
                <w:szCs w:val="20"/>
                <w:color w:val="auto"/>
              </w:rPr>
            </w:pPr>
            <w:r>
              <w:rPr>
                <w:rFonts w:ascii="Arial" w:cs="Arial" w:eastAsia="Arial" w:hAnsi="Arial"/>
                <w:sz w:val="18"/>
                <w:szCs w:val="18"/>
                <w:color w:val="auto"/>
                <w:w w:val="87"/>
              </w:rPr>
              <w:t>San Francisco, CA</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Knowledge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Preferred shares, Series C</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Networks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7/2/2012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318,979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2,000,447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620" w:type="dxa"/>
            <w:vAlign w:val="bottom"/>
            <w:gridSpan w:val="11"/>
          </w:tcPr>
          <w:p>
            <w:pPr>
              <w:spacing w:after="0"/>
              <w:rPr>
                <w:sz w:val="20"/>
                <w:szCs w:val="20"/>
                <w:color w:val="auto"/>
              </w:rPr>
            </w:pPr>
            <w:r>
              <w:rPr>
                <w:rFonts w:ascii="Arial" w:cs="Arial" w:eastAsia="Arial" w:hAnsi="Arial"/>
                <w:sz w:val="18"/>
                <w:szCs w:val="18"/>
                <w:color w:val="auto"/>
              </w:rPr>
              <w:t>Preferred shares, Series B</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2/28/2012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49,505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620" w:type="dxa"/>
            <w:vAlign w:val="bottom"/>
            <w:tcBorders>
              <w:top w:val="single" w:sz="8" w:color="CCEEFF"/>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8"/>
                <w:szCs w:val="18"/>
                <w:b w:val="1"/>
                <w:bCs w:val="1"/>
                <w:color w:val="auto"/>
                <w:w w:val="88"/>
              </w:rPr>
              <w:t>Curious.com, Inc.</w:t>
            </w:r>
          </w:p>
        </w:tc>
        <w:tc>
          <w:tcPr>
            <w:tcW w:w="1260" w:type="dxa"/>
            <w:vAlign w:val="bottom"/>
            <w:gridSpan w:val="7"/>
          </w:tcPr>
          <w:p>
            <w:pPr>
              <w:spacing w:after="0"/>
              <w:rPr>
                <w:sz w:val="14"/>
                <w:szCs w:val="14"/>
                <w:color w:val="auto"/>
              </w:rPr>
            </w:pPr>
          </w:p>
        </w:tc>
        <w:tc>
          <w:tcPr>
            <w:tcW w:w="1560" w:type="dxa"/>
            <w:vAlign w:val="bottom"/>
            <w:gridSpan w:val="2"/>
          </w:tcPr>
          <w:p>
            <w:pPr>
              <w:jc w:val="center"/>
              <w:ind w:right="200"/>
              <w:spacing w:after="0" w:line="159" w:lineRule="exact"/>
              <w:rPr>
                <w:sz w:val="20"/>
                <w:szCs w:val="20"/>
                <w:color w:val="auto"/>
              </w:rPr>
            </w:pPr>
            <w:r>
              <w:rPr>
                <w:rFonts w:ascii="Arial" w:cs="Arial" w:eastAsia="Arial" w:hAnsi="Arial"/>
                <w:sz w:val="18"/>
                <w:szCs w:val="18"/>
                <w:color w:val="auto"/>
                <w:w w:val="91"/>
              </w:rPr>
              <w:t>Menlo Park, CA</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Online Education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11/22/2013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1,135,944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11"/>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Total Non-controlled/Affiliate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32,911,517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30,297,127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20" w:type="dxa"/>
            <w:vAlign w:val="bottom"/>
            <w:gridSpan w:val="11"/>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CONTROLLED</w:t>
            </w:r>
            <w:r>
              <w:rPr>
                <w:rFonts w:ascii="Arial" w:cs="Arial" w:eastAsia="Arial" w:hAnsi="Arial"/>
                <w:sz w:val="29"/>
                <w:szCs w:val="29"/>
                <w:b w:val="1"/>
                <w:bCs w:val="1"/>
                <w:color w:val="auto"/>
                <w:vertAlign w:val="superscript"/>
              </w:rPr>
              <w:t>(2)</w:t>
            </w: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620" w:type="dxa"/>
            <w:vAlign w:val="bottom"/>
            <w:gridSpan w:val="11"/>
          </w:tcPr>
          <w:p>
            <w:pPr>
              <w:spacing w:after="0" w:line="172" w:lineRule="exact"/>
              <w:rPr>
                <w:sz w:val="20"/>
                <w:szCs w:val="20"/>
                <w:color w:val="auto"/>
              </w:rPr>
            </w:pPr>
            <w:r>
              <w:rPr>
                <w:rFonts w:ascii="Arial" w:cs="Arial" w:eastAsia="Arial" w:hAnsi="Arial"/>
                <w:sz w:val="18"/>
                <w:szCs w:val="18"/>
                <w:b w:val="1"/>
                <w:bCs w:val="1"/>
                <w:color w:val="auto"/>
              </w:rPr>
              <w:t>Architect Capital PayJoy SPV,</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Borders>
              <w:top w:val="single" w:sz="8" w:color="auto"/>
            </w:tcBorders>
            <w:gridSpan w:val="8"/>
          </w:tcPr>
          <w:p>
            <w:pPr>
              <w:spacing w:after="0" w:line="192" w:lineRule="exact"/>
              <w:rPr>
                <w:sz w:val="20"/>
                <w:szCs w:val="20"/>
                <w:color w:val="auto"/>
              </w:rPr>
            </w:pPr>
            <w:r>
              <w:rPr>
                <w:rFonts w:ascii="Arial" w:cs="Arial" w:eastAsia="Arial" w:hAnsi="Arial"/>
                <w:sz w:val="18"/>
                <w:szCs w:val="18"/>
                <w:b w:val="1"/>
                <w:bCs w:val="1"/>
                <w:color w:val="auto"/>
              </w:rPr>
              <w:t>LLC**</w:t>
            </w:r>
          </w:p>
        </w:tc>
        <w:tc>
          <w:tcPr>
            <w:tcW w:w="320" w:type="dxa"/>
            <w:vAlign w:val="bottom"/>
            <w:gridSpan w:val="3"/>
          </w:tcPr>
          <w:p>
            <w:pPr>
              <w:spacing w:after="0"/>
              <w:rPr>
                <w:sz w:val="16"/>
                <w:szCs w:val="16"/>
                <w:color w:val="auto"/>
              </w:rPr>
            </w:pPr>
          </w:p>
        </w:tc>
        <w:tc>
          <w:tcPr>
            <w:tcW w:w="1560" w:type="dxa"/>
            <w:vAlign w:val="bottom"/>
            <w:gridSpan w:val="2"/>
          </w:tcPr>
          <w:p>
            <w:pPr>
              <w:jc w:val="center"/>
              <w:ind w:right="200"/>
              <w:spacing w:after="0" w:line="192" w:lineRule="exact"/>
              <w:rPr>
                <w:sz w:val="20"/>
                <w:szCs w:val="20"/>
                <w:color w:val="auto"/>
              </w:rPr>
            </w:pPr>
            <w:r>
              <w:rPr>
                <w:rFonts w:ascii="Arial" w:cs="Arial" w:eastAsia="Arial" w:hAnsi="Arial"/>
                <w:sz w:val="18"/>
                <w:szCs w:val="18"/>
                <w:color w:val="auto"/>
                <w:w w:val="87"/>
              </w:rPr>
              <w:t>San Francisco, CA</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Membership Interest in Lending</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Mobile Finance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SPV***</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Technology</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3/24/2021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10,006,745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gridSpan w:val="6"/>
          </w:tcPr>
          <w:p>
            <w:pPr>
              <w:spacing w:after="0" w:line="172" w:lineRule="exact"/>
              <w:rPr>
                <w:sz w:val="20"/>
                <w:szCs w:val="20"/>
                <w:color w:val="auto"/>
              </w:rPr>
            </w:pPr>
            <w:r>
              <w:rPr>
                <w:rFonts w:ascii="Arial" w:cs="Arial" w:eastAsia="Arial" w:hAnsi="Arial"/>
                <w:sz w:val="18"/>
                <w:szCs w:val="18"/>
                <w:b w:val="1"/>
                <w:bCs w:val="1"/>
                <w:color w:val="auto"/>
                <w:w w:val="94"/>
              </w:rPr>
              <w:t>SPBRX, INC. (f/k/a GSV</w:t>
            </w:r>
          </w:p>
        </w:tc>
        <w:tc>
          <w:tcPr>
            <w:tcW w:w="720" w:type="dxa"/>
            <w:vAlign w:val="bottom"/>
            <w:gridSpan w:val="5"/>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20" w:type="dxa"/>
            <w:vAlign w:val="bottom"/>
            <w:gridSpan w:val="11"/>
          </w:tcPr>
          <w:p>
            <w:pPr>
              <w:spacing w:after="0" w:line="192" w:lineRule="exact"/>
              <w:rPr>
                <w:sz w:val="20"/>
                <w:szCs w:val="20"/>
                <w:color w:val="auto"/>
              </w:rPr>
            </w:pPr>
            <w:r>
              <w:rPr>
                <w:rFonts w:ascii="Arial" w:cs="Arial" w:eastAsia="Arial" w:hAnsi="Arial"/>
                <w:sz w:val="18"/>
                <w:szCs w:val="18"/>
                <w:b w:val="1"/>
                <w:bCs w:val="1"/>
                <w:color w:val="auto"/>
              </w:rPr>
              <w:t>Sustainability Partners, Inc.)</w:t>
            </w:r>
          </w:p>
        </w:tc>
        <w:tc>
          <w:tcPr>
            <w:tcW w:w="1560" w:type="dxa"/>
            <w:vAlign w:val="bottom"/>
            <w:gridSpan w:val="2"/>
          </w:tcPr>
          <w:p>
            <w:pPr>
              <w:jc w:val="center"/>
              <w:ind w:right="200"/>
              <w:spacing w:after="0" w:line="192" w:lineRule="exact"/>
              <w:rPr>
                <w:sz w:val="20"/>
                <w:szCs w:val="20"/>
                <w:color w:val="auto"/>
              </w:rPr>
            </w:pPr>
            <w:r>
              <w:rPr>
                <w:rFonts w:ascii="Arial" w:cs="Arial" w:eastAsia="Arial" w:hAnsi="Arial"/>
                <w:sz w:val="18"/>
                <w:szCs w:val="18"/>
                <w:color w:val="auto"/>
                <w:w w:val="91"/>
              </w:rPr>
              <w:t>Cupertino, CA</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Preferred shares, Class A</w:t>
            </w:r>
          </w:p>
        </w:tc>
        <w:tc>
          <w:tcPr>
            <w:tcW w:w="440" w:type="dxa"/>
            <w:vAlign w:val="bottom"/>
            <w:gridSpan w:val="4"/>
            <w:shd w:val="clear" w:color="auto" w:fill="CCEEFF"/>
          </w:tcPr>
          <w:p>
            <w:pPr>
              <w:spacing w:after="0"/>
              <w:rPr>
                <w:sz w:val="19"/>
                <w:szCs w:val="19"/>
                <w:color w:val="auto"/>
              </w:rPr>
            </w:pP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Clean Technology</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4/15/2014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7,151,412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928,028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2"/>
        </w:trPr>
        <w:tc>
          <w:tcPr>
            <w:tcW w:w="262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4/15/2014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620" w:type="dxa"/>
            <w:vAlign w:val="bottom"/>
            <w:tcBorders>
              <w:top w:val="single" w:sz="8" w:color="CCEEFF"/>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11"/>
            <w:shd w:val="clear" w:color="auto" w:fill="CCEEFF"/>
          </w:tcPr>
          <w:p>
            <w:pPr>
              <w:ind w:left="180"/>
              <w:spacing w:after="0"/>
              <w:rPr>
                <w:sz w:val="20"/>
                <w:szCs w:val="20"/>
                <w:color w:val="auto"/>
              </w:rPr>
            </w:pPr>
            <w:r>
              <w:rPr>
                <w:rFonts w:ascii="Arial" w:cs="Arial" w:eastAsia="Arial" w:hAnsi="Arial"/>
                <w:sz w:val="18"/>
                <w:szCs w:val="18"/>
                <w:b w:val="1"/>
                <w:bCs w:val="1"/>
                <w:color w:val="auto"/>
              </w:rPr>
              <w:t>Total Controlled</w:t>
            </w: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17,168,157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10,928,028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212"/>
        </w:trPr>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11"/>
            <w:shd w:val="clear" w:color="auto" w:fill="CCEEFF"/>
          </w:tcPr>
          <w:p>
            <w:pPr>
              <w:ind w:left="180"/>
              <w:spacing w:after="0"/>
              <w:rPr>
                <w:sz w:val="20"/>
                <w:szCs w:val="20"/>
                <w:color w:val="auto"/>
              </w:rPr>
            </w:pPr>
            <w:r>
              <w:rPr>
                <w:rFonts w:ascii="Arial" w:cs="Arial" w:eastAsia="Arial" w:hAnsi="Arial"/>
                <w:sz w:val="18"/>
                <w:szCs w:val="18"/>
                <w:b w:val="1"/>
                <w:bCs w:val="1"/>
                <w:color w:val="auto"/>
              </w:rPr>
              <w:t>Total Portfolio Investments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212,979,090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193,492,718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91.28%</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11"/>
            <w:shd w:val="clear" w:color="auto" w:fill="CCEEFF"/>
          </w:tcPr>
          <w:p>
            <w:pPr>
              <w:spacing w:after="0" w:line="212" w:lineRule="exact"/>
              <w:rPr>
                <w:sz w:val="20"/>
                <w:szCs w:val="20"/>
                <w:color w:val="auto"/>
              </w:rPr>
            </w:pPr>
            <w:r>
              <w:rPr>
                <w:rFonts w:ascii="Arial" w:cs="Arial" w:eastAsia="Arial" w:hAnsi="Arial"/>
                <w:sz w:val="15"/>
                <w:szCs w:val="15"/>
                <w:b w:val="1"/>
                <w:bCs w:val="1"/>
                <w:color w:val="auto"/>
              </w:rPr>
              <w:t>U.S. Treasury</w:t>
            </w:r>
            <w:r>
              <w:rPr>
                <w:rFonts w:ascii="Arial" w:cs="Arial" w:eastAsia="Arial" w:hAnsi="Arial"/>
                <w:sz w:val="24"/>
                <w:szCs w:val="24"/>
                <w:b w:val="1"/>
                <w:bCs w:val="1"/>
                <w:color w:val="auto"/>
                <w:vertAlign w:val="superscript"/>
              </w:rPr>
              <w:t>(3)</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620" w:type="dxa"/>
            <w:vAlign w:val="bottom"/>
            <w:gridSpan w:val="11"/>
          </w:tcPr>
          <w:p>
            <w:pPr>
              <w:spacing w:after="0" w:line="200" w:lineRule="exact"/>
              <w:rPr>
                <w:sz w:val="20"/>
                <w:szCs w:val="20"/>
                <w:color w:val="auto"/>
              </w:rPr>
            </w:pPr>
            <w:r>
              <w:rPr>
                <w:rFonts w:ascii="Arial" w:cs="Arial" w:eastAsia="Arial" w:hAnsi="Arial"/>
                <w:sz w:val="18"/>
                <w:szCs w:val="18"/>
                <w:color w:val="auto"/>
              </w:rPr>
              <w:t>U.S. Treasury bill, 0%, due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40" w:type="dxa"/>
            <w:vAlign w:val="bottom"/>
            <w:gridSpan w:val="3"/>
          </w:tcPr>
          <w:p>
            <w:pPr>
              <w:spacing w:after="0"/>
              <w:rPr>
                <w:sz w:val="20"/>
                <w:szCs w:val="20"/>
                <w:color w:val="auto"/>
              </w:rPr>
            </w:pPr>
            <w:r>
              <w:rPr>
                <w:rFonts w:ascii="Arial" w:cs="Arial" w:eastAsia="Arial" w:hAnsi="Arial"/>
                <w:sz w:val="18"/>
                <w:szCs w:val="18"/>
                <w:color w:val="auto"/>
              </w:rPr>
              <w:t>12/28/2023***</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6/30/2023</w:t>
            </w:r>
          </w:p>
        </w:tc>
        <w:tc>
          <w:tcPr>
            <w:tcW w:w="18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20,529,000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19,990,216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20,265,064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8"/>
        </w:trPr>
        <w:tc>
          <w:tcPr>
            <w:tcW w:w="2620" w:type="dxa"/>
            <w:vAlign w:val="bottom"/>
            <w:tcBorders>
              <w:top w:val="single" w:sz="8" w:color="CCEEFF"/>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19,990,216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20,265,064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232,969,306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213,757,782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100.84%</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0" w:gutter="0" w:footer="0" w:header="0"/>
        </w:sectPr>
      </w:pPr>
    </w:p>
    <w:p>
      <w:pPr>
        <w:jc w:val="center"/>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ectPr>
          <w:pgSz w:w="11900" w:h="16838" w:orient="portrait"/>
          <w:cols w:equalWidth="0" w:num="1">
            <w:col w:w="11240"/>
          </w:cols>
          <w:pgMar w:left="320" w:top="233" w:right="339" w:bottom="0" w:gutter="0" w:footer="0" w:header="0"/>
          <w:type w:val="continuous"/>
        </w:sectPr>
      </w:pPr>
    </w:p>
    <w:bookmarkStart w:id="12" w:name="page13"/>
    <w:bookmarkEnd w:id="12"/>
    <w:p>
      <w:pPr>
        <w:jc w:val="both"/>
        <w:ind w:left="634" w:hanging="634"/>
        <w:spacing w:after="0" w:line="265" w:lineRule="auto"/>
        <w:tabs>
          <w:tab w:leader="none" w:pos="634"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78371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715" cy="16510"/>
                    </a:xfrm>
                    <a:prstGeom prst="rect">
                      <a:avLst/>
                    </a:prstGeom>
                    <a:noFill/>
                  </pic:spPr>
                </pic:pic>
              </a:graphicData>
            </a:graphic>
          </wp:anchor>
        </w:drawing>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185"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34"/>
          </w:cols>
          <w:pgMar w:left="326" w:top="37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640" w:hanging="634"/>
        <w:spacing w:after="0" w:line="302"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Indicates assets that SuRo Capital Corp. believes do not represent “qualifying assets” under Section 55(a) of the Investment Company Act of 1940, as amended (the “1940 Act”). Of the Company’s total investments as of September 30, 2023, 21.30% of its total investments are non-qualifying assets.</w:t>
      </w:r>
    </w:p>
    <w:p>
      <w:pPr>
        <w:spacing w:after="0" w:line="1" w:lineRule="exact"/>
        <w:rPr>
          <w:rFonts w:ascii="Arial" w:cs="Arial" w:eastAsia="Arial" w:hAnsi="Arial"/>
          <w:sz w:val="15"/>
          <w:szCs w:val="15"/>
          <w:color w:val="auto"/>
        </w:rPr>
      </w:pPr>
    </w:p>
    <w:p>
      <w:pPr>
        <w:ind w:left="640" w:hanging="63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06" w:lineRule="exact"/>
        <w:rPr>
          <w:sz w:val="20"/>
          <w:szCs w:val="20"/>
          <w:color w:val="auto"/>
        </w:rPr>
      </w:pPr>
    </w:p>
    <w:p>
      <w:pPr>
        <w:jc w:val="both"/>
        <w:ind w:left="640" w:hanging="634"/>
        <w:spacing w:after="0" w:line="27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7" w:lineRule="exact"/>
        <w:rPr>
          <w:rFonts w:ascii="Arial" w:cs="Arial" w:eastAsia="Arial" w:hAnsi="Arial"/>
          <w:sz w:val="17"/>
          <w:szCs w:val="17"/>
          <w:color w:val="auto"/>
        </w:rPr>
      </w:pPr>
    </w:p>
    <w:p>
      <w:pPr>
        <w:jc w:val="both"/>
        <w:ind w:left="640" w:hanging="634"/>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3" w:lineRule="exact"/>
        <w:rPr>
          <w:rFonts w:ascii="Arial" w:cs="Arial" w:eastAsia="Arial" w:hAnsi="Arial"/>
          <w:sz w:val="18"/>
          <w:szCs w:val="18"/>
          <w:color w:val="auto"/>
        </w:rPr>
      </w:pPr>
    </w:p>
    <w:p>
      <w:pPr>
        <w:ind w:left="640" w:hanging="634"/>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investment considered Level 1 or Level 2 and valued using observable inputs. Refer to “Note 4—Investments at Fair Value”.</w:t>
      </w:r>
    </w:p>
    <w:p>
      <w:pPr>
        <w:spacing w:after="0" w:line="228" w:lineRule="exact"/>
        <w:rPr>
          <w:rFonts w:ascii="Arial" w:cs="Arial" w:eastAsia="Arial" w:hAnsi="Arial"/>
          <w:sz w:val="17"/>
          <w:szCs w:val="17"/>
          <w:color w:val="auto"/>
        </w:rPr>
      </w:pPr>
    </w:p>
    <w:p>
      <w:pPr>
        <w:ind w:left="640" w:hanging="63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2023, the investments noted had been placed on non-accrual status.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SuRo Capital Corp.’s investments in StormWind, LLC are held through SuRo Capital Corp.’s wholly owned subsidiary, GSVC SW Holdings, Inc.</w:t>
      </w:r>
    </w:p>
    <w:p>
      <w:pPr>
        <w:spacing w:after="0" w:line="251" w:lineRule="exact"/>
        <w:rPr>
          <w:rFonts w:ascii="Arial" w:cs="Arial" w:eastAsia="Arial" w:hAnsi="Arial"/>
          <w:sz w:val="15"/>
          <w:szCs w:val="15"/>
          <w:color w:val="auto"/>
        </w:rPr>
      </w:pPr>
    </w:p>
    <w:p>
      <w:pPr>
        <w:ind w:left="640" w:hanging="634"/>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SuRo Capital Corp.’s investments in preferred shares of Residential Homes for Rent, LLC (d/b/a Second Avenue) are held through SuRo Capital Corp.’s wholly owned subsidiary, GSVC AV Holdings, Inc.</w:t>
      </w:r>
    </w:p>
    <w:p>
      <w:pPr>
        <w:spacing w:after="0" w:line="180" w:lineRule="exact"/>
        <w:rPr>
          <w:rFonts w:ascii="Arial" w:cs="Arial" w:eastAsia="Arial" w:hAnsi="Arial"/>
          <w:sz w:val="18"/>
          <w:szCs w:val="18"/>
          <w:color w:val="auto"/>
        </w:rPr>
      </w:pPr>
    </w:p>
    <w:p>
      <w:pPr>
        <w:jc w:val="both"/>
        <w:ind w:left="640" w:hanging="634"/>
        <w:spacing w:after="0" w:line="27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71" w:lineRule="exact"/>
        <w:rPr>
          <w:rFonts w:ascii="Arial" w:cs="Arial" w:eastAsia="Arial" w:hAnsi="Arial"/>
          <w:sz w:val="17"/>
          <w:szCs w:val="17"/>
          <w:color w:val="auto"/>
        </w:rPr>
      </w:pPr>
    </w:p>
    <w:p>
      <w:pPr>
        <w:jc w:val="both"/>
        <w:ind w:left="640" w:hanging="634"/>
        <w:spacing w:after="0" w:line="330"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36"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9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nine months ended September 30, 2023, approximately $0.9 million has been received from Residential Homes for Rent, LLC (d/b/a Second Avenue) related to the 15% term loan due December 23, 2023. Of the proceeds received, approximately $0.8 million repaid a portion of the outstanding principal and the remaining was attributed to interest.</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57" w:lineRule="exact"/>
        <w:rPr>
          <w:rFonts w:ascii="Arial" w:cs="Arial" w:eastAsia="Arial" w:hAnsi="Arial"/>
          <w:sz w:val="17"/>
          <w:szCs w:val="17"/>
          <w:color w:val="auto"/>
        </w:rPr>
      </w:pPr>
    </w:p>
    <w:p>
      <w:pPr>
        <w:ind w:left="640" w:hanging="63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9, 2021, Fullbridge, Inc.’s obligations under its financing arrangements with the Company became past due.</w:t>
      </w:r>
    </w:p>
    <w:p>
      <w:pPr>
        <w:spacing w:after="0" w:line="217"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9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80" w:lineRule="exact"/>
        <w:rPr>
          <w:rFonts w:ascii="Arial" w:cs="Arial" w:eastAsia="Arial" w:hAnsi="Arial"/>
          <w:sz w:val="18"/>
          <w:szCs w:val="18"/>
          <w:color w:val="auto"/>
        </w:rPr>
      </w:pPr>
    </w:p>
    <w:p>
      <w:pPr>
        <w:jc w:val="both"/>
        <w:ind w:left="640" w:hanging="634"/>
        <w:spacing w:after="0" w:line="26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July 19, 2023, Colombier Acquisition Corp. (“Colombier”) stockholders approved a business combination with PSQ Holdings, Inc. (d/b/a PublicSq.) and related proposals at a special meeting. Also on July 19, 2023, PSQ Holdings, Inc. announced that it had consummated the business combination with Colombier pursuant to a merger agreement between the parties, creating the resultant combined company PSQ Holdings, Inc. (d/b/a PublicSq). SuRo Capital Corp.’s shares of PSQ Holdings, Inc. (d/b/a PublicSq.) Class A Common shares are subject to certain restrictions on transfer, while the Company’s PSQ Holdings, Inc. warrants are freely tradable.</w:t>
      </w:r>
    </w:p>
    <w:p>
      <w:pPr>
        <w:sectPr>
          <w:pgSz w:w="11900" w:h="16838" w:orient="portrait"/>
          <w:cols w:equalWidth="0" w:num="1">
            <w:col w:w="11240"/>
          </w:cols>
          <w:pgMar w:left="320" w:top="233" w:right="339" w:bottom="1039"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039" w:gutter="0" w:footer="0" w:header="0"/>
          <w:type w:val="continuous"/>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Headquarters/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of Initial</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7"/>
        </w:trPr>
        <w:tc>
          <w:tcPr>
            <w:tcW w:w="2040" w:type="dxa"/>
            <w:vAlign w:val="bottom"/>
            <w:gridSpan w:val="17"/>
          </w:tcPr>
          <w:p>
            <w:pPr>
              <w:spacing w:after="0"/>
              <w:rPr>
                <w:sz w:val="20"/>
                <w:szCs w:val="20"/>
                <w:color w:val="auto"/>
              </w:rPr>
            </w:pPr>
            <w:r>
              <w:rPr>
                <w:rFonts w:ascii="Arial" w:cs="Arial" w:eastAsia="Arial" w:hAnsi="Arial"/>
                <w:sz w:val="18"/>
                <w:szCs w:val="18"/>
                <w:b w:val="1"/>
                <w:bCs w:val="1"/>
                <w:color w:val="auto"/>
              </w:rPr>
              <w:t>Portfolio Investments*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Industry</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Investment</w:t>
            </w: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Principal</w:t>
            </w:r>
          </w:p>
        </w:tc>
        <w:tc>
          <w:tcPr>
            <w:tcW w:w="260" w:type="dxa"/>
            <w:vAlign w:val="bottom"/>
          </w:tcPr>
          <w:p>
            <w:pPr>
              <w:spacing w:after="0"/>
              <w:rPr>
                <w:sz w:val="20"/>
                <w:szCs w:val="20"/>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Fair Value</w:t>
            </w:r>
          </w:p>
        </w:tc>
        <w:tc>
          <w:tcPr>
            <w:tcW w:w="13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4"/>
        </w:trPr>
        <w:tc>
          <w:tcPr>
            <w:tcW w:w="1800" w:type="dxa"/>
            <w:vAlign w:val="bottom"/>
            <w:tcBorders>
              <w:top w:val="single" w:sz="8" w:color="auto"/>
            </w:tcBorders>
            <w:gridSpan w:val="16"/>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NON-</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CONTROLLED/NON-</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AFFILIATE</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gridSpan w:val="7"/>
          </w:tcPr>
          <w:p>
            <w:pPr>
              <w:spacing w:after="0" w:line="172" w:lineRule="exact"/>
              <w:rPr>
                <w:sz w:val="20"/>
                <w:szCs w:val="20"/>
                <w:color w:val="auto"/>
              </w:rPr>
            </w:pPr>
            <w:r>
              <w:rPr>
                <w:rFonts w:ascii="Arial" w:cs="Arial" w:eastAsia="Arial" w:hAnsi="Arial"/>
                <w:sz w:val="18"/>
                <w:szCs w:val="18"/>
                <w:b w:val="1"/>
                <w:bCs w:val="1"/>
                <w:color w:val="auto"/>
                <w:w w:val="91"/>
              </w:rPr>
              <w:t>Learneo, Inc. (f/k/a</w:t>
            </w:r>
          </w:p>
        </w:tc>
        <w:tc>
          <w:tcPr>
            <w:tcW w:w="580" w:type="dxa"/>
            <w:vAlign w:val="bottom"/>
            <w:gridSpan w:val="10"/>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7"/>
          </w:tcPr>
          <w:p>
            <w:pPr>
              <w:spacing w:after="0" w:line="192" w:lineRule="exact"/>
              <w:rPr>
                <w:sz w:val="20"/>
                <w:szCs w:val="20"/>
                <w:color w:val="auto"/>
              </w:rPr>
            </w:pPr>
            <w:r>
              <w:rPr>
                <w:rFonts w:ascii="Arial" w:cs="Arial" w:eastAsia="Arial" w:hAnsi="Arial"/>
                <w:sz w:val="18"/>
                <w:szCs w:val="18"/>
                <w:b w:val="1"/>
                <w:bCs w:val="1"/>
                <w:color w:val="auto"/>
              </w:rPr>
              <w:t>Course Hero, Inc.)</w:t>
            </w: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91"/>
              </w:rPr>
              <w:t>Redwood City, CA</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 8%</w:t>
            </w: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Online Education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9/18/2014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2,145,509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40,541,403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gridSpan w:val="17"/>
          </w:tcPr>
          <w:p>
            <w:pPr>
              <w:spacing w:after="0"/>
              <w:rPr>
                <w:sz w:val="20"/>
                <w:szCs w:val="20"/>
                <w:color w:val="auto"/>
              </w:rPr>
            </w:pPr>
            <w:r>
              <w:rPr>
                <w:rFonts w:ascii="Arial" w:cs="Arial" w:eastAsia="Arial" w:hAnsi="Arial"/>
                <w:sz w:val="18"/>
                <w:szCs w:val="18"/>
                <w:color w:val="auto"/>
              </w:rPr>
              <w:t>C 8%</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11/5/2021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275,659</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9,999,971</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9,999,971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14,999,972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50,541,374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1380" w:type="dxa"/>
            <w:vAlign w:val="bottom"/>
            <w:tcBorders>
              <w:bottom w:val="single" w:sz="8" w:color="auto"/>
            </w:tcBorders>
            <w:gridSpan w:val="6"/>
          </w:tcPr>
          <w:p>
            <w:pPr>
              <w:spacing w:after="0" w:line="159" w:lineRule="exact"/>
              <w:rPr>
                <w:sz w:val="20"/>
                <w:szCs w:val="20"/>
                <w:color w:val="auto"/>
              </w:rPr>
            </w:pPr>
            <w:r>
              <w:rPr>
                <w:rFonts w:ascii="Arial" w:cs="Arial" w:eastAsia="Arial" w:hAnsi="Arial"/>
                <w:sz w:val="18"/>
                <w:szCs w:val="18"/>
                <w:b w:val="1"/>
                <w:bCs w:val="1"/>
                <w:color w:val="auto"/>
                <w:w w:val="92"/>
              </w:rPr>
              <w:t>Blink Health, Inc.</w:t>
            </w:r>
          </w:p>
        </w:tc>
        <w:tc>
          <w:tcPr>
            <w:tcW w:w="660" w:type="dxa"/>
            <w:vAlign w:val="bottom"/>
            <w:gridSpan w:val="11"/>
          </w:tcPr>
          <w:p>
            <w:pPr>
              <w:spacing w:after="0"/>
              <w:rPr>
                <w:sz w:val="14"/>
                <w:szCs w:val="14"/>
                <w:color w:val="auto"/>
              </w:rPr>
            </w:pPr>
          </w:p>
        </w:tc>
        <w:tc>
          <w:tcPr>
            <w:tcW w:w="1680" w:type="dxa"/>
            <w:vAlign w:val="bottom"/>
            <w:gridSpan w:val="2"/>
          </w:tcPr>
          <w:p>
            <w:pPr>
              <w:jc w:val="center"/>
              <w:ind w:right="220"/>
              <w:spacing w:after="0" w:line="159" w:lineRule="exact"/>
              <w:rPr>
                <w:sz w:val="20"/>
                <w:szCs w:val="20"/>
                <w:color w:val="auto"/>
              </w:rPr>
            </w:pPr>
            <w:r>
              <w:rPr>
                <w:rFonts w:ascii="Arial" w:cs="Arial" w:eastAsia="Arial" w:hAnsi="Arial"/>
                <w:sz w:val="18"/>
                <w:szCs w:val="18"/>
                <w:color w:val="auto"/>
                <w:w w:val="93"/>
              </w:rPr>
              <w:t>New York, NY</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Pharmaceutical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238,095</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5,000,423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949,924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gridSpan w:val="17"/>
          </w:tcPr>
          <w:p>
            <w:pPr>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10/27/2020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261,944</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10,003,917</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9,999,974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15,004,340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10,949,898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46"/>
        </w:trPr>
        <w:tc>
          <w:tcPr>
            <w:tcW w:w="1720" w:type="dxa"/>
            <w:vAlign w:val="bottom"/>
            <w:tcBorders>
              <w:bottom w:val="single" w:sz="8" w:color="auto"/>
            </w:tcBorders>
            <w:gridSpan w:val="14"/>
          </w:tcPr>
          <w:p>
            <w:pPr>
              <w:spacing w:after="0" w:line="146" w:lineRule="exact"/>
              <w:rPr>
                <w:sz w:val="20"/>
                <w:szCs w:val="20"/>
                <w:color w:val="auto"/>
              </w:rPr>
            </w:pPr>
            <w:r>
              <w:rPr>
                <w:rFonts w:ascii="Arial" w:cs="Arial" w:eastAsia="Arial" w:hAnsi="Arial"/>
                <w:sz w:val="15"/>
                <w:szCs w:val="15"/>
                <w:b w:val="1"/>
                <w:bCs w:val="1"/>
                <w:color w:val="auto"/>
              </w:rPr>
              <w:t>Orchard Technologies,</w:t>
            </w:r>
          </w:p>
        </w:tc>
        <w:tc>
          <w:tcPr>
            <w:tcW w:w="320" w:type="dxa"/>
            <w:vAlign w:val="bottom"/>
            <w:gridSpan w:val="3"/>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0" w:type="dxa"/>
            <w:vAlign w:val="bottom"/>
            <w:tcBorders>
              <w:bottom w:val="single" w:sz="8" w:color="auto"/>
            </w:tcBorders>
          </w:tcPr>
          <w:p>
            <w:pPr>
              <w:spacing w:after="0" w:line="192" w:lineRule="exact"/>
              <w:rPr>
                <w:sz w:val="20"/>
                <w:szCs w:val="20"/>
                <w:color w:val="auto"/>
              </w:rPr>
            </w:pPr>
            <w:r>
              <w:rPr>
                <w:rFonts w:ascii="Arial" w:cs="Arial" w:eastAsia="Arial" w:hAnsi="Arial"/>
                <w:sz w:val="18"/>
                <w:szCs w:val="18"/>
                <w:b w:val="1"/>
                <w:bCs w:val="1"/>
                <w:color w:val="auto"/>
                <w:w w:val="90"/>
              </w:rPr>
              <w:t>Inc.</w:t>
            </w:r>
          </w:p>
        </w:tc>
        <w:tc>
          <w:tcPr>
            <w:tcW w:w="1740" w:type="dxa"/>
            <w:vAlign w:val="bottom"/>
            <w:gridSpan w:val="16"/>
          </w:tcPr>
          <w:p>
            <w:pPr>
              <w:spacing w:after="0"/>
              <w:rPr>
                <w:sz w:val="17"/>
                <w:szCs w:val="17"/>
                <w:color w:val="auto"/>
              </w:rPr>
            </w:pP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93"/>
              </w:rPr>
              <w:t>New York, NY</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Real Estate Platform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8/9/2021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1,488,139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10,004,034</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9,999,996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Simple Agreement for</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gridSpan w:val="17"/>
          </w:tcPr>
          <w:p>
            <w:pPr>
              <w:spacing w:after="0"/>
              <w:rPr>
                <w:sz w:val="20"/>
                <w:szCs w:val="20"/>
                <w:color w:val="auto"/>
              </w:rPr>
            </w:pPr>
            <w:r>
              <w:rPr>
                <w:rFonts w:ascii="Arial" w:cs="Arial" w:eastAsia="Arial" w:hAnsi="Arial"/>
                <w:sz w:val="18"/>
                <w:szCs w:val="18"/>
                <w:color w:val="auto"/>
              </w:rPr>
              <w:t>Future Equity</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9/2/2022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501,663</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10,505,697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10,499,996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auto"/>
            </w:tcBorders>
            <w:gridSpan w:val="12"/>
          </w:tcPr>
          <w:p>
            <w:pPr>
              <w:spacing w:after="0" w:line="159" w:lineRule="exact"/>
              <w:rPr>
                <w:sz w:val="20"/>
                <w:szCs w:val="20"/>
                <w:color w:val="auto"/>
              </w:rPr>
            </w:pPr>
            <w:r>
              <w:rPr>
                <w:rFonts w:ascii="Arial" w:cs="Arial" w:eastAsia="Arial" w:hAnsi="Arial"/>
                <w:sz w:val="18"/>
                <w:szCs w:val="18"/>
                <w:b w:val="1"/>
                <w:bCs w:val="1"/>
                <w:color w:val="auto"/>
                <w:w w:val="86"/>
              </w:rPr>
              <w:t>Locus Robotics Corp.</w:t>
            </w:r>
          </w:p>
        </w:tc>
        <w:tc>
          <w:tcPr>
            <w:tcW w:w="400" w:type="dxa"/>
            <w:vAlign w:val="bottom"/>
            <w:gridSpan w:val="5"/>
          </w:tcPr>
          <w:p>
            <w:pPr>
              <w:spacing w:after="0"/>
              <w:rPr>
                <w:sz w:val="14"/>
                <w:szCs w:val="14"/>
                <w:color w:val="auto"/>
              </w:rPr>
            </w:pPr>
          </w:p>
        </w:tc>
        <w:tc>
          <w:tcPr>
            <w:tcW w:w="1680" w:type="dxa"/>
            <w:vAlign w:val="bottom"/>
            <w:gridSpan w:val="2"/>
          </w:tcPr>
          <w:p>
            <w:pPr>
              <w:jc w:val="center"/>
              <w:ind w:right="220"/>
              <w:spacing w:after="0" w:line="159" w:lineRule="exact"/>
              <w:rPr>
                <w:sz w:val="20"/>
                <w:szCs w:val="20"/>
                <w:color w:val="auto"/>
              </w:rPr>
            </w:pPr>
            <w:r>
              <w:rPr>
                <w:rFonts w:ascii="Arial" w:cs="Arial" w:eastAsia="Arial" w:hAnsi="Arial"/>
                <w:sz w:val="18"/>
                <w:szCs w:val="18"/>
                <w:color w:val="auto"/>
                <w:w w:val="96"/>
              </w:rPr>
              <w:t>Wilmington, MA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Warehouse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Automation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11/30/2022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232,568</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10,004,286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172"/>
        </w:trPr>
        <w:tc>
          <w:tcPr>
            <w:tcW w:w="1560" w:type="dxa"/>
            <w:vAlign w:val="bottom"/>
            <w:tcBorders>
              <w:bottom w:val="single" w:sz="8" w:color="auto"/>
            </w:tcBorders>
            <w:gridSpan w:val="11"/>
          </w:tcPr>
          <w:p>
            <w:pPr>
              <w:spacing w:after="0" w:line="172" w:lineRule="exact"/>
              <w:rPr>
                <w:sz w:val="20"/>
                <w:szCs w:val="20"/>
                <w:color w:val="auto"/>
              </w:rPr>
            </w:pPr>
            <w:r>
              <w:rPr>
                <w:rFonts w:ascii="Arial" w:cs="Arial" w:eastAsia="Arial" w:hAnsi="Arial"/>
                <w:sz w:val="18"/>
                <w:szCs w:val="18"/>
                <w:b w:val="1"/>
                <w:bCs w:val="1"/>
                <w:color w:val="auto"/>
                <w:w w:val="89"/>
              </w:rPr>
              <w:t>Aspiration Partners,</w:t>
            </w:r>
          </w:p>
        </w:tc>
        <w:tc>
          <w:tcPr>
            <w:tcW w:w="480" w:type="dxa"/>
            <w:vAlign w:val="bottom"/>
            <w:gridSpan w:val="6"/>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0" w:type="dxa"/>
            <w:vAlign w:val="bottom"/>
            <w:tcBorders>
              <w:bottom w:val="single" w:sz="8" w:color="auto"/>
            </w:tcBorders>
          </w:tcPr>
          <w:p>
            <w:pPr>
              <w:spacing w:after="0" w:line="192" w:lineRule="exact"/>
              <w:rPr>
                <w:sz w:val="20"/>
                <w:szCs w:val="20"/>
                <w:color w:val="auto"/>
              </w:rPr>
            </w:pPr>
            <w:r>
              <w:rPr>
                <w:rFonts w:ascii="Arial" w:cs="Arial" w:eastAsia="Arial" w:hAnsi="Arial"/>
                <w:sz w:val="18"/>
                <w:szCs w:val="18"/>
                <w:b w:val="1"/>
                <w:bCs w:val="1"/>
                <w:color w:val="auto"/>
                <w:w w:val="90"/>
              </w:rPr>
              <w:t>Inc.</w:t>
            </w:r>
          </w:p>
        </w:tc>
        <w:tc>
          <w:tcPr>
            <w:tcW w:w="1740" w:type="dxa"/>
            <w:vAlign w:val="bottom"/>
            <w:gridSpan w:val="16"/>
          </w:tcPr>
          <w:p>
            <w:pPr>
              <w:spacing w:after="0"/>
              <w:rPr>
                <w:sz w:val="17"/>
                <w:szCs w:val="17"/>
                <w:color w:val="auto"/>
              </w:rPr>
            </w:pP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91"/>
              </w:rPr>
              <w:t>Marina Del Rey, CA</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Financial Services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8/11/2015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540,270</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1,001,815</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6,229,360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gridSpan w:val="17"/>
          </w:tcPr>
          <w:p>
            <w:pPr>
              <w:spacing w:after="0"/>
              <w:rPr>
                <w:sz w:val="20"/>
                <w:szCs w:val="20"/>
                <w:color w:val="auto"/>
              </w:rPr>
            </w:pPr>
            <w:r>
              <w:rPr>
                <w:rFonts w:ascii="Arial" w:cs="Arial" w:eastAsia="Arial" w:hAnsi="Arial"/>
                <w:sz w:val="18"/>
                <w:szCs w:val="18"/>
                <w:color w:val="auto"/>
              </w:rPr>
              <w:t>C-3</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8/12/2019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24,912</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281,190</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312,151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1,283,005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6,541,511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9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8"/>
                <w:szCs w:val="18"/>
                <w:b w:val="1"/>
                <w:bCs w:val="1"/>
                <w:color w:val="auto"/>
                <w:w w:val="90"/>
              </w:rPr>
              <w:t>Whoop, Inc.</w:t>
            </w:r>
          </w:p>
        </w:tc>
        <w:tc>
          <w:tcPr>
            <w:tcW w:w="1100" w:type="dxa"/>
            <w:vAlign w:val="bottom"/>
            <w:gridSpan w:val="15"/>
          </w:tcPr>
          <w:p>
            <w:pPr>
              <w:spacing w:after="0"/>
              <w:rPr>
                <w:sz w:val="14"/>
                <w:szCs w:val="14"/>
                <w:color w:val="auto"/>
              </w:rPr>
            </w:pPr>
          </w:p>
        </w:tc>
        <w:tc>
          <w:tcPr>
            <w:tcW w:w="1680" w:type="dxa"/>
            <w:vAlign w:val="bottom"/>
            <w:gridSpan w:val="2"/>
          </w:tcPr>
          <w:p>
            <w:pPr>
              <w:jc w:val="center"/>
              <w:ind w:right="220"/>
              <w:spacing w:after="0" w:line="159" w:lineRule="exact"/>
              <w:rPr>
                <w:sz w:val="20"/>
                <w:szCs w:val="20"/>
                <w:color w:val="auto"/>
              </w:rPr>
            </w:pPr>
            <w:r>
              <w:rPr>
                <w:rFonts w:ascii="Arial" w:cs="Arial" w:eastAsia="Arial" w:hAnsi="Arial"/>
                <w:sz w:val="18"/>
                <w:szCs w:val="18"/>
                <w:color w:val="auto"/>
                <w:w w:val="92"/>
              </w:rPr>
              <w:t>Boston, MA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Fitness 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13,293,450</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10,011,460</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6,084,041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2"/>
        </w:trPr>
        <w:tc>
          <w:tcPr>
            <w:tcW w:w="2040" w:type="dxa"/>
            <w:vAlign w:val="bottom"/>
            <w:gridSpan w:val="17"/>
          </w:tcPr>
          <w:p>
            <w:pPr>
              <w:spacing w:after="0" w:line="212" w:lineRule="exact"/>
              <w:rPr>
                <w:sz w:val="20"/>
                <w:szCs w:val="20"/>
                <w:color w:val="auto"/>
              </w:rPr>
            </w:pPr>
            <w:r>
              <w:rPr>
                <w:rFonts w:ascii="Arial" w:cs="Arial" w:eastAsia="Arial" w:hAnsi="Arial"/>
                <w:sz w:val="15"/>
                <w:szCs w:val="15"/>
                <w:b w:val="1"/>
                <w:bCs w:val="1"/>
                <w:color w:val="auto"/>
              </w:rPr>
              <w:t>Forge Global, Inc.</w:t>
            </w:r>
            <w:r>
              <w:rPr>
                <w:rFonts w:ascii="Arial" w:cs="Arial" w:eastAsia="Arial" w:hAnsi="Arial"/>
                <w:sz w:val="24"/>
                <w:szCs w:val="24"/>
                <w:b w:val="1"/>
                <w:bCs w:val="1"/>
                <w:color w:val="auto"/>
                <w:vertAlign w:val="superscript"/>
              </w:rPr>
              <w:t>**</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San Francisco, CA</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17"/>
            <w:vMerge w:val="restart"/>
            <w:shd w:val="clear" w:color="auto" w:fill="CCEEFF"/>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(3)(14)</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Online Marketplace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vMerge w:val="continue"/>
            <w:shd w:val="clear" w:color="auto" w:fill="CCEEFF"/>
          </w:tcPr>
          <w:p>
            <w:pPr>
              <w:spacing w:after="0"/>
              <w:rPr>
                <w:sz w:val="19"/>
                <w:szCs w:val="19"/>
                <w:color w:val="auto"/>
              </w:rPr>
            </w:pP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Finance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7/20/2011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2,508,074</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3,443,483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4,338,968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72"/>
        </w:trPr>
        <w:tc>
          <w:tcPr>
            <w:tcW w:w="1500" w:type="dxa"/>
            <w:vAlign w:val="bottom"/>
            <w:tcBorders>
              <w:bottom w:val="single" w:sz="8" w:color="auto"/>
            </w:tcBorders>
            <w:gridSpan w:val="9"/>
          </w:tcPr>
          <w:p>
            <w:pPr>
              <w:spacing w:after="0" w:line="172" w:lineRule="exact"/>
              <w:rPr>
                <w:sz w:val="20"/>
                <w:szCs w:val="20"/>
                <w:color w:val="auto"/>
              </w:rPr>
            </w:pPr>
            <w:r>
              <w:rPr>
                <w:rFonts w:ascii="Arial" w:cs="Arial" w:eastAsia="Arial" w:hAnsi="Arial"/>
                <w:sz w:val="18"/>
                <w:szCs w:val="18"/>
                <w:b w:val="1"/>
                <w:bCs w:val="1"/>
                <w:color w:val="auto"/>
                <w:w w:val="89"/>
              </w:rPr>
              <w:t>Nextdoor Holdings,</w:t>
            </w:r>
          </w:p>
        </w:tc>
        <w:tc>
          <w:tcPr>
            <w:tcW w:w="540" w:type="dxa"/>
            <w:vAlign w:val="bottom"/>
            <w:gridSpan w:val="8"/>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7"/>
          </w:tcPr>
          <w:p>
            <w:pPr>
              <w:spacing w:after="0" w:line="192" w:lineRule="exact"/>
              <w:rPr>
                <w:sz w:val="20"/>
                <w:szCs w:val="20"/>
                <w:color w:val="auto"/>
              </w:rPr>
            </w:pPr>
            <w:r>
              <w:rPr>
                <w:rFonts w:ascii="Arial" w:cs="Arial" w:eastAsia="Arial" w:hAnsi="Arial"/>
                <w:sz w:val="18"/>
                <w:szCs w:val="18"/>
                <w:b w:val="1"/>
                <w:bCs w:val="1"/>
                <w:color w:val="auto"/>
              </w:rPr>
              <w:t>Inc.**</w:t>
            </w: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89"/>
              </w:rPr>
              <w:t>San Francisco, CA</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Common shares, Class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40" w:type="dxa"/>
            <w:vAlign w:val="bottom"/>
            <w:gridSpan w:val="17"/>
            <w:shd w:val="clear" w:color="auto" w:fill="CCEEFF"/>
          </w:tcPr>
          <w:p>
            <w:pPr>
              <w:spacing w:after="0" w:line="262" w:lineRule="exact"/>
              <w:rPr>
                <w:sz w:val="20"/>
                <w:szCs w:val="20"/>
                <w:color w:val="auto"/>
              </w:rPr>
            </w:pPr>
            <w:r>
              <w:rPr>
                <w:rFonts w:ascii="Arial" w:cs="Arial" w:eastAsia="Arial" w:hAnsi="Arial"/>
                <w:sz w:val="30"/>
                <w:szCs w:val="30"/>
                <w:color w:val="auto"/>
                <w:vertAlign w:val="subscript"/>
              </w:rPr>
              <w:t>B</w:t>
            </w:r>
            <w:r>
              <w:rPr>
                <w:rFonts w:ascii="Arial" w:cs="Arial" w:eastAsia="Arial" w:hAnsi="Arial"/>
                <w:sz w:val="13"/>
                <w:szCs w:val="13"/>
                <w:color w:val="auto"/>
              </w:rPr>
              <w:t>(3)</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Social Networking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9/27/2018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1,802,416</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10,002,666</w:t>
            </w: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3,712,977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72"/>
        </w:trPr>
        <w:tc>
          <w:tcPr>
            <w:tcW w:w="2040" w:type="dxa"/>
            <w:vAlign w:val="bottom"/>
            <w:gridSpan w:val="17"/>
          </w:tcPr>
          <w:p>
            <w:pPr>
              <w:spacing w:after="0" w:line="172" w:lineRule="exact"/>
              <w:rPr>
                <w:sz w:val="20"/>
                <w:szCs w:val="20"/>
                <w:color w:val="auto"/>
              </w:rPr>
            </w:pPr>
            <w:r>
              <w:rPr>
                <w:rFonts w:ascii="Arial" w:cs="Arial" w:eastAsia="Arial" w:hAnsi="Arial"/>
                <w:sz w:val="18"/>
                <w:szCs w:val="18"/>
                <w:b w:val="1"/>
                <w:bCs w:val="1"/>
                <w:color w:val="auto"/>
              </w:rPr>
              <w:t>NewLake Capital</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500" w:type="dxa"/>
            <w:vAlign w:val="bottom"/>
            <w:tcBorders>
              <w:bottom w:val="single" w:sz="8" w:color="auto"/>
            </w:tcBorders>
            <w:gridSpan w:val="9"/>
          </w:tcPr>
          <w:p>
            <w:pPr>
              <w:spacing w:after="0" w:line="192" w:lineRule="exact"/>
              <w:rPr>
                <w:sz w:val="20"/>
                <w:szCs w:val="20"/>
                <w:color w:val="auto"/>
              </w:rPr>
            </w:pPr>
            <w:r>
              <w:rPr>
                <w:rFonts w:ascii="Arial" w:cs="Arial" w:eastAsia="Arial" w:hAnsi="Arial"/>
                <w:sz w:val="18"/>
                <w:szCs w:val="18"/>
                <w:b w:val="1"/>
                <w:bCs w:val="1"/>
                <w:color w:val="auto"/>
                <w:w w:val="91"/>
              </w:rPr>
              <w:t>Partners, Inc. (f/k/a</w:t>
            </w:r>
          </w:p>
        </w:tc>
        <w:tc>
          <w:tcPr>
            <w:tcW w:w="540" w:type="dxa"/>
            <w:vAlign w:val="bottom"/>
            <w:gridSpan w:val="8"/>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gridSpan w:val="8"/>
          </w:tcPr>
          <w:p>
            <w:pPr>
              <w:spacing w:after="0" w:line="192" w:lineRule="exact"/>
              <w:rPr>
                <w:sz w:val="20"/>
                <w:szCs w:val="20"/>
                <w:color w:val="auto"/>
              </w:rPr>
            </w:pPr>
            <w:r>
              <w:rPr>
                <w:rFonts w:ascii="Arial" w:cs="Arial" w:eastAsia="Arial" w:hAnsi="Arial"/>
                <w:sz w:val="18"/>
                <w:szCs w:val="18"/>
                <w:b w:val="1"/>
                <w:bCs w:val="1"/>
                <w:color w:val="auto"/>
                <w:w w:val="87"/>
              </w:rPr>
              <w:t>GreenAcreage Real</w:t>
            </w:r>
          </w:p>
        </w:tc>
        <w:tc>
          <w:tcPr>
            <w:tcW w:w="560" w:type="dxa"/>
            <w:vAlign w:val="bottom"/>
            <w:gridSpan w:val="9"/>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gridSpan w:val="17"/>
          </w:tcPr>
          <w:p>
            <w:pPr>
              <w:spacing w:after="0" w:line="192" w:lineRule="exact"/>
              <w:rPr>
                <w:sz w:val="20"/>
                <w:szCs w:val="20"/>
                <w:color w:val="auto"/>
              </w:rPr>
            </w:pPr>
            <w:r>
              <w:rPr>
                <w:rFonts w:ascii="Arial" w:cs="Arial" w:eastAsia="Arial" w:hAnsi="Arial"/>
                <w:sz w:val="18"/>
                <w:szCs w:val="18"/>
                <w:b w:val="1"/>
                <w:bCs w:val="1"/>
                <w:color w:val="auto"/>
              </w:rPr>
              <w:t>Estate Corp.)**</w:t>
            </w: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88"/>
              </w:rPr>
              <w:t>New Canaan, CT</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40" w:type="dxa"/>
            <w:vAlign w:val="bottom"/>
            <w:gridSpan w:val="17"/>
            <w:shd w:val="clear" w:color="auto" w:fill="CCEEFF"/>
          </w:tcPr>
          <w:p>
            <w:pPr>
              <w:spacing w:after="0" w:line="262"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Cannabis REIT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8/12/2019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229,758</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4,678,686</w:t>
            </w: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3,680,723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auto"/>
            </w:tcBorders>
            <w:gridSpan w:val="10"/>
          </w:tcPr>
          <w:p>
            <w:pPr>
              <w:spacing w:after="0" w:line="172" w:lineRule="exact"/>
              <w:rPr>
                <w:sz w:val="20"/>
                <w:szCs w:val="20"/>
                <w:color w:val="auto"/>
              </w:rPr>
            </w:pPr>
            <w:r>
              <w:rPr>
                <w:rFonts w:ascii="Arial" w:cs="Arial" w:eastAsia="Arial" w:hAnsi="Arial"/>
                <w:sz w:val="18"/>
                <w:szCs w:val="18"/>
                <w:b w:val="1"/>
                <w:bCs w:val="1"/>
                <w:color w:val="auto"/>
                <w:w w:val="86"/>
              </w:rPr>
              <w:t>Shogun Enterprises,</w:t>
            </w:r>
          </w:p>
        </w:tc>
        <w:tc>
          <w:tcPr>
            <w:tcW w:w="500" w:type="dxa"/>
            <w:vAlign w:val="bottom"/>
            <w:gridSpan w:val="7"/>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7"/>
          </w:tcPr>
          <w:p>
            <w:pPr>
              <w:spacing w:after="0" w:line="192" w:lineRule="exact"/>
              <w:rPr>
                <w:sz w:val="20"/>
                <w:szCs w:val="20"/>
                <w:color w:val="auto"/>
              </w:rPr>
            </w:pPr>
            <w:r>
              <w:rPr>
                <w:rFonts w:ascii="Arial" w:cs="Arial" w:eastAsia="Arial" w:hAnsi="Arial"/>
                <w:sz w:val="18"/>
                <w:szCs w:val="18"/>
                <w:b w:val="1"/>
                <w:bCs w:val="1"/>
                <w:color w:val="auto"/>
              </w:rPr>
              <w:t>Inc. (d/b/a Hearth)</w:t>
            </w:r>
          </w:p>
        </w:tc>
        <w:tc>
          <w:tcPr>
            <w:tcW w:w="1680" w:type="dxa"/>
            <w:vAlign w:val="bottom"/>
            <w:gridSpan w:val="2"/>
          </w:tcPr>
          <w:p>
            <w:pPr>
              <w:jc w:val="center"/>
              <w:ind w:right="220"/>
              <w:spacing w:after="0" w:line="192" w:lineRule="exact"/>
              <w:rPr>
                <w:sz w:val="20"/>
                <w:szCs w:val="20"/>
                <w:color w:val="auto"/>
              </w:rPr>
            </w:pPr>
            <w:r>
              <w:rPr>
                <w:rFonts w:ascii="Arial" w:cs="Arial" w:eastAsia="Arial" w:hAnsi="Arial"/>
                <w:sz w:val="18"/>
                <w:szCs w:val="18"/>
                <w:color w:val="auto"/>
                <w:w w:val="93"/>
              </w:rPr>
              <w:t>Austin, TX</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Series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Home Improvement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B-1</w:t>
            </w: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Finance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2/26/2021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436,844</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3,501,657</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1,403,023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B-2</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2/26/2021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301,750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3,501,661</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1,403,024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0"/>
        </w:trPr>
        <w:tc>
          <w:tcPr>
            <w:tcW w:w="204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rPr>
              <w:t>Convertible Note 0.5%,</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Due 4/18/2024***</w:t>
            </w:r>
          </w:p>
        </w:tc>
        <w:tc>
          <w:tcPr>
            <w:tcW w:w="1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5/2/2022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6"/>
        </w:trPr>
        <w:tc>
          <w:tcPr>
            <w:tcW w:w="2040" w:type="dxa"/>
            <w:vAlign w:val="bottom"/>
            <w:tcBorders>
              <w:top w:val="single" w:sz="8" w:color="CCEEFF"/>
              <w:bottom w:val="single" w:sz="8" w:color="CCEEFF"/>
            </w:tcBorders>
            <w:gridSpan w:val="17"/>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7,503,318</w:t>
            </w:r>
          </w:p>
        </w:tc>
        <w:tc>
          <w:tcPr>
            <w:tcW w:w="3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3,306,047</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1.57</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9"/>
        </w:trPr>
        <w:tc>
          <w:tcPr>
            <w:tcW w:w="1760" w:type="dxa"/>
            <w:vAlign w:val="bottom"/>
            <w:tcBorders>
              <w:bottom w:val="single" w:sz="8" w:color="auto"/>
            </w:tcBorders>
            <w:gridSpan w:val="15"/>
            <w:shd w:val="clear" w:color="auto" w:fill="CCEEFF"/>
          </w:tcPr>
          <w:p>
            <w:pPr>
              <w:spacing w:after="0" w:line="139" w:lineRule="exact"/>
              <w:rPr>
                <w:sz w:val="20"/>
                <w:szCs w:val="20"/>
                <w:color w:val="auto"/>
              </w:rPr>
            </w:pPr>
            <w:r>
              <w:rPr>
                <w:rFonts w:ascii="Arial" w:cs="Arial" w:eastAsia="Arial" w:hAnsi="Arial"/>
                <w:sz w:val="15"/>
                <w:szCs w:val="15"/>
                <w:b w:val="1"/>
                <w:bCs w:val="1"/>
                <w:color w:val="auto"/>
              </w:rPr>
              <w:t>True Global Ventures 4</w:t>
            </w:r>
          </w:p>
        </w:tc>
        <w:tc>
          <w:tcPr>
            <w:tcW w:w="280" w:type="dxa"/>
            <w:vAlign w:val="bottom"/>
            <w:tcBorders>
              <w:bottom w:val="single" w:sz="8" w:color="CCEEFF"/>
            </w:tcBorders>
            <w:gridSpan w:val="2"/>
            <w:shd w:val="clear" w:color="auto" w:fill="CCEEFF"/>
          </w:tcPr>
          <w:p>
            <w:pPr>
              <w:spacing w:after="0"/>
              <w:rPr>
                <w:sz w:val="13"/>
                <w:szCs w:val="13"/>
                <w:color w:val="auto"/>
              </w:rPr>
            </w:pPr>
          </w:p>
        </w:tc>
        <w:tc>
          <w:tcPr>
            <w:tcW w:w="16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7"/>
              </w:rPr>
              <w:t>Singapore,</w:t>
            </w:r>
          </w:p>
        </w:tc>
        <w:tc>
          <w:tcPr>
            <w:tcW w:w="1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40" w:type="dxa"/>
            <w:vAlign w:val="bottom"/>
            <w:gridSpan w:val="17"/>
            <w:vMerge w:val="restart"/>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Plus Pte Ltd**</w:t>
            </w:r>
            <w:r>
              <w:rPr>
                <w:rFonts w:ascii="Arial" w:cs="Arial" w:eastAsia="Arial" w:hAnsi="Arial"/>
                <w:sz w:val="26"/>
                <w:szCs w:val="26"/>
                <w:b w:val="1"/>
                <w:bCs w:val="1"/>
                <w:color w:val="auto"/>
                <w:vertAlign w:val="superscript"/>
              </w:rPr>
              <w:t>(8)</w:t>
            </w:r>
          </w:p>
        </w:tc>
        <w:tc>
          <w:tcPr>
            <w:tcW w:w="1680" w:type="dxa"/>
            <w:vAlign w:val="bottom"/>
            <w:gridSpan w:val="2"/>
            <w:vMerge w:val="continue"/>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40" w:type="dxa"/>
            <w:vAlign w:val="bottom"/>
            <w:gridSpan w:val="17"/>
            <w:vMerge w:val="continue"/>
            <w:shd w:val="clear" w:color="auto" w:fill="CCEEFF"/>
          </w:tcPr>
          <w:p>
            <w:pPr>
              <w:spacing w:after="0"/>
              <w:rPr>
                <w:sz w:val="16"/>
                <w:szCs w:val="16"/>
                <w:color w:val="auto"/>
              </w:rPr>
            </w:pPr>
          </w:p>
        </w:tc>
        <w:tc>
          <w:tcPr>
            <w:tcW w:w="1680" w:type="dxa"/>
            <w:vAlign w:val="bottom"/>
            <w:gridSpan w:val="2"/>
            <w:shd w:val="clear" w:color="auto" w:fill="CCEEFF"/>
          </w:tcPr>
          <w:p>
            <w:pPr>
              <w:jc w:val="center"/>
              <w:ind w:right="220"/>
              <w:spacing w:after="0" w:line="185" w:lineRule="exact"/>
              <w:rPr>
                <w:sz w:val="20"/>
                <w:szCs w:val="20"/>
                <w:color w:val="auto"/>
              </w:rPr>
            </w:pPr>
            <w:r>
              <w:rPr>
                <w:rFonts w:ascii="Arial" w:cs="Arial" w:eastAsia="Arial" w:hAnsi="Arial"/>
                <w:sz w:val="18"/>
                <w:szCs w:val="18"/>
                <w:color w:val="auto"/>
                <w:w w:val="85"/>
              </w:rPr>
              <w:t>Singapore</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Limited Partner Fund</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8"/>
              </w:rPr>
              <w:t>Venture Investment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Investment</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Fund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8/27/2021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3,063,358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73"/>
        </w:trPr>
        <w:tc>
          <w:tcPr>
            <w:tcW w:w="2040" w:type="dxa"/>
            <w:vAlign w:val="bottom"/>
            <w:gridSpan w:val="17"/>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Residential Homes for</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80" w:type="dxa"/>
            <w:vAlign w:val="bottom"/>
            <w:tcBorders>
              <w:top w:val="single" w:sz="8" w:color="auto"/>
            </w:tcBorders>
            <w:gridSpan w:val="13"/>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Rent, LLC (d/b/a</w:t>
            </w:r>
          </w:p>
        </w:tc>
        <w:tc>
          <w:tcPr>
            <w:tcW w:w="360" w:type="dxa"/>
            <w:vAlign w:val="bottom"/>
            <w:tcBorders>
              <w:top w:val="single" w:sz="8" w:color="CCEEFF"/>
            </w:tcBorders>
            <w:gridSpan w:val="4"/>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Borders>
              <w:top w:val="single" w:sz="8" w:color="auto"/>
              <w:right w:val="single" w:sz="8" w:color="CCEEFF"/>
            </w:tcBorders>
            <w:gridSpan w:val="5"/>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0"/>
              </w:rPr>
              <w:t>Second Avenue)</w:t>
            </w:r>
          </w:p>
        </w:tc>
        <w:tc>
          <w:tcPr>
            <w:tcW w:w="720" w:type="dxa"/>
            <w:vAlign w:val="bottom"/>
            <w:tcBorders>
              <w:top w:val="single" w:sz="8" w:color="CCEEFF"/>
            </w:tcBorders>
            <w:gridSpan w:val="12"/>
            <w:shd w:val="clear" w:color="auto" w:fill="CCEEFF"/>
          </w:tcPr>
          <w:p>
            <w:pPr>
              <w:spacing w:after="0"/>
              <w:rPr>
                <w:sz w:val="16"/>
                <w:szCs w:val="16"/>
                <w:color w:val="auto"/>
              </w:rPr>
            </w:pPr>
          </w:p>
        </w:tc>
        <w:tc>
          <w:tcPr>
            <w:tcW w:w="1680" w:type="dxa"/>
            <w:vAlign w:val="bottom"/>
            <w:tcBorders>
              <w:top w:val="single" w:sz="8" w:color="CCEEFF"/>
            </w:tcBorders>
            <w:gridSpan w:val="2"/>
            <w:shd w:val="clear" w:color="auto" w:fill="CCEEFF"/>
          </w:tcPr>
          <w:p>
            <w:pPr>
              <w:jc w:val="center"/>
              <w:ind w:right="220"/>
              <w:spacing w:after="0" w:line="192" w:lineRule="exact"/>
              <w:rPr>
                <w:sz w:val="20"/>
                <w:szCs w:val="20"/>
                <w:color w:val="auto"/>
              </w:rPr>
            </w:pPr>
            <w:r>
              <w:rPr>
                <w:rFonts w:ascii="Arial" w:cs="Arial" w:eastAsia="Arial" w:hAnsi="Arial"/>
                <w:sz w:val="18"/>
                <w:szCs w:val="18"/>
                <w:color w:val="auto"/>
                <w:w w:val="94"/>
              </w:rPr>
              <w:t>Chicago, IL</w:t>
            </w:r>
          </w:p>
        </w:tc>
        <w:tc>
          <w:tcPr>
            <w:tcW w:w="1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gridSpan w:val="17"/>
          </w:tcPr>
          <w:p>
            <w:pPr>
              <w:spacing w:after="0" w:line="201"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40" w:type="dxa"/>
            <w:vAlign w:val="bottom"/>
            <w:gridSpan w:val="17"/>
          </w:tcPr>
          <w:p>
            <w:pPr>
              <w:spacing w:after="0" w:line="262" w:lineRule="exact"/>
              <w:rPr>
                <w:sz w:val="20"/>
                <w:szCs w:val="20"/>
                <w:color w:val="auto"/>
              </w:rPr>
            </w:pPr>
            <w:r>
              <w:rPr>
                <w:rFonts w:ascii="Arial" w:cs="Arial" w:eastAsia="Arial" w:hAnsi="Arial"/>
                <w:sz w:val="30"/>
                <w:szCs w:val="30"/>
                <w:color w:val="auto"/>
                <w:vertAlign w:val="subscript"/>
              </w:rPr>
              <w:t>A</w:t>
            </w:r>
            <w:r>
              <w:rPr>
                <w:rFonts w:ascii="Arial" w:cs="Arial" w:eastAsia="Arial" w:hAnsi="Arial"/>
                <w:sz w:val="13"/>
                <w:szCs w:val="13"/>
                <w:color w:val="auto"/>
              </w:rPr>
              <w:t>(6)</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Real Estate Platform</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12/23/2020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1,959,713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6"/>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Term loan 15%, Due</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12/23/2020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ectPr>
          <w:pgSz w:w="11900" w:h="16900" w:orient="portrait"/>
          <w:cols w:equalWidth="0" w:num="1">
            <w:col w:w="11240"/>
          </w:cols>
          <w:pgMar w:left="320" w:top="233"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3"/>
              </w:rPr>
              <w:t>12/23/2023***</w:t>
            </w:r>
            <w:r>
              <w:rPr>
                <w:rFonts w:ascii="Arial" w:cs="Arial" w:eastAsia="Arial" w:hAnsi="Arial"/>
                <w:sz w:val="29"/>
                <w:szCs w:val="29"/>
                <w:color w:val="auto"/>
                <w:w w:val="93"/>
                <w:vertAlign w:val="superscript"/>
              </w:rPr>
              <w:t>(11)</w:t>
            </w:r>
          </w:p>
        </w:tc>
        <w:tc>
          <w:tcPr>
            <w:tcW w:w="4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0" w:type="dxa"/>
            <w:vAlign w:val="bottom"/>
            <w:tcBorders>
              <w:bottom w:val="single" w:sz="8" w:color="CCEEFF"/>
            </w:tcBorders>
            <w:gridSpan w:val="5"/>
          </w:tcPr>
          <w:p>
            <w:pPr>
              <w:ind w:left="180"/>
              <w:spacing w:after="0" w:line="199"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2,500,000</w:t>
            </w:r>
          </w:p>
        </w:tc>
        <w:tc>
          <w:tcPr>
            <w:tcW w:w="3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2,959,713</w:t>
            </w:r>
          </w:p>
        </w:tc>
        <w:tc>
          <w:tcPr>
            <w:tcW w:w="3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6"/>
        </w:trPr>
        <w:tc>
          <w:tcPr>
            <w:tcW w:w="18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b w:val="1"/>
                <w:bCs w:val="1"/>
                <w:color w:val="auto"/>
              </w:rPr>
              <w:t>Trax Ltd.**</w:t>
            </w:r>
          </w:p>
        </w:tc>
        <w:tc>
          <w:tcPr>
            <w:tcW w:w="192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87"/>
              </w:rPr>
              <w:t>Singapore,</w:t>
            </w:r>
          </w:p>
        </w:tc>
        <w:tc>
          <w:tcPr>
            <w:tcW w:w="1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00" w:type="dxa"/>
            <w:vAlign w:val="bottom"/>
            <w:gridSpan w:val="5"/>
            <w:vMerge w:val="continue"/>
            <w:shd w:val="clear" w:color="auto" w:fill="CCEEFF"/>
          </w:tcPr>
          <w:p>
            <w:pPr>
              <w:spacing w:after="0"/>
              <w:rPr>
                <w:sz w:val="16"/>
                <w:szCs w:val="16"/>
                <w:color w:val="auto"/>
              </w:rPr>
            </w:pPr>
          </w:p>
        </w:tc>
        <w:tc>
          <w:tcPr>
            <w:tcW w:w="19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85"/>
              </w:rPr>
              <w:t>Singapore</w:t>
            </w:r>
          </w:p>
        </w:tc>
        <w:tc>
          <w:tcPr>
            <w:tcW w:w="1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2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0" w:type="dxa"/>
            <w:vAlign w:val="bottom"/>
            <w:gridSpan w:val="5"/>
          </w:tcPr>
          <w:p>
            <w:pPr>
              <w:spacing w:after="0"/>
              <w:rPr>
                <w:sz w:val="20"/>
                <w:szCs w:val="20"/>
                <w:color w:val="auto"/>
              </w:rPr>
            </w:pPr>
            <w:r>
              <w:rPr>
                <w:rFonts w:ascii="Arial" w:cs="Arial" w:eastAsia="Arial" w:hAnsi="Arial"/>
                <w:sz w:val="18"/>
                <w:szCs w:val="18"/>
                <w:color w:val="auto"/>
              </w:rPr>
              <w:t>Common shares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Retail Technology</w:t>
            </w:r>
          </w:p>
        </w:tc>
        <w:tc>
          <w:tcPr>
            <w:tcW w:w="1500" w:type="dxa"/>
            <w:vAlign w:val="bottom"/>
          </w:tcPr>
          <w:p>
            <w:pPr>
              <w:jc w:val="center"/>
              <w:ind w:right="152"/>
              <w:spacing w:after="0"/>
              <w:rPr>
                <w:sz w:val="20"/>
                <w:szCs w:val="20"/>
                <w:color w:val="auto"/>
              </w:rPr>
            </w:pPr>
            <w:r>
              <w:rPr>
                <w:rFonts w:ascii="Arial" w:cs="Arial" w:eastAsia="Arial" w:hAnsi="Arial"/>
                <w:sz w:val="18"/>
                <w:szCs w:val="18"/>
                <w:color w:val="auto"/>
                <w:w w:val="88"/>
              </w:rPr>
              <w:t>6/9/2021</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55,591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2,781,148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280,797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0"/>
        </w:trPr>
        <w:tc>
          <w:tcPr>
            <w:tcW w:w="1800" w:type="dxa"/>
            <w:vAlign w:val="bottom"/>
            <w:gridSpan w:val="5"/>
            <w:shd w:val="clear" w:color="auto" w:fill="CCEEFF"/>
          </w:tcPr>
          <w:p>
            <w:pPr>
              <w:spacing w:after="0" w:line="200" w:lineRule="exact"/>
              <w:rPr>
                <w:sz w:val="20"/>
                <w:szCs w:val="20"/>
                <w:color w:val="auto"/>
              </w:rPr>
            </w:pPr>
            <w:r>
              <w:rPr>
                <w:rFonts w:ascii="Arial" w:cs="Arial" w:eastAsia="Arial" w:hAnsi="Arial"/>
                <w:sz w:val="18"/>
                <w:szCs w:val="18"/>
                <w:color w:val="auto"/>
              </w:rPr>
              <w:t>Preferred shares,</w:t>
            </w:r>
          </w:p>
        </w:tc>
        <w:tc>
          <w:tcPr>
            <w:tcW w:w="19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Investec Series</w:t>
            </w:r>
          </w:p>
        </w:tc>
        <w:tc>
          <w:tcPr>
            <w:tcW w:w="19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8"/>
              </w:rPr>
              <w:t>6/9/2021</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144,409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7,224,600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2,647,017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6"/>
        </w:trPr>
        <w:tc>
          <w:tcPr>
            <w:tcW w:w="1800" w:type="dxa"/>
            <w:vAlign w:val="bottom"/>
            <w:tcBorders>
              <w:top w:val="single" w:sz="8" w:color="CCEEFF"/>
              <w:bottom w:val="single" w:sz="8" w:color="CCEEFF"/>
            </w:tcBorders>
            <w:gridSpan w:val="5"/>
          </w:tcPr>
          <w:p>
            <w:pPr>
              <w:ind w:left="180"/>
              <w:spacing w:after="0" w:line="199" w:lineRule="exact"/>
              <w:rPr>
                <w:sz w:val="20"/>
                <w:szCs w:val="20"/>
                <w:color w:val="auto"/>
              </w:rPr>
            </w:pPr>
            <w:r>
              <w:rPr>
                <w:rFonts w:ascii="Arial" w:cs="Arial" w:eastAsia="Arial" w:hAnsi="Arial"/>
                <w:sz w:val="18"/>
                <w:szCs w:val="18"/>
                <w:color w:val="auto"/>
              </w:rPr>
              <w:t>Total</w:t>
            </w:r>
          </w:p>
        </w:tc>
        <w:tc>
          <w:tcPr>
            <w:tcW w:w="1920" w:type="dxa"/>
            <w:vAlign w:val="bottom"/>
            <w:tcBorders>
              <w:top w:val="single" w:sz="8" w:color="CCEEFF"/>
              <w:bottom w:val="single" w:sz="8" w:color="CCEEFF"/>
            </w:tcBorders>
          </w:tcPr>
          <w:p>
            <w:pPr>
              <w:spacing w:after="0"/>
              <w:rPr>
                <w:sz w:val="17"/>
                <w:szCs w:val="17"/>
                <w:color w:val="auto"/>
              </w:rPr>
            </w:pPr>
          </w:p>
        </w:tc>
        <w:tc>
          <w:tcPr>
            <w:tcW w:w="1500" w:type="dxa"/>
            <w:vAlign w:val="bottom"/>
            <w:tcBorders>
              <w:top w:val="single" w:sz="8" w:color="CCEEFF"/>
              <w:bottom w:val="single" w:sz="8" w:color="CCEEFF"/>
            </w:tcBorders>
          </w:tcPr>
          <w:p>
            <w:pPr>
              <w:spacing w:after="0"/>
              <w:rPr>
                <w:sz w:val="17"/>
                <w:szCs w:val="17"/>
                <w:color w:val="auto"/>
              </w:rPr>
            </w:pPr>
          </w:p>
        </w:tc>
        <w:tc>
          <w:tcPr>
            <w:tcW w:w="156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10,005,748</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2,927,814</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1.39</w:t>
            </w:r>
          </w:p>
        </w:tc>
        <w:tc>
          <w:tcPr>
            <w:tcW w:w="16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2"/>
        </w:trPr>
        <w:tc>
          <w:tcPr>
            <w:tcW w:w="1800" w:type="dxa"/>
            <w:vAlign w:val="bottom"/>
            <w:gridSpan w:val="5"/>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PayJoy, Inc.</w:t>
            </w:r>
          </w:p>
        </w:tc>
        <w:tc>
          <w:tcPr>
            <w:tcW w:w="192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89"/>
              </w:rPr>
              <w:t>San Francisco, CA</w:t>
            </w:r>
          </w:p>
        </w:tc>
        <w:tc>
          <w:tcPr>
            <w:tcW w:w="1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jc w:val="center"/>
              <w:spacing w:after="0" w:line="200" w:lineRule="exact"/>
              <w:rPr>
                <w:sz w:val="20"/>
                <w:szCs w:val="20"/>
                <w:color w:val="auto"/>
              </w:rPr>
            </w:pPr>
            <w:r>
              <w:rPr>
                <w:rFonts w:ascii="Arial" w:cs="Arial" w:eastAsia="Arial" w:hAnsi="Arial"/>
                <w:sz w:val="18"/>
                <w:szCs w:val="18"/>
                <w:color w:val="auto"/>
                <w:w w:val="91"/>
              </w:rPr>
              <w:t>Mobile Access</w:t>
            </w:r>
          </w:p>
        </w:tc>
        <w:tc>
          <w:tcPr>
            <w:tcW w:w="15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00" w:type="dxa"/>
            <w:vAlign w:val="bottom"/>
            <w:gridSpan w:val="5"/>
          </w:tcPr>
          <w:p>
            <w:pPr>
              <w:spacing w:after="0"/>
              <w:rPr>
                <w:sz w:val="20"/>
                <w:szCs w:val="20"/>
                <w:color w:val="auto"/>
              </w:rPr>
            </w:pPr>
            <w:r>
              <w:rPr>
                <w:rFonts w:ascii="Arial" w:cs="Arial" w:eastAsia="Arial" w:hAnsi="Arial"/>
                <w:sz w:val="18"/>
                <w:szCs w:val="18"/>
                <w:color w:val="auto"/>
              </w:rPr>
              <w:t>Preferred shares</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Technology</w:t>
            </w:r>
          </w:p>
        </w:tc>
        <w:tc>
          <w:tcPr>
            <w:tcW w:w="1500" w:type="dxa"/>
            <w:vAlign w:val="bottom"/>
          </w:tcPr>
          <w:p>
            <w:pPr>
              <w:jc w:val="center"/>
              <w:ind w:right="132"/>
              <w:spacing w:after="0"/>
              <w:rPr>
                <w:sz w:val="20"/>
                <w:szCs w:val="20"/>
                <w:color w:val="auto"/>
              </w:rPr>
            </w:pPr>
            <w:r>
              <w:rPr>
                <w:rFonts w:ascii="Arial" w:cs="Arial" w:eastAsia="Arial" w:hAnsi="Arial"/>
                <w:sz w:val="18"/>
                <w:szCs w:val="18"/>
                <w:color w:val="auto"/>
                <w:w w:val="89"/>
              </w:rPr>
              <w:t>7/23/2021</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244,117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2,501,570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2,500,002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3"/>
        </w:trPr>
        <w:tc>
          <w:tcPr>
            <w:tcW w:w="1800" w:type="dxa"/>
            <w:vAlign w:val="bottom"/>
            <w:gridSpan w:val="5"/>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Aventine Property</w:t>
            </w:r>
          </w:p>
        </w:tc>
        <w:tc>
          <w:tcPr>
            <w:tcW w:w="19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80" w:type="dxa"/>
            <w:vAlign w:val="bottom"/>
            <w:tcBorders>
              <w:top w:val="single" w:sz="8" w:color="auto"/>
            </w:tcBorders>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Group, Inc.</w:t>
            </w:r>
          </w:p>
        </w:tc>
        <w:tc>
          <w:tcPr>
            <w:tcW w:w="4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4"/>
              </w:rPr>
              <w:t>Chicago, IL</w:t>
            </w:r>
          </w:p>
        </w:tc>
        <w:tc>
          <w:tcPr>
            <w:tcW w:w="15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2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0" w:type="dxa"/>
            <w:vAlign w:val="bottom"/>
            <w:gridSpan w:val="5"/>
          </w:tcPr>
          <w:p>
            <w:pPr>
              <w:spacing w:after="0"/>
              <w:rPr>
                <w:sz w:val="20"/>
                <w:szCs w:val="20"/>
                <w:color w:val="auto"/>
              </w:rPr>
            </w:pPr>
            <w:r>
              <w:rPr>
                <w:rFonts w:ascii="Arial" w:cs="Arial" w:eastAsia="Arial" w:hAnsi="Arial"/>
                <w:sz w:val="18"/>
                <w:szCs w:val="18"/>
                <w:color w:val="auto"/>
              </w:rPr>
              <w:t>Common shares***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Cannabis REIT</w:t>
            </w:r>
          </w:p>
        </w:tc>
        <w:tc>
          <w:tcPr>
            <w:tcW w:w="1500" w:type="dxa"/>
            <w:vAlign w:val="bottom"/>
          </w:tcPr>
          <w:p>
            <w:pPr>
              <w:jc w:val="center"/>
              <w:ind w:right="152"/>
              <w:spacing w:after="0"/>
              <w:rPr>
                <w:sz w:val="20"/>
                <w:szCs w:val="20"/>
                <w:color w:val="auto"/>
              </w:rPr>
            </w:pPr>
            <w:r>
              <w:rPr>
                <w:rFonts w:ascii="Arial" w:cs="Arial" w:eastAsia="Arial" w:hAnsi="Arial"/>
                <w:sz w:val="18"/>
                <w:szCs w:val="18"/>
                <w:color w:val="auto"/>
                <w:w w:val="87"/>
              </w:rPr>
              <w:t>9/11/2019</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312,500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2,580,750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1,917,521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92"/>
        </w:trPr>
        <w:tc>
          <w:tcPr>
            <w:tcW w:w="1800" w:type="dxa"/>
            <w:vAlign w:val="bottom"/>
            <w:gridSpan w:val="5"/>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Varo Money, Inc.**</w:t>
            </w:r>
          </w:p>
        </w:tc>
        <w:tc>
          <w:tcPr>
            <w:tcW w:w="192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89"/>
              </w:rPr>
              <w:t>San Francisco, CA</w:t>
            </w:r>
          </w:p>
        </w:tc>
        <w:tc>
          <w:tcPr>
            <w:tcW w:w="1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Common shares</w:t>
            </w:r>
          </w:p>
        </w:tc>
        <w:tc>
          <w:tcPr>
            <w:tcW w:w="500" w:type="dxa"/>
            <w:vAlign w:val="bottom"/>
            <w:tcBorders>
              <w:top w:val="single" w:sz="8" w:color="CCEEFF"/>
            </w:tcBorders>
            <w:gridSpan w:val="2"/>
          </w:tcPr>
          <w:p>
            <w:pPr>
              <w:spacing w:after="0"/>
              <w:rPr>
                <w:sz w:val="19"/>
                <w:szCs w:val="19"/>
                <w:color w:val="auto"/>
              </w:rPr>
            </w:pPr>
          </w:p>
        </w:tc>
        <w:tc>
          <w:tcPr>
            <w:tcW w:w="19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8"/>
              </w:rPr>
              <w:t>Financial Services</w:t>
            </w:r>
          </w:p>
        </w:tc>
        <w:tc>
          <w:tcPr>
            <w:tcW w:w="1500" w:type="dxa"/>
            <w:vAlign w:val="bottom"/>
            <w:tcBorders>
              <w:top w:val="single" w:sz="8" w:color="CCEEFF"/>
            </w:tcBorders>
          </w:tcPr>
          <w:p>
            <w:pPr>
              <w:jc w:val="center"/>
              <w:ind w:right="152"/>
              <w:spacing w:after="0"/>
              <w:rPr>
                <w:sz w:val="20"/>
                <w:szCs w:val="20"/>
                <w:color w:val="auto"/>
              </w:rPr>
            </w:pPr>
            <w:r>
              <w:rPr>
                <w:rFonts w:ascii="Arial" w:cs="Arial" w:eastAsia="Arial" w:hAnsi="Arial"/>
                <w:sz w:val="18"/>
                <w:szCs w:val="18"/>
                <w:color w:val="auto"/>
                <w:w w:val="87"/>
              </w:rPr>
              <w:t>8/11/2021</w:t>
            </w:r>
          </w:p>
        </w:tc>
        <w:tc>
          <w:tcPr>
            <w:tcW w:w="156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auto"/>
              </w:rPr>
              <w:t>1,079,266</w:t>
            </w:r>
          </w:p>
        </w:tc>
        <w:tc>
          <w:tcPr>
            <w:tcW w:w="15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10,005,548</w:t>
            </w:r>
          </w:p>
        </w:tc>
        <w:tc>
          <w:tcPr>
            <w:tcW w:w="15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1,286,783</w:t>
            </w:r>
          </w:p>
        </w:tc>
        <w:tc>
          <w:tcPr>
            <w:tcW w:w="1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ind w:left="340" w:right="2560"/>
        <w:spacing w:after="0" w:line="258"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Headquarters/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of Initial</w:t>
            </w:r>
          </w:p>
        </w:tc>
        <w:tc>
          <w:tcPr>
            <w:tcW w:w="1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7"/>
        </w:trPr>
        <w:tc>
          <w:tcPr>
            <w:tcW w:w="2040" w:type="dxa"/>
            <w:vAlign w:val="bottom"/>
            <w:gridSpan w:val="17"/>
          </w:tcPr>
          <w:p>
            <w:pPr>
              <w:spacing w:after="0"/>
              <w:rPr>
                <w:sz w:val="20"/>
                <w:szCs w:val="20"/>
                <w:color w:val="auto"/>
              </w:rPr>
            </w:pPr>
            <w:r>
              <w:rPr>
                <w:rFonts w:ascii="Arial" w:cs="Arial" w:eastAsia="Arial" w:hAnsi="Arial"/>
                <w:sz w:val="18"/>
                <w:szCs w:val="18"/>
                <w:b w:val="1"/>
                <w:bCs w:val="1"/>
                <w:color w:val="auto"/>
              </w:rPr>
              <w:t>Portfolio Investments*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Industry</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Investment</w:t>
            </w: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Principal</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Cost</w:t>
            </w: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72"/>
        </w:trPr>
        <w:tc>
          <w:tcPr>
            <w:tcW w:w="1800" w:type="dxa"/>
            <w:vAlign w:val="bottom"/>
            <w:tcBorders>
              <w:top w:val="single" w:sz="8" w:color="auto"/>
            </w:tcBorders>
            <w:gridSpan w:val="16"/>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Skillsoft Corp.**</w:t>
            </w:r>
          </w:p>
        </w:tc>
        <w:tc>
          <w:tcPr>
            <w:tcW w:w="2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8"/>
                <w:szCs w:val="18"/>
                <w:color w:val="auto"/>
                <w:w w:val="87"/>
              </w:rPr>
              <w:t>Nashua, NH</w:t>
            </w:r>
          </w:p>
        </w:tc>
        <w:tc>
          <w:tcPr>
            <w:tcW w:w="2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40" w:type="dxa"/>
            <w:vAlign w:val="bottom"/>
            <w:gridSpan w:val="17"/>
          </w:tcPr>
          <w:p>
            <w:pPr>
              <w:spacing w:after="0" w:line="252"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Online Education</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6/8/2021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981,843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9,818,430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1,276,396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72"/>
        </w:trPr>
        <w:tc>
          <w:tcPr>
            <w:tcW w:w="1760" w:type="dxa"/>
            <w:vAlign w:val="bottom"/>
            <w:tcBorders>
              <w:bottom w:val="single" w:sz="8" w:color="auto"/>
            </w:tcBorders>
            <w:gridSpan w:val="15"/>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8"/>
              </w:rPr>
              <w:t>Commercial Streaming</w:t>
            </w:r>
          </w:p>
        </w:tc>
        <w:tc>
          <w:tcPr>
            <w:tcW w:w="280" w:type="dxa"/>
            <w:vAlign w:val="bottom"/>
            <w:tcBorders>
              <w:bottom w:val="single" w:sz="8" w:color="CCEEFF"/>
            </w:tcBorders>
            <w:gridSpan w:val="2"/>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gridSpan w:val="17"/>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Solutions Inc. (d/b/a</w:t>
            </w: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60" w:type="dxa"/>
            <w:vAlign w:val="bottom"/>
            <w:tcBorders>
              <w:top w:val="single" w:sz="8" w:color="auto"/>
              <w:right w:val="single" w:sz="8" w:color="CCEEFF"/>
            </w:tcBorders>
            <w:gridSpan w:val="10"/>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BettorView)</w:t>
            </w:r>
            <w:r>
              <w:rPr>
                <w:rFonts w:ascii="Arial" w:cs="Arial" w:eastAsia="Arial" w:hAnsi="Arial"/>
                <w:sz w:val="26"/>
                <w:szCs w:val="26"/>
                <w:b w:val="1"/>
                <w:bCs w:val="1"/>
                <w:color w:val="auto"/>
                <w:vertAlign w:val="superscript"/>
              </w:rPr>
              <w:t>(7)</w:t>
            </w:r>
          </w:p>
        </w:tc>
        <w:tc>
          <w:tcPr>
            <w:tcW w:w="480" w:type="dxa"/>
            <w:vAlign w:val="bottom"/>
            <w:tcBorders>
              <w:top w:val="single" w:sz="8" w:color="CCEEFF"/>
            </w:tcBorders>
            <w:gridSpan w:val="7"/>
            <w:shd w:val="clear" w:color="auto" w:fill="CCEEFF"/>
          </w:tcPr>
          <w:p>
            <w:pPr>
              <w:spacing w:after="0"/>
              <w:rPr>
                <w:sz w:val="20"/>
                <w:szCs w:val="20"/>
                <w:color w:val="auto"/>
              </w:rPr>
            </w:pPr>
          </w:p>
        </w:tc>
        <w:tc>
          <w:tcPr>
            <w:tcW w:w="168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Las Vegas, NV</w:t>
            </w:r>
          </w:p>
        </w:tc>
        <w:tc>
          <w:tcPr>
            <w:tcW w:w="1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Simple Agreement for</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2"/>
              </w:rPr>
              <w:t>Interactive Media &amp;</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Future Equity</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Services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3/26/2021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1,004,240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gridSpan w:val="7"/>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Rebric, Inc. (d/b/a</w:t>
            </w:r>
          </w:p>
        </w:tc>
        <w:tc>
          <w:tcPr>
            <w:tcW w:w="660" w:type="dxa"/>
            <w:vAlign w:val="bottom"/>
            <w:tcBorders>
              <w:bottom w:val="single" w:sz="8" w:color="CCEEFF"/>
            </w:tcBorders>
            <w:gridSpan w:val="10"/>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40" w:type="dxa"/>
            <w:vAlign w:val="bottom"/>
            <w:gridSpan w:val="17"/>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Compliable)</w:t>
            </w:r>
            <w:r>
              <w:rPr>
                <w:rFonts w:ascii="Arial" w:cs="Arial" w:eastAsia="Arial" w:hAnsi="Arial"/>
                <w:sz w:val="26"/>
                <w:szCs w:val="26"/>
                <w:b w:val="1"/>
                <w:bCs w:val="1"/>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Denver, CO</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Seed-4</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Gaming Licensing</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10/12/2021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2,064,409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1,002,755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3"/>
        </w:trPr>
        <w:tc>
          <w:tcPr>
            <w:tcW w:w="2040" w:type="dxa"/>
            <w:vAlign w:val="bottom"/>
            <w:gridSpan w:val="17"/>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Xgroup Holdings</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tcBorders>
              <w:top w:val="single" w:sz="8" w:color="auto"/>
              <w:bottom w:val="single" w:sz="8" w:color="auto"/>
              <w:right w:val="single" w:sz="8" w:color="CCEEFF"/>
            </w:tcBorders>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Limited (d/b/a</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gridSpan w:val="12"/>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40" w:type="dxa"/>
            <w:vAlign w:val="bottom"/>
            <w:gridSpan w:val="17"/>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Xpoint)**</w:t>
            </w:r>
            <w:r>
              <w:rPr>
                <w:rFonts w:ascii="Arial" w:cs="Arial" w:eastAsia="Arial" w:hAnsi="Arial"/>
                <w:sz w:val="26"/>
                <w:szCs w:val="26"/>
                <w:b w:val="1"/>
                <w:bCs w:val="1"/>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Dubai, UAE</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Convertible Note 6%,</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9"/>
              </w:rPr>
              <w:t>Geolocation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Due 8/17/2023***</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8/17/2022</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1,009,093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gridSpan w:val="9"/>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5"/>
              </w:rPr>
              <w:t>YouBet Technology,</w:t>
            </w:r>
          </w:p>
        </w:tc>
        <w:tc>
          <w:tcPr>
            <w:tcW w:w="540" w:type="dxa"/>
            <w:vAlign w:val="bottom"/>
            <w:tcBorders>
              <w:bottom w:val="single" w:sz="8" w:color="CCEEFF"/>
            </w:tcBorders>
            <w:gridSpan w:val="8"/>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40" w:type="dxa"/>
            <w:vAlign w:val="bottom"/>
            <w:gridSpan w:val="17"/>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 (d/b/a FanPower)</w:t>
            </w:r>
          </w:p>
        </w:tc>
        <w:tc>
          <w:tcPr>
            <w:tcW w:w="16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(7)</w:t>
            </w:r>
          </w:p>
        </w:tc>
        <w:tc>
          <w:tcPr>
            <w:tcW w:w="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gridSpan w:val="2"/>
            <w:vMerge w:val="continue"/>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4"/>
              </w:rPr>
              <w:t>Digital Media</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Seed-2</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8/26/2021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578,029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752,943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749,998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3"/>
        </w:trPr>
        <w:tc>
          <w:tcPr>
            <w:tcW w:w="2040" w:type="dxa"/>
            <w:vAlign w:val="bottom"/>
            <w:gridSpan w:val="17"/>
            <w:shd w:val="clear" w:color="auto" w:fill="CCEEFF"/>
          </w:tcPr>
          <w:p>
            <w:pPr>
              <w:spacing w:after="0" w:line="212" w:lineRule="exact"/>
              <w:rPr>
                <w:sz w:val="20"/>
                <w:szCs w:val="20"/>
                <w:color w:val="auto"/>
              </w:rPr>
            </w:pPr>
            <w:r>
              <w:rPr>
                <w:rFonts w:ascii="Arial" w:cs="Arial" w:eastAsia="Arial" w:hAnsi="Arial"/>
                <w:sz w:val="15"/>
                <w:szCs w:val="15"/>
                <w:b w:val="1"/>
                <w:bCs w:val="1"/>
                <w:color w:val="auto"/>
              </w:rPr>
              <w:t>EDGE Markets, Inc.</w:t>
            </w:r>
            <w:r>
              <w:rPr>
                <w:rFonts w:ascii="Arial" w:cs="Arial" w:eastAsia="Arial" w:hAnsi="Arial"/>
                <w:sz w:val="24"/>
                <w:szCs w:val="24"/>
                <w:b w:val="1"/>
                <w:bCs w:val="1"/>
                <w:color w:val="auto"/>
                <w:vertAlign w:val="superscript"/>
              </w:rPr>
              <w:t>(7)</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San Diego, CA</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Preferred shares, Series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Seed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Gaming 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5/18/2022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456,704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501,330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73"/>
        </w:trPr>
        <w:tc>
          <w:tcPr>
            <w:tcW w:w="2040" w:type="dxa"/>
            <w:vAlign w:val="bottom"/>
            <w:gridSpan w:val="17"/>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Churchill Sponsor VII</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00" w:type="dxa"/>
            <w:vAlign w:val="bottom"/>
            <w:tcBorders>
              <w:top w:val="single" w:sz="8" w:color="auto"/>
            </w:tcBorders>
            <w:gridSpan w:val="13"/>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LLC**</w:t>
            </w:r>
            <w:r>
              <w:rPr>
                <w:rFonts w:ascii="Arial" w:cs="Arial" w:eastAsia="Arial" w:hAnsi="Arial"/>
                <w:sz w:val="26"/>
                <w:szCs w:val="26"/>
                <w:b w:val="1"/>
                <w:bCs w:val="1"/>
                <w:color w:val="auto"/>
                <w:vertAlign w:val="superscript"/>
              </w:rPr>
              <w:t>(12)</w:t>
            </w:r>
          </w:p>
        </w:tc>
        <w:tc>
          <w:tcPr>
            <w:tcW w:w="340" w:type="dxa"/>
            <w:vAlign w:val="bottom"/>
            <w:tcBorders>
              <w:top w:val="single" w:sz="8" w:color="CCEEFF"/>
            </w:tcBorders>
            <w:gridSpan w:val="4"/>
            <w:shd w:val="clear" w:color="auto" w:fill="CCEEFF"/>
          </w:tcPr>
          <w:p>
            <w:pPr>
              <w:spacing w:after="0"/>
              <w:rPr>
                <w:sz w:val="21"/>
                <w:szCs w:val="21"/>
                <w:color w:val="auto"/>
              </w:rPr>
            </w:pPr>
          </w:p>
        </w:tc>
        <w:tc>
          <w:tcPr>
            <w:tcW w:w="168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292,100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205,820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205,820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5"/>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94,180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7"/>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0.14</w:t>
            </w:r>
          </w:p>
        </w:tc>
        <w:tc>
          <w:tcPr>
            <w:tcW w:w="18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59"/>
        </w:trPr>
        <w:tc>
          <w:tcPr>
            <w:tcW w:w="2040" w:type="dxa"/>
            <w:vAlign w:val="bottom"/>
            <w:gridSpan w:val="17"/>
            <w:shd w:val="clear" w:color="auto" w:fill="CCEEFF"/>
          </w:tcPr>
          <w:p>
            <w:pPr>
              <w:spacing w:after="0" w:line="159" w:lineRule="exact"/>
              <w:rPr>
                <w:sz w:val="20"/>
                <w:szCs w:val="20"/>
                <w:color w:val="auto"/>
              </w:rPr>
            </w:pPr>
            <w:r>
              <w:rPr>
                <w:rFonts w:ascii="Arial" w:cs="Arial" w:eastAsia="Arial" w:hAnsi="Arial"/>
                <w:sz w:val="18"/>
                <w:szCs w:val="18"/>
                <w:b w:val="1"/>
                <w:bCs w:val="1"/>
                <w:color w:val="auto"/>
              </w:rPr>
              <w:t>AltC Sponsor LLC**</w:t>
            </w:r>
          </w:p>
        </w:tc>
        <w:tc>
          <w:tcPr>
            <w:tcW w:w="16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(12)</w:t>
            </w:r>
          </w:p>
        </w:tc>
        <w:tc>
          <w:tcPr>
            <w:tcW w:w="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gridSpan w:val="2"/>
            <w:vMerge w:val="continue"/>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Share units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7/21/2021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239,300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250,855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gridSpan w:val="6"/>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8"/>
              </w:rPr>
              <w:t>Rent the Runway,</w:t>
            </w:r>
          </w:p>
        </w:tc>
        <w:tc>
          <w:tcPr>
            <w:tcW w:w="680" w:type="dxa"/>
            <w:vAlign w:val="bottom"/>
            <w:tcBorders>
              <w:bottom w:val="single" w:sz="8" w:color="CCEEFF"/>
            </w:tcBorders>
            <w:gridSpan w:val="11"/>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40" w:type="dxa"/>
            <w:vAlign w:val="bottom"/>
            <w:gridSpan w:val="17"/>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w:t>
            </w:r>
          </w:p>
        </w:tc>
        <w:tc>
          <w:tcPr>
            <w:tcW w:w="1680" w:type="dxa"/>
            <w:vAlign w:val="bottom"/>
            <w:gridSpan w:val="2"/>
            <w:shd w:val="clear" w:color="auto" w:fill="CCEEFF"/>
          </w:tcPr>
          <w:p>
            <w:pPr>
              <w:jc w:val="center"/>
              <w:ind w:right="220"/>
              <w:spacing w:after="0" w:line="192" w:lineRule="exact"/>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CCEEFF"/>
            </w:tcBorders>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40" w:type="dxa"/>
            <w:vAlign w:val="bottom"/>
            <w:gridSpan w:val="17"/>
            <w:vMerge w:val="restart"/>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68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0"/>
              </w:rPr>
              <w:t>Subscription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vMerge w:val="continue"/>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Fashion Rental</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6/17/2020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79,191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1,203,293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241,533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72"/>
        </w:trPr>
        <w:tc>
          <w:tcPr>
            <w:tcW w:w="1640" w:type="dxa"/>
            <w:vAlign w:val="bottom"/>
            <w:tcBorders>
              <w:bottom w:val="single" w:sz="8" w:color="auto"/>
            </w:tcBorders>
            <w:gridSpan w:val="11"/>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0"/>
              </w:rPr>
              <w:t>Churchill Sponsor VI</w:t>
            </w:r>
          </w:p>
        </w:tc>
        <w:tc>
          <w:tcPr>
            <w:tcW w:w="400" w:type="dxa"/>
            <w:vAlign w:val="bottom"/>
            <w:tcBorders>
              <w:bottom w:val="single" w:sz="8" w:color="CCEEFF"/>
            </w:tcBorders>
            <w:gridSpan w:val="6"/>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40" w:type="dxa"/>
            <w:vAlign w:val="bottom"/>
            <w:gridSpan w:val="17"/>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LLC**</w:t>
            </w:r>
            <w:r>
              <w:rPr>
                <w:rFonts w:ascii="Arial" w:cs="Arial" w:eastAsia="Arial" w:hAnsi="Arial"/>
                <w:sz w:val="26"/>
                <w:szCs w:val="26"/>
                <w:b w:val="1"/>
                <w:bCs w:val="1"/>
                <w:color w:val="auto"/>
                <w:vertAlign w:val="superscript"/>
              </w:rPr>
              <w:t>(12)</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New York, NY</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20"/>
              <w:spacing w:after="0" w:line="200" w:lineRule="exact"/>
              <w:rPr>
                <w:sz w:val="20"/>
                <w:szCs w:val="20"/>
                <w:color w:val="auto"/>
              </w:rPr>
            </w:pPr>
            <w:r>
              <w:rPr>
                <w:rFonts w:ascii="Arial" w:cs="Arial" w:eastAsia="Arial" w:hAnsi="Arial"/>
                <w:sz w:val="18"/>
                <w:szCs w:val="18"/>
                <w:color w:val="auto"/>
                <w:w w:val="86"/>
              </w:rPr>
              <w:t>Special Purpose</w:t>
            </w:r>
          </w:p>
        </w:tc>
        <w:tc>
          <w:tcPr>
            <w:tcW w:w="1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195,000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134,297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134,297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5"/>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65,703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bottom w:val="single" w:sz="8" w:color="CCEEFF"/>
            </w:tcBorders>
            <w:gridSpan w:val="17"/>
          </w:tcPr>
          <w:p>
            <w:pPr>
              <w:ind w:left="180"/>
              <w:spacing w:after="0" w:line="199"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2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200,000</w:t>
            </w:r>
          </w:p>
        </w:tc>
        <w:tc>
          <w:tcPr>
            <w:tcW w:w="320" w:type="dxa"/>
            <w:vAlign w:val="bottom"/>
            <w:tcBorders>
              <w:top w:val="single" w:sz="8" w:color="CCEEFF"/>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0.10</w:t>
            </w:r>
          </w:p>
        </w:tc>
        <w:tc>
          <w:tcPr>
            <w:tcW w:w="18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2"/>
        </w:trPr>
        <w:tc>
          <w:tcPr>
            <w:tcW w:w="2040" w:type="dxa"/>
            <w:vAlign w:val="bottom"/>
            <w:gridSpan w:val="17"/>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Kahoot! ASA**</w:t>
            </w:r>
          </w:p>
        </w:tc>
        <w:tc>
          <w:tcPr>
            <w:tcW w:w="1680" w:type="dxa"/>
            <w:vAlign w:val="bottom"/>
            <w:gridSpan w:val="2"/>
            <w:shd w:val="clear" w:color="auto" w:fill="CCEEFF"/>
          </w:tcPr>
          <w:p>
            <w:pPr>
              <w:jc w:val="center"/>
              <w:ind w:right="220"/>
              <w:spacing w:after="0" w:line="172" w:lineRule="exact"/>
              <w:rPr>
                <w:sz w:val="20"/>
                <w:szCs w:val="20"/>
                <w:color w:val="auto"/>
              </w:rPr>
            </w:pPr>
            <w:r>
              <w:rPr>
                <w:rFonts w:ascii="Arial" w:cs="Arial" w:eastAsia="Arial" w:hAnsi="Arial"/>
                <w:sz w:val="18"/>
                <w:szCs w:val="18"/>
                <w:color w:val="auto"/>
                <w:w w:val="90"/>
              </w:rPr>
              <w:t>Oslo, Norway</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0" w:type="dxa"/>
            <w:vAlign w:val="bottom"/>
            <w:tcBorders>
              <w:right w:val="single" w:sz="8" w:color="auto"/>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40" w:type="dxa"/>
            <w:vAlign w:val="bottom"/>
            <w:gridSpan w:val="17"/>
          </w:tcPr>
          <w:p>
            <w:pPr>
              <w:spacing w:after="0" w:line="252"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Education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12/5/2014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38,305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176,067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72,888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2"/>
        </w:trPr>
        <w:tc>
          <w:tcPr>
            <w:tcW w:w="2040" w:type="dxa"/>
            <w:vAlign w:val="bottom"/>
            <w:gridSpan w:val="17"/>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Neutron Holdings, Inc.</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20" w:type="dxa"/>
            <w:vAlign w:val="bottom"/>
            <w:tcBorders>
              <w:top w:val="single" w:sz="8" w:color="auto"/>
              <w:bottom w:val="single" w:sz="8" w:color="auto"/>
              <w:right w:val="single" w:sz="8" w:color="CCEEFF"/>
            </w:tcBorders>
            <w:gridSpan w:val="3"/>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2"/>
              </w:rPr>
              <w:t>(d/b/a/ Lime)</w:t>
            </w:r>
          </w:p>
        </w:tc>
        <w:tc>
          <w:tcPr>
            <w:tcW w:w="700" w:type="dxa"/>
            <w:vAlign w:val="bottom"/>
            <w:tcBorders>
              <w:top w:val="single" w:sz="8" w:color="auto"/>
              <w:bottom w:val="single" w:sz="8" w:color="CCEEFF"/>
            </w:tcBorders>
            <w:gridSpan w:val="11"/>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680" w:type="dxa"/>
            <w:vAlign w:val="bottom"/>
            <w:tcBorders>
              <w:top w:val="single" w:sz="8" w:color="CCEEFF"/>
              <w:bottom w:val="single" w:sz="8" w:color="CCEEFF"/>
            </w:tcBorders>
            <w:gridSpan w:val="2"/>
            <w:shd w:val="clear" w:color="auto" w:fill="CCEEFF"/>
          </w:tcPr>
          <w:p>
            <w:pPr>
              <w:jc w:val="center"/>
              <w:ind w:right="220"/>
              <w:spacing w:after="0" w:line="192" w:lineRule="exact"/>
              <w:rPr>
                <w:sz w:val="20"/>
                <w:szCs w:val="20"/>
                <w:color w:val="auto"/>
              </w:rPr>
            </w:pPr>
            <w:r>
              <w:rPr>
                <w:rFonts w:ascii="Arial" w:cs="Arial" w:eastAsia="Arial" w:hAnsi="Arial"/>
                <w:sz w:val="18"/>
                <w:szCs w:val="18"/>
                <w:color w:val="auto"/>
                <w:w w:val="89"/>
              </w:rPr>
              <w:t>San Francisco, CA</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Junior Preferred shares,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17"/>
          </w:tcPr>
          <w:p>
            <w:pPr>
              <w:spacing w:after="0"/>
              <w:rPr>
                <w:sz w:val="20"/>
                <w:szCs w:val="20"/>
                <w:color w:val="auto"/>
              </w:rPr>
            </w:pPr>
            <w:r>
              <w:rPr>
                <w:rFonts w:ascii="Arial" w:cs="Arial" w:eastAsia="Arial" w:hAnsi="Arial"/>
                <w:sz w:val="18"/>
                <w:szCs w:val="18"/>
                <w:color w:val="auto"/>
              </w:rPr>
              <w:t>Series 1-D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Micromobility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1/25/2019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41,237,113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10,007,322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4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rPr>
              <w:t>Junior Preferred</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Convertible Note 4%</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40" w:type="dxa"/>
            <w:vAlign w:val="bottom"/>
            <w:gridSpan w:val="17"/>
            <w:shd w:val="clear" w:color="auto" w:fill="CCEEFF"/>
          </w:tcPr>
          <w:p>
            <w:pPr>
              <w:spacing w:after="0" w:line="262" w:lineRule="exact"/>
              <w:rPr>
                <w:sz w:val="20"/>
                <w:szCs w:val="20"/>
                <w:color w:val="auto"/>
              </w:rPr>
            </w:pPr>
            <w:r>
              <w:rPr>
                <w:rFonts w:ascii="Arial" w:cs="Arial" w:eastAsia="Arial" w:hAnsi="Arial"/>
                <w:sz w:val="18"/>
                <w:szCs w:val="18"/>
                <w:color w:val="auto"/>
              </w:rPr>
              <w:t>Due 5/11/2027</w:t>
            </w:r>
            <w:r>
              <w:rPr>
                <w:rFonts w:ascii="Arial" w:cs="Arial" w:eastAsia="Arial" w:hAnsi="Arial"/>
                <w:sz w:val="29"/>
                <w:szCs w:val="29"/>
                <w:color w:val="auto"/>
                <w:vertAlign w:val="superscript"/>
              </w:rPr>
              <w:t>(4)</w:t>
            </w:r>
          </w:p>
        </w:tc>
        <w:tc>
          <w:tcPr>
            <w:tcW w:w="1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5/11/2020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506,339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506,339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40" w:type="dxa"/>
            <w:vAlign w:val="bottom"/>
            <w:gridSpan w:val="17"/>
          </w:tcPr>
          <w:p>
            <w:pPr>
              <w:spacing w:after="0" w:line="200" w:lineRule="exact"/>
              <w:rPr>
                <w:sz w:val="20"/>
                <w:szCs w:val="20"/>
                <w:color w:val="auto"/>
              </w:rPr>
            </w:pPr>
            <w:r>
              <w:rPr>
                <w:rFonts w:ascii="Arial" w:cs="Arial" w:eastAsia="Arial" w:hAnsi="Arial"/>
                <w:sz w:val="18"/>
                <w:szCs w:val="18"/>
                <w:color w:val="auto"/>
              </w:rPr>
              <w:t>Common Warrants,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gridSpan w:val="17"/>
          </w:tcPr>
          <w:p>
            <w:pPr>
              <w:spacing w:after="0"/>
              <w:rPr>
                <w:sz w:val="20"/>
                <w:szCs w:val="20"/>
                <w:color w:val="auto"/>
              </w:rPr>
            </w:pPr>
            <w:r>
              <w:rPr>
                <w:rFonts w:ascii="Arial" w:cs="Arial" w:eastAsia="Arial" w:hAnsi="Arial"/>
                <w:sz w:val="18"/>
                <w:szCs w:val="18"/>
                <w:color w:val="auto"/>
              </w:rPr>
              <w:t>Strike Price $0.01,</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17"/>
          </w:tcPr>
          <w:p>
            <w:pPr>
              <w:spacing w:after="0"/>
              <w:rPr>
                <w:sz w:val="20"/>
                <w:szCs w:val="20"/>
                <w:color w:val="auto"/>
              </w:rPr>
            </w:pPr>
            <w:r>
              <w:rPr>
                <w:rFonts w:ascii="Arial" w:cs="Arial" w:eastAsia="Arial" w:hAnsi="Arial"/>
                <w:sz w:val="18"/>
                <w:szCs w:val="18"/>
                <w:color w:val="auto"/>
              </w:rPr>
              <w:t>Expiration Date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20" w:type="dxa"/>
            <w:vAlign w:val="bottom"/>
            <w:gridSpan w:val="3"/>
          </w:tcPr>
          <w:p>
            <w:pPr>
              <w:spacing w:after="0"/>
              <w:rPr>
                <w:sz w:val="20"/>
                <w:szCs w:val="20"/>
                <w:color w:val="auto"/>
              </w:rPr>
            </w:pPr>
            <w:r>
              <w:rPr>
                <w:rFonts w:ascii="Arial" w:cs="Arial" w:eastAsia="Arial" w:hAnsi="Arial"/>
                <w:sz w:val="18"/>
                <w:szCs w:val="18"/>
                <w:color w:val="auto"/>
              </w:rPr>
              <w:t>5/11/2027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5/11/2020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2,032,967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10,513,661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8"/>
                <w:szCs w:val="18"/>
                <w:b w:val="1"/>
                <w:bCs w:val="1"/>
                <w:color w:val="auto"/>
                <w:w w:val="88"/>
              </w:rPr>
              <w:t>Fullbridge, Inc.</w:t>
            </w:r>
          </w:p>
        </w:tc>
        <w:tc>
          <w:tcPr>
            <w:tcW w:w="860" w:type="dxa"/>
            <w:vAlign w:val="bottom"/>
            <w:gridSpan w:val="13"/>
          </w:tcPr>
          <w:p>
            <w:pPr>
              <w:spacing w:after="0"/>
              <w:rPr>
                <w:sz w:val="14"/>
                <w:szCs w:val="14"/>
                <w:color w:val="auto"/>
              </w:rPr>
            </w:pPr>
          </w:p>
        </w:tc>
        <w:tc>
          <w:tcPr>
            <w:tcW w:w="1680" w:type="dxa"/>
            <w:vAlign w:val="bottom"/>
            <w:gridSpan w:val="2"/>
          </w:tcPr>
          <w:p>
            <w:pPr>
              <w:jc w:val="center"/>
              <w:ind w:right="240"/>
              <w:spacing w:after="0" w:line="159" w:lineRule="exact"/>
              <w:rPr>
                <w:sz w:val="20"/>
                <w:szCs w:val="20"/>
                <w:color w:val="auto"/>
              </w:rPr>
            </w:pPr>
            <w:r>
              <w:rPr>
                <w:rFonts w:ascii="Arial" w:cs="Arial" w:eastAsia="Arial" w:hAnsi="Arial"/>
                <w:sz w:val="18"/>
                <w:szCs w:val="18"/>
                <w:color w:val="auto"/>
                <w:w w:val="92"/>
              </w:rPr>
              <w:t>Cambridge, MA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Business Education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5/13/2012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517,917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6,150,506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40" w:type="dxa"/>
            <w:vAlign w:val="bottom"/>
            <w:gridSpan w:val="17"/>
          </w:tcPr>
          <w:p>
            <w:pPr>
              <w:spacing w:after="0" w:line="201" w:lineRule="exact"/>
              <w:rPr>
                <w:sz w:val="20"/>
                <w:szCs w:val="20"/>
                <w:color w:val="auto"/>
              </w:rPr>
            </w:pPr>
            <w:r>
              <w:rPr>
                <w:rFonts w:ascii="Arial" w:cs="Arial" w:eastAsia="Arial" w:hAnsi="Arial"/>
                <w:sz w:val="18"/>
                <w:szCs w:val="18"/>
                <w:color w:val="auto"/>
              </w:rPr>
              <w:t>Promissory Note 1.47%,</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40" w:type="dxa"/>
            <w:vAlign w:val="bottom"/>
            <w:gridSpan w:val="17"/>
          </w:tcPr>
          <w:p>
            <w:pPr>
              <w:spacing w:after="0" w:line="276" w:lineRule="exact"/>
              <w:rPr>
                <w:sz w:val="20"/>
                <w:szCs w:val="20"/>
                <w:color w:val="auto"/>
              </w:rPr>
            </w:pPr>
            <w:r>
              <w:rPr>
                <w:rFonts w:ascii="Arial" w:cs="Arial" w:eastAsia="Arial" w:hAnsi="Arial"/>
                <w:sz w:val="18"/>
                <w:szCs w:val="18"/>
                <w:color w:val="auto"/>
              </w:rPr>
              <w:t>Due 11/9/2021</w:t>
            </w:r>
            <w:r>
              <w:rPr>
                <w:rFonts w:ascii="Arial" w:cs="Arial" w:eastAsia="Arial" w:hAnsi="Arial"/>
                <w:sz w:val="29"/>
                <w:szCs w:val="29"/>
                <w:color w:val="auto"/>
                <w:vertAlign w:val="superscript"/>
              </w:rPr>
              <w:t>(4)(13)</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3/3/2016</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2,270,458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2,270,858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4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8,421,364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Treehouse Real Estate</w:t>
            </w:r>
          </w:p>
        </w:tc>
        <w:tc>
          <w:tcPr>
            <w:tcW w:w="300" w:type="dxa"/>
            <w:vAlign w:val="bottom"/>
            <w:gridSpan w:val="2"/>
          </w:tcPr>
          <w:p>
            <w:pPr>
              <w:spacing w:after="0"/>
              <w:rPr>
                <w:sz w:val="17"/>
                <w:szCs w:val="17"/>
                <w:color w:val="auto"/>
              </w:rPr>
            </w:pP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94"/>
              </w:rPr>
              <w:t>Chicago, IL</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198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rPr>
              <w:t>Investment Trust, Inc.</w:t>
            </w: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00" w:type="dxa"/>
            <w:vAlign w:val="bottom"/>
            <w:gridSpan w:val="2"/>
            <w:shd w:val="clear" w:color="auto" w:fill="CCEEFF"/>
          </w:tcPr>
          <w:p>
            <w:pPr>
              <w:spacing w:after="0"/>
              <w:rPr>
                <w:sz w:val="19"/>
                <w:szCs w:val="19"/>
                <w:color w:val="auto"/>
              </w:rPr>
            </w:pP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0"/>
              </w:rPr>
              <w:t>Cannabis REIT</w:t>
            </w:r>
          </w:p>
        </w:tc>
        <w:tc>
          <w:tcPr>
            <w:tcW w:w="16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9/11/2019</w:t>
            </w:r>
          </w:p>
        </w:tc>
        <w:tc>
          <w:tcPr>
            <w:tcW w:w="16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312,500</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4,919,250</w:t>
            </w:r>
          </w:p>
        </w:tc>
        <w:tc>
          <w:tcPr>
            <w:tcW w:w="19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r>
      <w:tr>
        <w:trPr>
          <w:trHeight w:val="182"/>
        </w:trPr>
        <w:tc>
          <w:tcPr>
            <w:tcW w:w="1980" w:type="dxa"/>
            <w:vAlign w:val="bottom"/>
            <w:gridSpan w:val="3"/>
          </w:tcPr>
          <w:p>
            <w:pPr>
              <w:spacing w:after="0" w:line="172" w:lineRule="exact"/>
              <w:rPr>
                <w:sz w:val="20"/>
                <w:szCs w:val="20"/>
                <w:color w:val="auto"/>
              </w:rPr>
            </w:pPr>
            <w:r>
              <w:rPr>
                <w:rFonts w:ascii="Arial" w:cs="Arial" w:eastAsia="Arial" w:hAnsi="Arial"/>
                <w:sz w:val="18"/>
                <w:szCs w:val="18"/>
                <w:b w:val="1"/>
                <w:bCs w:val="1"/>
                <w:color w:val="auto"/>
              </w:rPr>
              <w:t>Kinetiq Holdings, LLC</w:t>
            </w:r>
          </w:p>
        </w:tc>
        <w:tc>
          <w:tcPr>
            <w:tcW w:w="1700" w:type="dxa"/>
            <w:vAlign w:val="bottom"/>
          </w:tcPr>
          <w:p>
            <w:pPr>
              <w:jc w:val="center"/>
              <w:ind w:right="32"/>
              <w:spacing w:after="0" w:line="172" w:lineRule="exact"/>
              <w:rPr>
                <w:sz w:val="20"/>
                <w:szCs w:val="20"/>
                <w:color w:val="auto"/>
              </w:rPr>
            </w:pPr>
            <w:r>
              <w:rPr>
                <w:rFonts w:ascii="Arial" w:cs="Arial" w:eastAsia="Arial" w:hAnsi="Arial"/>
                <w:sz w:val="18"/>
                <w:szCs w:val="18"/>
                <w:color w:val="auto"/>
                <w:w w:val="89"/>
              </w:rPr>
              <w:t>Philadelphia, PA</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Social Data</w:t>
            </w:r>
          </w:p>
        </w:tc>
        <w:tc>
          <w:tcPr>
            <w:tcW w:w="1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4"/>
        </w:trPr>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Common shares, Class A</w:t>
            </w: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2"/>
              </w:rPr>
              <w:t>Platform</w:t>
            </w:r>
          </w:p>
        </w:tc>
        <w:tc>
          <w:tcPr>
            <w:tcW w:w="16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3/30/2012</w:t>
            </w:r>
          </w:p>
        </w:tc>
        <w:tc>
          <w:tcPr>
            <w:tcW w:w="16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112,374</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r>
      <w:tr>
        <w:trPr>
          <w:trHeight w:val="212"/>
        </w:trPr>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4"/>
        </w:trPr>
        <w:tc>
          <w:tcPr>
            <w:tcW w:w="1980" w:type="dxa"/>
            <w:vAlign w:val="bottom"/>
            <w:gridSpan w:val="3"/>
            <w:shd w:val="clear" w:color="auto" w:fill="CCEEFF"/>
          </w:tcPr>
          <w:p>
            <w:pPr>
              <w:ind w:left="180"/>
              <w:spacing w:after="0" w:line="194" w:lineRule="exact"/>
              <w:rPr>
                <w:sz w:val="20"/>
                <w:szCs w:val="20"/>
                <w:color w:val="auto"/>
              </w:rPr>
            </w:pPr>
            <w:r>
              <w:rPr>
                <w:rFonts w:ascii="Arial" w:cs="Arial" w:eastAsia="Arial" w:hAnsi="Arial"/>
                <w:sz w:val="18"/>
                <w:szCs w:val="18"/>
                <w:b w:val="1"/>
                <w:bCs w:val="1"/>
                <w:color w:val="auto"/>
              </w:rPr>
              <w:t>Total Non-</w:t>
            </w: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2"/>
        </w:trPr>
        <w:tc>
          <w:tcPr>
            <w:tcW w:w="19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controlled/Non-</w:t>
            </w:r>
          </w:p>
        </w:tc>
        <w:tc>
          <w:tcPr>
            <w:tcW w:w="1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19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affiliate</w:t>
            </w:r>
          </w:p>
        </w:tc>
        <w:tc>
          <w:tcPr>
            <w:tcW w:w="17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7"/>
              </w:rPr>
              <w:t>155,103,810</w:t>
            </w:r>
          </w:p>
        </w:tc>
        <w:tc>
          <w:tcPr>
            <w:tcW w:w="194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   130,901,546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ind w:left="340" w:right="2560"/>
        <w:spacing w:after="0" w:line="258"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Headquarters/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Date of Initial</w:t>
            </w: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7"/>
        </w:trPr>
        <w:tc>
          <w:tcPr>
            <w:tcW w:w="2620" w:type="dxa"/>
            <w:vAlign w:val="bottom"/>
            <w:gridSpan w:val="8"/>
          </w:tcPr>
          <w:p>
            <w:pPr>
              <w:spacing w:after="0"/>
              <w:rPr>
                <w:sz w:val="20"/>
                <w:szCs w:val="20"/>
                <w:color w:val="auto"/>
              </w:rPr>
            </w:pPr>
            <w:r>
              <w:rPr>
                <w:rFonts w:ascii="Arial" w:cs="Arial" w:eastAsia="Arial" w:hAnsi="Arial"/>
                <w:sz w:val="18"/>
                <w:szCs w:val="18"/>
                <w:b w:val="1"/>
                <w:bCs w:val="1"/>
                <w:color w:val="auto"/>
              </w:rPr>
              <w:t>Portfolio Investments*</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Industry</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Investment</w:t>
            </w:r>
          </w:p>
        </w:tc>
        <w:tc>
          <w:tcPr>
            <w:tcW w:w="16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Principal</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0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01"/>
        </w:trPr>
        <w:tc>
          <w:tcPr>
            <w:tcW w:w="2440" w:type="dxa"/>
            <w:vAlign w:val="bottom"/>
            <w:tcBorders>
              <w:top w:val="single" w:sz="8" w:color="auto"/>
            </w:tcBorders>
            <w:gridSpan w:val="7"/>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NON-</w:t>
            </w:r>
          </w:p>
        </w:tc>
        <w:tc>
          <w:tcPr>
            <w:tcW w:w="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gridSpan w:val="8"/>
            <w:shd w:val="clear" w:color="auto" w:fill="CCEEFF"/>
          </w:tcPr>
          <w:p>
            <w:pPr>
              <w:spacing w:after="0" w:line="262" w:lineRule="exact"/>
              <w:rPr>
                <w:sz w:val="20"/>
                <w:szCs w:val="20"/>
                <w:color w:val="auto"/>
              </w:rPr>
            </w:pPr>
            <w:r>
              <w:rPr>
                <w:rFonts w:ascii="Arial" w:cs="Arial" w:eastAsia="Arial" w:hAnsi="Arial"/>
                <w:sz w:val="18"/>
                <w:szCs w:val="18"/>
                <w:b w:val="1"/>
                <w:bCs w:val="1"/>
                <w:color w:val="auto"/>
              </w:rPr>
              <w:t>CONTROLLED/AFFILIATE</w:t>
            </w:r>
            <w:r>
              <w:rPr>
                <w:rFonts w:ascii="Arial" w:cs="Arial" w:eastAsia="Arial" w:hAnsi="Arial"/>
                <w:sz w:val="29"/>
                <w:szCs w:val="29"/>
                <w:color w:val="auto"/>
                <w:vertAlign w:val="superscript"/>
              </w:rPr>
              <w:t>(1)</w:t>
            </w: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620" w:type="dxa"/>
            <w:vAlign w:val="bottom"/>
            <w:gridSpan w:val="8"/>
          </w:tcPr>
          <w:p>
            <w:pPr>
              <w:spacing w:after="0" w:line="212" w:lineRule="exact"/>
              <w:rPr>
                <w:sz w:val="20"/>
                <w:szCs w:val="20"/>
                <w:color w:val="auto"/>
              </w:rPr>
            </w:pPr>
            <w:r>
              <w:rPr>
                <w:rFonts w:ascii="Arial" w:cs="Arial" w:eastAsia="Arial" w:hAnsi="Arial"/>
                <w:sz w:val="15"/>
                <w:szCs w:val="15"/>
                <w:b w:val="1"/>
                <w:bCs w:val="1"/>
                <w:color w:val="auto"/>
              </w:rPr>
              <w:t>StormWind, LLC</w:t>
            </w:r>
            <w:r>
              <w:rPr>
                <w:rFonts w:ascii="Arial" w:cs="Arial" w:eastAsia="Arial" w:hAnsi="Arial"/>
                <w:sz w:val="24"/>
                <w:szCs w:val="24"/>
                <w:color w:val="auto"/>
                <w:vertAlign w:val="superscript"/>
              </w:rPr>
              <w:t>(5)</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Scottsdale, AZ</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Interactive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Preferred shares, Series D 8%</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Learning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11/26/2019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329,337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533,429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2"/>
        </w:trPr>
        <w:tc>
          <w:tcPr>
            <w:tcW w:w="2620" w:type="dxa"/>
            <w:vAlign w:val="bottom"/>
            <w:gridSpan w:val="8"/>
          </w:tcPr>
          <w:p>
            <w:pPr>
              <w:spacing w:after="0"/>
              <w:rPr>
                <w:sz w:val="20"/>
                <w:szCs w:val="20"/>
                <w:color w:val="auto"/>
              </w:rPr>
            </w:pPr>
            <w:r>
              <w:rPr>
                <w:rFonts w:ascii="Arial" w:cs="Arial" w:eastAsia="Arial" w:hAnsi="Arial"/>
                <w:sz w:val="18"/>
                <w:szCs w:val="18"/>
                <w:color w:val="auto"/>
              </w:rPr>
              <w:t>Preferred shares, Series C 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1/7/2014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2,779,134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4,000,787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5,675,081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2"/>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Preferred shares, Series B 8%</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12/16/2011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3,279,629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3,550,631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2"/>
        </w:trPr>
        <w:tc>
          <w:tcPr>
            <w:tcW w:w="2620" w:type="dxa"/>
            <w:vAlign w:val="bottom"/>
            <w:gridSpan w:val="8"/>
          </w:tcPr>
          <w:p>
            <w:pPr>
              <w:spacing w:after="0"/>
              <w:rPr>
                <w:sz w:val="20"/>
                <w:szCs w:val="20"/>
                <w:color w:val="auto"/>
              </w:rPr>
            </w:pPr>
            <w:r>
              <w:rPr>
                <w:rFonts w:ascii="Arial" w:cs="Arial" w:eastAsia="Arial" w:hAnsi="Arial"/>
                <w:sz w:val="18"/>
                <w:szCs w:val="18"/>
                <w:color w:val="auto"/>
              </w:rPr>
              <w:t>Preferred shares, Series A 8%</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2/25/2014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366,666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191,694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2"/>
        </w:trPr>
        <w:tc>
          <w:tcPr>
            <w:tcW w:w="262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6,387,741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9,950,835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46"/>
        </w:trPr>
        <w:tc>
          <w:tcPr>
            <w:tcW w:w="2620" w:type="dxa"/>
            <w:vAlign w:val="bottom"/>
            <w:gridSpan w:val="8"/>
          </w:tcPr>
          <w:p>
            <w:pPr>
              <w:spacing w:after="0" w:line="146" w:lineRule="exact"/>
              <w:rPr>
                <w:sz w:val="20"/>
                <w:szCs w:val="20"/>
                <w:color w:val="auto"/>
              </w:rPr>
            </w:pPr>
            <w:r>
              <w:rPr>
                <w:rFonts w:ascii="Arial" w:cs="Arial" w:eastAsia="Arial" w:hAnsi="Arial"/>
                <w:sz w:val="15"/>
                <w:szCs w:val="15"/>
                <w:b w:val="1"/>
                <w:bCs w:val="1"/>
                <w:color w:val="auto"/>
              </w:rPr>
              <w:t>OneValley, Inc. (f/k/a NestGSV,</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0" w:type="dxa"/>
            <w:vAlign w:val="bottom"/>
            <w:tcBorders>
              <w:top w:val="single" w:sz="8" w:color="auto"/>
              <w:bottom w:val="single" w:sz="8" w:color="auto"/>
            </w:tcBorders>
          </w:tcPr>
          <w:p>
            <w:pPr>
              <w:spacing w:after="0" w:line="192" w:lineRule="exact"/>
              <w:rPr>
                <w:sz w:val="20"/>
                <w:szCs w:val="20"/>
                <w:color w:val="auto"/>
              </w:rPr>
            </w:pPr>
            <w:r>
              <w:rPr>
                <w:rFonts w:ascii="Arial" w:cs="Arial" w:eastAsia="Arial" w:hAnsi="Arial"/>
                <w:sz w:val="18"/>
                <w:szCs w:val="18"/>
                <w:b w:val="1"/>
                <w:bCs w:val="1"/>
                <w:color w:val="auto"/>
                <w:w w:val="91"/>
              </w:rPr>
              <w:t>Inc.)</w:t>
            </w:r>
          </w:p>
        </w:tc>
        <w:tc>
          <w:tcPr>
            <w:tcW w:w="2000" w:type="dxa"/>
            <w:vAlign w:val="bottom"/>
            <w:tcBorders>
              <w:top w:val="single" w:sz="8" w:color="auto"/>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c>
          <w:tcPr>
            <w:tcW w:w="1560" w:type="dxa"/>
            <w:vAlign w:val="bottom"/>
            <w:gridSpan w:val="2"/>
          </w:tcPr>
          <w:p>
            <w:pPr>
              <w:jc w:val="center"/>
              <w:ind w:right="180"/>
              <w:spacing w:after="0" w:line="192" w:lineRule="exact"/>
              <w:rPr>
                <w:sz w:val="20"/>
                <w:szCs w:val="20"/>
                <w:color w:val="auto"/>
              </w:rPr>
            </w:pPr>
            <w:r>
              <w:rPr>
                <w:rFonts w:ascii="Arial" w:cs="Arial" w:eastAsia="Arial" w:hAnsi="Arial"/>
                <w:sz w:val="18"/>
                <w:szCs w:val="18"/>
                <w:color w:val="auto"/>
                <w:w w:val="90"/>
              </w:rPr>
              <w:t>San Mateo, CA</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Derivative Security, Expiration</w:t>
            </w:r>
          </w:p>
        </w:tc>
        <w:tc>
          <w:tcPr>
            <w:tcW w:w="1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Global Innovation</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620" w:type="dxa"/>
            <w:vAlign w:val="bottom"/>
            <w:gridSpan w:val="8"/>
            <w:shd w:val="clear" w:color="auto" w:fill="CCEEFF"/>
          </w:tcPr>
          <w:p>
            <w:pPr>
              <w:spacing w:after="0" w:line="262" w:lineRule="exact"/>
              <w:rPr>
                <w:sz w:val="20"/>
                <w:szCs w:val="20"/>
                <w:color w:val="auto"/>
              </w:rPr>
            </w:pPr>
            <w:r>
              <w:rPr>
                <w:rFonts w:ascii="Arial" w:cs="Arial" w:eastAsia="Arial" w:hAnsi="Arial"/>
                <w:sz w:val="18"/>
                <w:szCs w:val="18"/>
                <w:color w:val="auto"/>
              </w:rPr>
              <w:t>Date 8/23/2024</w:t>
            </w:r>
            <w:r>
              <w:rPr>
                <w:rFonts w:ascii="Arial" w:cs="Arial" w:eastAsia="Arial" w:hAnsi="Arial"/>
                <w:sz w:val="29"/>
                <w:szCs w:val="29"/>
                <w:color w:val="auto"/>
                <w:vertAlign w:val="superscript"/>
              </w:rPr>
              <w:t>(10)</w:t>
            </w:r>
          </w:p>
        </w:tc>
        <w:tc>
          <w:tcPr>
            <w:tcW w:w="1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Platform</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8/23/2019</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8,555,124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652,127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1"/>
        </w:trPr>
        <w:tc>
          <w:tcPr>
            <w:tcW w:w="2620" w:type="dxa"/>
            <w:vAlign w:val="bottom"/>
            <w:gridSpan w:val="8"/>
          </w:tcPr>
          <w:p>
            <w:pPr>
              <w:spacing w:after="0" w:line="201" w:lineRule="exact"/>
              <w:rPr>
                <w:sz w:val="20"/>
                <w:szCs w:val="20"/>
                <w:color w:val="auto"/>
              </w:rPr>
            </w:pPr>
            <w:r>
              <w:rPr>
                <w:rFonts w:ascii="Arial" w:cs="Arial" w:eastAsia="Arial" w:hAnsi="Arial"/>
                <w:sz w:val="18"/>
                <w:szCs w:val="18"/>
                <w:color w:val="auto"/>
                <w:w w:val="99"/>
              </w:rPr>
              <w:t>Convertible Promissory Note 8%</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gridSpan w:val="8"/>
          </w:tcPr>
          <w:p>
            <w:pPr>
              <w:spacing w:after="0" w:line="262" w:lineRule="exact"/>
              <w:rPr>
                <w:sz w:val="20"/>
                <w:szCs w:val="20"/>
                <w:color w:val="auto"/>
              </w:rPr>
            </w:pPr>
            <w:r>
              <w:rPr>
                <w:rFonts w:ascii="Arial" w:cs="Arial" w:eastAsia="Arial" w:hAnsi="Arial"/>
                <w:sz w:val="18"/>
                <w:szCs w:val="18"/>
                <w:color w:val="auto"/>
              </w:rPr>
              <w:t>Due 8/23/2024</w:t>
            </w:r>
            <w:r>
              <w:rPr>
                <w:rFonts w:ascii="Arial" w:cs="Arial" w:eastAsia="Arial" w:hAnsi="Arial"/>
                <w:sz w:val="29"/>
                <w:szCs w:val="29"/>
                <w:color w:val="auto"/>
                <w:vertAlign w:val="superscript"/>
              </w:rPr>
              <w:t>(4)(10)</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2/17/2016</w:t>
            </w:r>
          </w:p>
        </w:tc>
        <w:tc>
          <w:tcPr>
            <w:tcW w:w="18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1,010,198</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1,030,176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1,988,200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0"/>
        </w:trPr>
        <w:tc>
          <w:tcPr>
            <w:tcW w:w="2620" w:type="dxa"/>
            <w:vAlign w:val="bottom"/>
            <w:gridSpan w:val="8"/>
            <w:shd w:val="clear" w:color="auto" w:fill="CCEEFF"/>
          </w:tcPr>
          <w:p>
            <w:pPr>
              <w:spacing w:after="0" w:line="200" w:lineRule="exact"/>
              <w:rPr>
                <w:sz w:val="20"/>
                <w:szCs w:val="20"/>
                <w:color w:val="auto"/>
              </w:rPr>
            </w:pPr>
            <w:r>
              <w:rPr>
                <w:rFonts w:ascii="Arial" w:cs="Arial" w:eastAsia="Arial" w:hAnsi="Arial"/>
                <w:sz w:val="18"/>
                <w:szCs w:val="18"/>
                <w:color w:val="auto"/>
                <w:w w:val="95"/>
              </w:rPr>
              <w:t>Preferred Warrant Series B, Strike</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Price $2.31, Expiration Date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12/31/2023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12/31/2018</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620" w:type="dxa"/>
            <w:vAlign w:val="bottom"/>
            <w:tcBorders>
              <w:top w:val="single" w:sz="8" w:color="CCEEFF"/>
              <w:bottom w:val="single" w:sz="8" w:color="CCEEFF"/>
            </w:tcBorders>
            <w:gridSpan w:val="8"/>
          </w:tcPr>
          <w:p>
            <w:pPr>
              <w:ind w:left="180"/>
              <w:spacing w:after="0" w:line="199"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1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10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9,590,380</w:t>
            </w:r>
          </w:p>
        </w:tc>
        <w:tc>
          <w:tcPr>
            <w:tcW w:w="1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2,640,327</w:t>
            </w:r>
          </w:p>
        </w:tc>
        <w:tc>
          <w:tcPr>
            <w:tcW w:w="3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1.26</w:t>
            </w:r>
          </w:p>
        </w:tc>
        <w:tc>
          <w:tcPr>
            <w:tcW w:w="180" w:type="dxa"/>
            <w:vAlign w:val="bottom"/>
            <w:tcBorders>
              <w:top w:val="single" w:sz="8" w:color="CCEEFF"/>
              <w:bottom w:val="single" w:sz="8" w:color="CCEEFF"/>
            </w:tcBorders>
          </w:tcPr>
          <w:p>
            <w:pPr>
              <w:jc w:val="right"/>
              <w:spacing w:after="0" w:line="19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86"/>
        </w:trPr>
        <w:tc>
          <w:tcPr>
            <w:tcW w:w="2620" w:type="dxa"/>
            <w:vAlign w:val="bottom"/>
            <w:gridSpan w:val="8"/>
            <w:vMerge w:val="restart"/>
            <w:shd w:val="clear" w:color="auto" w:fill="CCEEFF"/>
          </w:tcPr>
          <w:p>
            <w:pPr>
              <w:spacing w:after="0"/>
              <w:rPr>
                <w:sz w:val="20"/>
                <w:szCs w:val="20"/>
                <w:color w:val="auto"/>
              </w:rPr>
            </w:pPr>
            <w:r>
              <w:rPr>
                <w:rFonts w:ascii="Arial" w:cs="Arial" w:eastAsia="Arial" w:hAnsi="Arial"/>
                <w:sz w:val="18"/>
                <w:szCs w:val="18"/>
                <w:b w:val="1"/>
                <w:bCs w:val="1"/>
                <w:color w:val="auto"/>
              </w:rPr>
              <w:t>Ozy Media, Inc.</w:t>
            </w:r>
          </w:p>
        </w:tc>
        <w:tc>
          <w:tcPr>
            <w:tcW w:w="1560" w:type="dxa"/>
            <w:vAlign w:val="bottom"/>
            <w:gridSpan w:val="2"/>
            <w:shd w:val="clear" w:color="auto" w:fill="CCEEFF"/>
          </w:tcPr>
          <w:p>
            <w:pPr>
              <w:jc w:val="center"/>
              <w:ind w:right="180"/>
              <w:spacing w:after="0" w:line="187" w:lineRule="exact"/>
              <w:rPr>
                <w:sz w:val="20"/>
                <w:szCs w:val="20"/>
                <w:color w:val="auto"/>
              </w:rPr>
            </w:pPr>
            <w:r>
              <w:rPr>
                <w:rFonts w:ascii="Arial" w:cs="Arial" w:eastAsia="Arial" w:hAnsi="Arial"/>
                <w:sz w:val="18"/>
                <w:szCs w:val="18"/>
                <w:color w:val="auto"/>
                <w:w w:val="92"/>
              </w:rPr>
              <w:t>Mountain View,</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gridSpan w:val="8"/>
            <w:vMerge w:val="continue"/>
            <w:shd w:val="clear" w:color="auto" w:fill="CCEEFF"/>
          </w:tcPr>
          <w:p>
            <w:pPr>
              <w:spacing w:after="0"/>
              <w:rPr>
                <w:sz w:val="17"/>
                <w:szCs w:val="17"/>
                <w:color w:val="auto"/>
              </w:rPr>
            </w:pPr>
          </w:p>
        </w:tc>
        <w:tc>
          <w:tcPr>
            <w:tcW w:w="1560" w:type="dxa"/>
            <w:vAlign w:val="bottom"/>
            <w:gridSpan w:val="2"/>
            <w:shd w:val="clear" w:color="auto" w:fill="CCEEFF"/>
          </w:tcPr>
          <w:p>
            <w:pPr>
              <w:jc w:val="center"/>
              <w:ind w:right="200"/>
              <w:spacing w:after="0" w:line="185" w:lineRule="exact"/>
              <w:rPr>
                <w:sz w:val="20"/>
                <w:szCs w:val="20"/>
                <w:color w:val="auto"/>
              </w:rPr>
            </w:pPr>
            <w:r>
              <w:rPr>
                <w:rFonts w:ascii="Arial" w:cs="Arial" w:eastAsia="Arial" w:hAnsi="Arial"/>
                <w:sz w:val="18"/>
                <w:szCs w:val="18"/>
                <w:color w:val="auto"/>
                <w:w w:val="95"/>
              </w:rPr>
              <w:t>CA</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gridSpan w:val="2"/>
          </w:tcPr>
          <w:p>
            <w:pPr>
              <w:jc w:val="center"/>
              <w:ind w:right="180"/>
              <w:spacing w:after="0" w:line="200" w:lineRule="exact"/>
              <w:rPr>
                <w:sz w:val="20"/>
                <w:szCs w:val="20"/>
                <w:color w:val="auto"/>
              </w:rPr>
            </w:pPr>
            <w:r>
              <w:rPr>
                <w:rFonts w:ascii="Arial" w:cs="Arial" w:eastAsia="Arial" w:hAnsi="Arial"/>
                <w:sz w:val="18"/>
                <w:szCs w:val="18"/>
                <w:color w:val="auto"/>
                <w:w w:val="94"/>
              </w:rPr>
              <w:t>Digital Media</w:t>
            </w:r>
          </w:p>
        </w:tc>
        <w:tc>
          <w:tcPr>
            <w:tcW w:w="1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gridSpan w:val="8"/>
          </w:tcPr>
          <w:p>
            <w:pPr>
              <w:spacing w:after="0"/>
              <w:rPr>
                <w:sz w:val="20"/>
                <w:szCs w:val="20"/>
                <w:color w:val="auto"/>
              </w:rPr>
            </w:pPr>
            <w:r>
              <w:rPr>
                <w:rFonts w:ascii="Arial" w:cs="Arial" w:eastAsia="Arial" w:hAnsi="Arial"/>
                <w:sz w:val="18"/>
                <w:szCs w:val="18"/>
                <w:color w:val="auto"/>
                <w:w w:val="99"/>
              </w:rPr>
              <w:t>Preferred shares, Series C-2 6%</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Platform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8/31/2016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683,482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2,414,178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Preferred shares, Series B 6%</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10/3/2014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922,509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4,999,999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20" w:type="dxa"/>
            <w:vAlign w:val="bottom"/>
            <w:gridSpan w:val="8"/>
          </w:tcPr>
          <w:p>
            <w:pPr>
              <w:spacing w:after="0"/>
              <w:rPr>
                <w:sz w:val="20"/>
                <w:szCs w:val="20"/>
                <w:color w:val="auto"/>
              </w:rPr>
            </w:pPr>
            <w:r>
              <w:rPr>
                <w:rFonts w:ascii="Arial" w:cs="Arial" w:eastAsia="Arial" w:hAnsi="Arial"/>
                <w:sz w:val="18"/>
                <w:szCs w:val="18"/>
                <w:color w:val="auto"/>
              </w:rPr>
              <w:t>Preferred shares, Series A 6%</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12/11/2013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1,090,909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3,000,200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Preferred shares, Series Seed 6%</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11/2/2012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620" w:type="dxa"/>
            <w:vAlign w:val="bottom"/>
            <w:gridSpan w:val="8"/>
          </w:tcPr>
          <w:p>
            <w:pPr>
              <w:spacing w:after="0" w:line="200" w:lineRule="exact"/>
              <w:rPr>
                <w:sz w:val="20"/>
                <w:szCs w:val="20"/>
                <w:color w:val="auto"/>
              </w:rPr>
            </w:pPr>
            <w:r>
              <w:rPr>
                <w:rFonts w:ascii="Arial" w:cs="Arial" w:eastAsia="Arial" w:hAnsi="Arial"/>
                <w:sz w:val="18"/>
                <w:szCs w:val="18"/>
                <w:color w:val="auto"/>
              </w:rPr>
              <w:t>Common Warrants, Strike Price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20" w:type="dxa"/>
            <w:vAlign w:val="bottom"/>
            <w:gridSpan w:val="8"/>
          </w:tcPr>
          <w:p>
            <w:pPr>
              <w:spacing w:after="0"/>
              <w:rPr>
                <w:sz w:val="20"/>
                <w:szCs w:val="20"/>
                <w:color w:val="auto"/>
              </w:rPr>
            </w:pPr>
            <w:r>
              <w:rPr>
                <w:rFonts w:ascii="Arial" w:cs="Arial" w:eastAsia="Arial" w:hAnsi="Arial"/>
                <w:sz w:val="18"/>
                <w:szCs w:val="18"/>
                <w:color w:val="auto"/>
              </w:rPr>
              <w:t>$0.01, Expiration Date 4/9/2028</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4/9/2018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295,565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30,647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62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10,945,024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2620" w:type="dxa"/>
            <w:vAlign w:val="bottom"/>
            <w:gridSpan w:val="8"/>
          </w:tcPr>
          <w:p>
            <w:pPr>
              <w:spacing w:after="0" w:line="159" w:lineRule="exact"/>
              <w:rPr>
                <w:sz w:val="20"/>
                <w:szCs w:val="20"/>
                <w:color w:val="auto"/>
              </w:rPr>
            </w:pPr>
            <w:r>
              <w:rPr>
                <w:rFonts w:ascii="Arial" w:cs="Arial" w:eastAsia="Arial" w:hAnsi="Arial"/>
                <w:sz w:val="18"/>
                <w:szCs w:val="18"/>
                <w:b w:val="1"/>
                <w:bCs w:val="1"/>
                <w:color w:val="auto"/>
              </w:rPr>
              <w:t>Maven Research, Inc.</w:t>
            </w:r>
          </w:p>
        </w:tc>
        <w:tc>
          <w:tcPr>
            <w:tcW w:w="1560" w:type="dxa"/>
            <w:vAlign w:val="bottom"/>
            <w:gridSpan w:val="2"/>
          </w:tcPr>
          <w:p>
            <w:pPr>
              <w:jc w:val="center"/>
              <w:ind w:right="200"/>
              <w:spacing w:after="0" w:line="159" w:lineRule="exact"/>
              <w:rPr>
                <w:sz w:val="20"/>
                <w:szCs w:val="20"/>
                <w:color w:val="auto"/>
              </w:rPr>
            </w:pPr>
            <w:r>
              <w:rPr>
                <w:rFonts w:ascii="Arial" w:cs="Arial" w:eastAsia="Arial" w:hAnsi="Arial"/>
                <w:sz w:val="18"/>
                <w:szCs w:val="18"/>
                <w:color w:val="auto"/>
                <w:w w:val="87"/>
              </w:rPr>
              <w:t>San Francisco, CA</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Knowledge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Preferred shares, Series C</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Networks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7/2/2012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318,979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2,000,447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620" w:type="dxa"/>
            <w:vAlign w:val="bottom"/>
            <w:gridSpan w:val="8"/>
          </w:tcPr>
          <w:p>
            <w:pPr>
              <w:spacing w:after="0"/>
              <w:rPr>
                <w:sz w:val="20"/>
                <w:szCs w:val="20"/>
                <w:color w:val="auto"/>
              </w:rPr>
            </w:pPr>
            <w:r>
              <w:rPr>
                <w:rFonts w:ascii="Arial" w:cs="Arial" w:eastAsia="Arial" w:hAnsi="Arial"/>
                <w:sz w:val="18"/>
                <w:szCs w:val="18"/>
                <w:color w:val="auto"/>
              </w:rPr>
              <w:t>Preferred shares, Series B</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2/28/2012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49,505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217,206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62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8"/>
                <w:szCs w:val="18"/>
                <w:b w:val="1"/>
                <w:bCs w:val="1"/>
                <w:color w:val="auto"/>
                <w:w w:val="88"/>
              </w:rPr>
              <w:t>Curious.com, Inc.</w:t>
            </w:r>
          </w:p>
        </w:tc>
        <w:tc>
          <w:tcPr>
            <w:tcW w:w="1260" w:type="dxa"/>
            <w:vAlign w:val="bottom"/>
            <w:gridSpan w:val="4"/>
          </w:tcPr>
          <w:p>
            <w:pPr>
              <w:spacing w:after="0"/>
              <w:rPr>
                <w:sz w:val="14"/>
                <w:szCs w:val="14"/>
                <w:color w:val="auto"/>
              </w:rPr>
            </w:pPr>
          </w:p>
        </w:tc>
        <w:tc>
          <w:tcPr>
            <w:tcW w:w="1560" w:type="dxa"/>
            <w:vAlign w:val="bottom"/>
            <w:gridSpan w:val="2"/>
          </w:tcPr>
          <w:p>
            <w:pPr>
              <w:jc w:val="center"/>
              <w:ind w:right="200"/>
              <w:spacing w:after="0" w:line="159" w:lineRule="exact"/>
              <w:rPr>
                <w:sz w:val="20"/>
                <w:szCs w:val="20"/>
                <w:color w:val="auto"/>
              </w:rPr>
            </w:pPr>
            <w:r>
              <w:rPr>
                <w:rFonts w:ascii="Arial" w:cs="Arial" w:eastAsia="Arial" w:hAnsi="Arial"/>
                <w:sz w:val="18"/>
                <w:szCs w:val="18"/>
                <w:color w:val="auto"/>
                <w:w w:val="91"/>
              </w:rPr>
              <w:t>Menlo Park, CA</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Online Education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11/22/2013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1,135,944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gridSpan w:val="6"/>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Total Non-controlled/Affiliate</w:t>
            </w:r>
          </w:p>
        </w:tc>
        <w:tc>
          <w:tcPr>
            <w:tcW w:w="1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41,140,804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12,591,162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r>
      <w:tr>
        <w:trPr>
          <w:trHeight w:val="212"/>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2"/>
        </w:trPr>
        <w:tc>
          <w:tcPr>
            <w:tcW w:w="2520" w:type="dxa"/>
            <w:vAlign w:val="bottom"/>
            <w:gridSpan w:val="6"/>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CONTROLLED</w:t>
            </w:r>
            <w:r>
              <w:rPr>
                <w:rFonts w:ascii="Arial" w:cs="Arial" w:eastAsia="Arial" w:hAnsi="Arial"/>
                <w:sz w:val="29"/>
                <w:szCs w:val="29"/>
                <w:b w:val="1"/>
                <w:bCs w:val="1"/>
                <w:color w:val="auto"/>
                <w:vertAlign w:val="superscript"/>
              </w:rPr>
              <w:t>(2)</w:t>
            </w:r>
          </w:p>
        </w:tc>
        <w:tc>
          <w:tcPr>
            <w:tcW w:w="16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172"/>
        </w:trPr>
        <w:tc>
          <w:tcPr>
            <w:tcW w:w="2520" w:type="dxa"/>
            <w:vAlign w:val="bottom"/>
            <w:gridSpan w:val="6"/>
          </w:tcPr>
          <w:p>
            <w:pPr>
              <w:spacing w:after="0" w:line="172" w:lineRule="exact"/>
              <w:rPr>
                <w:sz w:val="20"/>
                <w:szCs w:val="20"/>
                <w:color w:val="auto"/>
              </w:rPr>
            </w:pPr>
            <w:r>
              <w:rPr>
                <w:rFonts w:ascii="Arial" w:cs="Arial" w:eastAsia="Arial" w:hAnsi="Arial"/>
                <w:sz w:val="18"/>
                <w:szCs w:val="18"/>
                <w:b w:val="1"/>
                <w:bCs w:val="1"/>
                <w:color w:val="auto"/>
                <w:w w:val="97"/>
              </w:rPr>
              <w:t>Architect Capital PayJoy SPV,</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2"/>
        </w:trPr>
        <w:tc>
          <w:tcPr>
            <w:tcW w:w="2300" w:type="dxa"/>
            <w:vAlign w:val="bottom"/>
            <w:tcBorders>
              <w:top w:val="single" w:sz="8" w:color="auto"/>
            </w:tcBorders>
            <w:gridSpan w:val="5"/>
          </w:tcPr>
          <w:p>
            <w:pPr>
              <w:spacing w:after="0" w:line="192" w:lineRule="exact"/>
              <w:rPr>
                <w:sz w:val="20"/>
                <w:szCs w:val="20"/>
                <w:color w:val="auto"/>
              </w:rPr>
            </w:pPr>
            <w:r>
              <w:rPr>
                <w:rFonts w:ascii="Arial" w:cs="Arial" w:eastAsia="Arial" w:hAnsi="Arial"/>
                <w:sz w:val="18"/>
                <w:szCs w:val="18"/>
                <w:b w:val="1"/>
                <w:bCs w:val="1"/>
                <w:color w:val="auto"/>
              </w:rPr>
              <w:t>LLC**</w:t>
            </w:r>
          </w:p>
        </w:tc>
        <w:tc>
          <w:tcPr>
            <w:tcW w:w="220" w:type="dxa"/>
            <w:vAlign w:val="bottom"/>
          </w:tcPr>
          <w:p>
            <w:pPr>
              <w:spacing w:after="0"/>
              <w:rPr>
                <w:sz w:val="16"/>
                <w:szCs w:val="16"/>
                <w:color w:val="auto"/>
              </w:rPr>
            </w:pPr>
          </w:p>
        </w:tc>
        <w:tc>
          <w:tcPr>
            <w:tcW w:w="1660" w:type="dxa"/>
            <w:vAlign w:val="bottom"/>
          </w:tcPr>
          <w:p>
            <w:pPr>
              <w:jc w:val="center"/>
              <w:ind w:right="12"/>
              <w:spacing w:after="0" w:line="192" w:lineRule="exact"/>
              <w:rPr>
                <w:sz w:val="20"/>
                <w:szCs w:val="20"/>
                <w:color w:val="auto"/>
              </w:rPr>
            </w:pPr>
            <w:r>
              <w:rPr>
                <w:rFonts w:ascii="Arial" w:cs="Arial" w:eastAsia="Arial" w:hAnsi="Arial"/>
                <w:sz w:val="18"/>
                <w:szCs w:val="18"/>
                <w:color w:val="auto"/>
                <w:w w:val="87"/>
              </w:rPr>
              <w:t>San Francisco, CA</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0"/>
        </w:trPr>
        <w:tc>
          <w:tcPr>
            <w:tcW w:w="36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25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Membership Interest in Lending</w:t>
            </w:r>
          </w:p>
        </w:tc>
        <w:tc>
          <w:tcPr>
            <w:tcW w:w="16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Mobile Finance</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SPV***</w:t>
            </w:r>
          </w:p>
        </w:tc>
        <w:tc>
          <w:tcPr>
            <w:tcW w:w="16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0"/>
              </w:rPr>
              <w:t>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3/24/2021</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10,006,745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2"/>
        </w:trPr>
        <w:tc>
          <w:tcPr>
            <w:tcW w:w="2520" w:type="dxa"/>
            <w:vAlign w:val="bottom"/>
            <w:gridSpan w:val="6"/>
          </w:tcPr>
          <w:p>
            <w:pPr>
              <w:spacing w:after="0" w:line="212" w:lineRule="exact"/>
              <w:rPr>
                <w:sz w:val="20"/>
                <w:szCs w:val="20"/>
                <w:color w:val="auto"/>
              </w:rPr>
            </w:pPr>
            <w:r>
              <w:rPr>
                <w:rFonts w:ascii="Arial" w:cs="Arial" w:eastAsia="Arial" w:hAnsi="Arial"/>
                <w:sz w:val="15"/>
                <w:szCs w:val="15"/>
                <w:b w:val="1"/>
                <w:bCs w:val="1"/>
                <w:color w:val="auto"/>
              </w:rPr>
              <w:t>Colombier Sponsor LLC**</w:t>
            </w:r>
            <w:r>
              <w:rPr>
                <w:rFonts w:ascii="Arial" w:cs="Arial" w:eastAsia="Arial" w:hAnsi="Arial"/>
                <w:sz w:val="24"/>
                <w:szCs w:val="24"/>
                <w:b w:val="1"/>
                <w:bCs w:val="1"/>
                <w:color w:val="auto"/>
                <w:vertAlign w:val="superscript"/>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New York, NY</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Special Purpose</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Acquisition</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6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8"/>
              </w:rPr>
              <w:t>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1,976,033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1,556,587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1,554,355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2"/>
        </w:trPr>
        <w:tc>
          <w:tcPr>
            <w:tcW w:w="2520" w:type="dxa"/>
            <w:vAlign w:val="bottom"/>
            <w:gridSpan w:val="6"/>
          </w:tcPr>
          <w:p>
            <w:pPr>
              <w:spacing w:after="0"/>
              <w:rPr>
                <w:sz w:val="20"/>
                <w:szCs w:val="20"/>
                <w:color w:val="auto"/>
              </w:rPr>
            </w:pPr>
            <w:r>
              <w:rPr>
                <w:rFonts w:ascii="Arial" w:cs="Arial" w:eastAsia="Arial" w:hAnsi="Arial"/>
                <w:sz w:val="18"/>
                <w:szCs w:val="18"/>
                <w:color w:val="auto"/>
              </w:rPr>
              <w:t>Class W Units</w:t>
            </w:r>
          </w:p>
        </w:tc>
        <w:tc>
          <w:tcPr>
            <w:tcW w:w="1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4/1/2021</w:t>
            </w:r>
          </w:p>
        </w:tc>
        <w:tc>
          <w:tcPr>
            <w:tcW w:w="4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2,700,000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1,159,150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1,157,487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0.55%</w:t>
            </w:r>
          </w:p>
        </w:tc>
      </w:tr>
      <w:tr>
        <w:trPr>
          <w:trHeight w:val="232"/>
        </w:trPr>
        <w:tc>
          <w:tcPr>
            <w:tcW w:w="252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2,715,737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2,711,842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45"/>
        </w:trPr>
        <w:tc>
          <w:tcPr>
            <w:tcW w:w="1900" w:type="dxa"/>
            <w:vAlign w:val="bottom"/>
            <w:tcBorders>
              <w:bottom w:val="single" w:sz="8" w:color="auto"/>
            </w:tcBorders>
            <w:gridSpan w:val="3"/>
          </w:tcPr>
          <w:p>
            <w:pPr>
              <w:spacing w:after="0" w:line="146" w:lineRule="exact"/>
              <w:rPr>
                <w:sz w:val="20"/>
                <w:szCs w:val="20"/>
                <w:color w:val="auto"/>
              </w:rPr>
            </w:pPr>
            <w:r>
              <w:rPr>
                <w:rFonts w:ascii="Arial" w:cs="Arial" w:eastAsia="Arial" w:hAnsi="Arial"/>
                <w:sz w:val="15"/>
                <w:szCs w:val="15"/>
                <w:b w:val="1"/>
                <w:bCs w:val="1"/>
                <w:color w:val="auto"/>
              </w:rPr>
              <w:t>SPBRX, INC. (f/k/a GSV</w:t>
            </w:r>
          </w:p>
        </w:tc>
        <w:tc>
          <w:tcPr>
            <w:tcW w:w="620" w:type="dxa"/>
            <w:vAlign w:val="bottom"/>
            <w:gridSpan w:val="3"/>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2"/>
        </w:trPr>
        <w:tc>
          <w:tcPr>
            <w:tcW w:w="2520" w:type="dxa"/>
            <w:vAlign w:val="bottom"/>
            <w:gridSpan w:val="6"/>
          </w:tcPr>
          <w:p>
            <w:pPr>
              <w:spacing w:after="0" w:line="192" w:lineRule="exact"/>
              <w:rPr>
                <w:sz w:val="20"/>
                <w:szCs w:val="20"/>
                <w:color w:val="auto"/>
              </w:rPr>
            </w:pPr>
            <w:r>
              <w:rPr>
                <w:rFonts w:ascii="Arial" w:cs="Arial" w:eastAsia="Arial" w:hAnsi="Arial"/>
                <w:sz w:val="18"/>
                <w:szCs w:val="18"/>
                <w:b w:val="1"/>
                <w:bCs w:val="1"/>
                <w:color w:val="auto"/>
              </w:rPr>
              <w:t>Sustainability Partners, Inc.)</w:t>
            </w:r>
          </w:p>
        </w:tc>
        <w:tc>
          <w:tcPr>
            <w:tcW w:w="1660" w:type="dxa"/>
            <w:vAlign w:val="bottom"/>
          </w:tcPr>
          <w:p>
            <w:pPr>
              <w:jc w:val="center"/>
              <w:ind w:right="12"/>
              <w:spacing w:after="0" w:line="192" w:lineRule="exact"/>
              <w:rPr>
                <w:sz w:val="20"/>
                <w:szCs w:val="20"/>
                <w:color w:val="auto"/>
              </w:rPr>
            </w:pPr>
            <w:r>
              <w:rPr>
                <w:rFonts w:ascii="Arial" w:cs="Arial" w:eastAsia="Arial" w:hAnsi="Arial"/>
                <w:sz w:val="18"/>
                <w:szCs w:val="18"/>
                <w:color w:val="auto"/>
                <w:w w:val="91"/>
              </w:rPr>
              <w:t>Cupertino, CA</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2"/>
        </w:trPr>
        <w:tc>
          <w:tcPr>
            <w:tcW w:w="2180" w:type="dxa"/>
            <w:vAlign w:val="bottom"/>
            <w:tcBorders>
              <w:top w:val="single" w:sz="8" w:color="auto"/>
            </w:tcBorders>
            <w:gridSpan w:val="4"/>
            <w:shd w:val="clear" w:color="auto" w:fill="CCEEFF"/>
          </w:tcPr>
          <w:p>
            <w:pPr>
              <w:spacing w:after="0" w:line="262" w:lineRule="exact"/>
              <w:rPr>
                <w:sz w:val="20"/>
                <w:szCs w:val="20"/>
                <w:color w:val="auto"/>
              </w:rPr>
            </w:pPr>
            <w:r>
              <w:rPr>
                <w:rFonts w:ascii="Arial" w:cs="Arial" w:eastAsia="Arial" w:hAnsi="Arial"/>
                <w:sz w:val="18"/>
                <w:szCs w:val="18"/>
                <w:color w:val="auto"/>
                <w:w w:val="94"/>
              </w:rPr>
              <w:t>Preferred shares, Class A</w:t>
            </w:r>
            <w:r>
              <w:rPr>
                <w:rFonts w:ascii="Arial" w:cs="Arial" w:eastAsia="Arial" w:hAnsi="Arial"/>
                <w:sz w:val="29"/>
                <w:szCs w:val="29"/>
                <w:color w:val="auto"/>
                <w:w w:val="94"/>
                <w:vertAlign w:val="superscript"/>
              </w:rPr>
              <w:t>(9)</w:t>
            </w:r>
          </w:p>
        </w:tc>
        <w:tc>
          <w:tcPr>
            <w:tcW w:w="340" w:type="dxa"/>
            <w:vAlign w:val="bottom"/>
            <w:gridSpan w:val="2"/>
            <w:shd w:val="clear" w:color="auto" w:fill="CCEEFF"/>
          </w:tcPr>
          <w:p>
            <w:pPr>
              <w:spacing w:after="0"/>
              <w:rPr>
                <w:sz w:val="22"/>
                <w:szCs w:val="22"/>
                <w:color w:val="auto"/>
              </w:rPr>
            </w:pPr>
          </w:p>
        </w:tc>
        <w:tc>
          <w:tcPr>
            <w:tcW w:w="16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8"/>
              </w:rPr>
              <w:t>Clean 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4/15/2014</w:t>
            </w: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14,300,000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7,151,412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984,028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2"/>
        </w:trPr>
        <w:tc>
          <w:tcPr>
            <w:tcW w:w="2520" w:type="dxa"/>
            <w:vAlign w:val="bottom"/>
            <w:gridSpan w:val="6"/>
          </w:tcPr>
          <w:p>
            <w:pPr>
              <w:spacing w:after="0"/>
              <w:rPr>
                <w:sz w:val="20"/>
                <w:szCs w:val="20"/>
                <w:color w:val="auto"/>
              </w:rPr>
            </w:pPr>
            <w:r>
              <w:rPr>
                <w:rFonts w:ascii="Arial" w:cs="Arial" w:eastAsia="Arial" w:hAnsi="Arial"/>
                <w:sz w:val="18"/>
                <w:szCs w:val="18"/>
                <w:color w:val="auto"/>
              </w:rPr>
              <w:t>Common shares</w:t>
            </w:r>
          </w:p>
        </w:tc>
        <w:tc>
          <w:tcPr>
            <w:tcW w:w="1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4/15/2014</w:t>
            </w:r>
          </w:p>
        </w:tc>
        <w:tc>
          <w:tcPr>
            <w:tcW w:w="4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52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Controlled</w:t>
            </w:r>
          </w:p>
        </w:tc>
        <w:tc>
          <w:tcPr>
            <w:tcW w:w="2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19,883,894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13,695,870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r>
      <w:tr>
        <w:trPr>
          <w:trHeight w:val="212"/>
        </w:trPr>
        <w:tc>
          <w:tcPr>
            <w:tcW w:w="10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2"/>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Portfolio Investments</w:t>
            </w: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216,128,508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157,188,578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74.84%</w:t>
            </w:r>
          </w:p>
        </w:tc>
      </w:tr>
      <w:tr>
        <w:trPr>
          <w:trHeight w:val="212"/>
        </w:trPr>
        <w:tc>
          <w:tcPr>
            <w:tcW w:w="1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2"/>
        </w:trPr>
        <w:tc>
          <w:tcPr>
            <w:tcW w:w="33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U.S. Treasury</w:t>
            </w:r>
          </w:p>
        </w:tc>
        <w:tc>
          <w:tcPr>
            <w:tcW w:w="2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40"/>
        </w:trPr>
        <w:tc>
          <w:tcPr>
            <w:tcW w:w="1040" w:type="dxa"/>
            <w:vAlign w:val="bottom"/>
            <w:shd w:val="clear" w:color="auto" w:fill="000000"/>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201"/>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U.S. Treasury bill, 0%, due</w:t>
            </w:r>
          </w:p>
        </w:tc>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2"/>
        </w:trPr>
        <w:tc>
          <w:tcPr>
            <w:tcW w:w="3300" w:type="dxa"/>
            <w:vAlign w:val="bottom"/>
            <w:gridSpan w:val="2"/>
          </w:tcPr>
          <w:p>
            <w:pPr>
              <w:spacing w:after="0" w:line="262" w:lineRule="exact"/>
              <w:rPr>
                <w:sz w:val="20"/>
                <w:szCs w:val="20"/>
                <w:color w:val="auto"/>
              </w:rPr>
            </w:pPr>
            <w:r>
              <w:rPr>
                <w:rFonts w:ascii="Arial" w:cs="Arial" w:eastAsia="Arial" w:hAnsi="Arial"/>
                <w:sz w:val="18"/>
                <w:szCs w:val="18"/>
                <w:color w:val="auto"/>
              </w:rPr>
              <w:t>3/30/2023***</w:t>
            </w:r>
            <w:r>
              <w:rPr>
                <w:rFonts w:ascii="Arial" w:cs="Arial" w:eastAsia="Arial" w:hAnsi="Arial"/>
                <w:sz w:val="29"/>
                <w:szCs w:val="29"/>
                <w:color w:val="auto"/>
                <w:vertAlign w:val="superscript"/>
              </w:rPr>
              <w:t>(3)</w:t>
            </w: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12/29/2022</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45,492,000</w:t>
            </w:r>
          </w:p>
        </w:tc>
        <w:tc>
          <w:tcPr>
            <w:tcW w:w="1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45,000,118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45,026,162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21.44%</w:t>
            </w:r>
          </w:p>
        </w:tc>
      </w:tr>
      <w:tr>
        <w:trPr>
          <w:trHeight w:val="201"/>
        </w:trPr>
        <w:tc>
          <w:tcPr>
            <w:tcW w:w="3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bill, 0%, due</w:t>
            </w:r>
          </w:p>
        </w:tc>
        <w:tc>
          <w:tcPr>
            <w:tcW w:w="2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76"/>
        </w:trPr>
        <w:tc>
          <w:tcPr>
            <w:tcW w:w="3300" w:type="dxa"/>
            <w:vAlign w:val="bottom"/>
            <w:gridSpan w:val="2"/>
            <w:shd w:val="clear" w:color="auto" w:fill="CCEEFF"/>
          </w:tcPr>
          <w:p>
            <w:pPr>
              <w:spacing w:after="0" w:line="276" w:lineRule="exact"/>
              <w:rPr>
                <w:sz w:val="20"/>
                <w:szCs w:val="20"/>
                <w:color w:val="auto"/>
              </w:rPr>
            </w:pPr>
            <w:r>
              <w:rPr>
                <w:rFonts w:ascii="Arial" w:cs="Arial" w:eastAsia="Arial" w:hAnsi="Arial"/>
                <w:sz w:val="18"/>
                <w:szCs w:val="18"/>
                <w:color w:val="auto"/>
              </w:rPr>
              <w:t>6/29/2023***</w:t>
            </w:r>
            <w:r>
              <w:rPr>
                <w:rFonts w:ascii="Arial" w:cs="Arial" w:eastAsia="Arial" w:hAnsi="Arial"/>
                <w:sz w:val="29"/>
                <w:szCs w:val="29"/>
                <w:color w:val="auto"/>
                <w:vertAlign w:val="superscript"/>
              </w:rPr>
              <w:t>(3)</w:t>
            </w:r>
          </w:p>
        </w:tc>
        <w:tc>
          <w:tcPr>
            <w:tcW w:w="2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12/29/2022</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40,937,000</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39,999,480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40,030,655</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r>
      <w:tr>
        <w:trPr>
          <w:trHeight w:val="27"/>
        </w:trPr>
        <w:tc>
          <w:tcPr>
            <w:tcW w:w="10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233"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500" w:type="dxa"/>
            <w:vAlign w:val="bottom"/>
          </w:tcPr>
          <w:p>
            <w:pPr>
              <w:ind w:left="180"/>
              <w:spacing w:after="0"/>
              <w:rPr>
                <w:sz w:val="20"/>
                <w:szCs w:val="20"/>
                <w:color w:val="auto"/>
              </w:rPr>
            </w:pPr>
            <w:r>
              <w:rPr>
                <w:rFonts w:ascii="Arial" w:cs="Arial" w:eastAsia="Arial" w:hAnsi="Arial"/>
                <w:sz w:val="18"/>
                <w:szCs w:val="18"/>
                <w:color w:val="auto"/>
              </w:rPr>
              <w:t>Total</w:t>
            </w:r>
          </w:p>
        </w:tc>
        <w:tc>
          <w:tcPr>
            <w:tcW w:w="5820" w:type="dxa"/>
            <w:vAlign w:val="bottom"/>
            <w:gridSpan w:val="3"/>
          </w:tcPr>
          <w:p>
            <w:pPr>
              <w:jc w:val="right"/>
              <w:ind w:right="160"/>
              <w:spacing w:after="0"/>
              <w:rPr>
                <w:sz w:val="20"/>
                <w:szCs w:val="20"/>
                <w:color w:val="auto"/>
              </w:rPr>
            </w:pPr>
            <w:r>
              <w:rPr>
                <w:rFonts w:ascii="Arial" w:cs="Arial" w:eastAsia="Arial" w:hAnsi="Arial"/>
                <w:sz w:val="18"/>
                <w:szCs w:val="18"/>
                <w:color w:val="auto"/>
              </w:rPr>
              <w:t>84,999,598</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85,056,817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40.50%</w:t>
            </w:r>
          </w:p>
        </w:tc>
      </w:tr>
      <w:tr>
        <w:trPr>
          <w:trHeight w:val="205"/>
        </w:trPr>
        <w:tc>
          <w:tcPr>
            <w:tcW w:w="250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38"/>
        </w:trPr>
        <w:tc>
          <w:tcPr>
            <w:tcW w:w="25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5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  301,128,106</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242,245,395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115.34%</w:t>
            </w:r>
          </w:p>
        </w:tc>
      </w:tr>
      <w:tr>
        <w:trPr>
          <w:trHeight w:val="20"/>
        </w:trPr>
        <w:tc>
          <w:tcPr>
            <w:tcW w:w="25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3"/>
        </w:trPr>
        <w:tc>
          <w:tcPr>
            <w:tcW w:w="2500" w:type="dxa"/>
            <w:vAlign w:val="bottom"/>
          </w:tcPr>
          <w:p>
            <w:pPr>
              <w:spacing w:after="0"/>
              <w:rPr>
                <w:sz w:val="24"/>
                <w:szCs w:val="24"/>
                <w:color w:val="auto"/>
              </w:rPr>
            </w:pPr>
          </w:p>
        </w:tc>
        <w:tc>
          <w:tcPr>
            <w:tcW w:w="5820" w:type="dxa"/>
            <w:vAlign w:val="bottom"/>
            <w:gridSpan w:val="3"/>
          </w:tcPr>
          <w:p>
            <w:pPr>
              <w:ind w:left="540"/>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37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20" w:lineRule="exact"/>
        <w:rPr>
          <w:sz w:val="20"/>
          <w:szCs w:val="20"/>
          <w:color w:val="auto"/>
        </w:rPr>
      </w:pPr>
    </w:p>
    <w:p>
      <w:pPr>
        <w:jc w:val="both"/>
        <w:ind w:left="640" w:hanging="634"/>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ind w:left="340" w:right="2560"/>
        <w:spacing w:after="0" w:line="258"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186" w:lineRule="exact"/>
        <w:rPr>
          <w:sz w:val="20"/>
          <w:szCs w:val="20"/>
          <w:color w:val="auto"/>
        </w:rPr>
      </w:pPr>
    </w:p>
    <w:p>
      <w:pPr>
        <w:ind w:left="640" w:hanging="634"/>
        <w:spacing w:after="0" w:line="302" w:lineRule="auto"/>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Indicates assets that SuRo Capital Corp. believes do not represent “qualifying assets” under Section 55(a) of the Investment Company Act of 1940, as amended (the “1940 Act”). Of the Company’s total investments as of December 31, 2022, 14.47% of its total investments are non-qualifying assets.</w:t>
      </w:r>
    </w:p>
    <w:p>
      <w:pPr>
        <w:spacing w:after="0" w:line="1" w:lineRule="exact"/>
        <w:rPr>
          <w:rFonts w:ascii="Arial" w:cs="Arial" w:eastAsia="Arial" w:hAnsi="Arial"/>
          <w:sz w:val="15"/>
          <w:szCs w:val="15"/>
          <w:color w:val="auto"/>
        </w:rPr>
      </w:pPr>
    </w:p>
    <w:p>
      <w:pPr>
        <w:ind w:left="640" w:hanging="63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06" w:lineRule="exact"/>
        <w:rPr>
          <w:sz w:val="20"/>
          <w:szCs w:val="20"/>
          <w:color w:val="auto"/>
        </w:rPr>
      </w:pPr>
    </w:p>
    <w:p>
      <w:pPr>
        <w:jc w:val="both"/>
        <w:ind w:left="640" w:hanging="634"/>
        <w:spacing w:after="0" w:line="271"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7" w:lineRule="exact"/>
        <w:rPr>
          <w:rFonts w:ascii="Arial" w:cs="Arial" w:eastAsia="Arial" w:hAnsi="Arial"/>
          <w:sz w:val="17"/>
          <w:szCs w:val="17"/>
          <w:color w:val="auto"/>
        </w:rPr>
      </w:pPr>
    </w:p>
    <w:p>
      <w:pPr>
        <w:jc w:val="both"/>
        <w:ind w:left="640" w:hanging="634"/>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3" w:lineRule="exact"/>
        <w:rPr>
          <w:rFonts w:ascii="Arial" w:cs="Arial" w:eastAsia="Arial" w:hAnsi="Arial"/>
          <w:sz w:val="18"/>
          <w:szCs w:val="18"/>
          <w:color w:val="auto"/>
        </w:rPr>
      </w:pPr>
    </w:p>
    <w:p>
      <w:pPr>
        <w:ind w:left="640" w:hanging="634"/>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investment considered Level 1 or Level 2 and valued using observable inputs. Refer to “Note 4—Investments at Fair Value”.</w:t>
      </w:r>
    </w:p>
    <w:p>
      <w:pPr>
        <w:spacing w:after="0" w:line="228" w:lineRule="exact"/>
        <w:rPr>
          <w:rFonts w:ascii="Arial" w:cs="Arial" w:eastAsia="Arial" w:hAnsi="Arial"/>
          <w:sz w:val="17"/>
          <w:szCs w:val="17"/>
          <w:color w:val="auto"/>
        </w:rPr>
      </w:pPr>
    </w:p>
    <w:p>
      <w:pPr>
        <w:ind w:left="640" w:hanging="63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2022, the investments noted had been placed on non-accrual status.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SuRo Capital Corp.’s investments in StormWind, LLC are held through SuRo Capital Corp.’s wholly owned subsidiary, GSVC SW Holdings, Inc.</w:t>
      </w:r>
    </w:p>
    <w:p>
      <w:pPr>
        <w:spacing w:after="0" w:line="251" w:lineRule="exact"/>
        <w:rPr>
          <w:rFonts w:ascii="Arial" w:cs="Arial" w:eastAsia="Arial" w:hAnsi="Arial"/>
          <w:sz w:val="15"/>
          <w:szCs w:val="15"/>
          <w:color w:val="auto"/>
        </w:rPr>
      </w:pPr>
    </w:p>
    <w:p>
      <w:pPr>
        <w:ind w:left="640" w:hanging="634"/>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preferred shares of Residential Homes for Rent, LLC (d/b/a Second Avenue) are held through SuRo Capital Corp.’s wholly owned subsidiary, GSVC AV Holdings, Inc.</w:t>
      </w:r>
    </w:p>
    <w:p>
      <w:pPr>
        <w:spacing w:after="0" w:line="18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88"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True Global Ventures 4 Plus Pte Ltd are held through SuRo Capital Corp.’s wholly owned subsidiary, GSVC SVDS Holdings, Inc. As of December 31, 2022, $0.7 million of a $2.0 million capital commitment to True Global Ventures 4 Plus Fund LP had been called and funded.</w:t>
      </w:r>
    </w:p>
    <w:p>
      <w:pPr>
        <w:spacing w:after="0" w:line="188"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88"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9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57" w:lineRule="exact"/>
        <w:rPr>
          <w:rFonts w:ascii="Arial" w:cs="Arial" w:eastAsia="Arial" w:hAnsi="Arial"/>
          <w:sz w:val="17"/>
          <w:szCs w:val="17"/>
          <w:color w:val="auto"/>
        </w:rPr>
      </w:pPr>
    </w:p>
    <w:p>
      <w:pPr>
        <w:ind w:left="640" w:hanging="63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9, 2021, Fullbridge, Inc.’s obligations under its financing arrangements with the Company became past due.</w:t>
      </w:r>
    </w:p>
    <w:p>
      <w:pPr>
        <w:spacing w:after="0" w:line="217" w:lineRule="exact"/>
        <w:rPr>
          <w:rFonts w:ascii="Arial" w:cs="Arial" w:eastAsia="Arial" w:hAnsi="Arial"/>
          <w:sz w:val="18"/>
          <w:szCs w:val="18"/>
          <w:color w:val="auto"/>
        </w:rPr>
      </w:pPr>
    </w:p>
    <w:p>
      <w:pPr>
        <w:jc w:val="both"/>
        <w:ind w:left="640" w:hanging="634"/>
        <w:spacing w:after="0" w:line="306" w:lineRule="auto"/>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Global, Inc. warrants by the exchange ratio, rounded to the nearest whole cent. 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ectPr>
          <w:pgSz w:w="11900" w:h="16838" w:orient="portrait"/>
          <w:cols w:equalWidth="0" w:num="1">
            <w:col w:w="11240"/>
          </w:cols>
          <w:pgMar w:left="320" w:top="23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9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table below displays the Company’s subsidiaries as of September 30, 2023,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8"/>
          <w:szCs w:val="18"/>
          <w:i w:val="1"/>
          <w:iCs w:val="1"/>
          <w:color w:val="auto"/>
        </w:rPr>
        <w:t>Basis of Consolidation</w:t>
      </w:r>
      <w:r>
        <w:rPr>
          <w:rFonts w:ascii="Arial" w:cs="Arial" w:eastAsia="Arial" w:hAnsi="Arial"/>
          <w:sz w:val="18"/>
          <w:szCs w:val="18"/>
          <w:color w:val="auto"/>
        </w:rPr>
        <w:t>” below for further detail.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Jurisdiction of</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Formation</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Percentage</w:t>
            </w: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2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2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GCL</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13, 2012</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color w:val="auto"/>
              </w:rPr>
              <w:t>SuRo Capital Sports, LLC (“SuRo Sports”)</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March 19, 2021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194"/>
        </w:trPr>
        <w:tc>
          <w:tcPr>
            <w:tcW w:w="542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Subsidiaries below are referred to collectively as the “Taxable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Subsidiaries”</w:t>
            </w:r>
          </w:p>
        </w:tc>
        <w:tc>
          <w:tcPr>
            <w:tcW w:w="1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color w:val="auto"/>
              </w:rPr>
              <w:t>GSVC AE Holdings, Inc. (“GAE”)</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28, 2012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GSVC AV Holdings, Inc. (“GAV”)</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Delaware</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November 28, 2012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color w:val="auto"/>
              </w:rPr>
              <w:t>GSVC SW Holdings, Inc. (“GSW”)</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28, 2012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GSVC SVDS Holdings, Inc. (“SVDS”)</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Delaware</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August 13, 2013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Services—Investment Companies</w:t>
      </w:r>
      <w:r>
        <w:rPr>
          <w:rFonts w:ascii="Arial" w:cs="Arial" w:eastAsia="Arial" w:hAnsi="Arial"/>
          <w:sz w:val="17"/>
          <w:szCs w:val="17"/>
          <w:color w:val="auto"/>
        </w:rPr>
        <w:t>. In the opinion of management, all adjustments, all of which were of a normal recurring nature, were considered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fair presentation of consolidated financial statements for the period have been included.</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2023. The interim unaudited condensed consolidated financial statements and notes hereto should be read in conjunction with the audited consolidated financial statements and notes thereto contained in the Company’s annual report on Form 10-K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8"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80"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b w:val="1"/>
          <w:bCs w:val="1"/>
          <w:color w:val="auto"/>
        </w:rPr>
        <w:t>Level 3</w:t>
      </w:r>
      <w:r>
        <w:rPr>
          <w:rFonts w:ascii="Arial" w:cs="Arial" w:eastAsia="Arial" w:hAnsi="Arial"/>
          <w:sz w:val="15"/>
          <w:szCs w:val="15"/>
          <w:color w:val="auto"/>
        </w:rPr>
        <w:t>—Valuations based on unobservable inputs that reflect management’s best estimate of what market participants would use in pricing the asset or</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9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71" w:lineRule="exact"/>
        <w:rPr>
          <w:sz w:val="20"/>
          <w:szCs w:val="20"/>
          <w:color w:val="auto"/>
        </w:rPr>
      </w:pPr>
    </w:p>
    <w:p>
      <w:pPr>
        <w:ind w:left="640" w:hanging="316"/>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internal investment professionals responsible for the portfolio investment;</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estimates are then documented and discussed with senior management;</w:t>
      </w:r>
    </w:p>
    <w:p>
      <w:pPr>
        <w:spacing w:after="0" w:line="217"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8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making a good faith determination of the fair value of investments, the Board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in determining the fair value of each investment.</w:t>
      </w:r>
    </w:p>
    <w:p>
      <w:pPr>
        <w:spacing w:after="0" w:line="19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5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may also consider other events, including the transaction in which the Company acquired its securities, subsequent equity sales by the portfolio company, and mergers or acquisitions affecting the portfolio company. In addition, the Board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determining the fair value of equity or equity-linked securities (including warrants to purchase common or preferred stock) in a portfolio company, the Board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in good faith by the Company’s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Purpose Acquisition Companies</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Board of Directors measures its Special Purpose Acquisition Company (“SPAC”)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utilizes the public share price of the entity, less a DLOM if there are restrictions on selling. The Company’s SPAC investments are valued at estimated fair value as determined in good faith by the Company’s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Investment Funds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September 30, 2023 and December 31, 2022 for details regarding the nature and composition of the Company’s investment portfolio.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Securities transactions are accounted for on the date the transaction for the purchase or sale of the securities is entered into by the Company (</w:t>
      </w:r>
      <w:r>
        <w:rPr>
          <w:rFonts w:ascii="Arial" w:cs="Arial" w:eastAsia="Arial" w:hAnsi="Arial"/>
          <w:sz w:val="15"/>
          <w:szCs w:val="15"/>
          <w:i w:val="1"/>
          <w:iCs w:val="1"/>
          <w:color w:val="auto"/>
        </w:rPr>
        <w:t>i.e.</w:t>
      </w:r>
      <w:r>
        <w:rPr>
          <w:rFonts w:ascii="Arial" w:cs="Arial" w:eastAsia="Arial" w:hAnsi="Arial"/>
          <w:sz w:val="15"/>
          <w:szCs w:val="15"/>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September 30, 2023 and December 31, 2022, the Company had $309,484 and $628,332, respectively, in escrow proceeds receivable.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September 30, 2023 and December 31, 2022, the Company had deferred financing costs of $611,736 and $555,761, respectively, on the Condensed Consolidated Statement of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17"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 Deposits</w:t>
      </w:r>
      <w:r>
        <w:rPr>
          <w:rFonts w:ascii="Arial" w:cs="Arial" w:eastAsia="Arial" w:hAnsi="Arial"/>
          <w:sz w:val="18"/>
          <w:szCs w:val="18"/>
          <w:color w:val="auto"/>
        </w:rPr>
        <w:t>” for further detail.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September 30, 2023 and December 31, 2022, the Company had no escrow deposits.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Unrealized appreciation or depreciation is calculated as the difference between the fair value of the investment and the cost basis of such investment.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81"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57"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52"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3"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5"/>
          <w:szCs w:val="15"/>
          <w:i w:val="1"/>
          <w:iCs w:val="1"/>
          <w:color w:val="auto"/>
        </w:rPr>
        <w:t>, Earnings Per Share</w:t>
      </w:r>
      <w:r>
        <w:rPr>
          <w:rFonts w:ascii="Arial" w:cs="Arial" w:eastAsia="Arial" w:hAnsi="Arial"/>
          <w:sz w:val="15"/>
          <w:szCs w:val="15"/>
          <w:color w:val="auto"/>
        </w:rPr>
        <w:t xml:space="preserve"> (“ASC 260”) to determine the number of potentially dilutive shares outstanding. Refer to “Note 6—Net Increase in Net Assets Resulting from Operations per Common Share—Basic and Diluted” for further detail.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8"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9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investment in Churchill Sponsor VI LLC, the sponsor of Churchill Capital Corp. VI, a SPAC, constituted a “remote-affiliate” transaction for purposes of the 1940 Act in light of the fact that Mark D. Klein, the Company’s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SPAC,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September 30, 2023, the fair values of the Company’s investments in Churchill Sponsor VI LLC and Churchill Sponsor VII LLC were $200,000 and $387,216,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September 30, 2023, the fair value of the Company’s investment in Skillsoft Corp. was $873,840.</w:t>
      </w:r>
    </w:p>
    <w:p>
      <w:pPr>
        <w:spacing w:after="0" w:line="19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September 30, 2023, the fair values of the Company’s remote-affiliate investments in Shogun Enterprises, Inc. (d/b/a Hearth) and Architect Capital PayJoy SPV, LLC were $8,030,810 and $10,000,000, respectively.</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The Company’s investment in AltC Sponsor LLC, the sponsor of AltC Acquisition Corp, a SPAC,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September 30, 2023, the fair values of the Company’s aggregate investments in each of PSQ Holdings, Inc. and AltC Sponsor LLC were $18,106,896 and $892,467,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3"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September 30, 2023, the Company had 66 positions in 39 portfolio companies. As of December 31, 2022, the Company had 64 positions in 39 portfolio companies.</w:t>
      </w:r>
    </w:p>
    <w:p>
      <w:pPr>
        <w:spacing w:after="0" w:line="146"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September 30, 2023 and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September 30, 2023</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w w:val="96"/>
              </w:rPr>
              <w:t>December 31, 2022</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3"/>
              </w:rPr>
              <w:t>Net Assets</w:t>
            </w: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Net Assets</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Private Portfolio Companies</w:t>
            </w: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$ 107,209,010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$ 124,249,715</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58.5%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$ 118,472,118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$ 117,214,465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69,695,763</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37,377,036</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50,601,512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18,692,931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2"/>
        </w:trPr>
        <w:tc>
          <w:tcPr>
            <w:tcW w:w="392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5,067,464</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2,462,036</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6,316,466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4,488,200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5"/>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11,368,010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3,412,933</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11,415,787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3,469,497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5"/>
        </w:trPr>
        <w:tc>
          <w:tcPr>
            <w:tcW w:w="3920" w:type="dxa"/>
            <w:vAlign w:val="bottom"/>
            <w:tcBorders>
              <w:top w:val="single" w:sz="8" w:color="CCEEFF"/>
              <w:bottom w:val="single" w:sz="8" w:color="CCEEFF"/>
            </w:tcBorders>
          </w:tcPr>
          <w:p>
            <w:pPr>
              <w:ind w:left="180"/>
              <w:spacing w:after="0" w:line="199" w:lineRule="exact"/>
              <w:rPr>
                <w:sz w:val="20"/>
                <w:szCs w:val="20"/>
                <w:color w:val="auto"/>
              </w:rPr>
            </w:pPr>
            <w:r>
              <w:rPr>
                <w:rFonts w:ascii="Arial" w:cs="Arial" w:eastAsia="Arial" w:hAnsi="Arial"/>
                <w:sz w:val="18"/>
                <w:szCs w:val="18"/>
                <w:b w:val="1"/>
                <w:bCs w:val="1"/>
                <w:color w:val="auto"/>
              </w:rPr>
              <w:t>Total Private Portfolio Companies</w:t>
            </w: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7"/>
              </w:rPr>
              <w:t>193,340,247</w:t>
            </w: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5"/>
              </w:rPr>
              <w:t>167,501,720</w:t>
            </w:r>
          </w:p>
        </w:tc>
        <w:tc>
          <w:tcPr>
            <w:tcW w:w="30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78.9</w:t>
            </w:r>
          </w:p>
        </w:tc>
        <w:tc>
          <w:tcPr>
            <w:tcW w:w="340" w:type="dxa"/>
            <w:vAlign w:val="bottom"/>
            <w:tcBorders>
              <w:top w:val="single" w:sz="8" w:color="CCEEFF"/>
              <w:bottom w:val="single" w:sz="8" w:color="CCEEFF"/>
            </w:tcBorders>
          </w:tcPr>
          <w:p>
            <w:pPr>
              <w:jc w:val="right"/>
              <w:ind w:right="112"/>
              <w:spacing w:after="0" w:line="199"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7"/>
              </w:rPr>
              <w:t>186,805,883</w:t>
            </w:r>
          </w:p>
        </w:tc>
        <w:tc>
          <w:tcPr>
            <w:tcW w:w="280" w:type="dxa"/>
            <w:vAlign w:val="bottom"/>
            <w:tcBorders>
              <w:top w:val="single" w:sz="8" w:color="CCEEFF"/>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7"/>
              </w:rPr>
              <w:t>143,865,093</w:t>
            </w:r>
          </w:p>
        </w:tc>
        <w:tc>
          <w:tcPr>
            <w:tcW w:w="28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68.5</w:t>
            </w:r>
          </w:p>
        </w:tc>
        <w:tc>
          <w:tcPr>
            <w:tcW w:w="160" w:type="dxa"/>
            <w:vAlign w:val="bottom"/>
            <w:tcBorders>
              <w:top w:val="single" w:sz="8" w:color="CCEEFF"/>
              <w:bottom w:val="single" w:sz="8" w:color="CCEEFF"/>
            </w:tcBorders>
            <w:gridSpan w:val="2"/>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Publicly Traded Portfolio Companies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18,479,693</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22,237,998</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29,322,625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13,323,485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2"/>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1,159,150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3,753,000</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920" w:type="dxa"/>
            <w:vAlign w:val="bottom"/>
            <w:tcBorders>
              <w:top w:val="single" w:sz="8" w:color="CCEEFF"/>
              <w:bottom w:val="single" w:sz="8" w:color="CCEEFF"/>
            </w:tcBorders>
          </w:tcPr>
          <w:p>
            <w:pPr>
              <w:ind w:left="180"/>
              <w:spacing w:after="0" w:line="199" w:lineRule="exact"/>
              <w:rPr>
                <w:sz w:val="20"/>
                <w:szCs w:val="20"/>
                <w:color w:val="auto"/>
              </w:rPr>
            </w:pPr>
            <w:r>
              <w:rPr>
                <w:rFonts w:ascii="Arial" w:cs="Arial" w:eastAsia="Arial" w:hAnsi="Arial"/>
                <w:sz w:val="18"/>
                <w:szCs w:val="18"/>
                <w:b w:val="1"/>
                <w:bCs w:val="1"/>
                <w:color w:val="auto"/>
              </w:rPr>
              <w:t>Total Publicly Traded Portfolio Companies</w:t>
            </w: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19,638,843</w:t>
            </w:r>
          </w:p>
        </w:tc>
        <w:tc>
          <w:tcPr>
            <w:tcW w:w="1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25,990,998</w:t>
            </w:r>
          </w:p>
        </w:tc>
        <w:tc>
          <w:tcPr>
            <w:tcW w:w="30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12.3</w:t>
            </w:r>
          </w:p>
        </w:tc>
        <w:tc>
          <w:tcPr>
            <w:tcW w:w="340" w:type="dxa"/>
            <w:vAlign w:val="bottom"/>
            <w:tcBorders>
              <w:top w:val="single" w:sz="8" w:color="CCEEFF"/>
              <w:bottom w:val="single" w:sz="8" w:color="CCEEFF"/>
            </w:tcBorders>
          </w:tcPr>
          <w:p>
            <w:pPr>
              <w:jc w:val="right"/>
              <w:ind w:right="112"/>
              <w:spacing w:after="0" w:line="199"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29,322,625</w:t>
            </w:r>
          </w:p>
        </w:tc>
        <w:tc>
          <w:tcPr>
            <w:tcW w:w="280" w:type="dxa"/>
            <w:vAlign w:val="bottom"/>
            <w:tcBorders>
              <w:top w:val="single" w:sz="8" w:color="CCEEFF"/>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13,323,485</w:t>
            </w:r>
          </w:p>
        </w:tc>
        <w:tc>
          <w:tcPr>
            <w:tcW w:w="28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bottom w:val="single" w:sz="8" w:color="CCEEFF"/>
            </w:tcBorders>
            <w:gridSpan w:val="2"/>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2"/>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Portfolio Investments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212,979,090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193,492,718</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216,128,508</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157,188,578</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9"/>
        </w:trPr>
        <w:tc>
          <w:tcPr>
            <w:tcW w:w="3920" w:type="dxa"/>
            <w:vAlign w:val="bottom"/>
          </w:tcPr>
          <w:p>
            <w:pPr>
              <w:ind w:left="180"/>
              <w:spacing w:after="0" w:line="199" w:lineRule="exact"/>
              <w:rPr>
                <w:sz w:val="20"/>
                <w:szCs w:val="20"/>
                <w:color w:val="auto"/>
              </w:rPr>
            </w:pPr>
            <w:r>
              <w:rPr>
                <w:rFonts w:ascii="Arial" w:cs="Arial" w:eastAsia="Arial" w:hAnsi="Arial"/>
                <w:sz w:val="18"/>
                <w:szCs w:val="18"/>
                <w:b w:val="1"/>
                <w:bCs w:val="1"/>
                <w:color w:val="auto"/>
              </w:rPr>
              <w:t>Non-Portfolio Investments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Bills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19,990,216</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20,265,064</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84,999,598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85,056,817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112"/>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232,969,306</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213,757,782</w:t>
            </w:r>
          </w:p>
        </w:tc>
        <w:tc>
          <w:tcPr>
            <w:tcW w:w="840" w:type="dxa"/>
            <w:vAlign w:val="bottom"/>
          </w:tcPr>
          <w:p>
            <w:pPr>
              <w:jc w:val="right"/>
              <w:spacing w:after="0"/>
              <w:rPr>
                <w:sz w:val="20"/>
                <w:szCs w:val="20"/>
                <w:color w:val="auto"/>
              </w:rPr>
            </w:pPr>
            <w:r>
              <w:rPr>
                <w:rFonts w:ascii="Arial" w:cs="Arial" w:eastAsia="Arial" w:hAnsi="Arial"/>
                <w:sz w:val="18"/>
                <w:szCs w:val="18"/>
                <w:color w:val="auto"/>
              </w:rPr>
              <w:t>100.8</w:t>
            </w:r>
          </w:p>
        </w:tc>
        <w:tc>
          <w:tcPr>
            <w:tcW w:w="340" w:type="dxa"/>
            <w:vAlign w:val="bottom"/>
            <w:vMerge w:val="continue"/>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301,128,106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242,245,395</w:t>
            </w: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geographic and industrial compositions of the Company’s portfolio at fair value as of September 30, 2023 and December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6"/>
          </w:tcPr>
          <w:p>
            <w:pPr>
              <w:jc w:val="right"/>
              <w:ind w:right="872"/>
              <w:spacing w:after="0"/>
              <w:rPr>
                <w:sz w:val="20"/>
                <w:szCs w:val="20"/>
                <w:color w:val="auto"/>
              </w:rPr>
            </w:pPr>
            <w:r>
              <w:rPr>
                <w:rFonts w:ascii="Arial" w:cs="Arial" w:eastAsia="Arial" w:hAnsi="Arial"/>
                <w:sz w:val="18"/>
                <w:szCs w:val="18"/>
                <w:b w:val="1"/>
                <w:bCs w:val="1"/>
                <w:color w:val="auto"/>
              </w:rPr>
              <w:t>As of September 30,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6"/>
          </w:tcPr>
          <w:p>
            <w:pPr>
              <w:jc w:val="right"/>
              <w:ind w:right="812"/>
              <w:spacing w:after="0"/>
              <w:rPr>
                <w:sz w:val="20"/>
                <w:szCs w:val="20"/>
                <w:color w:val="auto"/>
              </w:rPr>
            </w:pPr>
            <w:r>
              <w:rPr>
                <w:rFonts w:ascii="Arial" w:cs="Arial" w:eastAsia="Arial" w:hAnsi="Arial"/>
                <w:sz w:val="18"/>
                <w:szCs w:val="18"/>
                <w:b w:val="1"/>
                <w:bCs w:val="1"/>
                <w:color w:val="auto"/>
              </w:rPr>
              <w:t>As of December 31, 2022</w:t>
            </w: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72"/>
              <w:spacing w:after="0" w:line="194" w:lineRule="exact"/>
              <w:rPr>
                <w:sz w:val="20"/>
                <w:szCs w:val="20"/>
                <w:color w:val="auto"/>
              </w:rPr>
            </w:pPr>
            <w:r>
              <w:rPr>
                <w:rFonts w:ascii="Arial" w:cs="Arial" w:eastAsia="Arial" w:hAnsi="Arial"/>
                <w:sz w:val="18"/>
                <w:szCs w:val="18"/>
                <w:b w:val="1"/>
                <w:bCs w:val="1"/>
                <w:color w:val="auto"/>
                <w:w w:val="84"/>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72"/>
              <w:spacing w:after="0" w:line="194" w:lineRule="exact"/>
              <w:rPr>
                <w:sz w:val="20"/>
                <w:szCs w:val="20"/>
                <w:color w:val="auto"/>
              </w:rPr>
            </w:pPr>
            <w:r>
              <w:rPr>
                <w:rFonts w:ascii="Arial" w:cs="Arial" w:eastAsia="Arial" w:hAnsi="Arial"/>
                <w:sz w:val="18"/>
                <w:szCs w:val="18"/>
                <w:b w:val="1"/>
                <w:bCs w:val="1"/>
                <w:color w:val="auto"/>
                <w:w w:val="84"/>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2"/>
              </w:rPr>
              <w:t>of</w:t>
            </w:r>
          </w:p>
        </w:tc>
        <w:tc>
          <w:tcPr>
            <w:tcW w:w="110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Fair Value</w:t>
            </w: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9"/>
              </w:rPr>
              <w:t>Portfolio</w:t>
            </w:r>
          </w:p>
        </w:tc>
        <w:tc>
          <w:tcPr>
            <w:tcW w:w="1100" w:type="dxa"/>
            <w:vAlign w:val="bottom"/>
            <w:gridSpan w:val="2"/>
          </w:tcPr>
          <w:p>
            <w:pPr>
              <w:jc w:val="center"/>
              <w:ind w:right="152"/>
              <w:spacing w:after="0"/>
              <w:rPr>
                <w:sz w:val="20"/>
                <w:szCs w:val="20"/>
                <w:color w:val="auto"/>
              </w:rPr>
            </w:pPr>
            <w:r>
              <w:rPr>
                <w:rFonts w:ascii="Arial" w:cs="Arial" w:eastAsia="Arial" w:hAnsi="Arial"/>
                <w:sz w:val="18"/>
                <w:szCs w:val="18"/>
                <w:b w:val="1"/>
                <w:bCs w:val="1"/>
                <w:color w:val="auto"/>
                <w:w w:val="83"/>
              </w:rPr>
              <w:t>Net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9"/>
              </w:rPr>
              <w:t>Portfolio</w:t>
            </w:r>
          </w:p>
        </w:tc>
        <w:tc>
          <w:tcPr>
            <w:tcW w:w="10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3"/>
              </w:rPr>
              <w:t>Net Assets</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Geographic Region</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114,313,456</w:t>
            </w:r>
          </w:p>
        </w:tc>
        <w:tc>
          <w:tcPr>
            <w:tcW w:w="300" w:type="dxa"/>
            <w:vAlign w:val="bottom"/>
          </w:tcPr>
          <w:p>
            <w:pPr>
              <w:spacing w:after="0"/>
              <w:rPr>
                <w:sz w:val="18"/>
                <w:szCs w:val="18"/>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59.0%</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94,996,805</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60.4%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38,081,137</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19.7%</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46,944,432</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Southeast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18,106,896</w:t>
            </w:r>
          </w:p>
        </w:tc>
        <w:tc>
          <w:tcPr>
            <w:tcW w:w="300" w:type="dxa"/>
            <w:vAlign w:val="bottom"/>
          </w:tcPr>
          <w:p>
            <w:pPr>
              <w:spacing w:after="0"/>
              <w:rPr>
                <w:sz w:val="18"/>
                <w:szCs w:val="18"/>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9.4%</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17,910,152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9.3%</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8,183,281</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5,081,077</w:t>
            </w:r>
          </w:p>
        </w:tc>
        <w:tc>
          <w:tcPr>
            <w:tcW w:w="300" w:type="dxa"/>
            <w:vAlign w:val="bottom"/>
          </w:tcPr>
          <w:p>
            <w:pPr>
              <w:spacing w:after="0"/>
              <w:rPr>
                <w:sz w:val="19"/>
                <w:szCs w:val="19"/>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7,064,060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25"/>
        </w:trPr>
        <w:tc>
          <w:tcPr>
            <w:tcW w:w="4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193,492,718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60" w:type="dxa"/>
            <w:vAlign w:val="bottom"/>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157,188,578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6"/>
          </w:tcPr>
          <w:p>
            <w:pPr>
              <w:jc w:val="right"/>
              <w:ind w:right="872"/>
              <w:spacing w:after="0"/>
              <w:rPr>
                <w:sz w:val="20"/>
                <w:szCs w:val="20"/>
                <w:color w:val="auto"/>
              </w:rPr>
            </w:pPr>
            <w:r>
              <w:rPr>
                <w:rFonts w:ascii="Arial" w:cs="Arial" w:eastAsia="Arial" w:hAnsi="Arial"/>
                <w:sz w:val="18"/>
                <w:szCs w:val="18"/>
                <w:b w:val="1"/>
                <w:bCs w:val="1"/>
                <w:color w:val="auto"/>
              </w:rPr>
              <w:t>As of September 30, 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6"/>
          </w:tcPr>
          <w:p>
            <w:pPr>
              <w:jc w:val="right"/>
              <w:ind w:right="812"/>
              <w:spacing w:after="0"/>
              <w:rPr>
                <w:sz w:val="20"/>
                <w:szCs w:val="20"/>
                <w:color w:val="auto"/>
              </w:rPr>
            </w:pPr>
            <w:r>
              <w:rPr>
                <w:rFonts w:ascii="Arial" w:cs="Arial" w:eastAsia="Arial" w:hAnsi="Arial"/>
                <w:sz w:val="18"/>
                <w:szCs w:val="18"/>
                <w:b w:val="1"/>
                <w:bCs w:val="1"/>
                <w:color w:val="auto"/>
              </w:rPr>
              <w:t>As of December 31, 2022</w:t>
            </w: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72"/>
              <w:spacing w:after="0" w:line="194" w:lineRule="exact"/>
              <w:rPr>
                <w:sz w:val="20"/>
                <w:szCs w:val="20"/>
                <w:color w:val="auto"/>
              </w:rPr>
            </w:pPr>
            <w:r>
              <w:rPr>
                <w:rFonts w:ascii="Arial" w:cs="Arial" w:eastAsia="Arial" w:hAnsi="Arial"/>
                <w:sz w:val="18"/>
                <w:szCs w:val="18"/>
                <w:b w:val="1"/>
                <w:bCs w:val="1"/>
                <w:color w:val="auto"/>
                <w:w w:val="84"/>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72"/>
              <w:spacing w:after="0" w:line="194" w:lineRule="exact"/>
              <w:rPr>
                <w:sz w:val="20"/>
                <w:szCs w:val="20"/>
                <w:color w:val="auto"/>
              </w:rPr>
            </w:pPr>
            <w:r>
              <w:rPr>
                <w:rFonts w:ascii="Arial" w:cs="Arial" w:eastAsia="Arial" w:hAnsi="Arial"/>
                <w:sz w:val="18"/>
                <w:szCs w:val="18"/>
                <w:b w:val="1"/>
                <w:bCs w:val="1"/>
                <w:color w:val="auto"/>
                <w:w w:val="84"/>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2"/>
              </w:rPr>
              <w:t>of</w:t>
            </w:r>
          </w:p>
        </w:tc>
        <w:tc>
          <w:tcPr>
            <w:tcW w:w="110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Fair Value</w:t>
            </w: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9"/>
              </w:rPr>
              <w:t>Portfolio</w:t>
            </w:r>
          </w:p>
        </w:tc>
        <w:tc>
          <w:tcPr>
            <w:tcW w:w="1100" w:type="dxa"/>
            <w:vAlign w:val="bottom"/>
            <w:gridSpan w:val="2"/>
          </w:tcPr>
          <w:p>
            <w:pPr>
              <w:jc w:val="center"/>
              <w:ind w:right="152"/>
              <w:spacing w:after="0"/>
              <w:rPr>
                <w:sz w:val="20"/>
                <w:szCs w:val="20"/>
                <w:color w:val="auto"/>
              </w:rPr>
            </w:pPr>
            <w:r>
              <w:rPr>
                <w:rFonts w:ascii="Arial" w:cs="Arial" w:eastAsia="Arial" w:hAnsi="Arial"/>
                <w:sz w:val="18"/>
                <w:szCs w:val="18"/>
                <w:b w:val="1"/>
                <w:bCs w:val="1"/>
                <w:color w:val="auto"/>
                <w:w w:val="83"/>
              </w:rPr>
              <w:t>Net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1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9"/>
              </w:rPr>
              <w:t>Portfolio</w:t>
            </w:r>
          </w:p>
        </w:tc>
        <w:tc>
          <w:tcPr>
            <w:tcW w:w="10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3"/>
              </w:rPr>
              <w:t>Net Assets</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Education Technology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76,578,218</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39.6%</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36.1%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61,841,493</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39.4%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Marketplaces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43,290,485</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22.4%</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27,291,467</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Financial Technology</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34,758,007</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17.9%</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38,096,753</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24.2%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Big Data/Cloud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29,551,180</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15.3%</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14,927,819</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Social/Mobile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8,386,800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4.3%</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14,047,018</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Sustainability</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928,028</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984,028</w:t>
            </w:r>
          </w:p>
        </w:tc>
        <w:tc>
          <w:tcPr>
            <w:tcW w:w="11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vMerge w:val="restart"/>
          </w:tcPr>
          <w:p>
            <w:pPr>
              <w:jc w:val="right"/>
              <w:ind w:right="112"/>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112"/>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2"/>
        </w:trPr>
        <w:tc>
          <w:tcPr>
            <w:tcW w:w="40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193,492,718</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w:t>
            </w:r>
          </w:p>
        </w:tc>
        <w:tc>
          <w:tcPr>
            <w:tcW w:w="260" w:type="dxa"/>
            <w:vAlign w:val="bottom"/>
            <w:vMerge w:val="continue"/>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157,188,578</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composition of the Company’s industrial themes presented in the preceding tables:</w:t>
      </w:r>
    </w:p>
    <w:p>
      <w:pPr>
        <w:sectPr>
          <w:pgSz w:w="11900" w:h="16838" w:orient="portrait"/>
          <w:cols w:equalWidth="0" w:num="1">
            <w:col w:w="10139"/>
          </w:cols>
          <w:pgMar w:left="320" w:top="233" w:right="1440"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2885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453390</wp:posOffset>
            </wp:positionV>
            <wp:extent cx="22885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701040</wp:posOffset>
            </wp:positionV>
            <wp:extent cx="22885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970280</wp:posOffset>
            </wp:positionV>
            <wp:extent cx="22885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991870</wp:posOffset>
            </wp:positionV>
            <wp:extent cx="22885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835660</wp:posOffset>
            </wp:positionV>
            <wp:extent cx="228854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854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47034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0344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47034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0344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Contractor Management Software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Gaming Licensing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Geolocation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Retail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Supply Chain Technology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47034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0344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E-Commerce Marketplace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Global Innovation Platform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Real Estate Platform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Sports Betting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47034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0344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Gaming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Home Improvement Finance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Mobile Finance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Online Marketplace Finance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Special Purpose Acquisition Company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47034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0344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Digital Media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Fitness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Interactive Media &amp; Services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Mobile Access Technology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470344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03445" cy="1651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1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10795</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2">
            <w:col w:w="3120" w:space="720"/>
            <w:col w:w="6299"/>
          </w:cols>
          <w:pgMar w:left="320" w:top="233"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3" w:lineRule="exact"/>
        <w:rPr>
          <w:sz w:val="20"/>
          <w:szCs w:val="20"/>
          <w:color w:val="auto"/>
        </w:rPr>
      </w:pPr>
    </w:p>
    <w:p>
      <w:pPr>
        <w:ind w:firstLine="358"/>
        <w:spacing w:after="0" w:line="264"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September 30, 2023 and December 31, 2022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b w:val="1"/>
                <w:bCs w:val="1"/>
                <w:color w:val="auto"/>
                <w:w w:val="88"/>
              </w:rPr>
              <w:t>As of September 30, 2023</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16"/>
                <w:szCs w:val="16"/>
                <w:color w:val="auto"/>
              </w:rPr>
            </w:pPr>
          </w:p>
        </w:tc>
        <w:tc>
          <w:tcPr>
            <w:tcW w:w="158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89"/>
              </w:rPr>
              <w:t>Significant 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6"/>
              </w:rPr>
              <w:t>Significant</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9"/>
              </w:rPr>
              <w:t>Active Markets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Unobservable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5"/>
              </w:rPr>
              <w:t>Identical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Inputs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3)</w:t>
            </w:r>
          </w:p>
        </w:tc>
        <w:tc>
          <w:tcPr>
            <w:tcW w:w="3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b w:val="1"/>
                <w:bCs w:val="1"/>
                <w:color w:val="auto"/>
              </w:rPr>
              <w:t>Private Portfolio Companies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124,249,715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124,249,715</w:t>
            </w:r>
          </w:p>
        </w:tc>
        <w:tc>
          <w:tcPr>
            <w:tcW w:w="0" w:type="dxa"/>
            <w:vAlign w:val="bottom"/>
          </w:tcPr>
          <w:p>
            <w:pPr>
              <w:spacing w:after="0"/>
              <w:rPr>
                <w:sz w:val="1"/>
                <w:szCs w:val="1"/>
                <w:color w:val="auto"/>
              </w:rPr>
            </w:pPr>
          </w:p>
        </w:tc>
      </w:tr>
      <w:tr>
        <w:trPr>
          <w:trHeight w:val="212"/>
        </w:trPr>
        <w:tc>
          <w:tcPr>
            <w:tcW w:w="3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37,377,036</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37,377,036</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2,462,036</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2,462,036</w:t>
            </w:r>
          </w:p>
        </w:tc>
        <w:tc>
          <w:tcPr>
            <w:tcW w:w="0" w:type="dxa"/>
            <w:vAlign w:val="bottom"/>
          </w:tcPr>
          <w:p>
            <w:pPr>
              <w:spacing w:after="0"/>
              <w:rPr>
                <w:sz w:val="1"/>
                <w:szCs w:val="1"/>
                <w:color w:val="auto"/>
              </w:rPr>
            </w:pPr>
          </w:p>
        </w:tc>
      </w:tr>
      <w:tr>
        <w:trPr>
          <w:trHeight w:val="232"/>
        </w:trPr>
        <w:tc>
          <w:tcPr>
            <w:tcW w:w="372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3,412,933</w:t>
            </w: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3,412,933</w:t>
            </w:r>
          </w:p>
        </w:tc>
        <w:tc>
          <w:tcPr>
            <w:tcW w:w="0" w:type="dxa"/>
            <w:vAlign w:val="bottom"/>
          </w:tcPr>
          <w:p>
            <w:pPr>
              <w:spacing w:after="0"/>
              <w:rPr>
                <w:sz w:val="1"/>
                <w:szCs w:val="1"/>
                <w:color w:val="auto"/>
              </w:rPr>
            </w:pPr>
          </w:p>
        </w:tc>
      </w:tr>
      <w:tr>
        <w:trPr>
          <w:trHeight w:val="232"/>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Private Portfolio Companies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167,501,720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167,501,720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20" w:type="dxa"/>
            <w:vAlign w:val="bottom"/>
          </w:tcPr>
          <w:p>
            <w:pPr>
              <w:spacing w:after="0" w:line="199" w:lineRule="exact"/>
              <w:rPr>
                <w:sz w:val="20"/>
                <w:szCs w:val="20"/>
                <w:color w:val="auto"/>
              </w:rPr>
            </w:pPr>
            <w:r>
              <w:rPr>
                <w:rFonts w:ascii="Arial" w:cs="Arial" w:eastAsia="Arial" w:hAnsi="Arial"/>
                <w:sz w:val="18"/>
                <w:szCs w:val="18"/>
                <w:b w:val="1"/>
                <w:bCs w:val="1"/>
                <w:color w:val="auto"/>
              </w:rPr>
              <w:t>Publicly Traded Portfolio Companies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7,884,102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14,353,896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22,237,998</w:t>
            </w:r>
          </w:p>
        </w:tc>
        <w:tc>
          <w:tcPr>
            <w:tcW w:w="0" w:type="dxa"/>
            <w:vAlign w:val="bottom"/>
          </w:tcPr>
          <w:p>
            <w:pPr>
              <w:spacing w:after="0"/>
              <w:rPr>
                <w:sz w:val="1"/>
                <w:szCs w:val="1"/>
                <w:color w:val="auto"/>
              </w:rPr>
            </w:pPr>
          </w:p>
        </w:tc>
      </w:tr>
      <w:tr>
        <w:trPr>
          <w:trHeight w:val="232"/>
        </w:trPr>
        <w:tc>
          <w:tcPr>
            <w:tcW w:w="372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3,753,000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3,753,000</w:t>
            </w:r>
          </w:p>
        </w:tc>
        <w:tc>
          <w:tcPr>
            <w:tcW w:w="0" w:type="dxa"/>
            <w:vAlign w:val="bottom"/>
          </w:tcPr>
          <w:p>
            <w:pPr>
              <w:spacing w:after="0"/>
              <w:rPr>
                <w:sz w:val="1"/>
                <w:szCs w:val="1"/>
                <w:color w:val="auto"/>
              </w:rPr>
            </w:pPr>
          </w:p>
        </w:tc>
      </w:tr>
      <w:tr>
        <w:trPr>
          <w:trHeight w:val="232"/>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Publicly Traded Portfolio Companies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11,637,102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2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b w:val="1"/>
                <w:bCs w:val="1"/>
                <w:color w:val="auto"/>
              </w:rPr>
              <w:t>Total Portfolio Investments</w:t>
            </w: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11,637,102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14,353,896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167,501,720</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193,492,718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Non-Portfolio Investments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Arial" w:cs="Arial" w:eastAsia="Arial" w:hAnsi="Arial"/>
                <w:sz w:val="18"/>
                <w:szCs w:val="18"/>
                <w:color w:val="auto"/>
              </w:rPr>
              <w:t>U.S. Treasury bills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20,265,064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20,265,064</w:t>
            </w:r>
          </w:p>
        </w:tc>
        <w:tc>
          <w:tcPr>
            <w:tcW w:w="0" w:type="dxa"/>
            <w:vAlign w:val="bottom"/>
          </w:tcPr>
          <w:p>
            <w:pPr>
              <w:spacing w:after="0"/>
              <w:rPr>
                <w:sz w:val="1"/>
                <w:szCs w:val="1"/>
                <w:color w:val="auto"/>
              </w:rPr>
            </w:pPr>
          </w:p>
        </w:tc>
      </w:tr>
      <w:tr>
        <w:trPr>
          <w:trHeight w:val="27"/>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9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20" w:type="dxa"/>
            <w:vAlign w:val="bottom"/>
            <w:vMerge w:val="continue"/>
            <w:shd w:val="clear" w:color="auto" w:fill="CCEEFF"/>
          </w:tcPr>
          <w:p>
            <w:pPr>
              <w:spacing w:after="0"/>
              <w:rPr>
                <w:sz w:val="19"/>
                <w:szCs w:val="19"/>
                <w:color w:val="auto"/>
              </w:rPr>
            </w:pP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31,902,166</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14,353,896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167,501,720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213,757,782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7"/>
              </w:rPr>
              <w:t>As of December 31, 2022</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16"/>
                <w:szCs w:val="16"/>
                <w:color w:val="auto"/>
              </w:rPr>
            </w:pPr>
          </w:p>
        </w:tc>
        <w:tc>
          <w:tcPr>
            <w:tcW w:w="158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89"/>
              </w:rPr>
              <w:t>Significant 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6"/>
              </w:rPr>
              <w:t>Significant</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9"/>
              </w:rPr>
              <w:t>Active Markets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Unobservable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5"/>
              </w:rPr>
              <w:t>Identical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Inputs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3)</w:t>
            </w:r>
          </w:p>
        </w:tc>
        <w:tc>
          <w:tcPr>
            <w:tcW w:w="3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b w:val="1"/>
                <w:bCs w:val="1"/>
                <w:color w:val="auto"/>
              </w:rPr>
              <w:t>Private Portfolio Companies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117,214,465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117,214,465</w:t>
            </w:r>
          </w:p>
        </w:tc>
        <w:tc>
          <w:tcPr>
            <w:tcW w:w="0" w:type="dxa"/>
            <w:vAlign w:val="bottom"/>
          </w:tcPr>
          <w:p>
            <w:pPr>
              <w:spacing w:after="0"/>
              <w:rPr>
                <w:sz w:val="1"/>
                <w:szCs w:val="1"/>
                <w:color w:val="auto"/>
              </w:rPr>
            </w:pPr>
          </w:p>
        </w:tc>
      </w:tr>
      <w:tr>
        <w:trPr>
          <w:trHeight w:val="212"/>
        </w:trPr>
        <w:tc>
          <w:tcPr>
            <w:tcW w:w="3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18,692,931</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18,692,931</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4,488,200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4,488,200</w:t>
            </w:r>
          </w:p>
        </w:tc>
        <w:tc>
          <w:tcPr>
            <w:tcW w:w="0" w:type="dxa"/>
            <w:vAlign w:val="bottom"/>
          </w:tcPr>
          <w:p>
            <w:pPr>
              <w:spacing w:after="0"/>
              <w:rPr>
                <w:sz w:val="1"/>
                <w:szCs w:val="1"/>
                <w:color w:val="auto"/>
              </w:rPr>
            </w:pPr>
          </w:p>
        </w:tc>
      </w:tr>
      <w:tr>
        <w:trPr>
          <w:trHeight w:val="232"/>
        </w:trPr>
        <w:tc>
          <w:tcPr>
            <w:tcW w:w="372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3,469,497</w:t>
            </w: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3,469,497</w:t>
            </w:r>
          </w:p>
        </w:tc>
        <w:tc>
          <w:tcPr>
            <w:tcW w:w="0" w:type="dxa"/>
            <w:vAlign w:val="bottom"/>
          </w:tcPr>
          <w:p>
            <w:pPr>
              <w:spacing w:after="0"/>
              <w:rPr>
                <w:sz w:val="1"/>
                <w:szCs w:val="1"/>
                <w:color w:val="auto"/>
              </w:rPr>
            </w:pPr>
          </w:p>
        </w:tc>
      </w:tr>
      <w:tr>
        <w:trPr>
          <w:trHeight w:val="232"/>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Private Portfolio Companies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143,865,093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143,865,093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20" w:type="dxa"/>
            <w:vAlign w:val="bottom"/>
          </w:tcPr>
          <w:p>
            <w:pPr>
              <w:spacing w:after="0" w:line="199" w:lineRule="exact"/>
              <w:rPr>
                <w:sz w:val="20"/>
                <w:szCs w:val="20"/>
                <w:color w:val="auto"/>
              </w:rPr>
            </w:pPr>
            <w:r>
              <w:rPr>
                <w:rFonts w:ascii="Arial" w:cs="Arial" w:eastAsia="Arial" w:hAnsi="Arial"/>
                <w:sz w:val="18"/>
                <w:szCs w:val="18"/>
                <w:b w:val="1"/>
                <w:bCs w:val="1"/>
                <w:color w:val="auto"/>
              </w:rPr>
              <w:t>Publicly Traded Portfolio Companies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13,298,992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13,323,485</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b w:val="1"/>
                <w:bCs w:val="1"/>
                <w:color w:val="auto"/>
              </w:rPr>
              <w:t>Non-Portfolio Investments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85,056,817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85,056,817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Investments at Fair Value</w:t>
            </w: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vMerge w:val="continue"/>
          </w:tcPr>
          <w:p>
            <w:pPr>
              <w:spacing w:after="0"/>
              <w:rPr>
                <w:sz w:val="18"/>
                <w:szCs w:val="18"/>
                <w:color w:val="auto"/>
              </w:rPr>
            </w:pPr>
          </w:p>
        </w:tc>
        <w:tc>
          <w:tcPr>
            <w:tcW w:w="100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98,355,809</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24,493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143,865,093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242,245,395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17"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 xml:space="preserve">In accordance with FASB ASC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the tables below provide quantitative information about the fair value measurements of the Company’s Level 3 assets as of September 30, 2023 and December 31, 2022. In addition to the techniques and inputs noted in the tables below, according to the Company’s valuation policy, the Board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September 30, 2023 and December 31, 2022. Significant changes in the inputs in isolation would result in a significant change in the fair value measurement, depending on the input and the materiality of the investment. Refer to “Note 2— 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w w:val="89"/>
              </w:rPr>
              <w:t>As of September 30, 2023</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7"/>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Valuation</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Approach/</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Range</w:t>
            </w:r>
          </w:p>
        </w:tc>
      </w:tr>
      <w:tr>
        <w:trPr>
          <w:trHeight w:val="27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1"/>
              </w:rPr>
              <w:t>Asset</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920" w:type="dxa"/>
            <w:vAlign w:val="bottom"/>
            <w:gridSpan w:val="3"/>
          </w:tcPr>
          <w:p>
            <w:pPr>
              <w:jc w:val="center"/>
              <w:ind w:right="320"/>
              <w:spacing w:after="0" w:line="266" w:lineRule="exact"/>
              <w:rPr>
                <w:sz w:val="20"/>
                <w:szCs w:val="20"/>
                <w:color w:val="auto"/>
              </w:rPr>
            </w:pPr>
            <w:r>
              <w:rPr>
                <w:rFonts w:ascii="Arial" w:cs="Arial" w:eastAsia="Arial" w:hAnsi="Arial"/>
                <w:sz w:val="18"/>
                <w:szCs w:val="18"/>
                <w:b w:val="1"/>
                <w:bCs w:val="1"/>
                <w:color w:val="auto"/>
                <w:w w:val="84"/>
              </w:rPr>
              <w:t>Technique</w:t>
            </w:r>
            <w:r>
              <w:rPr>
                <w:rFonts w:ascii="Arial" w:cs="Arial" w:eastAsia="Arial" w:hAnsi="Arial"/>
                <w:sz w:val="29"/>
                <w:szCs w:val="29"/>
                <w:b w:val="1"/>
                <w:bCs w:val="1"/>
                <w:color w:val="auto"/>
                <w:w w:val="84"/>
                <w:vertAlign w:val="superscript"/>
              </w:rPr>
              <w:t>(1)</w:t>
            </w:r>
          </w:p>
        </w:tc>
        <w:tc>
          <w:tcPr>
            <w:tcW w:w="2340" w:type="dxa"/>
            <w:vAlign w:val="bottom"/>
            <w:gridSpan w:val="2"/>
          </w:tcPr>
          <w:p>
            <w:pPr>
              <w:jc w:val="center"/>
              <w:ind w:right="320"/>
              <w:spacing w:after="0" w:line="266" w:lineRule="exact"/>
              <w:rPr>
                <w:sz w:val="20"/>
                <w:szCs w:val="20"/>
                <w:color w:val="auto"/>
              </w:rPr>
            </w:pPr>
            <w:r>
              <w:rPr>
                <w:rFonts w:ascii="Arial" w:cs="Arial" w:eastAsia="Arial" w:hAnsi="Arial"/>
                <w:sz w:val="18"/>
                <w:szCs w:val="18"/>
                <w:b w:val="1"/>
                <w:bCs w:val="1"/>
                <w:color w:val="auto"/>
                <w:w w:val="86"/>
              </w:rPr>
              <w:t>Unobservable Inputs</w:t>
            </w:r>
            <w:r>
              <w:rPr>
                <w:rFonts w:ascii="Arial" w:cs="Arial" w:eastAsia="Arial" w:hAnsi="Arial"/>
                <w:sz w:val="29"/>
                <w:szCs w:val="29"/>
                <w:b w:val="1"/>
                <w:bCs w:val="1"/>
                <w:color w:val="auto"/>
                <w:w w:val="86"/>
                <w:vertAlign w:val="superscript"/>
              </w:rPr>
              <w:t>(2)</w:t>
            </w:r>
          </w:p>
        </w:tc>
        <w:tc>
          <w:tcPr>
            <w:tcW w:w="2240" w:type="dxa"/>
            <w:vAlign w:val="bottom"/>
          </w:tcPr>
          <w:p>
            <w:pPr>
              <w:jc w:val="center"/>
              <w:spacing w:after="0" w:line="266" w:lineRule="exact"/>
              <w:rPr>
                <w:sz w:val="20"/>
                <w:szCs w:val="20"/>
                <w:color w:val="auto"/>
              </w:rPr>
            </w:pPr>
            <w:r>
              <w:rPr>
                <w:rFonts w:ascii="Arial" w:cs="Arial" w:eastAsia="Arial" w:hAnsi="Arial"/>
                <w:sz w:val="18"/>
                <w:szCs w:val="18"/>
                <w:b w:val="1"/>
                <w:bCs w:val="1"/>
                <w:color w:val="auto"/>
                <w:w w:val="86"/>
              </w:rPr>
              <w:t>(Weighted Average)</w:t>
            </w:r>
            <w:r>
              <w:rPr>
                <w:rFonts w:ascii="Arial" w:cs="Arial" w:eastAsia="Arial" w:hAnsi="Arial"/>
                <w:sz w:val="29"/>
                <w:szCs w:val="29"/>
                <w:b w:val="1"/>
                <w:bCs w:val="1"/>
                <w:color w:val="auto"/>
                <w:w w:val="86"/>
                <w:vertAlign w:val="superscript"/>
              </w:rPr>
              <w:t>(3)</w:t>
            </w:r>
          </w:p>
        </w:tc>
      </w:tr>
      <w:tr>
        <w:trPr>
          <w:trHeight w:val="200"/>
        </w:trPr>
        <w:tc>
          <w:tcPr>
            <w:tcW w:w="248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Common stock in private</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r>
      <w:tr>
        <w:trPr>
          <w:trHeight w:val="223"/>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companies</w:t>
            </w: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37,377,036</w:t>
            </w:r>
          </w:p>
        </w:tc>
        <w:tc>
          <w:tcPr>
            <w:tcW w:w="20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Market approach</w:t>
            </w:r>
          </w:p>
        </w:tc>
        <w:tc>
          <w:tcPr>
            <w:tcW w:w="23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Revenue multiples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0.11x - 8.97x (3.41x)</w:t>
            </w:r>
          </w:p>
        </w:tc>
      </w:tr>
      <w:tr>
        <w:trPr>
          <w:trHeight w:val="253"/>
        </w:trPr>
        <w:tc>
          <w:tcPr>
            <w:tcW w:w="2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center"/>
              <w:ind w:right="340"/>
              <w:spacing w:after="0" w:line="252" w:lineRule="exact"/>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340" w:type="dxa"/>
            <w:vAlign w:val="bottom"/>
            <w:gridSpan w:val="2"/>
            <w:shd w:val="clear" w:color="auto" w:fill="CCEEFF"/>
          </w:tcPr>
          <w:p>
            <w:pPr>
              <w:jc w:val="center"/>
              <w:ind w:right="320"/>
              <w:spacing w:after="0" w:line="252" w:lineRule="exact"/>
              <w:rPr>
                <w:sz w:val="20"/>
                <w:szCs w:val="20"/>
                <w:color w:val="auto"/>
              </w:rPr>
            </w:pPr>
            <w:r>
              <w:rPr>
                <w:rFonts w:ascii="Arial" w:cs="Arial" w:eastAsia="Arial" w:hAnsi="Arial"/>
                <w:sz w:val="18"/>
                <w:szCs w:val="18"/>
                <w:color w:val="auto"/>
                <w:w w:val="90"/>
              </w:rPr>
              <w:t>AFFO</w:t>
            </w:r>
            <w:r>
              <w:rPr>
                <w:rFonts w:ascii="Arial" w:cs="Arial" w:eastAsia="Arial" w:hAnsi="Arial"/>
                <w:sz w:val="29"/>
                <w:szCs w:val="29"/>
                <w:color w:val="auto"/>
                <w:w w:val="90"/>
                <w:vertAlign w:val="superscript"/>
              </w:rPr>
              <w:t>(4)</w:t>
            </w:r>
            <w:r>
              <w:rPr>
                <w:rFonts w:ascii="Arial" w:cs="Arial" w:eastAsia="Arial" w:hAnsi="Arial"/>
                <w:sz w:val="18"/>
                <w:szCs w:val="18"/>
                <w:color w:val="auto"/>
                <w:w w:val="90"/>
              </w:rPr>
              <w:t xml:space="preserve"> multiple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8.97x</w:t>
            </w:r>
          </w:p>
        </w:tc>
      </w:tr>
      <w:tr>
        <w:trPr>
          <w:trHeight w:val="200"/>
        </w:trPr>
        <w:tc>
          <w:tcPr>
            <w:tcW w:w="2480" w:type="dxa"/>
            <w:vAlign w:val="bottom"/>
          </w:tcPr>
          <w:p>
            <w:pPr>
              <w:jc w:val="center"/>
              <w:spacing w:after="0" w:line="200" w:lineRule="exact"/>
              <w:rPr>
                <w:sz w:val="20"/>
                <w:szCs w:val="20"/>
                <w:color w:val="auto"/>
              </w:rPr>
            </w:pPr>
            <w:r>
              <w:rPr>
                <w:rFonts w:ascii="Arial" w:cs="Arial" w:eastAsia="Arial" w:hAnsi="Arial"/>
                <w:sz w:val="18"/>
                <w:szCs w:val="18"/>
                <w:color w:val="auto"/>
                <w:w w:val="88"/>
              </w:rPr>
              <w:t>Preferred stock in private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4"/>
        </w:trPr>
        <w:tc>
          <w:tcPr>
            <w:tcW w:w="2480" w:type="dxa"/>
            <w:vAlign w:val="bottom"/>
          </w:tcPr>
          <w:p>
            <w:pPr>
              <w:jc w:val="center"/>
              <w:spacing w:after="0"/>
              <w:rPr>
                <w:sz w:val="20"/>
                <w:szCs w:val="20"/>
                <w:color w:val="auto"/>
              </w:rPr>
            </w:pPr>
            <w:r>
              <w:rPr>
                <w:rFonts w:ascii="Arial" w:cs="Arial" w:eastAsia="Arial" w:hAnsi="Arial"/>
                <w:sz w:val="18"/>
                <w:szCs w:val="18"/>
                <w:color w:val="auto"/>
                <w:w w:val="87"/>
              </w:rPr>
              <w:t>companies</w:t>
            </w:r>
          </w:p>
        </w:tc>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124,249,715</w:t>
            </w:r>
          </w:p>
        </w:tc>
        <w:tc>
          <w:tcPr>
            <w:tcW w:w="200" w:type="dxa"/>
            <w:vAlign w:val="bottom"/>
          </w:tcPr>
          <w:p>
            <w:pPr>
              <w:spacing w:after="0"/>
              <w:rPr>
                <w:sz w:val="18"/>
                <w:szCs w:val="18"/>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Market approach</w:t>
            </w:r>
          </w:p>
        </w:tc>
        <w:tc>
          <w:tcPr>
            <w:tcW w:w="2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Revenue multiples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0.11x - 8.99x (2.51x)</w:t>
            </w:r>
          </w:p>
        </w:tc>
      </w:tr>
      <w:tr>
        <w:trPr>
          <w:trHeight w:val="262"/>
        </w:trPr>
        <w:tc>
          <w:tcPr>
            <w:tcW w:w="2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3"/>
          </w:tcPr>
          <w:p>
            <w:pPr>
              <w:jc w:val="center"/>
              <w:ind w:right="340"/>
              <w:spacing w:after="0" w:line="262" w:lineRule="exact"/>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Discount rate</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15.0%</w:t>
            </w:r>
          </w:p>
        </w:tc>
      </w:tr>
      <w:tr>
        <w:trPr>
          <w:trHeight w:val="212"/>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Debt investments</w:t>
            </w: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2,462,036</w:t>
            </w:r>
          </w:p>
        </w:tc>
        <w:tc>
          <w:tcPr>
            <w:tcW w:w="2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Market approach</w:t>
            </w:r>
          </w:p>
        </w:tc>
        <w:tc>
          <w:tcPr>
            <w:tcW w:w="23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Revenue multiples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0.50x - 5.43x (4.97x)</w:t>
            </w:r>
          </w:p>
        </w:tc>
      </w:tr>
      <w:tr>
        <w:trPr>
          <w:trHeight w:val="212"/>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3,412,933</w:t>
            </w:r>
          </w:p>
        </w:tc>
        <w:tc>
          <w:tcPr>
            <w:tcW w:w="2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2"/>
              </w:rPr>
              <w:t>Option pricing model</w:t>
            </w:r>
          </w:p>
        </w:tc>
        <w:tc>
          <w:tcPr>
            <w:tcW w:w="2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Term to expiration (Years)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0.25 - 3.61 (2.78)</w:t>
            </w:r>
          </w:p>
        </w:tc>
      </w:tr>
      <w:tr>
        <w:trPr>
          <w:trHeight w:val="212"/>
        </w:trPr>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8"/>
              </w:rPr>
              <w:t>Volatility</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17837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325" w:lineRule="exact"/>
        <w:rPr>
          <w:sz w:val="20"/>
          <w:szCs w:val="20"/>
          <w:color w:val="auto"/>
        </w:rPr>
      </w:pPr>
    </w:p>
    <w:p>
      <w:pPr>
        <w:jc w:val="both"/>
        <w:ind w:left="640" w:hanging="634"/>
        <w:spacing w:after="0" w:line="26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As of September 30, 2023,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 </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 w:lineRule="exact"/>
        <w:rPr>
          <w:rFonts w:ascii="Arial" w:cs="Arial" w:eastAsia="Arial" w:hAnsi="Arial"/>
          <w:sz w:val="17"/>
          <w:szCs w:val="17"/>
          <w:color w:val="auto"/>
        </w:rPr>
      </w:pPr>
    </w:p>
    <w:p>
      <w:pPr>
        <w:jc w:val="both"/>
        <w:ind w:left="640" w:hanging="634"/>
        <w:spacing w:after="0" w:line="301"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173" w:lineRule="exact"/>
        <w:rPr>
          <w:rFonts w:ascii="Arial" w:cs="Arial" w:eastAsia="Arial" w:hAnsi="Arial"/>
          <w:sz w:val="15"/>
          <w:szCs w:val="15"/>
          <w:color w:val="auto"/>
        </w:rPr>
      </w:pPr>
    </w:p>
    <w:p>
      <w:pPr>
        <w:ind w:left="640" w:hanging="63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averages are calculated based on the fair market value of each investment.</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Funds From Operations, or “AFFO”.</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Probability-Weighted Expected Return Method, or “PWERM”.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As of December 31, 2022</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Valuation</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Approach/</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Range</w:t>
            </w:r>
          </w:p>
        </w:tc>
        <w:tc>
          <w:tcPr>
            <w:tcW w:w="0" w:type="dxa"/>
            <w:vAlign w:val="bottom"/>
          </w:tcPr>
          <w:p>
            <w:pPr>
              <w:spacing w:after="0"/>
              <w:rPr>
                <w:sz w:val="1"/>
                <w:szCs w:val="1"/>
                <w:color w:val="auto"/>
              </w:rPr>
            </w:pPr>
          </w:p>
        </w:tc>
      </w:tr>
      <w:tr>
        <w:trPr>
          <w:trHeight w:val="27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1"/>
              </w:rPr>
              <w:t>Asset</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900" w:type="dxa"/>
            <w:vAlign w:val="bottom"/>
            <w:gridSpan w:val="3"/>
          </w:tcPr>
          <w:p>
            <w:pPr>
              <w:jc w:val="center"/>
              <w:ind w:right="300"/>
              <w:spacing w:after="0" w:line="266" w:lineRule="exact"/>
              <w:rPr>
                <w:sz w:val="20"/>
                <w:szCs w:val="20"/>
                <w:color w:val="auto"/>
              </w:rPr>
            </w:pPr>
            <w:r>
              <w:rPr>
                <w:rFonts w:ascii="Arial" w:cs="Arial" w:eastAsia="Arial" w:hAnsi="Arial"/>
                <w:sz w:val="18"/>
                <w:szCs w:val="18"/>
                <w:b w:val="1"/>
                <w:bCs w:val="1"/>
                <w:color w:val="auto"/>
                <w:w w:val="84"/>
              </w:rPr>
              <w:t>Technique</w:t>
            </w:r>
            <w:r>
              <w:rPr>
                <w:rFonts w:ascii="Arial" w:cs="Arial" w:eastAsia="Arial" w:hAnsi="Arial"/>
                <w:sz w:val="29"/>
                <w:szCs w:val="29"/>
                <w:b w:val="1"/>
                <w:bCs w:val="1"/>
                <w:color w:val="auto"/>
                <w:w w:val="84"/>
                <w:vertAlign w:val="superscript"/>
              </w:rPr>
              <w:t>(1)</w:t>
            </w:r>
          </w:p>
        </w:tc>
        <w:tc>
          <w:tcPr>
            <w:tcW w:w="2360" w:type="dxa"/>
            <w:vAlign w:val="bottom"/>
            <w:gridSpan w:val="2"/>
          </w:tcPr>
          <w:p>
            <w:pPr>
              <w:jc w:val="center"/>
              <w:ind w:right="300"/>
              <w:spacing w:after="0" w:line="266" w:lineRule="exact"/>
              <w:rPr>
                <w:sz w:val="20"/>
                <w:szCs w:val="20"/>
                <w:color w:val="auto"/>
              </w:rPr>
            </w:pPr>
            <w:r>
              <w:rPr>
                <w:rFonts w:ascii="Arial" w:cs="Arial" w:eastAsia="Arial" w:hAnsi="Arial"/>
                <w:sz w:val="18"/>
                <w:szCs w:val="18"/>
                <w:b w:val="1"/>
                <w:bCs w:val="1"/>
                <w:color w:val="auto"/>
                <w:w w:val="86"/>
              </w:rPr>
              <w:t>Unobservable Inputs</w:t>
            </w:r>
            <w:r>
              <w:rPr>
                <w:rFonts w:ascii="Arial" w:cs="Arial" w:eastAsia="Arial" w:hAnsi="Arial"/>
                <w:sz w:val="29"/>
                <w:szCs w:val="29"/>
                <w:b w:val="1"/>
                <w:bCs w:val="1"/>
                <w:color w:val="auto"/>
                <w:w w:val="86"/>
                <w:vertAlign w:val="superscript"/>
              </w:rPr>
              <w:t>(2)</w:t>
            </w:r>
          </w:p>
        </w:tc>
        <w:tc>
          <w:tcPr>
            <w:tcW w:w="2240" w:type="dxa"/>
            <w:vAlign w:val="bottom"/>
          </w:tcPr>
          <w:p>
            <w:pPr>
              <w:jc w:val="center"/>
              <w:spacing w:after="0" w:line="266" w:lineRule="exact"/>
              <w:rPr>
                <w:sz w:val="20"/>
                <w:szCs w:val="20"/>
                <w:color w:val="auto"/>
              </w:rPr>
            </w:pPr>
            <w:r>
              <w:rPr>
                <w:rFonts w:ascii="Arial" w:cs="Arial" w:eastAsia="Arial" w:hAnsi="Arial"/>
                <w:sz w:val="18"/>
                <w:szCs w:val="18"/>
                <w:b w:val="1"/>
                <w:bCs w:val="1"/>
                <w:color w:val="auto"/>
                <w:w w:val="86"/>
              </w:rPr>
              <w:t>(Weighted Average)</w:t>
            </w:r>
            <w:r>
              <w:rPr>
                <w:rFonts w:ascii="Arial" w:cs="Arial" w:eastAsia="Arial" w:hAnsi="Arial"/>
                <w:sz w:val="29"/>
                <w:szCs w:val="29"/>
                <w:b w:val="1"/>
                <w:bCs w:val="1"/>
                <w:color w:val="auto"/>
                <w:w w:val="86"/>
                <w:vertAlign w:val="superscript"/>
              </w:rPr>
              <w:t>(3)</w:t>
            </w:r>
          </w:p>
        </w:tc>
        <w:tc>
          <w:tcPr>
            <w:tcW w:w="0" w:type="dxa"/>
            <w:vAlign w:val="bottom"/>
          </w:tcPr>
          <w:p>
            <w:pPr>
              <w:spacing w:after="0"/>
              <w:rPr>
                <w:sz w:val="1"/>
                <w:szCs w:val="1"/>
                <w:color w:val="auto"/>
              </w:rPr>
            </w:pPr>
          </w:p>
        </w:tc>
      </w:tr>
      <w:tr>
        <w:trPr>
          <w:trHeight w:val="212"/>
        </w:trPr>
        <w:tc>
          <w:tcPr>
            <w:tcW w:w="2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Market approach</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Revenue multiples</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1.06x - 4.42x (1.74x)</w:t>
            </w:r>
          </w:p>
        </w:tc>
        <w:tc>
          <w:tcPr>
            <w:tcW w:w="0" w:type="dxa"/>
            <w:vAlign w:val="bottom"/>
          </w:tcPr>
          <w:p>
            <w:pPr>
              <w:spacing w:after="0"/>
              <w:rPr>
                <w:sz w:val="1"/>
                <w:szCs w:val="1"/>
                <w:color w:val="auto"/>
              </w:rPr>
            </w:pPr>
          </w:p>
        </w:tc>
      </w:tr>
      <w:tr>
        <w:trPr>
          <w:trHeight w:val="212"/>
        </w:trPr>
        <w:tc>
          <w:tcPr>
            <w:tcW w:w="2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Common stock in private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Liquidation Value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0"/>
        </w:trPr>
        <w:tc>
          <w:tcPr>
            <w:tcW w:w="24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gridSpan w:val="3"/>
            <w:vMerge w:val="restart"/>
            <w:shd w:val="clear" w:color="auto" w:fill="CCEEFF"/>
          </w:tcPr>
          <w:p>
            <w:pPr>
              <w:jc w:val="center"/>
              <w:ind w:right="320"/>
              <w:spacing w:after="0"/>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3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8"/>
                <w:szCs w:val="18"/>
                <w:color w:val="auto"/>
                <w:w w:val="90"/>
              </w:rPr>
              <w:t>AFFO</w:t>
            </w:r>
            <w:r>
              <w:rPr>
                <w:rFonts w:ascii="Arial" w:cs="Arial" w:eastAsia="Arial" w:hAnsi="Arial"/>
                <w:sz w:val="29"/>
                <w:szCs w:val="29"/>
                <w:color w:val="auto"/>
                <w:w w:val="90"/>
                <w:vertAlign w:val="superscript"/>
              </w:rPr>
              <w:t>(4)</w:t>
            </w:r>
            <w:r>
              <w:rPr>
                <w:rFonts w:ascii="Arial" w:cs="Arial" w:eastAsia="Arial" w:hAnsi="Arial"/>
                <w:sz w:val="18"/>
                <w:szCs w:val="18"/>
                <w:color w:val="auto"/>
                <w:w w:val="90"/>
              </w:rPr>
              <w:t xml:space="preserve"> multiple</w:t>
            </w:r>
          </w:p>
        </w:tc>
        <w:tc>
          <w:tcPr>
            <w:tcW w:w="2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companies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18,692,931</w:t>
            </w:r>
          </w:p>
        </w:tc>
        <w:tc>
          <w:tcPr>
            <w:tcW w:w="200" w:type="dxa"/>
            <w:vAlign w:val="bottom"/>
            <w:shd w:val="clear" w:color="auto" w:fill="CCEEFF"/>
          </w:tcPr>
          <w:p>
            <w:pPr>
              <w:spacing w:after="0"/>
              <w:rPr>
                <w:sz w:val="19"/>
                <w:szCs w:val="19"/>
                <w:color w:val="auto"/>
              </w:rPr>
            </w:pPr>
          </w:p>
        </w:tc>
        <w:tc>
          <w:tcPr>
            <w:tcW w:w="1900" w:type="dxa"/>
            <w:vAlign w:val="bottom"/>
            <w:gridSpan w:val="3"/>
            <w:vMerge w:val="continue"/>
            <w:shd w:val="clear" w:color="auto" w:fill="CCEEFF"/>
          </w:tcPr>
          <w:p>
            <w:pPr>
              <w:spacing w:after="0"/>
              <w:rPr>
                <w:sz w:val="19"/>
                <w:szCs w:val="19"/>
                <w:color w:val="auto"/>
              </w:rPr>
            </w:pPr>
          </w:p>
        </w:tc>
        <w:tc>
          <w:tcPr>
            <w:tcW w:w="2360" w:type="dxa"/>
            <w:vAlign w:val="bottom"/>
            <w:gridSpan w:val="2"/>
            <w:vMerge w:val="continue"/>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8.62x -12.62x (10.94x)</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center"/>
              <w:ind w:right="300"/>
              <w:spacing w:after="0" w:line="200" w:lineRule="exact"/>
              <w:rPr>
                <w:sz w:val="20"/>
                <w:szCs w:val="20"/>
                <w:color w:val="auto"/>
              </w:rPr>
            </w:pPr>
            <w:r>
              <w:rPr>
                <w:rFonts w:ascii="Arial" w:cs="Arial" w:eastAsia="Arial" w:hAnsi="Arial"/>
                <w:sz w:val="18"/>
                <w:szCs w:val="18"/>
                <w:color w:val="auto"/>
                <w:w w:val="88"/>
              </w:rPr>
              <w:t>Market approach</w:t>
            </w:r>
          </w:p>
        </w:tc>
        <w:tc>
          <w:tcPr>
            <w:tcW w:w="236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w w:val="89"/>
              </w:rPr>
              <w:t>Revenue multiples</w:t>
            </w:r>
          </w:p>
        </w:tc>
        <w:tc>
          <w:tcPr>
            <w:tcW w:w="2240" w:type="dxa"/>
            <w:vAlign w:val="bottom"/>
          </w:tcPr>
          <w:p>
            <w:pPr>
              <w:jc w:val="center"/>
              <w:spacing w:after="0" w:line="200" w:lineRule="exact"/>
              <w:rPr>
                <w:sz w:val="20"/>
                <w:szCs w:val="20"/>
                <w:color w:val="auto"/>
              </w:rPr>
            </w:pPr>
            <w:r>
              <w:rPr>
                <w:rFonts w:ascii="Arial" w:cs="Arial" w:eastAsia="Arial" w:hAnsi="Arial"/>
                <w:sz w:val="18"/>
                <w:szCs w:val="18"/>
                <w:color w:val="auto"/>
                <w:w w:val="90"/>
              </w:rPr>
              <w:t>0.47x - 5.45x (2.38x)</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Liquidation Value</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Preferred stock in private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Discounted cash flow</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Discount rate</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15.0% (15.0%)</w:t>
            </w:r>
          </w:p>
        </w:tc>
        <w:tc>
          <w:tcPr>
            <w:tcW w:w="0" w:type="dxa"/>
            <w:vAlign w:val="bottom"/>
          </w:tcPr>
          <w:p>
            <w:pPr>
              <w:spacing w:after="0"/>
              <w:rPr>
                <w:sz w:val="1"/>
                <w:szCs w:val="1"/>
                <w:color w:val="auto"/>
              </w:rPr>
            </w:pPr>
          </w:p>
        </w:tc>
      </w:tr>
      <w:tr>
        <w:trPr>
          <w:trHeight w:val="201"/>
        </w:trPr>
        <w:tc>
          <w:tcPr>
            <w:tcW w:w="2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tcPr>
          <w:p>
            <w:pPr>
              <w:jc w:val="center"/>
              <w:spacing w:after="0"/>
              <w:rPr>
                <w:sz w:val="20"/>
                <w:szCs w:val="20"/>
                <w:color w:val="auto"/>
              </w:rPr>
            </w:pPr>
            <w:r>
              <w:rPr>
                <w:rFonts w:ascii="Arial" w:cs="Arial" w:eastAsia="Arial" w:hAnsi="Arial"/>
                <w:sz w:val="18"/>
                <w:szCs w:val="18"/>
                <w:color w:val="auto"/>
                <w:w w:val="87"/>
              </w:rPr>
              <w:t>companies</w:t>
            </w:r>
          </w:p>
        </w:tc>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117,214,465</w:t>
            </w:r>
          </w:p>
        </w:tc>
        <w:tc>
          <w:tcPr>
            <w:tcW w:w="200" w:type="dxa"/>
            <w:vAlign w:val="bottom"/>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Revenue multiples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1.17x - 1.26x</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DLOM</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(10.0%)</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Financing Risk</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(10.0%)</w:t>
            </w: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Debt investments</w:t>
            </w: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4,488,200</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8"/>
              </w:rPr>
              <w:t>Market approach</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Revenue multiples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0.47x - 5.45x (3.6x)</w:t>
            </w:r>
          </w:p>
        </w:tc>
        <w:tc>
          <w:tcPr>
            <w:tcW w:w="0" w:type="dxa"/>
            <w:vAlign w:val="bottom"/>
          </w:tcPr>
          <w:p>
            <w:pPr>
              <w:spacing w:after="0"/>
              <w:rPr>
                <w:sz w:val="1"/>
                <w:szCs w:val="1"/>
                <w:color w:val="auto"/>
              </w:rPr>
            </w:pPr>
          </w:p>
        </w:tc>
      </w:tr>
      <w:tr>
        <w:trPr>
          <w:trHeight w:val="200"/>
        </w:trPr>
        <w:tc>
          <w:tcPr>
            <w:tcW w:w="2480" w:type="dxa"/>
            <w:vAlign w:val="bottom"/>
          </w:tcPr>
          <w:p>
            <w:pPr>
              <w:jc w:val="center"/>
              <w:spacing w:after="0" w:line="200" w:lineRule="exact"/>
              <w:rPr>
                <w:sz w:val="20"/>
                <w:szCs w:val="20"/>
                <w:color w:val="auto"/>
              </w:rPr>
            </w:pPr>
            <w:r>
              <w:rPr>
                <w:rFonts w:ascii="Arial" w:cs="Arial" w:eastAsia="Arial" w:hAnsi="Arial"/>
                <w:sz w:val="18"/>
                <w:szCs w:val="18"/>
                <w:color w:val="auto"/>
                <w:w w:val="90"/>
              </w:rPr>
              <w:t>Options</w:t>
            </w:r>
          </w:p>
        </w:tc>
        <w:tc>
          <w:tcPr>
            <w:tcW w:w="500" w:type="dxa"/>
            <w:vAlign w:val="bottom"/>
            <w:gridSpan w:val="2"/>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3,469,497</w:t>
            </w:r>
          </w:p>
        </w:tc>
        <w:tc>
          <w:tcPr>
            <w:tcW w:w="200" w:type="dxa"/>
            <w:vAlign w:val="bottom"/>
          </w:tcPr>
          <w:p>
            <w:pPr>
              <w:spacing w:after="0"/>
              <w:rPr>
                <w:sz w:val="17"/>
                <w:szCs w:val="17"/>
                <w:color w:val="auto"/>
              </w:rPr>
            </w:pPr>
          </w:p>
        </w:tc>
        <w:tc>
          <w:tcPr>
            <w:tcW w:w="1900" w:type="dxa"/>
            <w:vAlign w:val="bottom"/>
            <w:gridSpan w:val="3"/>
          </w:tcPr>
          <w:p>
            <w:pPr>
              <w:jc w:val="center"/>
              <w:ind w:right="300"/>
              <w:spacing w:after="0" w:line="200" w:lineRule="exact"/>
              <w:rPr>
                <w:sz w:val="20"/>
                <w:szCs w:val="20"/>
                <w:color w:val="auto"/>
              </w:rPr>
            </w:pPr>
            <w:r>
              <w:rPr>
                <w:rFonts w:ascii="Arial" w:cs="Arial" w:eastAsia="Arial" w:hAnsi="Arial"/>
                <w:sz w:val="18"/>
                <w:szCs w:val="18"/>
                <w:color w:val="auto"/>
                <w:w w:val="92"/>
              </w:rPr>
              <w:t>Option pricing model</w:t>
            </w:r>
          </w:p>
        </w:tc>
        <w:tc>
          <w:tcPr>
            <w:tcW w:w="2360" w:type="dxa"/>
            <w:vAlign w:val="bottom"/>
            <w:gridSpan w:val="2"/>
          </w:tcPr>
          <w:p>
            <w:pPr>
              <w:jc w:val="center"/>
              <w:ind w:right="300"/>
              <w:spacing w:after="0" w:line="200" w:lineRule="exact"/>
              <w:rPr>
                <w:sz w:val="20"/>
                <w:szCs w:val="20"/>
                <w:color w:val="auto"/>
              </w:rPr>
            </w:pPr>
            <w:r>
              <w:rPr>
                <w:rFonts w:ascii="Arial" w:cs="Arial" w:eastAsia="Arial" w:hAnsi="Arial"/>
                <w:sz w:val="18"/>
                <w:szCs w:val="18"/>
                <w:color w:val="auto"/>
                <w:w w:val="88"/>
              </w:rPr>
              <w:t>Term to expiration (Years)</w:t>
            </w:r>
          </w:p>
        </w:tc>
        <w:tc>
          <w:tcPr>
            <w:tcW w:w="2240" w:type="dxa"/>
            <w:vAlign w:val="bottom"/>
          </w:tcPr>
          <w:p>
            <w:pPr>
              <w:jc w:val="center"/>
              <w:spacing w:after="0" w:line="200" w:lineRule="exact"/>
              <w:rPr>
                <w:sz w:val="20"/>
                <w:szCs w:val="20"/>
                <w:color w:val="auto"/>
              </w:rPr>
            </w:pPr>
            <w:r>
              <w:rPr>
                <w:rFonts w:ascii="Arial" w:cs="Arial" w:eastAsia="Arial" w:hAnsi="Arial"/>
                <w:sz w:val="18"/>
                <w:szCs w:val="18"/>
                <w:color w:val="auto"/>
                <w:w w:val="90"/>
              </w:rPr>
              <w:t>1.00x - 5.29x (1.65x)</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Discounted cash flow</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Discount Rate</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15.0% (15.0%)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17837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326" w:lineRule="exact"/>
        <w:rPr>
          <w:sz w:val="20"/>
          <w:szCs w:val="20"/>
          <w:color w:val="auto"/>
        </w:rPr>
      </w:pPr>
    </w:p>
    <w:p>
      <w:pPr>
        <w:jc w:val="both"/>
        <w:ind w:left="640" w:hanging="634"/>
        <w:spacing w:after="0" w:line="26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As of December 31, 2022,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 </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 w:lineRule="exact"/>
        <w:rPr>
          <w:rFonts w:ascii="Arial" w:cs="Arial" w:eastAsia="Arial" w:hAnsi="Arial"/>
          <w:sz w:val="17"/>
          <w:szCs w:val="17"/>
          <w:color w:val="auto"/>
        </w:rPr>
      </w:pPr>
    </w:p>
    <w:p>
      <w:pPr>
        <w:jc w:val="both"/>
        <w:ind w:left="640" w:hanging="634"/>
        <w:spacing w:after="0" w:line="301"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173" w:lineRule="exact"/>
        <w:rPr>
          <w:rFonts w:ascii="Arial" w:cs="Arial" w:eastAsia="Arial" w:hAnsi="Arial"/>
          <w:sz w:val="15"/>
          <w:szCs w:val="15"/>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averages are calculated based on the fair market value of each investment.</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Funds From Operations, or “AFFO”.</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Probability-Weighted Expected Return Method, or “PWERM”.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nine months ended September 30, 2023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860"/>
              <w:spacing w:after="0"/>
              <w:rPr>
                <w:sz w:val="20"/>
                <w:szCs w:val="20"/>
                <w:color w:val="auto"/>
              </w:rPr>
            </w:pPr>
            <w:r>
              <w:rPr>
                <w:rFonts w:ascii="Arial" w:cs="Arial" w:eastAsia="Arial" w:hAnsi="Arial"/>
                <w:sz w:val="18"/>
                <w:szCs w:val="18"/>
                <w:b w:val="1"/>
                <w:bCs w:val="1"/>
                <w:color w:val="auto"/>
                <w:w w:val="97"/>
              </w:rPr>
              <w:t>Nine Months Ended September 30, 2023</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w w:val="94"/>
              </w:rPr>
              <w:t>Common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w w:val="94"/>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20"/>
              <w:spacing w:after="0" w:line="194" w:lineRule="exact"/>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5"/>
              </w:rPr>
              <w:t>Investments</w:t>
            </w: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Options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spacing w:after="0"/>
              <w:rPr>
                <w:sz w:val="20"/>
                <w:szCs w:val="20"/>
                <w:color w:val="auto"/>
              </w:rPr>
            </w:pPr>
            <w:r>
              <w:rPr>
                <w:rFonts w:ascii="Arial" w:cs="Arial" w:eastAsia="Arial" w:hAnsi="Arial"/>
                <w:sz w:val="18"/>
                <w:szCs w:val="18"/>
                <w:color w:val="auto"/>
              </w:rPr>
              <w:t>Fair Value as of December 31, 2022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18,692,931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117,214,465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4,488,200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3,469,497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143,865,093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(1,157,487)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(2,711,842)</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20"/>
                <w:szCs w:val="20"/>
                <w:color w:val="auto"/>
              </w:rPr>
            </w:pPr>
            <w:r>
              <w:rPr>
                <w:rFonts w:ascii="Arial" w:cs="Arial" w:eastAsia="Arial" w:hAnsi="Arial"/>
                <w:sz w:val="18"/>
                <w:szCs w:val="18"/>
                <w:color w:val="auto"/>
              </w:rPr>
              <w:t>Purchases, capitalized fees and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15,821,949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2,510,363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1,503,623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19,836,933</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Sales/Maturity of investments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(1,002,629)</w:t>
            </w:r>
          </w:p>
        </w:tc>
        <w:tc>
          <w:tcPr>
            <w:tcW w:w="0" w:type="dxa"/>
            <w:vAlign w:val="bottom"/>
          </w:tcPr>
          <w:p>
            <w:pPr>
              <w:spacing w:after="0"/>
              <w:rPr>
                <w:sz w:val="1"/>
                <w:szCs w:val="1"/>
                <w:color w:val="auto"/>
              </w:rPr>
            </w:pPr>
          </w:p>
        </w:tc>
      </w:tr>
      <w:tr>
        <w:trPr>
          <w:trHeight w:val="252"/>
        </w:trPr>
        <w:tc>
          <w:tcPr>
            <w:tcW w:w="3960" w:type="dxa"/>
            <w:vAlign w:val="bottom"/>
          </w:tcPr>
          <w:p>
            <w:pPr>
              <w:spacing w:after="0" w:line="252"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9"/>
                <w:szCs w:val="29"/>
                <w:color w:val="auto"/>
                <w:vertAlign w:val="superscript"/>
              </w:rPr>
              <w:t>(1)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3,751,518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(2,859,095)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(361,603)</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gains/(losses)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(10,914,376)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(9,615,023)</w:t>
            </w:r>
          </w:p>
        </w:tc>
        <w:tc>
          <w:tcPr>
            <w:tcW w:w="0" w:type="dxa"/>
            <w:vAlign w:val="bottom"/>
          </w:tcPr>
          <w:p>
            <w:pPr>
              <w:spacing w:after="0"/>
              <w:rPr>
                <w:sz w:val="1"/>
                <w:szCs w:val="1"/>
                <w:color w:val="auto"/>
              </w:rPr>
            </w:pPr>
          </w:p>
        </w:tc>
      </w:tr>
      <w:tr>
        <w:trPr>
          <w:trHeight w:val="200"/>
        </w:trPr>
        <w:tc>
          <w:tcPr>
            <w:tcW w:w="3960" w:type="dxa"/>
            <w:vAlign w:val="bottom"/>
          </w:tcPr>
          <w:p>
            <w:pPr>
              <w:spacing w:after="0" w:line="200" w:lineRule="exact"/>
              <w:rPr>
                <w:sz w:val="20"/>
                <w:szCs w:val="20"/>
                <w:color w:val="auto"/>
              </w:rPr>
            </w:pPr>
            <w:r>
              <w:rPr>
                <w:rFonts w:ascii="Arial" w:cs="Arial" w:eastAsia="Arial" w:hAnsi="Arial"/>
                <w:sz w:val="18"/>
                <w:szCs w:val="18"/>
                <w:color w:val="auto"/>
                <w:w w:val="94"/>
              </w:rPr>
              <w:t>Net change in unrealized appreciation/(depreciation)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(412,378)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18,298,358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(777,162)</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17,098,368</w:t>
            </w:r>
          </w:p>
        </w:tc>
        <w:tc>
          <w:tcPr>
            <w:tcW w:w="0" w:type="dxa"/>
            <w:vAlign w:val="bottom"/>
          </w:tcPr>
          <w:p>
            <w:pPr>
              <w:spacing w:after="0"/>
              <w:rPr>
                <w:sz w:val="1"/>
                <w:szCs w:val="1"/>
                <w:color w:val="auto"/>
              </w:rPr>
            </w:pPr>
          </w:p>
        </w:tc>
      </w:tr>
      <w:tr>
        <w:trPr>
          <w:trHeight w:val="27"/>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Fair Value as of September 30, 2023</w:t>
            </w: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37,377,036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124,249,715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2,462,036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3,412,933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167,501,720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line="194" w:lineRule="exact"/>
              <w:rPr>
                <w:sz w:val="20"/>
                <w:szCs w:val="20"/>
                <w:color w:val="auto"/>
              </w:rPr>
            </w:pPr>
            <w:r>
              <w:rPr>
                <w:rFonts w:ascii="Arial" w:cs="Arial" w:eastAsia="Arial" w:hAnsi="Arial"/>
                <w:sz w:val="18"/>
                <w:szCs w:val="18"/>
                <w:color w:val="auto"/>
                <w:w w:val="93"/>
              </w:rPr>
              <w:t>Net change in unrealized appreciation/ (depreciation)</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tcPr>
          <w:p>
            <w:pPr>
              <w:spacing w:after="0"/>
              <w:rPr>
                <w:sz w:val="20"/>
                <w:szCs w:val="20"/>
                <w:color w:val="auto"/>
              </w:rPr>
            </w:pPr>
            <w:r>
              <w:rPr>
                <w:rFonts w:ascii="Arial" w:cs="Arial" w:eastAsia="Arial" w:hAnsi="Arial"/>
                <w:sz w:val="18"/>
                <w:szCs w:val="18"/>
                <w:color w:val="auto"/>
                <w:w w:val="94"/>
              </w:rPr>
              <w:t>of Level 3 investments still held as of 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(412,380)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7,383,980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(777,162)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(42,760)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6,151,678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17837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312" w:lineRule="exact"/>
        <w:rPr>
          <w:sz w:val="20"/>
          <w:szCs w:val="20"/>
          <w:color w:val="auto"/>
        </w:rPr>
      </w:pPr>
    </w:p>
    <w:p>
      <w:pPr>
        <w:ind w:left="640" w:hanging="634"/>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nine months ended September 30, 2023, the Company’s portfolio investments had the following corporate actions which are reflected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Conversion from</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Conversion to</w:t>
            </w:r>
          </w:p>
        </w:tc>
        <w:tc>
          <w:tcPr>
            <w:tcW w:w="0" w:type="dxa"/>
            <w:vAlign w:val="bottom"/>
          </w:tcPr>
          <w:p>
            <w:pPr>
              <w:spacing w:after="0"/>
              <w:rPr>
                <w:sz w:val="1"/>
                <w:szCs w:val="1"/>
                <w:color w:val="auto"/>
              </w:rPr>
            </w:pPr>
          </w:p>
        </w:tc>
      </w:tr>
      <w:tr>
        <w:trPr>
          <w:trHeight w:val="200"/>
        </w:trPr>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86"/>
              </w:rPr>
              <w:t>Preferred shares, Series D</w:t>
            </w:r>
          </w:p>
        </w:tc>
        <w:tc>
          <w:tcPr>
            <w:tcW w:w="35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6"/>
              </w:rPr>
              <w:t>Senior Preferred shares, Series 1</w:t>
            </w:r>
          </w:p>
        </w:tc>
        <w:tc>
          <w:tcPr>
            <w:tcW w:w="0" w:type="dxa"/>
            <w:vAlign w:val="bottom"/>
          </w:tcPr>
          <w:p>
            <w:pPr>
              <w:spacing w:after="0"/>
              <w:rPr>
                <w:sz w:val="1"/>
                <w:szCs w:val="1"/>
                <w:color w:val="auto"/>
              </w:rPr>
            </w:pPr>
          </w:p>
        </w:tc>
      </w:tr>
      <w:tr>
        <w:trPr>
          <w:trHeight w:val="106"/>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Orchard Technologies, Inc.</w:t>
            </w:r>
          </w:p>
        </w:tc>
        <w:tc>
          <w:tcPr>
            <w:tcW w:w="3820" w:type="dxa"/>
            <w:vAlign w:val="bottom"/>
            <w:gridSpan w:val="2"/>
            <w:vMerge w:val="continue"/>
            <w:shd w:val="clear" w:color="auto" w:fill="CCEEFF"/>
          </w:tcPr>
          <w:p>
            <w:pPr>
              <w:spacing w:after="0"/>
              <w:rPr>
                <w:sz w:val="9"/>
                <w:szCs w:val="9"/>
                <w:color w:val="auto"/>
              </w:rPr>
            </w:pPr>
          </w:p>
        </w:tc>
        <w:tc>
          <w:tcPr>
            <w:tcW w:w="3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Senior Preferred shares, Series 2</w:t>
            </w:r>
          </w:p>
        </w:tc>
        <w:tc>
          <w:tcPr>
            <w:tcW w:w="0" w:type="dxa"/>
            <w:vAlign w:val="bottom"/>
          </w:tcPr>
          <w:p>
            <w:pPr>
              <w:spacing w:after="0"/>
              <w:rPr>
                <w:sz w:val="1"/>
                <w:szCs w:val="1"/>
                <w:color w:val="auto"/>
              </w:rPr>
            </w:pPr>
          </w:p>
        </w:tc>
      </w:tr>
      <w:tr>
        <w:trPr>
          <w:trHeight w:val="106"/>
        </w:trPr>
        <w:tc>
          <w:tcPr>
            <w:tcW w:w="3840" w:type="dxa"/>
            <w:vAlign w:val="bottom"/>
            <w:gridSpan w:val="2"/>
            <w:vMerge w:val="continue"/>
            <w:shd w:val="clear" w:color="auto" w:fill="CCEEFF"/>
          </w:tcPr>
          <w:p>
            <w:pPr>
              <w:spacing w:after="0"/>
              <w:rPr>
                <w:sz w:val="9"/>
                <w:szCs w:val="9"/>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0"/>
              </w:rPr>
              <w:t>Simple Agreement for Future Equity</w:t>
            </w: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20" w:type="dxa"/>
            <w:vAlign w:val="bottom"/>
            <w:gridSpan w:val="2"/>
            <w:vMerge w:val="continue"/>
            <w:shd w:val="clear" w:color="auto" w:fill="CCEEFF"/>
          </w:tcPr>
          <w:p>
            <w:pPr>
              <w:spacing w:after="0"/>
              <w:rPr>
                <w:sz w:val="10"/>
                <w:szCs w:val="10"/>
                <w:color w:val="auto"/>
              </w:rPr>
            </w:pPr>
          </w:p>
        </w:tc>
        <w:tc>
          <w:tcPr>
            <w:tcW w:w="3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Class A Common Shares</w:t>
            </w:r>
          </w:p>
        </w:tc>
        <w:tc>
          <w:tcPr>
            <w:tcW w:w="0" w:type="dxa"/>
            <w:vAlign w:val="bottom"/>
          </w:tcPr>
          <w:p>
            <w:pPr>
              <w:spacing w:after="0"/>
              <w:rPr>
                <w:sz w:val="1"/>
                <w:szCs w:val="1"/>
                <w:color w:val="auto"/>
              </w:rPr>
            </w:pPr>
          </w:p>
        </w:tc>
      </w:tr>
      <w:tr>
        <w:trPr>
          <w:trHeight w:val="107"/>
        </w:trPr>
        <w:tc>
          <w:tcPr>
            <w:tcW w:w="3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Shogun Enterprises, Inc. (d/b/a Hearth)</w:t>
            </w:r>
          </w:p>
        </w:tc>
        <w:tc>
          <w:tcPr>
            <w:tcW w:w="3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Convertible Note 0.5%</w:t>
            </w:r>
          </w:p>
        </w:tc>
        <w:tc>
          <w:tcPr>
            <w:tcW w:w="3580" w:type="dxa"/>
            <w:vAlign w:val="bottom"/>
          </w:tcPr>
          <w:p>
            <w:pPr>
              <w:jc w:val="center"/>
              <w:spacing w:after="0"/>
              <w:rPr>
                <w:sz w:val="20"/>
                <w:szCs w:val="20"/>
                <w:color w:val="auto"/>
              </w:rPr>
            </w:pPr>
            <w:r>
              <w:rPr>
                <w:rFonts w:ascii="Arial" w:cs="Arial" w:eastAsia="Arial" w:hAnsi="Arial"/>
                <w:sz w:val="18"/>
                <w:szCs w:val="18"/>
                <w:color w:val="auto"/>
                <w:w w:val="86"/>
              </w:rPr>
              <w:t>B-3 Preferred Shares</w:t>
            </w:r>
          </w:p>
        </w:tc>
        <w:tc>
          <w:tcPr>
            <w:tcW w:w="0" w:type="dxa"/>
            <w:vAlign w:val="bottom"/>
          </w:tcPr>
          <w:p>
            <w:pPr>
              <w:spacing w:after="0"/>
              <w:rPr>
                <w:sz w:val="1"/>
                <w:szCs w:val="1"/>
                <w:color w:val="auto"/>
              </w:rPr>
            </w:pPr>
          </w:p>
        </w:tc>
      </w:tr>
      <w:tr>
        <w:trPr>
          <w:trHeight w:val="186"/>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Colombier Sponsor LLC</w:t>
            </w:r>
          </w:p>
        </w:tc>
        <w:tc>
          <w:tcPr>
            <w:tcW w:w="38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Class B Units</w:t>
            </w: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PSQ Holdings, Inc. Class A Common Shares (Level 2)</w:t>
            </w:r>
          </w:p>
        </w:tc>
        <w:tc>
          <w:tcPr>
            <w:tcW w:w="0" w:type="dxa"/>
            <w:vAlign w:val="bottom"/>
          </w:tcPr>
          <w:p>
            <w:pPr>
              <w:spacing w:after="0"/>
              <w:rPr>
                <w:sz w:val="1"/>
                <w:szCs w:val="1"/>
                <w:color w:val="auto"/>
              </w:rPr>
            </w:pPr>
          </w:p>
        </w:tc>
      </w:tr>
      <w:tr>
        <w:trPr>
          <w:trHeight w:val="117"/>
        </w:trPr>
        <w:tc>
          <w:tcPr>
            <w:tcW w:w="3840" w:type="dxa"/>
            <w:vAlign w:val="bottom"/>
            <w:gridSpan w:val="2"/>
            <w:vMerge w:val="continue"/>
            <w:shd w:val="clear" w:color="auto" w:fill="CCEEFF"/>
          </w:tcPr>
          <w:p>
            <w:pPr>
              <w:spacing w:after="0"/>
              <w:rPr>
                <w:sz w:val="10"/>
                <w:szCs w:val="10"/>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90"/>
              </w:rPr>
              <w:t>Class W Units</w:t>
            </w:r>
          </w:p>
        </w:tc>
        <w:tc>
          <w:tcPr>
            <w:tcW w:w="3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PSQ Holdings, Inc. Warrants (Level 1)</w:t>
            </w:r>
          </w:p>
        </w:tc>
        <w:tc>
          <w:tcPr>
            <w:tcW w:w="0" w:type="dxa"/>
            <w:vAlign w:val="bottom"/>
          </w:tcPr>
          <w:p>
            <w:pPr>
              <w:spacing w:after="0"/>
              <w:rPr>
                <w:sz w:val="1"/>
                <w:szCs w:val="1"/>
                <w:color w:val="auto"/>
              </w:rPr>
            </w:pPr>
          </w:p>
        </w:tc>
      </w:tr>
      <w:tr>
        <w:trPr>
          <w:trHeight w:val="107"/>
        </w:trPr>
        <w:tc>
          <w:tcPr>
            <w:tcW w:w="3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20" w:type="dxa"/>
            <w:vAlign w:val="bottom"/>
            <w:gridSpan w:val="2"/>
            <w:vMerge w:val="continue"/>
            <w:shd w:val="clear" w:color="auto" w:fill="CCEEFF"/>
          </w:tcPr>
          <w:p>
            <w:pPr>
              <w:spacing w:after="0"/>
              <w:rPr>
                <w:sz w:val="9"/>
                <w:szCs w:val="9"/>
                <w:color w:val="auto"/>
              </w:rPr>
            </w:pP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AltC Sponsor LLC</w:t>
            </w:r>
          </w:p>
        </w:tc>
        <w:tc>
          <w:tcPr>
            <w:tcW w:w="38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7"/>
              </w:rPr>
              <w:t>Share units</w:t>
            </w:r>
          </w:p>
        </w:tc>
        <w:tc>
          <w:tcPr>
            <w:tcW w:w="3580" w:type="dxa"/>
            <w:vAlign w:val="bottom"/>
          </w:tcPr>
          <w:p>
            <w:pPr>
              <w:jc w:val="center"/>
              <w:spacing w:after="0"/>
              <w:rPr>
                <w:sz w:val="20"/>
                <w:szCs w:val="20"/>
                <w:color w:val="auto"/>
              </w:rPr>
            </w:pPr>
            <w:r>
              <w:rPr>
                <w:rFonts w:ascii="Arial" w:cs="Arial" w:eastAsia="Arial" w:hAnsi="Arial"/>
                <w:sz w:val="16"/>
                <w:szCs w:val="16"/>
                <w:color w:val="auto"/>
                <w:w w:val="89"/>
              </w:rPr>
              <w:t>Common shares, Class A</w:t>
            </w:r>
          </w:p>
        </w:tc>
        <w:tc>
          <w:tcPr>
            <w:tcW w:w="0" w:type="dxa"/>
            <w:vAlign w:val="bottom"/>
          </w:tcPr>
          <w:p>
            <w:pPr>
              <w:spacing w:after="0"/>
              <w:rPr>
                <w:sz w:val="1"/>
                <w:szCs w:val="1"/>
                <w:color w:val="auto"/>
              </w:rPr>
            </w:pPr>
          </w:p>
        </w:tc>
      </w:tr>
      <w:tr>
        <w:trPr>
          <w:trHeight w:val="117"/>
        </w:trPr>
        <w:tc>
          <w:tcPr>
            <w:tcW w:w="3840" w:type="dxa"/>
            <w:vAlign w:val="bottom"/>
            <w:gridSpan w:val="2"/>
            <w:vMerge w:val="continue"/>
          </w:tcPr>
          <w:p>
            <w:pPr>
              <w:spacing w:after="0"/>
              <w:rPr>
                <w:sz w:val="10"/>
                <w:szCs w:val="10"/>
                <w:color w:val="auto"/>
              </w:rPr>
            </w:pPr>
          </w:p>
        </w:tc>
        <w:tc>
          <w:tcPr>
            <w:tcW w:w="3820" w:type="dxa"/>
            <w:vAlign w:val="bottom"/>
            <w:gridSpan w:val="2"/>
            <w:vMerge w:val="continue"/>
          </w:tcPr>
          <w:p>
            <w:pPr>
              <w:spacing w:after="0"/>
              <w:rPr>
                <w:sz w:val="10"/>
                <w:szCs w:val="10"/>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7"/>
              </w:rPr>
              <w:t>Common shares, Class B</w:t>
            </w: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1240" w:type="dxa"/>
            <w:vAlign w:val="bottom"/>
            <w:gridSpan w:val="5"/>
          </w:tcPr>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2022 as follows:</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2022</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w w:val="94"/>
              </w:rPr>
              <w:t>Common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w w:val="94"/>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20"/>
              <w:spacing w:after="0" w:line="194" w:lineRule="exact"/>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5"/>
              </w:rPr>
              <w:t>Investments</w:t>
            </w:r>
          </w:p>
        </w:tc>
        <w:tc>
          <w:tcPr>
            <w:tcW w:w="24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Arial" w:cs="Arial" w:eastAsia="Arial" w:hAnsi="Arial"/>
                <w:sz w:val="18"/>
                <w:szCs w:val="18"/>
                <w:color w:val="auto"/>
              </w:rPr>
              <w:t>Fair Value as of December 31, 2021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42,860,156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163,801,798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3,011,438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4,959,112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214,632,504</w:t>
            </w:r>
          </w:p>
        </w:tc>
        <w:tc>
          <w:tcPr>
            <w:tcW w:w="0" w:type="dxa"/>
            <w:vAlign w:val="bottom"/>
          </w:tcPr>
          <w:p>
            <w:pPr>
              <w:spacing w:after="0"/>
              <w:rPr>
                <w:sz w:val="1"/>
                <w:szCs w:val="1"/>
                <w:color w:val="auto"/>
              </w:rPr>
            </w:pPr>
          </w:p>
        </w:tc>
      </w:tr>
      <w:tr>
        <w:trPr>
          <w:trHeight w:val="252"/>
        </w:trPr>
        <w:tc>
          <w:tcPr>
            <w:tcW w:w="39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(6,918,251)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(1,775,506)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(48,639)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(8,742,396)</w:t>
            </w: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Arial" w:cs="Arial" w:eastAsia="Arial" w:hAnsi="Arial"/>
                <w:sz w:val="18"/>
                <w:szCs w:val="18"/>
                <w:color w:val="auto"/>
              </w:rPr>
              <w:t>Purchases, capitalized fees and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20,767,788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1,509,093</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503,183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22,780,064</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Sales/Maturity of investments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(1,874,470)</w:t>
            </w: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Arial" w:cs="Arial" w:eastAsia="Arial" w:hAnsi="Arial"/>
                <w:sz w:val="18"/>
                <w:szCs w:val="18"/>
                <w:color w:val="auto"/>
              </w:rPr>
              <w:t>Realized gains/(losses)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160,965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(70,379)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90,586</w:t>
            </w:r>
          </w:p>
        </w:tc>
        <w:tc>
          <w:tcPr>
            <w:tcW w:w="0" w:type="dxa"/>
            <w:vAlign w:val="bottom"/>
          </w:tcPr>
          <w:p>
            <w:pPr>
              <w:spacing w:after="0"/>
              <w:rPr>
                <w:sz w:val="1"/>
                <w:szCs w:val="1"/>
                <w:color w:val="auto"/>
              </w:rPr>
            </w:pPr>
          </w:p>
        </w:tc>
      </w:tr>
      <w:tr>
        <w:trPr>
          <w:trHeight w:val="200"/>
        </w:trPr>
        <w:tc>
          <w:tcPr>
            <w:tcW w:w="39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Net change in unrealized appreciation/(depreciation)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earnings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(16,535,469)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(65,579,615)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967,669</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(1,873,780)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(83,021,195)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Fair Value as of December 31, 2022</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9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18,692,931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117,214,465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4,488,200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3,469,497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143,865,093</w:t>
            </w:r>
          </w:p>
        </w:tc>
        <w:tc>
          <w:tcPr>
            <w:tcW w:w="0" w:type="dxa"/>
            <w:vAlign w:val="bottom"/>
          </w:tcPr>
          <w:p>
            <w:pPr>
              <w:spacing w:after="0"/>
              <w:rPr>
                <w:sz w:val="1"/>
                <w:szCs w:val="1"/>
                <w:color w:val="auto"/>
              </w:rPr>
            </w:pPr>
          </w:p>
        </w:tc>
      </w:tr>
      <w:tr>
        <w:trPr>
          <w:trHeight w:val="153"/>
        </w:trPr>
        <w:tc>
          <w:tcPr>
            <w:tcW w:w="3960" w:type="dxa"/>
            <w:vAlign w:val="bottom"/>
            <w:tcBorders>
              <w:top w:val="single" w:sz="8" w:color="CCEEFF"/>
            </w:tcBorders>
            <w:gridSpan w:val="2"/>
            <w:shd w:val="clear" w:color="auto" w:fill="CCEEFF"/>
          </w:tcPr>
          <w:p>
            <w:pPr>
              <w:spacing w:after="0" w:line="154" w:lineRule="exact"/>
              <w:rPr>
                <w:sz w:val="20"/>
                <w:szCs w:val="20"/>
                <w:color w:val="auto"/>
              </w:rPr>
            </w:pPr>
            <w:r>
              <w:rPr>
                <w:rFonts w:ascii="Arial" w:cs="Arial" w:eastAsia="Arial" w:hAnsi="Arial"/>
                <w:sz w:val="17"/>
                <w:szCs w:val="17"/>
                <w:color w:val="auto"/>
                <w:w w:val="98"/>
              </w:rPr>
              <w:t>Net change in unrealized appreciation/ (depreciation)</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Level 3 investments still held as of December 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(7,023,165)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(63,138,372)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967,669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(1,624,324)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(70,818,192)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82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During the year ended December 31, 2022, the Company’s portfolio investments had the following corporate actions which are reflected above: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Conversion from</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Conversion to</w:t>
            </w:r>
          </w:p>
        </w:tc>
        <w:tc>
          <w:tcPr>
            <w:tcW w:w="0" w:type="dxa"/>
            <w:vAlign w:val="bottom"/>
          </w:tcPr>
          <w:p>
            <w:pPr>
              <w:spacing w:after="0"/>
              <w:rPr>
                <w:sz w:val="1"/>
                <w:szCs w:val="1"/>
                <w:color w:val="auto"/>
              </w:rPr>
            </w:pPr>
          </w:p>
        </w:tc>
      </w:tr>
      <w:tr>
        <w:trPr>
          <w:trHeight w:val="200"/>
        </w:trPr>
        <w:tc>
          <w:tcPr>
            <w:tcW w:w="3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Common Shares, Class AA</w:t>
            </w:r>
          </w:p>
        </w:tc>
        <w:tc>
          <w:tcPr>
            <w:tcW w:w="22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Public Common shares (Level 2)</w:t>
            </w:r>
          </w:p>
        </w:tc>
        <w:tc>
          <w:tcPr>
            <w:tcW w:w="0" w:type="dxa"/>
            <w:vAlign w:val="bottom"/>
          </w:tcPr>
          <w:p>
            <w:pPr>
              <w:spacing w:after="0"/>
              <w:rPr>
                <w:sz w:val="1"/>
                <w:szCs w:val="1"/>
                <w:color w:val="auto"/>
              </w:rPr>
            </w:pPr>
          </w:p>
        </w:tc>
      </w:tr>
      <w:tr>
        <w:trPr>
          <w:trHeight w:val="106"/>
        </w:trPr>
        <w:tc>
          <w:tcPr>
            <w:tcW w:w="3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6"/>
              </w:rPr>
              <w:t>Junior Preferred Shares</w:t>
            </w: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Forge Global, Inc.</w:t>
            </w:r>
          </w:p>
        </w:tc>
        <w:tc>
          <w:tcPr>
            <w:tcW w:w="3820" w:type="dxa"/>
            <w:vAlign w:val="bottom"/>
            <w:gridSpan w:val="2"/>
            <w:vMerge w:val="continue"/>
            <w:shd w:val="clear" w:color="auto" w:fill="CCEEFF"/>
          </w:tcPr>
          <w:p>
            <w:pPr>
              <w:spacing w:after="0"/>
              <w:rPr>
                <w:sz w:val="9"/>
                <w:szCs w:val="9"/>
                <w:color w:val="auto"/>
              </w:rPr>
            </w:pPr>
          </w:p>
        </w:tc>
        <w:tc>
          <w:tcPr>
            <w:tcW w:w="3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Common warrants, Strike Price $3.98, Expiration</w:t>
            </w:r>
          </w:p>
        </w:tc>
        <w:tc>
          <w:tcPr>
            <w:tcW w:w="0" w:type="dxa"/>
            <w:vAlign w:val="bottom"/>
          </w:tcPr>
          <w:p>
            <w:pPr>
              <w:spacing w:after="0"/>
              <w:rPr>
                <w:sz w:val="1"/>
                <w:szCs w:val="1"/>
                <w:color w:val="auto"/>
              </w:rPr>
            </w:pPr>
          </w:p>
        </w:tc>
      </w:tr>
      <w:tr>
        <w:trPr>
          <w:trHeight w:val="106"/>
        </w:trPr>
        <w:tc>
          <w:tcPr>
            <w:tcW w:w="3840" w:type="dxa"/>
            <w:vAlign w:val="bottom"/>
            <w:gridSpan w:val="2"/>
            <w:vMerge w:val="continue"/>
            <w:shd w:val="clear" w:color="auto" w:fill="CCEEFF"/>
          </w:tcPr>
          <w:p>
            <w:pPr>
              <w:spacing w:after="0"/>
              <w:rPr>
                <w:sz w:val="9"/>
                <w:szCs w:val="9"/>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8"/>
              </w:rPr>
              <w:t>Junior Preferred Warrants, Strike Price $12.42,</w:t>
            </w: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20" w:type="dxa"/>
            <w:vAlign w:val="bottom"/>
            <w:gridSpan w:val="2"/>
            <w:vMerge w:val="continue"/>
            <w:shd w:val="clear" w:color="auto" w:fill="CCEEFF"/>
          </w:tcPr>
          <w:p>
            <w:pPr>
              <w:spacing w:after="0"/>
              <w:rPr>
                <w:sz w:val="9"/>
                <w:szCs w:val="9"/>
                <w:color w:val="auto"/>
              </w:rPr>
            </w:pPr>
          </w:p>
        </w:tc>
        <w:tc>
          <w:tcPr>
            <w:tcW w:w="3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Date 11/9/2025 (Level 2)</w:t>
            </w:r>
          </w:p>
        </w:tc>
        <w:tc>
          <w:tcPr>
            <w:tcW w:w="0" w:type="dxa"/>
            <w:vAlign w:val="bottom"/>
          </w:tcPr>
          <w:p>
            <w:pPr>
              <w:spacing w:after="0"/>
              <w:rPr>
                <w:sz w:val="1"/>
                <w:szCs w:val="1"/>
                <w:color w:val="auto"/>
              </w:rPr>
            </w:pPr>
          </w:p>
        </w:tc>
      </w:tr>
      <w:tr>
        <w:trPr>
          <w:trHeight w:val="117"/>
        </w:trPr>
        <w:tc>
          <w:tcPr>
            <w:tcW w:w="3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0"/>
              </w:rPr>
              <w:t>Expiration Date 11/9/2025</w:t>
            </w:r>
          </w:p>
        </w:tc>
        <w:tc>
          <w:tcPr>
            <w:tcW w:w="3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20" w:type="dxa"/>
            <w:vAlign w:val="bottom"/>
            <w:gridSpan w:val="2"/>
            <w:vMerge w:val="continue"/>
            <w:shd w:val="clear" w:color="auto" w:fill="CCEEFF"/>
          </w:tcPr>
          <w:p>
            <w:pPr>
              <w:spacing w:after="0"/>
              <w:rPr>
                <w:sz w:val="9"/>
                <w:szCs w:val="9"/>
                <w:color w:val="auto"/>
              </w:rPr>
            </w:pPr>
          </w:p>
        </w:tc>
        <w:tc>
          <w:tcPr>
            <w:tcW w:w="3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-546100</wp:posOffset>
            </wp:positionV>
            <wp:extent cx="13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-546100</wp:posOffset>
            </wp:positionV>
            <wp:extent cx="1428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ectPr>
          <w:pgSz w:w="11900" w:h="16838" w:orient="portrait"/>
          <w:cols w:equalWidth="0" w:num="1">
            <w:col w:w="11240"/>
          </w:cols>
          <w:pgMar w:left="320" w:top="233" w:right="339" w:bottom="1081"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081" w:gutter="0" w:footer="0" w:header="0"/>
          <w:type w:val="continuous"/>
        </w:sectPr>
      </w:pPr>
    </w:p>
    <w:bookmarkStart w:id="37" w:name="page38"/>
    <w:bookmarkEnd w:id="37"/>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3" w:lineRule="exact"/>
        <w:rPr>
          <w:sz w:val="20"/>
          <w:szCs w:val="20"/>
          <w:color w:val="auto"/>
        </w:rPr>
      </w:pPr>
    </w:p>
    <w:p>
      <w:pPr>
        <w:ind w:right="100" w:firstLine="358"/>
        <w:spacing w:after="0" w:line="264" w:lineRule="auto"/>
        <w:rPr>
          <w:sz w:val="20"/>
          <w:szCs w:val="20"/>
          <w:color w:val="auto"/>
        </w:rPr>
      </w:pPr>
      <w:r>
        <w:rPr>
          <w:rFonts w:ascii="Arial" w:cs="Arial" w:eastAsia="Arial" w:hAnsi="Arial"/>
          <w:sz w:val="18"/>
          <w:szCs w:val="18"/>
          <w:color w:val="auto"/>
        </w:rPr>
        <w:t>Transactions during the nine months ended September 30, 2023 involving the Company’s controlled investments and non-controlled/affiliate investments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Interest,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Fees, or</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Fair Value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Fair Value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Dividends</w:t>
            </w:r>
          </w:p>
        </w:tc>
        <w:tc>
          <w:tcPr>
            <w:tcW w:w="8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at</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Type/Industry/Portfolio</w:t>
            </w: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Principal/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Credited</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December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Transfer</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Realized</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September</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of Net</w:t>
            </w:r>
          </w:p>
        </w:tc>
        <w:tc>
          <w:tcPr>
            <w:tcW w:w="0" w:type="dxa"/>
            <w:vAlign w:val="bottom"/>
          </w:tcPr>
          <w:p>
            <w:pPr>
              <w:spacing w:after="0"/>
              <w:rPr>
                <w:sz w:val="1"/>
                <w:szCs w:val="1"/>
                <w:color w:val="auto"/>
              </w:rPr>
            </w:pPr>
          </w:p>
        </w:tc>
      </w:tr>
      <w:tr>
        <w:trPr>
          <w:trHeight w:val="237"/>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w:t>
            </w:r>
          </w:p>
        </w:tc>
        <w:tc>
          <w:tcPr>
            <w:tcW w:w="14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Quantity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Income</w:t>
            </w:r>
          </w:p>
        </w:tc>
        <w:tc>
          <w:tcPr>
            <w:tcW w:w="80" w:type="dxa"/>
            <w:vAlign w:val="bottom"/>
          </w:tcPr>
          <w:p>
            <w:pPr>
              <w:spacing w:after="0"/>
              <w:rPr>
                <w:sz w:val="20"/>
                <w:szCs w:val="20"/>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31, 2022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In/ (Out)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Gains/(Losses)</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Gains/(Losses)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30, 2023</w:t>
            </w: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Assets</w:t>
            </w:r>
          </w:p>
        </w:tc>
        <w:tc>
          <w:tcPr>
            <w:tcW w:w="0" w:type="dxa"/>
            <w:vAlign w:val="bottom"/>
          </w:tcPr>
          <w:p>
            <w:pPr>
              <w:spacing w:after="0"/>
              <w:rPr>
                <w:sz w:val="1"/>
                <w:szCs w:val="1"/>
                <w:color w:val="auto"/>
              </w:rPr>
            </w:pPr>
          </w:p>
        </w:tc>
      </w:tr>
      <w:tr>
        <w:trPr>
          <w:trHeight w:val="172"/>
        </w:trPr>
        <w:tc>
          <w:tcPr>
            <w:tcW w:w="2280" w:type="dxa"/>
            <w:vAlign w:val="bottom"/>
            <w:tcBorders>
              <w:top w:val="single" w:sz="8" w:color="auto"/>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CONTROLLED</w:t>
            </w:r>
          </w:p>
        </w:tc>
        <w:tc>
          <w:tcPr>
            <w:tcW w:w="140" w:type="dxa"/>
            <w:vAlign w:val="bottom"/>
            <w:tcBorders>
              <w:top w:val="single" w:sz="8" w:color="auto"/>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80" w:type="dxa"/>
            <w:vAlign w:val="bottom"/>
            <w:gridSpan w:val="4"/>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6"/>
                <w:szCs w:val="26"/>
                <w:b w:val="1"/>
                <w:bCs w:val="1"/>
                <w:color w:val="auto"/>
                <w:vertAlign w:val="superscript"/>
              </w:rPr>
              <w:t>(2)</w:t>
            </w:r>
          </w:p>
        </w:tc>
        <w:tc>
          <w:tcPr>
            <w:tcW w:w="140" w:type="dxa"/>
            <w:vAlign w:val="bottom"/>
            <w:tcBorders>
              <w:lef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Options</w:t>
            </w:r>
          </w:p>
        </w:tc>
        <w:tc>
          <w:tcPr>
            <w:tcW w:w="9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shd w:val="clear" w:color="auto" w:fill="CCEEFF"/>
          </w:tcPr>
          <w:p>
            <w:pPr>
              <w:ind w:left="180"/>
              <w:spacing w:after="0" w:line="200" w:lineRule="exact"/>
              <w:rPr>
                <w:sz w:val="20"/>
                <w:szCs w:val="20"/>
                <w:color w:val="auto"/>
              </w:rPr>
            </w:pPr>
            <w:r>
              <w:rPr>
                <w:rFonts w:ascii="Arial" w:cs="Arial" w:eastAsia="Arial" w:hAnsi="Arial"/>
                <w:sz w:val="18"/>
                <w:szCs w:val="18"/>
                <w:i w:val="1"/>
                <w:iCs w:val="1"/>
                <w:color w:val="auto"/>
                <w:w w:val="92"/>
              </w:rPr>
              <w:t>Special Purpose Acquisition</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Company</w:t>
            </w:r>
          </w:p>
        </w:tc>
        <w:tc>
          <w:tcPr>
            <w:tcW w:w="140" w:type="dxa"/>
            <w:vAlign w:val="bottom"/>
            <w:tcBorders>
              <w:lef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28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Colombier Sponsor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gridSpan w:val="4"/>
          </w:tcPr>
          <w:p>
            <w:pPr>
              <w:ind w:left="360"/>
              <w:spacing w:after="0" w:line="262" w:lineRule="exact"/>
              <w:rPr>
                <w:sz w:val="20"/>
                <w:szCs w:val="20"/>
                <w:color w:val="auto"/>
              </w:rPr>
            </w:pPr>
            <w:r>
              <w:rPr>
                <w:rFonts w:ascii="Arial" w:cs="Arial" w:eastAsia="Arial" w:hAnsi="Arial"/>
                <w:sz w:val="18"/>
                <w:szCs w:val="18"/>
                <w:color w:val="auto"/>
                <w:w w:val="97"/>
              </w:rPr>
              <w:t>LLC**–Class W Units</w:t>
            </w:r>
            <w:r>
              <w:rPr>
                <w:rFonts w:ascii="Arial" w:cs="Arial" w:eastAsia="Arial" w:hAnsi="Arial"/>
                <w:sz w:val="29"/>
                <w:szCs w:val="29"/>
                <w:color w:val="auto"/>
                <w:w w:val="97"/>
                <w:vertAlign w:val="superscript"/>
              </w:rPr>
              <w:t>(6)</w:t>
            </w: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1,157,487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(1,157,487)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Options</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1,157,487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(1,157,487)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Preferred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Clean Technology</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tcPr>
          <w:p>
            <w:pPr>
              <w:ind w:left="360"/>
              <w:spacing w:after="0" w:line="200" w:lineRule="exact"/>
              <w:rPr>
                <w:sz w:val="20"/>
                <w:szCs w:val="20"/>
                <w:color w:val="auto"/>
              </w:rPr>
            </w:pPr>
            <w:r>
              <w:rPr>
                <w:rFonts w:ascii="Arial" w:cs="Arial" w:eastAsia="Arial" w:hAnsi="Arial"/>
                <w:sz w:val="18"/>
                <w:szCs w:val="18"/>
                <w:color w:val="auto"/>
                <w:w w:val="96"/>
              </w:rPr>
              <w:t>SPBRX, INC. (f/k/a GSV</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Sustainability Partners,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Inc.)–Preferred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Class A</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14,300,000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984,028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928,028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3"/>
        </w:trPr>
        <w:tc>
          <w:tcPr>
            <w:tcW w:w="2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Preferred Stock</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984,028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928,028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Clean Technology</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tcPr>
          <w:p>
            <w:pPr>
              <w:ind w:left="360"/>
              <w:spacing w:after="0" w:line="200" w:lineRule="exact"/>
              <w:rPr>
                <w:sz w:val="20"/>
                <w:szCs w:val="20"/>
                <w:color w:val="auto"/>
              </w:rPr>
            </w:pPr>
            <w:r>
              <w:rPr>
                <w:rFonts w:ascii="Arial" w:cs="Arial" w:eastAsia="Arial" w:hAnsi="Arial"/>
                <w:sz w:val="18"/>
                <w:szCs w:val="18"/>
                <w:color w:val="auto"/>
                <w:w w:val="96"/>
              </w:rPr>
              <w:t>SPBRX, INC. (f/k/a GSV</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Sustainability Partners,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Inc.)–Common shares</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w w:val="93"/>
              </w:rPr>
              <w:t>Mobile Finance Technology</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tcPr>
          <w:p>
            <w:pPr>
              <w:ind w:left="360"/>
              <w:spacing w:after="0" w:line="200" w:lineRule="exact"/>
              <w:rPr>
                <w:sz w:val="20"/>
                <w:szCs w:val="20"/>
                <w:color w:val="auto"/>
              </w:rPr>
            </w:pPr>
            <w:r>
              <w:rPr>
                <w:rFonts w:ascii="Arial" w:cs="Arial" w:eastAsia="Arial" w:hAnsi="Arial"/>
                <w:sz w:val="18"/>
                <w:szCs w:val="18"/>
                <w:color w:val="auto"/>
                <w:w w:val="96"/>
              </w:rPr>
              <w:t>Architect Capital PayJoy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w w:val="93"/>
              </w:rPr>
              <w:t>SPV, LLC**–Membership</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Interest in Lending</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SPV***</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954,425</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0"/>
        </w:trPr>
        <w:tc>
          <w:tcPr>
            <w:tcW w:w="22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2"/>
              </w:rPr>
              <w:t>Special Purpose Acquisition</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Company</w:t>
            </w:r>
          </w:p>
        </w:tc>
        <w:tc>
          <w:tcPr>
            <w:tcW w:w="140" w:type="dxa"/>
            <w:vAlign w:val="bottom"/>
            <w:tcBorders>
              <w:lef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28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Colombier Sponsor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gridSpan w:val="4"/>
          </w:tcPr>
          <w:p>
            <w:pPr>
              <w:ind w:left="360"/>
              <w:spacing w:after="0" w:line="262" w:lineRule="exact"/>
              <w:rPr>
                <w:sz w:val="20"/>
                <w:szCs w:val="20"/>
                <w:color w:val="auto"/>
              </w:rPr>
            </w:pPr>
            <w:r>
              <w:rPr>
                <w:rFonts w:ascii="Arial" w:cs="Arial" w:eastAsia="Arial" w:hAnsi="Arial"/>
                <w:sz w:val="18"/>
                <w:szCs w:val="18"/>
                <w:color w:val="auto"/>
                <w:w w:val="99"/>
              </w:rPr>
              <w:t>LLC**–Class B Units</w:t>
            </w:r>
            <w:r>
              <w:rPr>
                <w:rFonts w:ascii="Arial" w:cs="Arial" w:eastAsia="Arial" w:hAnsi="Arial"/>
                <w:sz w:val="29"/>
                <w:szCs w:val="29"/>
                <w:color w:val="auto"/>
                <w:w w:val="99"/>
                <w:vertAlign w:val="superscript"/>
              </w:rPr>
              <w:t>(6)</w:t>
            </w: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1,554,355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(1,554,355)</w:t>
            </w:r>
          </w:p>
        </w:tc>
        <w:tc>
          <w:tcPr>
            <w:tcW w:w="12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Common Stock</w:t>
            </w:r>
          </w:p>
        </w:tc>
        <w:tc>
          <w:tcPr>
            <w:tcW w:w="140" w:type="dxa"/>
            <w:vAlign w:val="bottom"/>
            <w:tcBorders>
              <w:lef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954,425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11,554,355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(1,554,355)</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71"/>
        </w:trPr>
        <w:tc>
          <w:tcPr>
            <w:tcW w:w="2280" w:type="dxa"/>
            <w:vAlign w:val="bottom"/>
            <w:tcBorders>
              <w:top w:val="single" w:sz="8" w:color="CCEEFF"/>
            </w:tcBorders>
            <w:gridSpan w:val="4"/>
          </w:tcPr>
          <w:p>
            <w:pPr>
              <w:spacing w:after="0" w:line="170" w:lineRule="exact"/>
              <w:rPr>
                <w:sz w:val="20"/>
                <w:szCs w:val="20"/>
                <w:color w:val="auto"/>
              </w:rPr>
            </w:pPr>
            <w:r>
              <w:rPr>
                <w:rFonts w:ascii="Arial" w:cs="Arial" w:eastAsia="Arial" w:hAnsi="Arial"/>
                <w:sz w:val="18"/>
                <w:szCs w:val="18"/>
                <w:b w:val="1"/>
                <w:bCs w:val="1"/>
                <w:color w:val="auto"/>
              </w:rPr>
              <w:t>TOTAL CONTROLLED</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280" w:type="dxa"/>
            <w:vAlign w:val="bottom"/>
            <w:gridSpan w:val="4"/>
          </w:tcPr>
          <w:p>
            <w:pPr>
              <w:spacing w:after="0" w:line="266"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29"/>
                <w:szCs w:val="29"/>
                <w:b w:val="1"/>
                <w:bCs w:val="1"/>
                <w:color w:val="auto"/>
                <w:vertAlign w:val="superscript"/>
              </w:rPr>
              <w:t>(2)</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954,425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6"/>
              </w:rPr>
              <w:t>13,695,870</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6"/>
              </w:rPr>
              <w:t>(2,711,842)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(56,000)</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10,928,028</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172"/>
        </w:trPr>
        <w:tc>
          <w:tcPr>
            <w:tcW w:w="46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5"/>
              </w:rPr>
              <w:t>NON-</w:t>
            </w:r>
          </w:p>
        </w:tc>
        <w:tc>
          <w:tcPr>
            <w:tcW w:w="1820" w:type="dxa"/>
            <w:vAlign w:val="bottom"/>
            <w:tcBorders>
              <w:bottom w:val="single" w:sz="8" w:color="CCEEFF"/>
            </w:tcBorders>
            <w:gridSpan w:val="3"/>
            <w:shd w:val="clear" w:color="auto" w:fill="CCEEFF"/>
          </w:tcPr>
          <w:p>
            <w:pPr>
              <w:spacing w:after="0"/>
              <w:rPr>
                <w:sz w:val="14"/>
                <w:szCs w:val="14"/>
                <w:color w:val="auto"/>
              </w:rPr>
            </w:pPr>
          </w:p>
        </w:tc>
        <w:tc>
          <w:tcPr>
            <w:tcW w:w="140" w:type="dxa"/>
            <w:vAlign w:val="bottom"/>
            <w:tcBorders>
              <w:left w:val="single" w:sz="8" w:color="CCEEFF"/>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gridSpan w:val="3"/>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CONTROLLED/AFFILIATE</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left w:val="single" w:sz="8" w:color="CCEEFF"/>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80" w:type="dxa"/>
            <w:vAlign w:val="bottom"/>
            <w:gridSpan w:val="4"/>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6"/>
                <w:szCs w:val="26"/>
                <w:b w:val="1"/>
                <w:bCs w:val="1"/>
                <w:color w:val="auto"/>
                <w:vertAlign w:val="superscript"/>
              </w:rPr>
              <w:t>(1)</w:t>
            </w:r>
          </w:p>
        </w:tc>
        <w:tc>
          <w:tcPr>
            <w:tcW w:w="140" w:type="dxa"/>
            <w:vAlign w:val="bottom"/>
            <w:tcBorders>
              <w:lef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0" w:type="dxa"/>
            <w:vAlign w:val="bottom"/>
            <w:shd w:val="clear" w:color="auto" w:fill="000000"/>
          </w:tcPr>
          <w:p>
            <w:pPr>
              <w:spacing w:after="0"/>
              <w:rPr>
                <w:sz w:val="3"/>
                <w:szCs w:val="3"/>
                <w:color w:val="auto"/>
              </w:rPr>
            </w:pPr>
          </w:p>
        </w:tc>
        <w:tc>
          <w:tcPr>
            <w:tcW w:w="840" w:type="dxa"/>
            <w:vAlign w:val="bottom"/>
            <w:tcBorders>
              <w:right w:val="single" w:sz="8" w:color="auto"/>
            </w:tcBorders>
            <w:shd w:val="clear" w:color="auto" w:fill="000000"/>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Debt Investments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w w:val="97"/>
              </w:rPr>
              <w:t>Global Innovation Platform</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tcPr>
          <w:p>
            <w:pPr>
              <w:ind w:left="360"/>
              <w:spacing w:after="0" w:line="200" w:lineRule="exact"/>
              <w:rPr>
                <w:sz w:val="20"/>
                <w:szCs w:val="20"/>
                <w:color w:val="auto"/>
              </w:rPr>
            </w:pPr>
            <w:r>
              <w:rPr>
                <w:rFonts w:ascii="Arial" w:cs="Arial" w:eastAsia="Arial" w:hAnsi="Arial"/>
                <w:sz w:val="18"/>
                <w:szCs w:val="18"/>
                <w:color w:val="auto"/>
              </w:rPr>
              <w:t>OneValley, Inc. (f/k/a</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NestGSV, Inc.) –</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Convertible Promissory</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4"/>
          </w:tcPr>
          <w:p>
            <w:pPr>
              <w:ind w:left="360"/>
              <w:spacing w:after="0"/>
              <w:rPr>
                <w:sz w:val="20"/>
                <w:szCs w:val="20"/>
                <w:color w:val="auto"/>
              </w:rPr>
            </w:pPr>
            <w:r>
              <w:rPr>
                <w:rFonts w:ascii="Arial" w:cs="Arial" w:eastAsia="Arial" w:hAnsi="Arial"/>
                <w:sz w:val="18"/>
                <w:szCs w:val="18"/>
                <w:color w:val="auto"/>
              </w:rPr>
              <w:t>Note 8%, Due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00" w:type="dxa"/>
            <w:vAlign w:val="bottom"/>
            <w:gridSpan w:val="2"/>
          </w:tcPr>
          <w:p>
            <w:pPr>
              <w:ind w:left="360"/>
              <w:spacing w:after="0" w:line="262" w:lineRule="exact"/>
              <w:rPr>
                <w:sz w:val="20"/>
                <w:szCs w:val="20"/>
                <w:color w:val="auto"/>
              </w:rPr>
            </w:pPr>
            <w:r>
              <w:rPr>
                <w:rFonts w:ascii="Arial" w:cs="Arial" w:eastAsia="Arial" w:hAnsi="Arial"/>
                <w:sz w:val="18"/>
                <w:szCs w:val="18"/>
                <w:color w:val="auto"/>
                <w:w w:val="86"/>
              </w:rPr>
              <w:t>8/23/2024</w:t>
            </w:r>
            <w:r>
              <w:rPr>
                <w:rFonts w:ascii="Arial" w:cs="Arial" w:eastAsia="Arial" w:hAnsi="Arial"/>
                <w:sz w:val="29"/>
                <w:szCs w:val="29"/>
                <w:color w:val="auto"/>
                <w:w w:val="86"/>
                <w:vertAlign w:val="superscript"/>
              </w:rPr>
              <w:t>(3)</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1,010,198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1,988,200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(776,164)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1,212,036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Debt Investments</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1,988,200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(776,164)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1,212,036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Preferred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Knowledge Networks</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gridSpan w:val="4"/>
          </w:tcPr>
          <w:p>
            <w:pPr>
              <w:ind w:left="360"/>
              <w:spacing w:after="0" w:line="200" w:lineRule="exact"/>
              <w:rPr>
                <w:sz w:val="20"/>
                <w:szCs w:val="20"/>
                <w:color w:val="auto"/>
              </w:rPr>
            </w:pPr>
            <w:r>
              <w:rPr>
                <w:rFonts w:ascii="Arial" w:cs="Arial" w:eastAsia="Arial" w:hAnsi="Arial"/>
                <w:sz w:val="18"/>
                <w:szCs w:val="18"/>
                <w:color w:val="auto"/>
              </w:rPr>
              <w:t>Maven Research, Inc.–</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80" w:type="dxa"/>
            <w:vAlign w:val="bottom"/>
            <w:gridSpan w:val="4"/>
          </w:tcPr>
          <w:p>
            <w:pPr>
              <w:ind w:left="360"/>
              <w:spacing w:after="0"/>
              <w:rPr>
                <w:sz w:val="20"/>
                <w:szCs w:val="20"/>
                <w:color w:val="auto"/>
              </w:rPr>
            </w:pPr>
            <w:r>
              <w:rPr>
                <w:rFonts w:ascii="Arial" w:cs="Arial" w:eastAsia="Arial" w:hAnsi="Arial"/>
                <w:sz w:val="18"/>
                <w:szCs w:val="18"/>
                <w:color w:val="auto"/>
                <w:w w:val="88"/>
              </w:rPr>
              <w:t>Preferred shares, Series C</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318,979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28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Maven Research, Inc.–</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88"/>
              </w:rPr>
              <w:t>Preferred shares, Series B</w:t>
            </w:r>
          </w:p>
        </w:tc>
        <w:tc>
          <w:tcPr>
            <w:tcW w:w="140" w:type="dxa"/>
            <w:vAlign w:val="bottom"/>
            <w:tcBorders>
              <w:left w:val="single" w:sz="8" w:color="CCEEFF"/>
            </w:tcBorders>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4"/>
            <w:vMerge w:val="restart"/>
          </w:tcPr>
          <w:p>
            <w:pPr>
              <w:ind w:left="180"/>
              <w:spacing w:after="0"/>
              <w:rPr>
                <w:sz w:val="20"/>
                <w:szCs w:val="20"/>
                <w:color w:val="auto"/>
              </w:rPr>
            </w:pPr>
            <w:r>
              <w:rPr>
                <w:rFonts w:ascii="Arial" w:cs="Arial" w:eastAsia="Arial" w:hAnsi="Arial"/>
                <w:sz w:val="18"/>
                <w:szCs w:val="18"/>
                <w:i w:val="1"/>
                <w:iCs w:val="1"/>
                <w:color w:val="auto"/>
                <w:w w:val="96"/>
              </w:rPr>
              <w:t>Total Knowledge Networks</w:t>
            </w: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0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8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Digital Media Platform</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8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89"/>
              </w:rPr>
              <w:t>Ozy Media, Inc.–Preferred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gridSpan w:val="4"/>
          </w:tcPr>
          <w:p>
            <w:pPr>
              <w:ind w:left="360"/>
              <w:spacing w:after="0" w:line="262" w:lineRule="exact"/>
              <w:rPr>
                <w:sz w:val="20"/>
                <w:szCs w:val="20"/>
                <w:color w:val="auto"/>
              </w:rPr>
            </w:pPr>
            <w:r>
              <w:rPr>
                <w:rFonts w:ascii="Arial" w:cs="Arial" w:eastAsia="Arial" w:hAnsi="Arial"/>
                <w:sz w:val="18"/>
                <w:szCs w:val="18"/>
                <w:color w:val="auto"/>
                <w:w w:val="92"/>
              </w:rPr>
              <w:t>shares, Series C-2 6%</w:t>
            </w:r>
            <w:r>
              <w:rPr>
                <w:rFonts w:ascii="Arial" w:cs="Arial" w:eastAsia="Arial" w:hAnsi="Arial"/>
                <w:sz w:val="29"/>
                <w:szCs w:val="29"/>
                <w:color w:val="auto"/>
                <w:w w:val="92"/>
                <w:vertAlign w:val="superscript"/>
              </w:rPr>
              <w:t>(7)</w:t>
            </w: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(2,414,178)</w:t>
            </w:r>
          </w:p>
        </w:tc>
        <w:tc>
          <w:tcPr>
            <w:tcW w:w="12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2,414,178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28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Ozy Media, Inc.–Preferred</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gridSpan w:val="4"/>
            <w:shd w:val="clear" w:color="auto" w:fill="CCEEFF"/>
          </w:tcPr>
          <w:p>
            <w:pPr>
              <w:ind w:left="360"/>
              <w:spacing w:after="0" w:line="262" w:lineRule="exact"/>
              <w:rPr>
                <w:sz w:val="20"/>
                <w:szCs w:val="20"/>
                <w:color w:val="auto"/>
              </w:rPr>
            </w:pPr>
            <w:r>
              <w:rPr>
                <w:rFonts w:ascii="Arial" w:cs="Arial" w:eastAsia="Arial" w:hAnsi="Arial"/>
                <w:sz w:val="18"/>
                <w:szCs w:val="18"/>
                <w:color w:val="auto"/>
              </w:rPr>
              <w:t>shares, Series B 6%</w:t>
            </w:r>
            <w:r>
              <w:rPr>
                <w:rFonts w:ascii="Arial" w:cs="Arial" w:eastAsia="Arial" w:hAnsi="Arial"/>
                <w:sz w:val="29"/>
                <w:szCs w:val="29"/>
                <w:color w:val="auto"/>
                <w:vertAlign w:val="superscript"/>
              </w:rPr>
              <w:t>(7)</w:t>
            </w:r>
          </w:p>
        </w:tc>
        <w:tc>
          <w:tcPr>
            <w:tcW w:w="140" w:type="dxa"/>
            <w:vAlign w:val="bottom"/>
            <w:tcBorders>
              <w:left w:val="single" w:sz="8" w:color="CCEEFF"/>
            </w:tcBorders>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(4,999,999)</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4,999,999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28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89"/>
              </w:rPr>
              <w:t>Ozy Media, Inc.–Preferred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gridSpan w:val="4"/>
          </w:tcPr>
          <w:p>
            <w:pPr>
              <w:ind w:left="360"/>
              <w:spacing w:after="0" w:line="262" w:lineRule="exact"/>
              <w:rPr>
                <w:sz w:val="20"/>
                <w:szCs w:val="20"/>
                <w:color w:val="auto"/>
              </w:rPr>
            </w:pPr>
            <w:r>
              <w:rPr>
                <w:rFonts w:ascii="Arial" w:cs="Arial" w:eastAsia="Arial" w:hAnsi="Arial"/>
                <w:sz w:val="18"/>
                <w:szCs w:val="18"/>
                <w:color w:val="auto"/>
              </w:rPr>
              <w:t>shares, Series A 6%</w:t>
            </w:r>
            <w:r>
              <w:rPr>
                <w:rFonts w:ascii="Arial" w:cs="Arial" w:eastAsia="Arial" w:hAnsi="Arial"/>
                <w:sz w:val="29"/>
                <w:szCs w:val="29"/>
                <w:color w:val="auto"/>
                <w:vertAlign w:val="superscript"/>
              </w:rPr>
              <w:t>(7)</w:t>
            </w: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(3,000,200)</w:t>
            </w:r>
          </w:p>
        </w:tc>
        <w:tc>
          <w:tcPr>
            <w:tcW w:w="12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3,000,200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89"/>
              </w:rPr>
              <w:t>Ozy Media, Inc.–Preferred</w:t>
            </w:r>
          </w:p>
        </w:tc>
        <w:tc>
          <w:tcPr>
            <w:tcW w:w="140" w:type="dxa"/>
            <w:vAlign w:val="bottom"/>
            <w:tcBorders>
              <w:lef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460" w:type="dxa"/>
            <w:vAlign w:val="bottom"/>
            <w:shd w:val="clear" w:color="auto" w:fill="CCEEFF"/>
          </w:tcPr>
          <w:p>
            <w:pPr>
              <w:spacing w:after="0"/>
              <w:rPr>
                <w:sz w:val="8"/>
                <w:szCs w:val="8"/>
                <w:color w:val="auto"/>
              </w:rPr>
            </w:pPr>
          </w:p>
        </w:tc>
        <w:tc>
          <w:tcPr>
            <w:tcW w:w="840" w:type="dxa"/>
            <w:vAlign w:val="bottom"/>
            <w:tcBorders>
              <w:right w:val="single" w:sz="8" w:color="CCEEFF"/>
            </w:tcBorders>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233"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2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7"/>
              </w:rPr>
              <w:t>shares, Series Seed 6%</w:t>
            </w:r>
            <w:r>
              <w:rPr>
                <w:rFonts w:ascii="Arial" w:cs="Arial" w:eastAsia="Arial" w:hAnsi="Arial"/>
                <w:sz w:val="29"/>
                <w:szCs w:val="29"/>
                <w:color w:val="auto"/>
                <w:w w:val="87"/>
                <w:vertAlign w:val="superscript"/>
              </w:rPr>
              <w:t>(7)</w:t>
            </w: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9" w:lineRule="exact"/>
              <w:rPr>
                <w:sz w:val="20"/>
                <w:szCs w:val="20"/>
                <w:color w:val="auto"/>
              </w:rPr>
            </w:pPr>
            <w:r>
              <w:rPr>
                <w:rFonts w:ascii="Arial" w:cs="Arial" w:eastAsia="Arial" w:hAnsi="Arial"/>
                <w:sz w:val="18"/>
                <w:szCs w:val="18"/>
                <w:i w:val="1"/>
                <w:iCs w:val="1"/>
                <w:color w:val="auto"/>
                <w:w w:val="94"/>
              </w:rPr>
              <w:t>Total Digital Media Platform</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ind w:left="340"/>
              <w:spacing w:after="0" w:line="199"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(10,914,377)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10,914,377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Interactive Learning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tcPr>
          <w:p>
            <w:pPr>
              <w:ind w:left="360"/>
              <w:spacing w:after="0" w:line="200" w:lineRule="exact"/>
              <w:rPr>
                <w:sz w:val="20"/>
                <w:szCs w:val="20"/>
                <w:color w:val="auto"/>
              </w:rPr>
            </w:pPr>
            <w:r>
              <w:rPr>
                <w:rFonts w:ascii="Arial" w:cs="Arial" w:eastAsia="Arial" w:hAnsi="Arial"/>
                <w:sz w:val="18"/>
                <w:szCs w:val="18"/>
                <w:color w:val="auto"/>
              </w:rPr>
              <w:t>StormWind, LLC–</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tcPr>
          <w:p>
            <w:pPr>
              <w:ind w:left="360"/>
              <w:spacing w:after="0"/>
              <w:rPr>
                <w:sz w:val="20"/>
                <w:szCs w:val="20"/>
                <w:color w:val="auto"/>
              </w:rPr>
            </w:pPr>
            <w:r>
              <w:rPr>
                <w:rFonts w:ascii="Arial" w:cs="Arial" w:eastAsia="Arial" w:hAnsi="Arial"/>
                <w:sz w:val="18"/>
                <w:szCs w:val="18"/>
                <w:color w:val="auto"/>
                <w:w w:val="89"/>
              </w:rPr>
              <w:t>Preferred shares, Series 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80" w:type="dxa"/>
            <w:vAlign w:val="bottom"/>
          </w:tcPr>
          <w:p>
            <w:pPr>
              <w:ind w:left="360"/>
              <w:spacing w:after="0" w:line="262" w:lineRule="exact"/>
              <w:rPr>
                <w:sz w:val="20"/>
                <w:szCs w:val="20"/>
                <w:color w:val="auto"/>
              </w:rPr>
            </w:pPr>
            <w:r>
              <w:rPr>
                <w:rFonts w:ascii="Arial" w:cs="Arial" w:eastAsia="Arial" w:hAnsi="Arial"/>
                <w:sz w:val="30"/>
                <w:szCs w:val="30"/>
                <w:color w:val="auto"/>
                <w:vertAlign w:val="subscript"/>
              </w:rPr>
              <w:t>8%</w:t>
            </w:r>
            <w:r>
              <w:rPr>
                <w:rFonts w:ascii="Arial" w:cs="Arial" w:eastAsia="Arial" w:hAnsi="Arial"/>
                <w:sz w:val="13"/>
                <w:szCs w:val="13"/>
                <w:color w:val="auto"/>
              </w:rPr>
              <w:t>(4)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329,337</w:t>
            </w:r>
          </w:p>
        </w:tc>
        <w:tc>
          <w:tcPr>
            <w:tcW w:w="440" w:type="dxa"/>
            <w:vAlign w:val="bottom"/>
          </w:tcPr>
          <w:p>
            <w:pPr>
              <w:spacing w:after="0"/>
              <w:rPr>
                <w:sz w:val="22"/>
                <w:szCs w:val="22"/>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533,429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16,372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549,801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StormWind, LLC–</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Preferred shares, Series C</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80" w:type="dxa"/>
            <w:vAlign w:val="bottom"/>
            <w:shd w:val="clear" w:color="auto" w:fill="CCEEFF"/>
          </w:tcPr>
          <w:p>
            <w:pPr>
              <w:ind w:left="360"/>
              <w:spacing w:after="0" w:line="262" w:lineRule="exact"/>
              <w:rPr>
                <w:sz w:val="20"/>
                <w:szCs w:val="20"/>
                <w:color w:val="auto"/>
              </w:rPr>
            </w:pPr>
            <w:r>
              <w:rPr>
                <w:rFonts w:ascii="Arial" w:cs="Arial" w:eastAsia="Arial" w:hAnsi="Arial"/>
                <w:sz w:val="30"/>
                <w:szCs w:val="30"/>
                <w:color w:val="auto"/>
                <w:vertAlign w:val="subscript"/>
              </w:rPr>
              <w:t>8%</w:t>
            </w:r>
            <w:r>
              <w:rPr>
                <w:rFonts w:ascii="Arial" w:cs="Arial" w:eastAsia="Arial" w:hAnsi="Arial"/>
                <w:sz w:val="13"/>
                <w:szCs w:val="13"/>
                <w:color w:val="auto"/>
              </w:rPr>
              <w:t>(4)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2,779,134</w:t>
            </w:r>
          </w:p>
        </w:tc>
        <w:tc>
          <w:tcPr>
            <w:tcW w:w="4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5,675,081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153,445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5,828,526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0"/>
        </w:trPr>
        <w:tc>
          <w:tcPr>
            <w:tcW w:w="2280" w:type="dxa"/>
            <w:vAlign w:val="bottom"/>
          </w:tcPr>
          <w:p>
            <w:pPr>
              <w:ind w:left="360"/>
              <w:spacing w:after="0" w:line="200" w:lineRule="exact"/>
              <w:rPr>
                <w:sz w:val="20"/>
                <w:szCs w:val="20"/>
                <w:color w:val="auto"/>
              </w:rPr>
            </w:pPr>
            <w:r>
              <w:rPr>
                <w:rFonts w:ascii="Arial" w:cs="Arial" w:eastAsia="Arial" w:hAnsi="Arial"/>
                <w:sz w:val="18"/>
                <w:szCs w:val="18"/>
                <w:color w:val="auto"/>
              </w:rPr>
              <w:t>StormWind, LLC–</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tcPr>
          <w:p>
            <w:pPr>
              <w:ind w:left="360"/>
              <w:spacing w:after="0"/>
              <w:rPr>
                <w:sz w:val="20"/>
                <w:szCs w:val="20"/>
                <w:color w:val="auto"/>
              </w:rPr>
            </w:pPr>
            <w:r>
              <w:rPr>
                <w:rFonts w:ascii="Arial" w:cs="Arial" w:eastAsia="Arial" w:hAnsi="Arial"/>
                <w:sz w:val="18"/>
                <w:szCs w:val="18"/>
                <w:color w:val="auto"/>
                <w:w w:val="89"/>
              </w:rPr>
              <w:t>Preferred shares, Series B</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80" w:type="dxa"/>
            <w:vAlign w:val="bottom"/>
          </w:tcPr>
          <w:p>
            <w:pPr>
              <w:ind w:left="360"/>
              <w:spacing w:after="0" w:line="262" w:lineRule="exact"/>
              <w:rPr>
                <w:sz w:val="20"/>
                <w:szCs w:val="20"/>
                <w:color w:val="auto"/>
              </w:rPr>
            </w:pPr>
            <w:r>
              <w:rPr>
                <w:rFonts w:ascii="Arial" w:cs="Arial" w:eastAsia="Arial" w:hAnsi="Arial"/>
                <w:sz w:val="30"/>
                <w:szCs w:val="30"/>
                <w:color w:val="auto"/>
                <w:vertAlign w:val="subscript"/>
              </w:rPr>
              <w:t>8%</w:t>
            </w:r>
            <w:r>
              <w:rPr>
                <w:rFonts w:ascii="Arial" w:cs="Arial" w:eastAsia="Arial" w:hAnsi="Arial"/>
                <w:sz w:val="13"/>
                <w:szCs w:val="13"/>
                <w:color w:val="auto"/>
              </w:rPr>
              <w:t>(4)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3,279,629</w:t>
            </w:r>
          </w:p>
        </w:tc>
        <w:tc>
          <w:tcPr>
            <w:tcW w:w="440" w:type="dxa"/>
            <w:vAlign w:val="bottom"/>
          </w:tcPr>
          <w:p>
            <w:pPr>
              <w:spacing w:after="0"/>
              <w:rPr>
                <w:sz w:val="22"/>
                <w:szCs w:val="22"/>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3,550,631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163,030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3,713,661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StormWind, LLC–</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Preferred shares, Series 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280" w:type="dxa"/>
            <w:vAlign w:val="bottom"/>
            <w:shd w:val="clear" w:color="auto" w:fill="CCEEFF"/>
          </w:tcPr>
          <w:p>
            <w:pPr>
              <w:ind w:left="360"/>
              <w:spacing w:after="0" w:line="275" w:lineRule="exact"/>
              <w:rPr>
                <w:sz w:val="20"/>
                <w:szCs w:val="20"/>
                <w:color w:val="auto"/>
              </w:rPr>
            </w:pPr>
            <w:r>
              <w:rPr>
                <w:rFonts w:ascii="Arial" w:cs="Arial" w:eastAsia="Arial" w:hAnsi="Arial"/>
                <w:sz w:val="31"/>
                <w:szCs w:val="31"/>
                <w:color w:val="auto"/>
                <w:vertAlign w:val="subscript"/>
              </w:rPr>
              <w:t>8%</w:t>
            </w:r>
            <w:r>
              <w:rPr>
                <w:rFonts w:ascii="Arial" w:cs="Arial" w:eastAsia="Arial" w:hAnsi="Arial"/>
                <w:sz w:val="14"/>
                <w:szCs w:val="14"/>
                <w:color w:val="auto"/>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366,666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191,694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209,921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rPr>
              <w:t>Total Interactive Learning</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ind w:left="340"/>
              <w:spacing w:after="0" w:line="199" w:lineRule="exact"/>
              <w:rPr>
                <w:sz w:val="20"/>
                <w:szCs w:val="20"/>
                <w:color w:val="auto"/>
              </w:rPr>
            </w:pPr>
            <w:r>
              <w:rPr>
                <w:rFonts w:ascii="Arial" w:cs="Arial" w:eastAsia="Arial" w:hAnsi="Arial"/>
                <w:sz w:val="18"/>
                <w:szCs w:val="18"/>
                <w:color w:val="auto"/>
                <w:w w:val="88"/>
              </w:rPr>
              <w:t>—</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w w:val="97"/>
              </w:rPr>
              <w:t>9,950,835</w:t>
            </w: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351,074</w:t>
            </w:r>
          </w:p>
        </w:tc>
        <w:tc>
          <w:tcPr>
            <w:tcW w:w="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w w:val="86"/>
              </w:rPr>
              <w:t>10,301,909</w:t>
            </w:r>
          </w:p>
        </w:tc>
        <w:tc>
          <w:tcPr>
            <w:tcW w:w="100" w:type="dxa"/>
            <w:vAlign w:val="bottom"/>
            <w:vMerge w:val="continue"/>
          </w:tcPr>
          <w:p>
            <w:pPr>
              <w:spacing w:after="0"/>
              <w:rPr>
                <w:sz w:val="17"/>
                <w:szCs w:val="17"/>
                <w:color w:val="auto"/>
              </w:rPr>
            </w:pPr>
          </w:p>
        </w:tc>
        <w:tc>
          <w:tcPr>
            <w:tcW w:w="10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Preferred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9,950,835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(10,914,377)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11,265,451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10,301,909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Digital Media Platform</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Ozy Media, Inc.–Common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Strike Price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$0.01, Expiration Date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80" w:type="dxa"/>
            <w:vAlign w:val="bottom"/>
            <w:shd w:val="clear" w:color="auto" w:fill="CCEEFF"/>
          </w:tcPr>
          <w:p>
            <w:pPr>
              <w:ind w:left="360"/>
              <w:spacing w:after="0" w:line="262" w:lineRule="exact"/>
              <w:rPr>
                <w:sz w:val="20"/>
                <w:szCs w:val="20"/>
                <w:color w:val="auto"/>
              </w:rPr>
            </w:pPr>
            <w:r>
              <w:rPr>
                <w:rFonts w:ascii="Arial" w:cs="Arial" w:eastAsia="Arial" w:hAnsi="Arial"/>
                <w:sz w:val="18"/>
                <w:szCs w:val="18"/>
                <w:color w:val="auto"/>
              </w:rPr>
              <w:t>4/9/2028</w:t>
            </w:r>
            <w:r>
              <w:rPr>
                <w:rFonts w:ascii="Arial" w:cs="Arial" w:eastAsia="Arial" w:hAnsi="Arial"/>
                <w:sz w:val="29"/>
                <w:szCs w:val="29"/>
                <w:color w:val="auto"/>
                <w:vertAlign w:val="superscript"/>
              </w:rPr>
              <w:t>(7)</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w w:val="98"/>
              </w:rPr>
              <w:t>Global Innovation Platform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OneValley, Inc. (f/k/a</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NestGSV, Inc.)–Preferred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Warrant Series B, Strike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Price $2.31, Expiration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Date 12/31/2023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4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280" w:type="dxa"/>
            <w:vAlign w:val="bottom"/>
          </w:tcPr>
          <w:p>
            <w:pPr>
              <w:ind w:left="360"/>
              <w:spacing w:after="0" w:line="200" w:lineRule="exact"/>
              <w:rPr>
                <w:sz w:val="20"/>
                <w:szCs w:val="20"/>
                <w:color w:val="auto"/>
              </w:rPr>
            </w:pPr>
            <w:r>
              <w:rPr>
                <w:rFonts w:ascii="Arial" w:cs="Arial" w:eastAsia="Arial" w:hAnsi="Arial"/>
                <w:sz w:val="18"/>
                <w:szCs w:val="18"/>
                <w:color w:val="auto"/>
              </w:rPr>
              <w:t>OneValley, Inc. (f/k/a</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tcPr>
          <w:p>
            <w:pPr>
              <w:ind w:left="360"/>
              <w:spacing w:after="0"/>
              <w:rPr>
                <w:sz w:val="20"/>
                <w:szCs w:val="20"/>
                <w:color w:val="auto"/>
              </w:rPr>
            </w:pPr>
            <w:r>
              <w:rPr>
                <w:rFonts w:ascii="Arial" w:cs="Arial" w:eastAsia="Arial" w:hAnsi="Arial"/>
                <w:sz w:val="18"/>
                <w:szCs w:val="18"/>
                <w:color w:val="auto"/>
                <w:w w:val="90"/>
              </w:rPr>
              <w:t>NestGSV, Inc.)–Derivative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tcPr>
          <w:p>
            <w:pPr>
              <w:ind w:left="360"/>
              <w:spacing w:after="0"/>
              <w:rPr>
                <w:sz w:val="20"/>
                <w:szCs w:val="20"/>
                <w:color w:val="auto"/>
              </w:rPr>
            </w:pPr>
            <w:r>
              <w:rPr>
                <w:rFonts w:ascii="Arial" w:cs="Arial" w:eastAsia="Arial" w:hAnsi="Arial"/>
                <w:sz w:val="18"/>
                <w:szCs w:val="18"/>
                <w:color w:val="auto"/>
                <w:w w:val="95"/>
              </w:rPr>
              <w:t>Security, Expiration Date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280" w:type="dxa"/>
            <w:vAlign w:val="bottom"/>
          </w:tcPr>
          <w:p>
            <w:pPr>
              <w:ind w:left="360"/>
              <w:spacing w:after="0" w:line="276" w:lineRule="exact"/>
              <w:rPr>
                <w:sz w:val="20"/>
                <w:szCs w:val="20"/>
                <w:color w:val="auto"/>
              </w:rPr>
            </w:pPr>
            <w:r>
              <w:rPr>
                <w:rFonts w:ascii="Arial" w:cs="Arial" w:eastAsia="Arial" w:hAnsi="Arial"/>
                <w:sz w:val="18"/>
                <w:szCs w:val="18"/>
                <w:color w:val="auto"/>
              </w:rPr>
              <w:t>8/23/2024</w:t>
            </w:r>
            <w:r>
              <w:rPr>
                <w:rFonts w:ascii="Arial" w:cs="Arial" w:eastAsia="Arial" w:hAnsi="Arial"/>
                <w:sz w:val="29"/>
                <w:szCs w:val="29"/>
                <w:color w:val="auto"/>
                <w:vertAlign w:val="superscript"/>
              </w:rPr>
              <w:t>(5)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652,127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24,159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676,286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86"/>
        </w:trPr>
        <w:tc>
          <w:tcPr>
            <w:tcW w:w="2280" w:type="dxa"/>
            <w:vAlign w:val="bottom"/>
            <w:tcBorders>
              <w:top w:val="single" w:sz="8" w:color="CCEEFF"/>
            </w:tcBorders>
            <w:shd w:val="clear" w:color="auto" w:fill="CCEEFF"/>
          </w:tcPr>
          <w:p>
            <w:pPr>
              <w:ind w:left="180"/>
              <w:spacing w:after="0" w:line="187" w:lineRule="exact"/>
              <w:rPr>
                <w:sz w:val="20"/>
                <w:szCs w:val="20"/>
                <w:color w:val="auto"/>
              </w:rPr>
            </w:pPr>
            <w:r>
              <w:rPr>
                <w:rFonts w:ascii="Arial" w:cs="Arial" w:eastAsia="Arial" w:hAnsi="Arial"/>
                <w:sz w:val="18"/>
                <w:szCs w:val="18"/>
                <w:i w:val="1"/>
                <w:iCs w:val="1"/>
                <w:color w:val="auto"/>
              </w:rPr>
              <w:t>Total Global Innovation</w:t>
            </w: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Platform</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652,127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676,286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2"/>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w w:val="99"/>
              </w:rPr>
              <w:t>E-Commerce Marketplace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PSQ Holdings, Inc. (d/b/a</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280" w:type="dxa"/>
            <w:vAlign w:val="bottom"/>
            <w:shd w:val="clear" w:color="auto" w:fill="CCEEFF"/>
          </w:tcPr>
          <w:p>
            <w:pPr>
              <w:ind w:left="360"/>
              <w:spacing w:after="0" w:line="288" w:lineRule="exact"/>
              <w:rPr>
                <w:sz w:val="20"/>
                <w:szCs w:val="20"/>
                <w:color w:val="auto"/>
              </w:rPr>
            </w:pPr>
            <w:r>
              <w:rPr>
                <w:rFonts w:ascii="Arial" w:cs="Arial" w:eastAsia="Arial" w:hAnsi="Arial"/>
                <w:sz w:val="18"/>
                <w:szCs w:val="18"/>
                <w:color w:val="auto"/>
                <w:w w:val="93"/>
              </w:rPr>
              <w:t>PublicSq.)**–Warrants</w:t>
            </w:r>
            <w:r>
              <w:rPr>
                <w:rFonts w:ascii="Arial" w:cs="Arial" w:eastAsia="Arial" w:hAnsi="Arial"/>
                <w:sz w:val="29"/>
                <w:szCs w:val="29"/>
                <w:color w:val="auto"/>
                <w:w w:val="93"/>
                <w:vertAlign w:val="superscript"/>
              </w:rPr>
              <w:t>(6)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2,700,000</w:t>
            </w:r>
          </w:p>
        </w:tc>
        <w:tc>
          <w:tcPr>
            <w:tcW w:w="44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1,157,487</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2,595,513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3,753,000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Arial" w:cs="Arial" w:eastAsia="Arial" w:hAnsi="Arial"/>
                <w:sz w:val="18"/>
                <w:szCs w:val="18"/>
                <w:b w:val="1"/>
                <w:bCs w:val="1"/>
                <w:color w:val="auto"/>
              </w:rPr>
              <w:t>Total Options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652,127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1,157,487</w:t>
            </w: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(30,647)</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2,650,319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4,429,286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9"/>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Online Education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Curious.com, Inc.–</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1,135,944</w:t>
            </w:r>
          </w:p>
        </w:tc>
        <w:tc>
          <w:tcPr>
            <w:tcW w:w="4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w w:val="99"/>
              </w:rPr>
              <w:t>E-Commerce Marketplace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PSQ Holdings, Inc. (d/b/a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PublicSq.)**–Class 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2280" w:type="dxa"/>
            <w:vAlign w:val="bottom"/>
            <w:shd w:val="clear" w:color="auto" w:fill="CCEEFF"/>
          </w:tcPr>
          <w:p>
            <w:pPr>
              <w:ind w:left="360"/>
              <w:spacing w:after="0" w:line="288"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1,976,032</w:t>
            </w:r>
          </w:p>
        </w:tc>
        <w:tc>
          <w:tcPr>
            <w:tcW w:w="44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1,554,355</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12,799,541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14,353,896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2"/>
        </w:trPr>
        <w:tc>
          <w:tcPr>
            <w:tcW w:w="2280" w:type="dxa"/>
            <w:vAlign w:val="bottom"/>
          </w:tcPr>
          <w:p>
            <w:pPr>
              <w:spacing w:after="0"/>
              <w:rPr>
                <w:sz w:val="20"/>
                <w:szCs w:val="20"/>
                <w:color w:val="auto"/>
              </w:rPr>
            </w:pPr>
            <w:r>
              <w:rPr>
                <w:rFonts w:ascii="Arial" w:cs="Arial" w:eastAsia="Arial" w:hAnsi="Arial"/>
                <w:sz w:val="18"/>
                <w:szCs w:val="18"/>
                <w:b w:val="1"/>
                <w:bCs w:val="1"/>
                <w:color w:val="auto"/>
              </w:rPr>
              <w:t>Total Common Stock</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1,554,355</w:t>
            </w:r>
          </w:p>
        </w:tc>
        <w:tc>
          <w:tcPr>
            <w:tcW w:w="3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12,799,541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14,353,896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80"/>
        </w:trPr>
        <w:tc>
          <w:tcPr>
            <w:tcW w:w="22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TOTAL NON-</w:t>
            </w: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CONTROLLED/AFFILIATE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280" w:type="dxa"/>
            <w:vAlign w:val="bottom"/>
            <w:shd w:val="clear" w:color="auto" w:fill="CCEEFF"/>
          </w:tcPr>
          <w:p>
            <w:pPr>
              <w:spacing w:after="0" w:line="292"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29"/>
                <w:szCs w:val="29"/>
                <w:b w:val="1"/>
                <w:bCs w:val="1"/>
                <w:color w:val="auto"/>
                <w:vertAlign w:val="superscript"/>
              </w:rPr>
              <w:t>(1)</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12,591,162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2,711,842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(10,945,025)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25,939,148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30,297,127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jc w:val="both"/>
        <w:ind w:left="640" w:right="100" w:hanging="634"/>
        <w:spacing w:after="0" w:line="306" w:lineRule="auto"/>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ectPr>
          <w:pgSz w:w="11900" w:h="16838" w:orient="portrait"/>
          <w:cols w:equalWidth="0" w:num="1">
            <w:col w:w="11340"/>
          </w:cols>
          <w:pgMar w:left="320" w:top="71" w:right="239" w:bottom="1440" w:gutter="0" w:footer="0" w:header="0"/>
        </w:sectPr>
      </w:pPr>
    </w:p>
    <w:p>
      <w:pPr>
        <w:spacing w:after="0" w:line="15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71"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640" w:hanging="634"/>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1940 Act. Of the Company’s total investments as of September 30, 2023, 21.30% of its total investments are non-qualifying assets.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17" w:lineRule="exact"/>
        <w:rPr>
          <w:sz w:val="20"/>
          <w:szCs w:val="20"/>
          <w:color w:val="auto"/>
        </w:rPr>
      </w:pPr>
    </w:p>
    <w:p>
      <w:pPr>
        <w:jc w:val="both"/>
        <w:ind w:left="640" w:hanging="634"/>
        <w:spacing w:after="0" w:line="25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188"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90" w:lineRule="exact"/>
        <w:rPr>
          <w:rFonts w:ascii="Arial" w:cs="Arial" w:eastAsia="Arial" w:hAnsi="Arial"/>
          <w:sz w:val="18"/>
          <w:szCs w:val="18"/>
          <w:color w:val="auto"/>
        </w:rPr>
      </w:pPr>
    </w:p>
    <w:p>
      <w:pPr>
        <w:ind w:left="640" w:hanging="63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September 30, 2023, the investments noted had been placed on non-accrual status.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SuRo Capital Corp.’s investments in StormWind, LLC are held through SuRo Capital Corp.’s wholly owned subsidiary, GSVC SW Holdings, Inc.</w:t>
      </w:r>
    </w:p>
    <w:p>
      <w:pPr>
        <w:spacing w:after="0" w:line="251"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90" w:lineRule="exact"/>
        <w:rPr>
          <w:rFonts w:ascii="Arial" w:cs="Arial" w:eastAsia="Arial" w:hAnsi="Arial"/>
          <w:sz w:val="18"/>
          <w:szCs w:val="18"/>
          <w:color w:val="auto"/>
        </w:rPr>
      </w:pPr>
    </w:p>
    <w:p>
      <w:pPr>
        <w:jc w:val="both"/>
        <w:ind w:left="640" w:hanging="634"/>
        <w:spacing w:after="0" w:line="26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July 19, 2023, Colombier Acquisition Corp. (“Colombier”) stockholders approved a business combination with PSQ Holdings, Inc. (d/b/a PublicSq.) and related proposals at a special meeting. Also on July 19, 2023, PSQ Holdings, Inc. announced that it had consummated the business combination with Colombier pursuant to a merger agreement between the parties, creating the resultant combined company PSQ Holdings, Inc. (d/b/a PublicSq). SuRo Capital Corp.'s shares of PSQ Holdings, Inc. (d/b/a PublicSq.) Class A Common shares are subject to certain restrictions on transfer, while the Company’s PSQ Holdings, Inc. warrants are freely tradable.</w:t>
      </w:r>
    </w:p>
    <w:p>
      <w:pPr>
        <w:spacing w:after="0" w:line="180" w:lineRule="exact"/>
        <w:rPr>
          <w:rFonts w:ascii="Arial" w:cs="Arial" w:eastAsia="Arial" w:hAnsi="Arial"/>
          <w:sz w:val="17"/>
          <w:szCs w:val="17"/>
          <w:color w:val="auto"/>
        </w:rPr>
      </w:pPr>
    </w:p>
    <w:p>
      <w:pPr>
        <w:ind w:left="640" w:hanging="634"/>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 March 1, 2023, Ozy Media, Inc. suspended operations. On May 4, 2023, SuRo Capital Corp. abandoned its investment in Ozy Media,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Transactions during the year ended December 31, 2022 involving the Company’s controlled investments and non-controlled/affiliate investments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Interest,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Purchases,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Fees, or</w:t>
            </w:r>
          </w:p>
        </w:tc>
        <w:tc>
          <w:tcPr>
            <w:tcW w:w="8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Capitalized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Fair Value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Dividends</w:t>
            </w:r>
          </w:p>
        </w:tc>
        <w:tc>
          <w:tcPr>
            <w:tcW w:w="80" w:type="dxa"/>
            <w:vAlign w:val="bottom"/>
          </w:tcPr>
          <w:p>
            <w:pPr>
              <w:spacing w:after="0"/>
              <w:rPr>
                <w:sz w:val="17"/>
                <w:szCs w:val="17"/>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at</w:t>
            </w:r>
          </w:p>
        </w:tc>
        <w:tc>
          <w:tcPr>
            <w:tcW w:w="700" w:type="dxa"/>
            <w:vAlign w:val="bottom"/>
            <w:gridSpan w:val="4"/>
          </w:tcPr>
          <w:p>
            <w:pPr>
              <w:ind w:left="60"/>
              <w:spacing w:after="0"/>
              <w:rPr>
                <w:sz w:val="20"/>
                <w:szCs w:val="20"/>
                <w:color w:val="auto"/>
              </w:rPr>
            </w:pPr>
            <w:r>
              <w:rPr>
                <w:rFonts w:ascii="Arial" w:cs="Arial" w:eastAsia="Arial" w:hAnsi="Arial"/>
                <w:sz w:val="16"/>
                <w:szCs w:val="16"/>
                <w:b w:val="1"/>
                <w:bCs w:val="1"/>
                <w:color w:val="auto"/>
                <w:w w:val="96"/>
              </w:rPr>
              <w:t>Transfer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2"/>
              </w:rPr>
              <w:t>Fees,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at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3"/>
              </w:rPr>
              <w:t>Percentage</w:t>
            </w: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Type/Industry/Portfolio</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Principal/</w:t>
            </w:r>
          </w:p>
        </w:tc>
        <w:tc>
          <w:tcPr>
            <w:tcW w:w="10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Credited</w:t>
            </w:r>
          </w:p>
        </w:tc>
        <w:tc>
          <w:tcPr>
            <w:tcW w:w="8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7"/>
              </w:rPr>
              <w:t>December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w:t>
            </w:r>
          </w:p>
        </w:tc>
        <w:tc>
          <w:tcPr>
            <w:tcW w:w="40" w:type="dxa"/>
            <w:vAlign w:val="bottom"/>
          </w:tcPr>
          <w:p>
            <w:pPr>
              <w:spacing w:after="0"/>
              <w:rPr>
                <w:sz w:val="17"/>
                <w:szCs w:val="17"/>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Interest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Realized</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Unrealized</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of Net</w:t>
            </w:r>
          </w:p>
        </w:tc>
        <w:tc>
          <w:tcPr>
            <w:tcW w:w="0" w:type="dxa"/>
            <w:vAlign w:val="bottom"/>
          </w:tcPr>
          <w:p>
            <w:pPr>
              <w:spacing w:after="0"/>
              <w:rPr>
                <w:sz w:val="1"/>
                <w:szCs w:val="1"/>
                <w:color w:val="auto"/>
              </w:rPr>
            </w:pPr>
          </w:p>
        </w:tc>
      </w:tr>
      <w:tr>
        <w:trPr>
          <w:trHeight w:val="21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Company/Investment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w w:val="92"/>
              </w:rPr>
              <w:t>Quantity</w:t>
            </w:r>
          </w:p>
        </w:tc>
        <w:tc>
          <w:tcPr>
            <w:tcW w:w="10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Income</w:t>
            </w:r>
          </w:p>
        </w:tc>
        <w:tc>
          <w:tcPr>
            <w:tcW w:w="80" w:type="dxa"/>
            <w:vAlign w:val="bottom"/>
          </w:tcPr>
          <w:p>
            <w:pPr>
              <w:spacing w:after="0"/>
              <w:rPr>
                <w:sz w:val="19"/>
                <w:szCs w:val="19"/>
                <w:color w:val="auto"/>
              </w:rPr>
            </w:pPr>
          </w:p>
        </w:tc>
        <w:tc>
          <w:tcPr>
            <w:tcW w:w="72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31, 2021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w:t>
            </w:r>
          </w:p>
        </w:tc>
        <w:tc>
          <w:tcPr>
            <w:tcW w:w="100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w w:val="81"/>
              </w:rPr>
              <w:t>Sales</w:t>
            </w:r>
          </w:p>
        </w:tc>
        <w:tc>
          <w:tcPr>
            <w:tcW w:w="1200" w:type="dxa"/>
            <w:vAlign w:val="bottom"/>
            <w:gridSpan w:val="4"/>
          </w:tcPr>
          <w:p>
            <w:pPr>
              <w:ind w:left="100"/>
              <w:spacing w:after="0"/>
              <w:rPr>
                <w:sz w:val="20"/>
                <w:szCs w:val="20"/>
                <w:color w:val="auto"/>
              </w:rPr>
            </w:pPr>
            <w:r>
              <w:rPr>
                <w:rFonts w:ascii="Arial" w:cs="Arial" w:eastAsia="Arial" w:hAnsi="Arial"/>
                <w:sz w:val="16"/>
                <w:szCs w:val="16"/>
                <w:b w:val="1"/>
                <w:bCs w:val="1"/>
                <w:color w:val="auto"/>
                <w:w w:val="94"/>
              </w:rPr>
              <w:t>Gains/(Losses)</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w w:val="94"/>
              </w:rPr>
              <w:t>Gains/(Losses)</w:t>
            </w:r>
          </w:p>
        </w:tc>
        <w:tc>
          <w:tcPr>
            <w:tcW w:w="100" w:type="dxa"/>
            <w:vAlign w:val="bottom"/>
          </w:tcPr>
          <w:p>
            <w:pPr>
              <w:spacing w:after="0"/>
              <w:rPr>
                <w:sz w:val="19"/>
                <w:szCs w:val="19"/>
                <w:color w:val="auto"/>
              </w:rPr>
            </w:pPr>
          </w:p>
        </w:tc>
        <w:tc>
          <w:tcPr>
            <w:tcW w:w="720" w:type="dxa"/>
            <w:vAlign w:val="bottom"/>
          </w:tcPr>
          <w:p>
            <w:pPr>
              <w:jc w:val="center"/>
              <w:ind w:right="21"/>
              <w:spacing w:after="0"/>
              <w:rPr>
                <w:sz w:val="20"/>
                <w:szCs w:val="20"/>
                <w:color w:val="auto"/>
              </w:rPr>
            </w:pPr>
            <w:r>
              <w:rPr>
                <w:rFonts w:ascii="Arial" w:cs="Arial" w:eastAsia="Arial" w:hAnsi="Arial"/>
                <w:sz w:val="16"/>
                <w:szCs w:val="16"/>
                <w:b w:val="1"/>
                <w:bCs w:val="1"/>
                <w:color w:val="auto"/>
                <w:w w:val="86"/>
              </w:rPr>
              <w:t>31, 2022</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Assets</w:t>
            </w:r>
          </w:p>
        </w:tc>
        <w:tc>
          <w:tcPr>
            <w:tcW w:w="0" w:type="dxa"/>
            <w:vAlign w:val="bottom"/>
          </w:tcPr>
          <w:p>
            <w:pPr>
              <w:spacing w:after="0"/>
              <w:rPr>
                <w:sz w:val="1"/>
                <w:szCs w:val="1"/>
                <w:color w:val="auto"/>
              </w:rPr>
            </w:pPr>
          </w:p>
        </w:tc>
      </w:tr>
      <w:tr>
        <w:trPr>
          <w:trHeight w:val="159"/>
        </w:trPr>
        <w:tc>
          <w:tcPr>
            <w:tcW w:w="1140" w:type="dxa"/>
            <w:vAlign w:val="bottom"/>
            <w:tcBorders>
              <w:top w:val="single" w:sz="8" w:color="auto"/>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CONTROLLED</w:t>
            </w:r>
          </w:p>
        </w:tc>
        <w:tc>
          <w:tcPr>
            <w:tcW w:w="120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40" w:type="dxa"/>
            <w:vAlign w:val="bottom"/>
            <w:tcBorders>
              <w:bottom w:val="single" w:sz="8" w:color="CCEEFF"/>
            </w:tcBorders>
            <w:gridSpan w:val="3"/>
            <w:vMerge w:val="restart"/>
            <w:shd w:val="clear" w:color="auto" w:fill="CCEEFF"/>
          </w:tcPr>
          <w:p>
            <w:pPr>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7"/>
              </w:rPr>
              <w:t>(2)</w:t>
            </w:r>
          </w:p>
        </w:tc>
        <w:tc>
          <w:tcPr>
            <w:tcW w:w="640" w:type="dxa"/>
            <w:vAlign w:val="bottom"/>
            <w:tcBorders>
              <w:bottom w:val="single" w:sz="8" w:color="CCEEFF"/>
            </w:tcBorders>
            <w:vMerge w:val="restart"/>
            <w:shd w:val="clear" w:color="auto" w:fill="CCEEFF"/>
          </w:tcPr>
          <w:p>
            <w:pPr>
              <w:spacing w:after="0"/>
              <w:rPr>
                <w:sz w:val="13"/>
                <w:szCs w:val="13"/>
                <w:color w:val="auto"/>
              </w:rPr>
            </w:pPr>
          </w:p>
        </w:tc>
        <w:tc>
          <w:tcPr>
            <w:tcW w:w="30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tcBorders>
              <w:bottom w:val="single" w:sz="8" w:color="auto"/>
            </w:tcBorders>
            <w:gridSpan w:val="3"/>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Special Purpose Acquisition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Company</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Colombier Sponsor LLC**–</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gridSpan w:val="6"/>
          </w:tcPr>
          <w:p>
            <w:pPr>
              <w:ind w:left="360"/>
              <w:spacing w:after="0" w:line="247" w:lineRule="exact"/>
              <w:rPr>
                <w:sz w:val="20"/>
                <w:szCs w:val="20"/>
                <w:color w:val="auto"/>
              </w:rPr>
            </w:pPr>
            <w:r>
              <w:rPr>
                <w:rFonts w:ascii="Arial" w:cs="Arial" w:eastAsia="Arial" w:hAnsi="Arial"/>
                <w:sz w:val="16"/>
                <w:szCs w:val="16"/>
                <w:color w:val="auto"/>
              </w:rPr>
              <w:t>Class W Units</w:t>
            </w:r>
            <w:r>
              <w:rPr>
                <w:rFonts w:ascii="Arial" w:cs="Arial" w:eastAsia="Arial" w:hAnsi="Arial"/>
                <w:sz w:val="26"/>
                <w:szCs w:val="26"/>
                <w:color w:val="auto"/>
                <w:vertAlign w:val="superscript"/>
              </w:rPr>
              <w:t>(7)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2,700,000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1,157,487</w:t>
            </w:r>
          </w:p>
        </w:tc>
        <w:tc>
          <w:tcPr>
            <w:tcW w:w="60" w:type="dxa"/>
            <w:vAlign w:val="bottom"/>
          </w:tcPr>
          <w:p>
            <w:pPr>
              <w:spacing w:after="0"/>
              <w:rPr>
                <w:sz w:val="21"/>
                <w:szCs w:val="21"/>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1,157,487</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Total Options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1,157,487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1,157,487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Preferred 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SPBRX, INC. (f/k/a GSV</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40" w:type="dxa"/>
            <w:vAlign w:val="bottom"/>
            <w:gridSpan w:val="6"/>
          </w:tcPr>
          <w:p>
            <w:pPr>
              <w:ind w:left="360"/>
              <w:spacing w:after="0"/>
              <w:rPr>
                <w:sz w:val="20"/>
                <w:szCs w:val="20"/>
                <w:color w:val="auto"/>
              </w:rPr>
            </w:pPr>
            <w:r>
              <w:rPr>
                <w:rFonts w:ascii="Arial" w:cs="Arial" w:eastAsia="Arial" w:hAnsi="Arial"/>
                <w:sz w:val="16"/>
                <w:szCs w:val="16"/>
                <w:color w:val="auto"/>
                <w:w w:val="94"/>
              </w:rPr>
              <w:t>Sustainability Partners, Inc.)–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340" w:type="dxa"/>
            <w:vAlign w:val="bottom"/>
            <w:gridSpan w:val="6"/>
          </w:tcPr>
          <w:p>
            <w:pPr>
              <w:ind w:left="360"/>
              <w:spacing w:after="0" w:line="247" w:lineRule="exact"/>
              <w:rPr>
                <w:sz w:val="20"/>
                <w:szCs w:val="20"/>
                <w:color w:val="auto"/>
              </w:rPr>
            </w:pPr>
            <w:r>
              <w:rPr>
                <w:rFonts w:ascii="Arial" w:cs="Arial" w:eastAsia="Arial" w:hAnsi="Arial"/>
                <w:sz w:val="16"/>
                <w:szCs w:val="16"/>
                <w:color w:val="auto"/>
                <w:w w:val="95"/>
              </w:rPr>
              <w:t>Preferred shares, Class A</w:t>
            </w:r>
            <w:r>
              <w:rPr>
                <w:rFonts w:ascii="Arial" w:cs="Arial" w:eastAsia="Arial" w:hAnsi="Arial"/>
                <w:sz w:val="26"/>
                <w:szCs w:val="26"/>
                <w:color w:val="auto"/>
                <w:w w:val="95"/>
                <w:vertAlign w:val="superscript"/>
              </w:rPr>
              <w:t>(4)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14,300,000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1,047,033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(63,005)</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984,028</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1,047,033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(63,005)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984,028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SPBRX, INC. (f/k/a GSV</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gridSpan w:val="6"/>
          </w:tcPr>
          <w:p>
            <w:pPr>
              <w:ind w:left="360"/>
              <w:spacing w:after="0"/>
              <w:rPr>
                <w:sz w:val="20"/>
                <w:szCs w:val="20"/>
                <w:color w:val="auto"/>
              </w:rPr>
            </w:pPr>
            <w:r>
              <w:rPr>
                <w:rFonts w:ascii="Arial" w:cs="Arial" w:eastAsia="Arial" w:hAnsi="Arial"/>
                <w:sz w:val="16"/>
                <w:szCs w:val="16"/>
                <w:color w:val="auto"/>
                <w:w w:val="94"/>
              </w:rPr>
              <w:t>Sustainability Partners, Inc.)–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Mobile Finance Technology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w w:val="91"/>
              </w:rPr>
              <w:t>Architect Capital PayJoy SPV,</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gridSpan w:val="6"/>
          </w:tcPr>
          <w:p>
            <w:pPr>
              <w:ind w:left="360"/>
              <w:spacing w:after="0"/>
              <w:rPr>
                <w:sz w:val="20"/>
                <w:szCs w:val="20"/>
                <w:color w:val="auto"/>
              </w:rPr>
            </w:pPr>
            <w:r>
              <w:rPr>
                <w:rFonts w:ascii="Arial" w:cs="Arial" w:eastAsia="Arial" w:hAnsi="Arial"/>
                <w:sz w:val="16"/>
                <w:szCs w:val="16"/>
                <w:color w:val="auto"/>
                <w:w w:val="99"/>
              </w:rPr>
              <w:t>LLC**–Membership Interest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in Lending SPV***</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10,000,000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1,685,000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10,000,000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191"/>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Special Purpose Acquisition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Company</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Colombier Sponsor LLC**–</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gridSpan w:val="6"/>
          </w:tcPr>
          <w:p>
            <w:pPr>
              <w:ind w:left="360"/>
              <w:spacing w:after="0" w:line="247" w:lineRule="exact"/>
              <w:rPr>
                <w:sz w:val="20"/>
                <w:szCs w:val="20"/>
                <w:color w:val="auto"/>
              </w:rPr>
            </w:pPr>
            <w:r>
              <w:rPr>
                <w:rFonts w:ascii="Arial" w:cs="Arial" w:eastAsia="Arial" w:hAnsi="Arial"/>
                <w:sz w:val="16"/>
                <w:szCs w:val="16"/>
                <w:color w:val="auto"/>
              </w:rPr>
              <w:t>Class B Units</w:t>
            </w:r>
            <w:r>
              <w:rPr>
                <w:rFonts w:ascii="Arial" w:cs="Arial" w:eastAsia="Arial" w:hAnsi="Arial"/>
                <w:sz w:val="26"/>
                <w:szCs w:val="26"/>
                <w:color w:val="auto"/>
                <w:vertAlign w:val="superscript"/>
              </w:rPr>
              <w:t>(7)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1,976,033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1,554,354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1,554,355</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30"/>
        </w:trPr>
        <w:tc>
          <w:tcPr>
            <w:tcW w:w="234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1,685,000</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11,554,354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11,554,355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61"/>
        </w:trPr>
        <w:tc>
          <w:tcPr>
            <w:tcW w:w="2340" w:type="dxa"/>
            <w:vAlign w:val="bottom"/>
            <w:tcBorders>
              <w:top w:val="single" w:sz="8" w:color="CCEEFF"/>
            </w:tcBorders>
            <w:gridSpan w:val="6"/>
          </w:tcPr>
          <w:p>
            <w:pPr>
              <w:spacing w:after="0" w:line="161" w:lineRule="exact"/>
              <w:rPr>
                <w:sz w:val="20"/>
                <w:szCs w:val="20"/>
                <w:color w:val="auto"/>
              </w:rPr>
            </w:pPr>
            <w:r>
              <w:rPr>
                <w:rFonts w:ascii="Arial" w:cs="Arial" w:eastAsia="Arial" w:hAnsi="Arial"/>
                <w:sz w:val="16"/>
                <w:szCs w:val="16"/>
                <w:b w:val="1"/>
                <w:bCs w:val="1"/>
                <w:color w:val="auto"/>
              </w:rPr>
              <w:t>TOTAL CONTROLLED</w:t>
            </w: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340" w:type="dxa"/>
            <w:vAlign w:val="bottom"/>
            <w:gridSpan w:val="6"/>
          </w:tcPr>
          <w:p>
            <w:pPr>
              <w:spacing w:after="0" w:line="251"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6"/>
                <w:szCs w:val="26"/>
                <w:b w:val="1"/>
                <w:bCs w:val="1"/>
                <w:color w:val="auto"/>
                <w:vertAlign w:val="superscript"/>
              </w:rPr>
              <w:t>(2)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1,685,000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87"/>
              </w:rPr>
              <w:t>13,758,874</w:t>
            </w:r>
          </w:p>
        </w:tc>
        <w:tc>
          <w:tcPr>
            <w:tcW w:w="60" w:type="dxa"/>
            <w:vAlign w:val="bottom"/>
          </w:tcPr>
          <w:p>
            <w:pPr>
              <w:spacing w:after="0"/>
              <w:rPr>
                <w:sz w:val="21"/>
                <w:szCs w:val="21"/>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w w:val="87"/>
              </w:rPr>
              <w:t>—</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6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(63,004)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7"/>
              </w:rPr>
              <w:t>13,695,870</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6.52%</w:t>
            </w: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w w:val="97"/>
              </w:rPr>
              <w:t>NON-</w:t>
            </w:r>
          </w:p>
        </w:tc>
        <w:tc>
          <w:tcPr>
            <w:tcW w:w="1920" w:type="dxa"/>
            <w:vAlign w:val="bottom"/>
            <w:tcBorders>
              <w:bottom w:val="single" w:sz="8" w:color="CCEEFF"/>
            </w:tcBorders>
            <w:gridSpan w:val="5"/>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40" w:type="dxa"/>
            <w:vAlign w:val="bottom"/>
            <w:tcBorders>
              <w:bottom w:val="single" w:sz="8" w:color="auto"/>
            </w:tcBorders>
            <w:gridSpan w:val="5"/>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CONTROLLED/AFFILIATE</w:t>
            </w:r>
          </w:p>
        </w:tc>
        <w:tc>
          <w:tcPr>
            <w:tcW w:w="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40" w:type="dxa"/>
            <w:vAlign w:val="bottom"/>
            <w:tcBorders>
              <w:bottom w:val="single" w:sz="8" w:color="CCEEFF"/>
            </w:tcBorders>
            <w:gridSpan w:val="3"/>
            <w:vMerge w:val="restart"/>
            <w:shd w:val="clear" w:color="auto" w:fill="CCEEFF"/>
          </w:tcPr>
          <w:p>
            <w:pPr>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w w:val="87"/>
              </w:rPr>
              <w:t>(1)</w:t>
            </w:r>
          </w:p>
        </w:tc>
        <w:tc>
          <w:tcPr>
            <w:tcW w:w="940" w:type="dxa"/>
            <w:vAlign w:val="bottom"/>
            <w:tcBorders>
              <w:bottom w:val="single" w:sz="8" w:color="CCEEFF"/>
            </w:tcBorders>
            <w:gridSpan w:val="2"/>
            <w:vMerge w:val="restart"/>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tcBorders>
              <w:bottom w:val="single" w:sz="8" w:color="auto"/>
            </w:tcBorders>
            <w:gridSpan w:val="3"/>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Debt Investments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OneValley, Inc. (f/k/a</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gridSpan w:val="6"/>
          </w:tcPr>
          <w:p>
            <w:pPr>
              <w:ind w:left="360"/>
              <w:spacing w:after="0"/>
              <w:rPr>
                <w:sz w:val="20"/>
                <w:szCs w:val="20"/>
                <w:color w:val="auto"/>
              </w:rPr>
            </w:pPr>
            <w:r>
              <w:rPr>
                <w:rFonts w:ascii="Arial" w:cs="Arial" w:eastAsia="Arial" w:hAnsi="Arial"/>
                <w:sz w:val="16"/>
                <w:szCs w:val="16"/>
                <w:color w:val="auto"/>
                <w:w w:val="97"/>
              </w:rPr>
              <w:t>NestGSV, Inc.) –Convertible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Promissory Note 8%, Due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40" w:type="dxa"/>
            <w:vAlign w:val="bottom"/>
            <w:gridSpan w:val="3"/>
          </w:tcPr>
          <w:p>
            <w:pPr>
              <w:ind w:left="360"/>
              <w:spacing w:after="0" w:line="247" w:lineRule="exact"/>
              <w:rPr>
                <w:sz w:val="20"/>
                <w:szCs w:val="20"/>
                <w:color w:val="auto"/>
              </w:rPr>
            </w:pPr>
            <w:r>
              <w:rPr>
                <w:rFonts w:ascii="Arial" w:cs="Arial" w:eastAsia="Arial" w:hAnsi="Arial"/>
                <w:sz w:val="16"/>
                <w:szCs w:val="16"/>
                <w:color w:val="auto"/>
                <w:w w:val="93"/>
              </w:rPr>
              <w:t>8/23/2024</w:t>
            </w:r>
            <w:r>
              <w:rPr>
                <w:rFonts w:ascii="Arial" w:cs="Arial" w:eastAsia="Arial" w:hAnsi="Arial"/>
                <w:sz w:val="26"/>
                <w:szCs w:val="26"/>
                <w:color w:val="auto"/>
                <w:w w:val="93"/>
                <w:vertAlign w:val="superscript"/>
              </w:rPr>
              <w:t>(3)</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1,010,198</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505,099</w:t>
            </w:r>
          </w:p>
        </w:tc>
        <w:tc>
          <w:tcPr>
            <w:tcW w:w="60" w:type="dxa"/>
            <w:vAlign w:val="bottom"/>
          </w:tcPr>
          <w:p>
            <w:pPr>
              <w:spacing w:after="0"/>
              <w:rPr>
                <w:sz w:val="21"/>
                <w:szCs w:val="21"/>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1,483,101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1,988,200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Total Debt Investments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1,988,200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99"/>
        </w:trPr>
        <w:tc>
          <w:tcPr>
            <w:tcW w:w="2340" w:type="dxa"/>
            <w:vAlign w:val="bottom"/>
            <w:gridSpan w:val="6"/>
          </w:tcPr>
          <w:p>
            <w:pPr>
              <w:spacing w:after="0"/>
              <w:rPr>
                <w:sz w:val="20"/>
                <w:szCs w:val="20"/>
                <w:color w:val="auto"/>
              </w:rPr>
            </w:pPr>
            <w:r>
              <w:rPr>
                <w:rFonts w:ascii="Arial" w:cs="Arial" w:eastAsia="Arial" w:hAnsi="Arial"/>
                <w:sz w:val="16"/>
                <w:szCs w:val="16"/>
                <w:b w:val="1"/>
                <w:bCs w:val="1"/>
                <w:color w:val="auto"/>
              </w:rPr>
              <w:t>Preferred 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Maven Research, Inc.–</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Maven Research, Inc.–</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gridSpan w:val="6"/>
            <w:vMerge w:val="restart"/>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4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87"/>
              </w:rPr>
              <w:t>—</w:t>
            </w: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Ozy Media, Inc.–Preferred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shares, Series C-2 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683,482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Ozy Media, Inc.–Preferred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shares, Series B 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Ozy Media, Inc.–Preferred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shares, Series A 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Ozy Media, Inc.–Preferred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shares, Series Seed 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gridSpan w:val="6"/>
            <w:vMerge w:val="restart"/>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4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87"/>
              </w:rPr>
              <w:t>—</w:t>
            </w: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340" w:type="dxa"/>
            <w:vAlign w:val="bottom"/>
            <w:gridSpan w:val="6"/>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40" w:type="dxa"/>
            <w:vAlign w:val="bottom"/>
            <w:gridSpan w:val="6"/>
          </w:tcPr>
          <w:p>
            <w:pPr>
              <w:ind w:left="360"/>
              <w:spacing w:after="0"/>
              <w:rPr>
                <w:sz w:val="20"/>
                <w:szCs w:val="20"/>
                <w:color w:val="auto"/>
              </w:rPr>
            </w:pPr>
            <w:r>
              <w:rPr>
                <w:rFonts w:ascii="Arial" w:cs="Arial" w:eastAsia="Arial" w:hAnsi="Arial"/>
                <w:sz w:val="16"/>
                <w:szCs w:val="16"/>
                <w:color w:val="auto"/>
              </w:rPr>
              <w:t>StormWind, LLC–Preferred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gridSpan w:val="6"/>
          </w:tcPr>
          <w:p>
            <w:pPr>
              <w:ind w:left="360"/>
              <w:spacing w:after="0" w:line="247" w:lineRule="exact"/>
              <w:rPr>
                <w:sz w:val="20"/>
                <w:szCs w:val="20"/>
                <w:color w:val="auto"/>
              </w:rPr>
            </w:pPr>
            <w:r>
              <w:rPr>
                <w:rFonts w:ascii="Arial" w:cs="Arial" w:eastAsia="Arial" w:hAnsi="Arial"/>
                <w:sz w:val="16"/>
                <w:szCs w:val="16"/>
                <w:color w:val="auto"/>
              </w:rPr>
              <w:t>shares, Series D 8%</w:t>
            </w:r>
            <w:r>
              <w:rPr>
                <w:rFonts w:ascii="Arial" w:cs="Arial" w:eastAsia="Arial" w:hAnsi="Arial"/>
                <w:sz w:val="26"/>
                <w:szCs w:val="26"/>
                <w:color w:val="auto"/>
                <w:vertAlign w:val="superscript"/>
              </w:rPr>
              <w:t>(5)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329,337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621,093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(87,664)</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533,429</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190"/>
        </w:trPr>
        <w:tc>
          <w:tcPr>
            <w:tcW w:w="2340" w:type="dxa"/>
            <w:vAlign w:val="bottom"/>
            <w:gridSpan w:val="6"/>
            <w:shd w:val="clear" w:color="auto" w:fill="CCEEFF"/>
          </w:tcPr>
          <w:p>
            <w:pPr>
              <w:ind w:left="360"/>
              <w:spacing w:after="0"/>
              <w:rPr>
                <w:sz w:val="20"/>
                <w:szCs w:val="20"/>
                <w:color w:val="auto"/>
              </w:rPr>
            </w:pPr>
            <w:r>
              <w:rPr>
                <w:rFonts w:ascii="Arial" w:cs="Arial" w:eastAsia="Arial" w:hAnsi="Arial"/>
                <w:sz w:val="16"/>
                <w:szCs w:val="16"/>
                <w:color w:val="auto"/>
              </w:rPr>
              <w:t>StormWind, LLC–Preferred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2,779,134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6,496,729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(821,648)</w:t>
            </w:r>
          </w:p>
        </w:tc>
        <w:tc>
          <w:tcPr>
            <w:tcW w:w="1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98"/>
              </w:rPr>
              <w:t>5,675,081</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28"/>
        </w:trPr>
        <w:tc>
          <w:tcPr>
            <w:tcW w:w="2340" w:type="dxa"/>
            <w:vAlign w:val="bottom"/>
            <w:gridSpan w:val="6"/>
            <w:vMerge w:val="restart"/>
            <w:shd w:val="clear" w:color="auto" w:fill="CCEEFF"/>
          </w:tcPr>
          <w:p>
            <w:pPr>
              <w:ind w:left="360"/>
              <w:spacing w:after="0" w:line="247" w:lineRule="exact"/>
              <w:rPr>
                <w:sz w:val="20"/>
                <w:szCs w:val="20"/>
                <w:color w:val="auto"/>
              </w:rPr>
            </w:pPr>
            <w:r>
              <w:rPr>
                <w:rFonts w:ascii="Arial" w:cs="Arial" w:eastAsia="Arial" w:hAnsi="Arial"/>
                <w:sz w:val="16"/>
                <w:szCs w:val="16"/>
                <w:color w:val="auto"/>
              </w:rPr>
              <w:t>shares, Series C 8%</w:t>
            </w:r>
            <w:r>
              <w:rPr>
                <w:rFonts w:ascii="Arial" w:cs="Arial" w:eastAsia="Arial" w:hAnsi="Arial"/>
                <w:sz w:val="26"/>
                <w:szCs w:val="26"/>
                <w:color w:val="auto"/>
                <w:vertAlign w:val="superscript"/>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40" w:type="dxa"/>
            <w:vAlign w:val="bottom"/>
            <w:gridSpan w:val="6"/>
            <w:vMerge w:val="continue"/>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40" w:type="dxa"/>
            <w:vAlign w:val="bottom"/>
          </w:tcPr>
          <w:p>
            <w:pPr>
              <w:ind w:left="360"/>
              <w:spacing w:after="0"/>
              <w:rPr>
                <w:sz w:val="20"/>
                <w:szCs w:val="20"/>
                <w:color w:val="auto"/>
              </w:rPr>
            </w:pPr>
            <w:r>
              <w:rPr>
                <w:rFonts w:ascii="Arial" w:cs="Arial" w:eastAsia="Arial" w:hAnsi="Arial"/>
                <w:sz w:val="16"/>
                <w:szCs w:val="16"/>
                <w:color w:val="auto"/>
              </w:rPr>
              <w:t>StormWind, LLC–Preferred</w:t>
            </w:r>
          </w:p>
        </w:tc>
        <w:tc>
          <w:tcPr>
            <w:tcW w:w="820" w:type="dxa"/>
            <w:vAlign w:val="bottom"/>
          </w:tcPr>
          <w:p>
            <w:pPr>
              <w:jc w:val="right"/>
              <w:spacing w:after="0"/>
              <w:rPr>
                <w:sz w:val="20"/>
                <w:szCs w:val="20"/>
                <w:color w:val="auto"/>
              </w:rPr>
            </w:pPr>
            <w:r>
              <w:rPr>
                <w:rFonts w:ascii="Arial" w:cs="Arial" w:eastAsia="Arial" w:hAnsi="Arial"/>
                <w:sz w:val="16"/>
                <w:szCs w:val="16"/>
                <w:color w:val="auto"/>
              </w:rPr>
              <w:t>3,279,629</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4,423,607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(872,976)</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3,550,631</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40" w:type="dxa"/>
            <w:vAlign w:val="bottom"/>
          </w:tcPr>
          <w:p>
            <w:pPr>
              <w:ind w:left="360"/>
              <w:spacing w:after="0" w:line="247" w:lineRule="exact"/>
              <w:rPr>
                <w:sz w:val="20"/>
                <w:szCs w:val="20"/>
                <w:color w:val="auto"/>
              </w:rPr>
            </w:pPr>
            <w:r>
              <w:rPr>
                <w:rFonts w:ascii="Arial" w:cs="Arial" w:eastAsia="Arial" w:hAnsi="Arial"/>
                <w:sz w:val="16"/>
                <w:szCs w:val="16"/>
                <w:color w:val="auto"/>
              </w:rPr>
              <w:t>shares, Series B 8%</w:t>
            </w:r>
            <w:r>
              <w:rPr>
                <w:rFonts w:ascii="Arial" w:cs="Arial" w:eastAsia="Arial" w:hAnsi="Arial"/>
                <w:sz w:val="26"/>
                <w:szCs w:val="26"/>
                <w:color w:val="auto"/>
                <w:vertAlign w:val="superscript"/>
              </w:rPr>
              <w:t>(5)</w:t>
            </w: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StormWind, LLC–Preferred</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40" w:type="dxa"/>
            <w:vAlign w:val="bottom"/>
            <w:shd w:val="clear" w:color="auto" w:fill="CCEEFF"/>
          </w:tcPr>
          <w:p>
            <w:pPr>
              <w:ind w:left="360"/>
              <w:spacing w:after="0" w:line="261" w:lineRule="exact"/>
              <w:rPr>
                <w:sz w:val="20"/>
                <w:szCs w:val="20"/>
                <w:color w:val="auto"/>
              </w:rPr>
            </w:pPr>
            <w:r>
              <w:rPr>
                <w:rFonts w:ascii="Arial" w:cs="Arial" w:eastAsia="Arial" w:hAnsi="Arial"/>
                <w:sz w:val="16"/>
                <w:szCs w:val="16"/>
                <w:color w:val="auto"/>
              </w:rPr>
              <w:t>shares, Series A 8%</w:t>
            </w:r>
            <w:r>
              <w:rPr>
                <w:rFonts w:ascii="Arial" w:cs="Arial" w:eastAsia="Arial" w:hAnsi="Arial"/>
                <w:sz w:val="26"/>
                <w:szCs w:val="26"/>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366,666</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289,293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(97,599)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191,694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ind w:left="260"/>
              <w:spacing w:after="0"/>
              <w:rPr>
                <w:sz w:val="20"/>
                <w:szCs w:val="20"/>
                <w:color w:val="auto"/>
              </w:rPr>
            </w:pPr>
            <w:r>
              <w:rPr>
                <w:rFonts w:ascii="Arial" w:cs="Arial" w:eastAsia="Arial" w:hAnsi="Arial"/>
                <w:sz w:val="16"/>
                <w:szCs w:val="16"/>
                <w:color w:val="auto"/>
                <w:w w:val="87"/>
              </w:rPr>
              <w:t>—</w:t>
            </w: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11,830,722</w:t>
            </w: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(1,879,887)</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9,950,835</w:t>
            </w:r>
          </w:p>
        </w:tc>
        <w:tc>
          <w:tcPr>
            <w:tcW w:w="100" w:type="dxa"/>
            <w:vAlign w:val="bottom"/>
            <w:vMerge w:val="continue"/>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11,830,722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(1,879,887)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9,950,835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Options</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Ozy Media, Inc.–Common</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Warrants, Strike Price $0.01,</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Expiration Date 4/9/2028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295,565</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OneValley, Inc. (f/k/a</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NestGSV, Inc.)–Preferred</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Warrant Series B, Strike Price</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$2.31, Expiration Date</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5/29/2022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(70,379)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360"/>
              <w:spacing w:after="0"/>
              <w:rPr>
                <w:sz w:val="20"/>
                <w:szCs w:val="20"/>
                <w:color w:val="auto"/>
              </w:rPr>
            </w:pPr>
            <w:r>
              <w:rPr>
                <w:rFonts w:ascii="Arial" w:cs="Arial" w:eastAsia="Arial" w:hAnsi="Arial"/>
                <w:sz w:val="16"/>
                <w:szCs w:val="16"/>
                <w:color w:val="auto"/>
              </w:rPr>
              <w:t>OneValley, Inc. (f/k/a</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360"/>
              <w:spacing w:after="0"/>
              <w:rPr>
                <w:sz w:val="20"/>
                <w:szCs w:val="20"/>
                <w:color w:val="auto"/>
              </w:rPr>
            </w:pPr>
            <w:r>
              <w:rPr>
                <w:rFonts w:ascii="Arial" w:cs="Arial" w:eastAsia="Arial" w:hAnsi="Arial"/>
                <w:sz w:val="16"/>
                <w:szCs w:val="16"/>
                <w:color w:val="auto"/>
              </w:rPr>
              <w:t>NestGSV, Inc.)–Preferred</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360"/>
              <w:spacing w:after="0"/>
              <w:rPr>
                <w:sz w:val="20"/>
                <w:szCs w:val="20"/>
                <w:color w:val="auto"/>
              </w:rPr>
            </w:pPr>
            <w:r>
              <w:rPr>
                <w:rFonts w:ascii="Arial" w:cs="Arial" w:eastAsia="Arial" w:hAnsi="Arial"/>
                <w:sz w:val="16"/>
                <w:szCs w:val="16"/>
                <w:color w:val="auto"/>
                <w:w w:val="96"/>
              </w:rPr>
              <w:t>Warrant Series B, Strike Price</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360"/>
              <w:spacing w:after="0"/>
              <w:rPr>
                <w:sz w:val="20"/>
                <w:szCs w:val="20"/>
                <w:color w:val="auto"/>
              </w:rPr>
            </w:pPr>
            <w:r>
              <w:rPr>
                <w:rFonts w:ascii="Arial" w:cs="Arial" w:eastAsia="Arial" w:hAnsi="Arial"/>
                <w:sz w:val="16"/>
                <w:szCs w:val="16"/>
                <w:color w:val="auto"/>
              </w:rPr>
              <w:t>$2.31, Expiration Date</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360"/>
              <w:spacing w:after="0"/>
              <w:rPr>
                <w:sz w:val="20"/>
                <w:szCs w:val="20"/>
                <w:color w:val="auto"/>
              </w:rPr>
            </w:pPr>
            <w:r>
              <w:rPr>
                <w:rFonts w:ascii="Arial" w:cs="Arial" w:eastAsia="Arial" w:hAnsi="Arial"/>
                <w:sz w:val="16"/>
                <w:szCs w:val="16"/>
                <w:color w:val="auto"/>
              </w:rPr>
              <w:t>12/31/2023</w:t>
            </w:r>
          </w:p>
        </w:tc>
        <w:tc>
          <w:tcPr>
            <w:tcW w:w="820" w:type="dxa"/>
            <w:vAlign w:val="bottom"/>
          </w:tcPr>
          <w:p>
            <w:pPr>
              <w:jc w:val="right"/>
              <w:spacing w:after="0"/>
              <w:rPr>
                <w:sz w:val="20"/>
                <w:szCs w:val="20"/>
                <w:color w:val="auto"/>
              </w:rPr>
            </w:pPr>
            <w:r>
              <w:rPr>
                <w:rFonts w:ascii="Arial" w:cs="Arial" w:eastAsia="Arial" w:hAnsi="Arial"/>
                <w:sz w:val="16"/>
                <w:szCs w:val="16"/>
                <w:color w:val="auto"/>
              </w:rPr>
              <w:t>250,000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
        </w:trPr>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OneValley, Inc. (f/k/a</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NestGSV, Inc.)–Derivative</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Security, Expiration Date</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40" w:type="dxa"/>
            <w:vAlign w:val="bottom"/>
            <w:shd w:val="clear" w:color="auto" w:fill="CCEEFF"/>
          </w:tcPr>
          <w:p>
            <w:pPr>
              <w:ind w:left="360"/>
              <w:spacing w:after="0" w:line="261" w:lineRule="exact"/>
              <w:rPr>
                <w:sz w:val="20"/>
                <w:szCs w:val="20"/>
                <w:color w:val="auto"/>
              </w:rPr>
            </w:pPr>
            <w:r>
              <w:rPr>
                <w:rFonts w:ascii="Arial" w:cs="Arial" w:eastAsia="Arial" w:hAnsi="Arial"/>
                <w:sz w:val="16"/>
                <w:szCs w:val="16"/>
                <w:color w:val="auto"/>
              </w:rPr>
              <w:t>8/23/2024</w:t>
            </w:r>
            <w:r>
              <w:rPr>
                <w:rFonts w:ascii="Arial" w:cs="Arial" w:eastAsia="Arial" w:hAnsi="Arial"/>
                <w:sz w:val="26"/>
                <w:szCs w:val="26"/>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2,268,268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(1,616,141)</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652,127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180"/>
              <w:spacing w:after="0"/>
              <w:rPr>
                <w:sz w:val="20"/>
                <w:szCs w:val="20"/>
                <w:color w:val="auto"/>
              </w:rPr>
            </w:pPr>
            <w:r>
              <w:rPr>
                <w:rFonts w:ascii="Arial" w:cs="Arial" w:eastAsia="Arial" w:hAnsi="Arial"/>
                <w:sz w:val="16"/>
                <w:szCs w:val="16"/>
                <w:i w:val="1"/>
                <w:iCs w:val="1"/>
                <w:color w:val="auto"/>
                <w:w w:val="97"/>
              </w:rPr>
              <w:t>Total Global Innovation Platform</w:t>
            </w: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ind w:left="260"/>
              <w:spacing w:after="0"/>
              <w:rPr>
                <w:sz w:val="20"/>
                <w:szCs w:val="20"/>
                <w:color w:val="auto"/>
              </w:rPr>
            </w:pPr>
            <w:r>
              <w:rPr>
                <w:rFonts w:ascii="Arial" w:cs="Arial" w:eastAsia="Arial" w:hAnsi="Arial"/>
                <w:sz w:val="16"/>
                <w:szCs w:val="16"/>
                <w:color w:val="auto"/>
                <w:w w:val="87"/>
              </w:rPr>
              <w:t>—</w:t>
            </w: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2,273,268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(70,379)</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(1,550,762)</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652,127</w:t>
            </w:r>
          </w:p>
        </w:tc>
        <w:tc>
          <w:tcPr>
            <w:tcW w:w="100" w:type="dxa"/>
            <w:vAlign w:val="bottom"/>
            <w:vMerge w:val="continue"/>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Options</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2,273,268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(70,379)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(1,550,762)</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652,127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6"/>
                <w:szCs w:val="16"/>
                <w:b w:val="1"/>
                <w:bCs w:val="1"/>
                <w:color w:val="auto"/>
              </w:rPr>
              <w:t>Common Stock</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Online Education</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360"/>
              <w:spacing w:after="0"/>
              <w:rPr>
                <w:sz w:val="20"/>
                <w:szCs w:val="20"/>
                <w:color w:val="auto"/>
              </w:rPr>
            </w:pPr>
            <w:r>
              <w:rPr>
                <w:rFonts w:ascii="Arial" w:cs="Arial" w:eastAsia="Arial" w:hAnsi="Arial"/>
                <w:sz w:val="16"/>
                <w:szCs w:val="16"/>
                <w:color w:val="auto"/>
              </w:rPr>
              <w:t>Curious.com, Inc.–Common</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360"/>
              <w:spacing w:after="0"/>
              <w:rPr>
                <w:sz w:val="20"/>
                <w:szCs w:val="20"/>
                <w:color w:val="auto"/>
              </w:rPr>
            </w:pPr>
            <w:r>
              <w:rPr>
                <w:rFonts w:ascii="Arial" w:cs="Arial" w:eastAsia="Arial" w:hAnsi="Arial"/>
                <w:sz w:val="16"/>
                <w:szCs w:val="16"/>
                <w:color w:val="auto"/>
              </w:rPr>
              <w:t>shares</w:t>
            </w:r>
          </w:p>
        </w:tc>
        <w:tc>
          <w:tcPr>
            <w:tcW w:w="820" w:type="dxa"/>
            <w:vAlign w:val="bottom"/>
          </w:tcPr>
          <w:p>
            <w:pPr>
              <w:jc w:val="right"/>
              <w:spacing w:after="0"/>
              <w:rPr>
                <w:sz w:val="20"/>
                <w:szCs w:val="20"/>
                <w:color w:val="auto"/>
              </w:rPr>
            </w:pPr>
            <w:r>
              <w:rPr>
                <w:rFonts w:ascii="Arial" w:cs="Arial" w:eastAsia="Arial" w:hAnsi="Arial"/>
                <w:sz w:val="16"/>
                <w:szCs w:val="16"/>
                <w:color w:val="auto"/>
              </w:rPr>
              <w:t>1,135,944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440" w:type="dxa"/>
            <w:vAlign w:val="bottom"/>
            <w:tcBorders>
              <w:top w:val="single" w:sz="8" w:color="CCEEFF"/>
            </w:tcBorders>
          </w:tcPr>
          <w:p>
            <w:pPr>
              <w:spacing w:after="0" w:line="161" w:lineRule="exact"/>
              <w:rPr>
                <w:sz w:val="20"/>
                <w:szCs w:val="20"/>
                <w:color w:val="auto"/>
              </w:rPr>
            </w:pPr>
            <w:r>
              <w:rPr>
                <w:rFonts w:ascii="Arial" w:cs="Arial" w:eastAsia="Arial" w:hAnsi="Arial"/>
                <w:sz w:val="16"/>
                <w:szCs w:val="16"/>
                <w:b w:val="1"/>
                <w:bCs w:val="1"/>
                <w:color w:val="auto"/>
              </w:rPr>
              <w:t>TOTAL NON-</w:t>
            </w:r>
          </w:p>
        </w:tc>
        <w:tc>
          <w:tcPr>
            <w:tcW w:w="8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20"/>
                <w:szCs w:val="20"/>
                <w:color w:val="auto"/>
              </w:rPr>
            </w:pPr>
            <w:r>
              <w:rPr>
                <w:rFonts w:ascii="Arial" w:cs="Arial" w:eastAsia="Arial" w:hAnsi="Arial"/>
                <w:sz w:val="16"/>
                <w:szCs w:val="16"/>
                <w:b w:val="1"/>
                <w:bCs w:val="1"/>
                <w:color w:val="auto"/>
              </w:rPr>
              <w:t>CONTROLLED/AFFILIATE</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9"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2"/>
                <w:szCs w:val="22"/>
                <w:b w:val="1"/>
                <w:bCs w:val="1"/>
                <w:color w:val="auto"/>
                <w:vertAlign w:val="superscript"/>
              </w:rPr>
              <w:t>(1)</w:t>
            </w:r>
          </w:p>
        </w:tc>
        <w:tc>
          <w:tcPr>
            <w:tcW w:w="820" w:type="dxa"/>
            <w:vAlign w:val="bottom"/>
          </w:tcPr>
          <w:p>
            <w:pPr>
              <w:spacing w:after="0"/>
              <w:rPr>
                <w:sz w:val="17"/>
                <w:szCs w:val="17"/>
                <w:color w:val="auto"/>
              </w:rPr>
            </w:pPr>
          </w:p>
        </w:tc>
        <w:tc>
          <w:tcPr>
            <w:tcW w:w="36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14,609,089</w:t>
            </w:r>
          </w:p>
        </w:tc>
        <w:tc>
          <w:tcPr>
            <w:tcW w:w="60" w:type="dxa"/>
            <w:vAlign w:val="bottom"/>
          </w:tcPr>
          <w:p>
            <w:pPr>
              <w:spacing w:after="0"/>
              <w:rPr>
                <w:sz w:val="17"/>
                <w:szCs w:val="17"/>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87"/>
              </w:rPr>
              <w:t>—</w:t>
            </w:r>
          </w:p>
        </w:tc>
        <w:tc>
          <w:tcPr>
            <w:tcW w:w="52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w:t>
            </w:r>
          </w:p>
        </w:tc>
        <w:tc>
          <w:tcPr>
            <w:tcW w:w="480" w:type="dxa"/>
            <w:vAlign w:val="bottom"/>
            <w:vMerge w:val="restart"/>
          </w:tcPr>
          <w:p>
            <w:pPr>
              <w:ind w:left="320"/>
              <w:spacing w:after="0"/>
              <w:rPr>
                <w:sz w:val="20"/>
                <w:szCs w:val="20"/>
                <w:color w:val="auto"/>
              </w:rPr>
            </w:pPr>
            <w:r>
              <w:rPr>
                <w:rFonts w:ascii="Arial" w:cs="Arial" w:eastAsia="Arial" w:hAnsi="Arial"/>
                <w:sz w:val="16"/>
                <w:szCs w:val="16"/>
                <w:b w:val="1"/>
                <w:bCs w:val="1"/>
                <w:color w:val="auto"/>
                <w:w w:val="87"/>
              </w:rPr>
              <w:t>—</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87"/>
              </w:rPr>
              <w:t>—</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7"/>
              </w:rPr>
              <w:t>12,591,162</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6.00</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4"/>
              </w:rPr>
              <w:t>%</w:t>
            </w:r>
          </w:p>
        </w:tc>
        <w:tc>
          <w:tcPr>
            <w:tcW w:w="0" w:type="dxa"/>
            <w:vAlign w:val="bottom"/>
          </w:tcPr>
          <w:p>
            <w:pPr>
              <w:spacing w:after="0"/>
              <w:rPr>
                <w:sz w:val="1"/>
                <w:szCs w:val="1"/>
                <w:color w:val="auto"/>
              </w:rPr>
            </w:pPr>
          </w:p>
        </w:tc>
      </w:tr>
      <w:tr>
        <w:trPr>
          <w:trHeight w:val="80"/>
        </w:trPr>
        <w:tc>
          <w:tcPr>
            <w:tcW w:w="2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0" w:type="dxa"/>
            <w:vAlign w:val="bottom"/>
            <w:gridSpan w:val="2"/>
          </w:tcPr>
          <w:p>
            <w:pPr>
              <w:jc w:val="right"/>
              <w:ind w:right="120"/>
              <w:spacing w:after="0" w:line="80" w:lineRule="exact"/>
              <w:rPr>
                <w:sz w:val="20"/>
                <w:szCs w:val="20"/>
                <w:color w:val="auto"/>
              </w:rPr>
            </w:pPr>
            <w:r>
              <w:rPr>
                <w:rFonts w:ascii="Arial" w:cs="Arial" w:eastAsia="Arial" w:hAnsi="Arial"/>
                <w:sz w:val="9"/>
                <w:szCs w:val="9"/>
                <w:b w:val="1"/>
                <w:bCs w:val="1"/>
                <w:color w:val="auto"/>
              </w:rPr>
              <w:t>(70,379</w:t>
            </w:r>
          </w:p>
        </w:tc>
        <w:tc>
          <w:tcPr>
            <w:tcW w:w="200" w:type="dxa"/>
            <w:vAlign w:val="bottom"/>
            <w:vMerge w:val="continue"/>
          </w:tcPr>
          <w:p>
            <w:pPr>
              <w:spacing w:after="0"/>
              <w:rPr>
                <w:sz w:val="6"/>
                <w:szCs w:val="6"/>
                <w:color w:val="auto"/>
              </w:rPr>
            </w:pPr>
          </w:p>
        </w:tc>
        <w:tc>
          <w:tcPr>
            <w:tcW w:w="900" w:type="dxa"/>
            <w:vAlign w:val="bottom"/>
            <w:gridSpan w:val="2"/>
          </w:tcPr>
          <w:p>
            <w:pPr>
              <w:jc w:val="right"/>
              <w:ind w:right="120"/>
              <w:spacing w:after="0" w:line="80" w:lineRule="exact"/>
              <w:rPr>
                <w:sz w:val="20"/>
                <w:szCs w:val="20"/>
                <w:color w:val="auto"/>
              </w:rPr>
            </w:pPr>
            <w:r>
              <w:rPr>
                <w:rFonts w:ascii="Arial" w:cs="Arial" w:eastAsia="Arial" w:hAnsi="Arial"/>
                <w:sz w:val="9"/>
                <w:szCs w:val="9"/>
                <w:b w:val="1"/>
                <w:bCs w:val="1"/>
                <w:color w:val="auto"/>
              </w:rPr>
              <w:t>(1,947,548</w:t>
            </w:r>
          </w:p>
        </w:tc>
        <w:tc>
          <w:tcPr>
            <w:tcW w:w="1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jc w:val="both"/>
        <w:ind w:left="640" w:hanging="634"/>
        <w:spacing w:after="0" w:line="306" w:lineRule="auto"/>
        <w:tabs>
          <w:tab w:leader="none" w:pos="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640" w:hanging="634"/>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1940 Act. Of the Company’s total investments as of December 31, 2022, 14.47% of its total investments are non-qualifying assets.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17" w:lineRule="exact"/>
        <w:rPr>
          <w:sz w:val="20"/>
          <w:szCs w:val="20"/>
          <w:color w:val="auto"/>
        </w:rPr>
      </w:pPr>
    </w:p>
    <w:p>
      <w:pPr>
        <w:jc w:val="both"/>
        <w:ind w:left="640" w:hanging="634"/>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188"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90" w:lineRule="exact"/>
        <w:rPr>
          <w:rFonts w:ascii="Arial" w:cs="Arial" w:eastAsia="Arial" w:hAnsi="Arial"/>
          <w:sz w:val="18"/>
          <w:szCs w:val="18"/>
          <w:color w:val="auto"/>
        </w:rPr>
      </w:pPr>
    </w:p>
    <w:p>
      <w:pPr>
        <w:ind w:left="640" w:hanging="63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2022, the investments noted had been placed on non-accrual status.</w:t>
      </w:r>
    </w:p>
    <w:p>
      <w:pPr>
        <w:spacing w:after="0" w:line="217"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SuRo Capital Corp.’s investments in StormWind, LLC are held through SuRo Capital Corp.’s wholly owned subsidiary, GSVC SW Holdings, Inc.</w:t>
      </w:r>
    </w:p>
    <w:p>
      <w:pPr>
        <w:spacing w:after="0" w:line="251"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90" w:lineRule="exact"/>
        <w:rPr>
          <w:rFonts w:ascii="Arial" w:cs="Arial" w:eastAsia="Arial" w:hAnsi="Arial"/>
          <w:sz w:val="18"/>
          <w:szCs w:val="18"/>
          <w:color w:val="auto"/>
        </w:rPr>
      </w:pPr>
    </w:p>
    <w:p>
      <w:pPr>
        <w:ind w:left="640" w:hanging="634"/>
        <w:spacing w:after="0" w:line="365"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 On August 7, 2023, the Company’s Board of Directors authorized an extension of, and an increase in the amount of shares of the Company’s common stock that may be repurchased under, the discretionary Share Repurchase Program until the earlier of (i) October 31, 2024 or (ii) the repurchase of $60.0 million in aggregate amount of the Company’s common stock.</w:t>
      </w:r>
    </w:p>
    <w:p>
      <w:pPr>
        <w:spacing w:after="0" w:line="376"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94"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During the three and nine months ended September 30, 2023, the Company repurchased 186,493 of the Company’s common stock under the Share Repurchase Program. During the three and nine months ended September 30, 2022, the Company repurchased 0 and 1,008,676 shares, respectively, of the Company’s common stock under the Share Repurchase Program. As of September 30, 2023, the dollar value of shares that remained available to be purchased by the Company under the Share Repurchase Program was approximately $20.7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March 17, 2023, the Company commenced a modified “Dutch Auction” tender offer (the “Modified Dutch Auction Tender Offer”) to purchase up to 3,000,000 shares of its common stock from its stockholders, which expired on April 17, 2023. In accordance with the terms of the Modified Dutch Auction Tender Offer, the Company selected the lowest price per share of not less than $3.00 per share and not greater than $4.50 per share.</w:t>
      </w:r>
    </w:p>
    <w:p>
      <w:pPr>
        <w:spacing w:after="0" w:line="1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Modified Dutch Auction Tender Offer, the Company repurchased 3,000,000 shares, representing 10.6% of its outstanding shares, on or about April 21, 2023 at a price of $4.50 per share. The Company used available cash to fund the purchase of its shares of common stock in the Modified Dutch Auction Tender Offer and to pay for all related fees and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2019 Equity Incentive Plan</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three and nine months ended September 30, 2023, the Company did not issue or sell shares under the ATM program. During the three and nine months ended September 30, 2022, the Company issued and sold 0 and 17,807 shares, respectively, under the ATM Program at weighted-average price of $13.01 per share, for gross proceeds of $231,677 and net proceeds of $229,896, after deducting commissions to the Agents on Shares sold. As of September 30, 2023, up to approximately $98.8 million in aggregate amount of the Shares remain available for sale under the ATM Program.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23" w:lineRule="exact"/>
        <w:rPr>
          <w:sz w:val="20"/>
          <w:szCs w:val="20"/>
          <w:color w:val="auto"/>
        </w:rPr>
      </w:pPr>
    </w:p>
    <w:p>
      <w:pPr>
        <w:ind w:firstLine="358"/>
        <w:spacing w:after="0" w:line="264" w:lineRule="auto"/>
        <w:rPr>
          <w:sz w:val="20"/>
          <w:szCs w:val="20"/>
          <w:color w:val="auto"/>
        </w:rPr>
      </w:pPr>
      <w:r>
        <w:rPr>
          <w:rFonts w:ascii="Arial" w:cs="Arial" w:eastAsia="Arial" w:hAnsi="Arial"/>
          <w:sz w:val="18"/>
          <w:szCs w:val="18"/>
          <w:color w:val="auto"/>
        </w:rPr>
        <w:t>The following information sets forth the computation of basic and diluted net change in net assets resulting from operations per common share, pursuant to ASC 260, for the three and nine months ended September 30, 2023 and 2022.</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gridSpan w:val="5"/>
          </w:tcPr>
          <w:p>
            <w:pPr>
              <w:jc w:val="right"/>
              <w:ind w:right="963"/>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72"/>
        </w:trPr>
        <w:tc>
          <w:tcPr>
            <w:tcW w:w="4280" w:type="dxa"/>
            <w:vAlign w:val="bottom"/>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40"/>
        </w:trPr>
        <w:tc>
          <w:tcPr>
            <w:tcW w:w="266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212"/>
        </w:trPr>
        <w:tc>
          <w:tcPr>
            <w:tcW w:w="4280" w:type="dxa"/>
            <w:vAlign w:val="bottom"/>
            <w:gridSpan w:val="3"/>
          </w:tcPr>
          <w:p>
            <w:pPr>
              <w:spacing w:after="0"/>
              <w:rPr>
                <w:sz w:val="20"/>
                <w:szCs w:val="20"/>
                <w:color w:val="auto"/>
              </w:rPr>
            </w:pPr>
            <w:r>
              <w:rPr>
                <w:rFonts w:ascii="Arial" w:cs="Arial" w:eastAsia="Arial" w:hAnsi="Arial"/>
                <w:sz w:val="18"/>
                <w:szCs w:val="18"/>
                <w:color w:val="auto"/>
              </w:rPr>
              <w:t>Net change in net assets resulting from operations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25,193,360</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3"/>
              <w:spacing w:after="0"/>
              <w:rPr>
                <w:sz w:val="20"/>
                <w:szCs w:val="20"/>
                <w:color w:val="auto"/>
              </w:rPr>
            </w:pPr>
            <w:r>
              <w:rPr>
                <w:rFonts w:ascii="Arial" w:cs="Arial" w:eastAsia="Arial" w:hAnsi="Arial"/>
                <w:sz w:val="18"/>
                <w:szCs w:val="18"/>
                <w:color w:val="auto"/>
              </w:rPr>
              <w:t>(45,902,250)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14,189,845</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(119,785,483)</w:t>
            </w:r>
          </w:p>
        </w:tc>
      </w:tr>
      <w:tr>
        <w:trPr>
          <w:trHeight w:val="245"/>
        </w:trPr>
        <w:tc>
          <w:tcPr>
            <w:tcW w:w="4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Weighted-average common shares–basic</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25,351,306</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29,781,801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26,549,672</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30,542,611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52"/>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0.99</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gridSpan w:val="2"/>
          </w:tcPr>
          <w:p>
            <w:pPr>
              <w:jc w:val="right"/>
              <w:ind w:right="40"/>
              <w:spacing w:after="0"/>
              <w:rPr>
                <w:sz w:val="20"/>
                <w:szCs w:val="20"/>
                <w:color w:val="auto"/>
              </w:rPr>
            </w:pPr>
            <w:r>
              <w:rPr>
                <w:rFonts w:ascii="Arial" w:cs="Arial" w:eastAsia="Arial" w:hAnsi="Arial"/>
                <w:sz w:val="15"/>
                <w:szCs w:val="15"/>
                <w:color w:val="auto"/>
                <w:w w:val="79"/>
              </w:rPr>
              <w:t>)</w:t>
            </w:r>
          </w:p>
        </w:tc>
      </w:tr>
      <w:tr>
        <w:trPr>
          <w:trHeight w:val="172"/>
        </w:trPr>
        <w:tc>
          <w:tcPr>
            <w:tcW w:w="2820" w:type="dxa"/>
            <w:vAlign w:val="bottom"/>
            <w:tcBorders>
              <w:top w:val="single" w:sz="8" w:color="CCEEFF"/>
              <w:bottom w:val="single" w:sz="8" w:color="auto"/>
            </w:tcBorders>
            <w:gridSpan w:val="2"/>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93"/>
              </w:rPr>
              <w:t>Earnings per common share–diluted:</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32"/>
        </w:trPr>
        <w:tc>
          <w:tcPr>
            <w:tcW w:w="4280" w:type="dxa"/>
            <w:vAlign w:val="bottom"/>
            <w:gridSpan w:val="3"/>
          </w:tcPr>
          <w:p>
            <w:pPr>
              <w:spacing w:after="0"/>
              <w:rPr>
                <w:sz w:val="20"/>
                <w:szCs w:val="20"/>
                <w:color w:val="auto"/>
              </w:rPr>
            </w:pPr>
            <w:r>
              <w:rPr>
                <w:rFonts w:ascii="Arial" w:cs="Arial" w:eastAsia="Arial" w:hAnsi="Arial"/>
                <w:sz w:val="18"/>
                <w:szCs w:val="18"/>
                <w:color w:val="auto"/>
              </w:rPr>
              <w:t>Net change in net assets resulting from operations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25,193,360</w:t>
            </w:r>
          </w:p>
        </w:tc>
        <w:tc>
          <w:tcPr>
            <w:tcW w:w="340" w:type="dxa"/>
            <w:vAlign w:val="bottom"/>
          </w:tcPr>
          <w:p>
            <w:pPr>
              <w:spacing w:after="0"/>
              <w:rPr>
                <w:sz w:val="20"/>
                <w:szCs w:val="20"/>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3"/>
              <w:spacing w:after="0"/>
              <w:rPr>
                <w:sz w:val="20"/>
                <w:szCs w:val="20"/>
                <w:color w:val="auto"/>
              </w:rPr>
            </w:pPr>
            <w:r>
              <w:rPr>
                <w:rFonts w:ascii="Arial" w:cs="Arial" w:eastAsia="Arial" w:hAnsi="Arial"/>
                <w:sz w:val="18"/>
                <w:szCs w:val="18"/>
                <w:color w:val="auto"/>
              </w:rPr>
              <w:t>(45,902,250)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14,189,845</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(119,785,483)</w:t>
            </w:r>
          </w:p>
        </w:tc>
      </w:tr>
      <w:tr>
        <w:trPr>
          <w:trHeight w:val="272"/>
        </w:trPr>
        <w:tc>
          <w:tcPr>
            <w:tcW w:w="4280" w:type="dxa"/>
            <w:vAlign w:val="bottom"/>
            <w:tcBorders>
              <w:top w:val="single" w:sz="8" w:color="CCEEFF"/>
              <w:bottom w:val="single" w:sz="8" w:color="CCEEFF"/>
            </w:tcBorders>
            <w:gridSpan w:val="3"/>
            <w:shd w:val="clear" w:color="auto" w:fill="CCEEFF"/>
          </w:tcPr>
          <w:p>
            <w:pPr>
              <w:spacing w:after="0" w:line="252" w:lineRule="exact"/>
              <w:rPr>
                <w:sz w:val="20"/>
                <w:szCs w:val="20"/>
                <w:color w:val="auto"/>
              </w:rPr>
            </w:pPr>
            <w:r>
              <w:rPr>
                <w:rFonts w:ascii="Arial" w:cs="Arial" w:eastAsia="Arial" w:hAnsi="Arial"/>
                <w:sz w:val="18"/>
                <w:szCs w:val="18"/>
                <w:color w:val="auto"/>
                <w:w w:val="91"/>
              </w:rPr>
              <w:t>Weighted-average common shares outstanding–diluted</w:t>
            </w:r>
            <w:r>
              <w:rPr>
                <w:rFonts w:ascii="Arial" w:cs="Arial" w:eastAsia="Arial" w:hAnsi="Arial"/>
                <w:sz w:val="29"/>
                <w:szCs w:val="29"/>
                <w:color w:val="auto"/>
                <w:w w:val="91"/>
                <w:vertAlign w:val="superscript"/>
              </w:rPr>
              <w:t>(1)</w:t>
            </w: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25,351,306</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29,781,801</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26,549,672</w:t>
            </w:r>
          </w:p>
        </w:tc>
        <w:tc>
          <w:tcPr>
            <w:tcW w:w="3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30,542,611</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1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0.99</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gridSpan w:val="2"/>
          </w:tcPr>
          <w:p>
            <w:pPr>
              <w:jc w:val="right"/>
              <w:ind w:right="40"/>
              <w:spacing w:after="0"/>
              <w:rPr>
                <w:sz w:val="20"/>
                <w:szCs w:val="20"/>
                <w:color w:val="auto"/>
              </w:rPr>
            </w:pPr>
            <w:r>
              <w:rPr>
                <w:rFonts w:ascii="Arial" w:cs="Arial" w:eastAsia="Arial" w:hAnsi="Arial"/>
                <w:sz w:val="15"/>
                <w:szCs w:val="15"/>
                <w:color w:val="auto"/>
                <w:w w:val="79"/>
              </w:rPr>
              <w:t>)</w:t>
            </w:r>
          </w:p>
        </w:tc>
      </w:tr>
      <w:tr>
        <w:trPr>
          <w:trHeight w:val="20"/>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640" w:hanging="634"/>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2023 and September 30, 2022, there were no potentially dilutive securities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3"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8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Related Deposits</w:t>
      </w:r>
    </w:p>
    <w:p>
      <w:pPr>
        <w:spacing w:after="0" w:line="217"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8"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As of September 30, 2023 and December 31, 2022, the Company booked a right-of-use asset and operating lease liability of $159,693 and $288,268, respectively, on the Condensed Consolidated Statement of Assets and Liabilities. As of September 30, 2023 and December 31, 2022, the Company recorded a security deposit of $16,574 and $16,574, respectively, on the Condensed Consolidated Statement of Assets and Liabilities. For the three months ended September 30, 2023 and 2022, the Company incurred $52,472 and $48,738, respectively, of operating lease expense. For the nine months ended September 30, 2023 and 2022, the Company incurred $151,637 and $143,459, respectively, of operating lease expense. The amounts reflected on the Condensed Consolidated Statement of Assets and Liabilities have been discounted using the rate implicit in the lease. As of September 30, 2023, the remaining lease term was 0.8 years and the discount rate was 3.00%.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20" w:type="dxa"/>
            <w:vAlign w:val="bottom"/>
            <w:gridSpan w:val="4"/>
          </w:tcPr>
          <w:p>
            <w:pPr>
              <w:ind w:left="360"/>
              <w:spacing w:after="0"/>
              <w:rPr>
                <w:sz w:val="20"/>
                <w:szCs w:val="20"/>
                <w:color w:val="auto"/>
              </w:rPr>
            </w:pPr>
            <w:r>
              <w:rPr>
                <w:rFonts w:ascii="Arial" w:cs="Arial" w:eastAsia="Arial" w:hAnsi="Arial"/>
                <w:sz w:val="18"/>
                <w:szCs w:val="18"/>
                <w:color w:val="auto"/>
                <w:w w:val="90"/>
              </w:rPr>
              <w:t>The following table shows future minimum payments under the Company’s operating lease as of September 30, 2023:</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920" w:type="dxa"/>
            <w:vAlign w:val="bottom"/>
            <w:gridSpan w:val="4"/>
          </w:tcPr>
          <w:p>
            <w:pPr>
              <w:ind w:left="1140"/>
              <w:spacing w:after="0"/>
              <w:rPr>
                <w:sz w:val="20"/>
                <w:szCs w:val="20"/>
                <w:color w:val="auto"/>
              </w:rPr>
            </w:pPr>
            <w:r>
              <w:rPr>
                <w:rFonts w:ascii="Arial" w:cs="Arial" w:eastAsia="Arial" w:hAnsi="Arial"/>
                <w:sz w:val="18"/>
                <w:szCs w:val="18"/>
                <w:b w:val="1"/>
                <w:bCs w:val="1"/>
                <w:color w:val="auto"/>
              </w:rPr>
              <w:t>For the Years Ended December 31,</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161,876</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jc w:val="right"/>
              <w:ind w:right="2692"/>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50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Basic Share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7.35</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9.24</w:t>
            </w:r>
          </w:p>
        </w:tc>
        <w:tc>
          <w:tcPr>
            <w:tcW w:w="4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7.39</w:t>
            </w:r>
          </w:p>
        </w:tc>
        <w:tc>
          <w:tcPr>
            <w:tcW w:w="54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rPr>
              <w:t>Net investment loss</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2"/>
        </w:trPr>
        <w:tc>
          <w:tcPr>
            <w:tcW w:w="4080" w:type="dxa"/>
            <w:vAlign w:val="bottom"/>
          </w:tcPr>
          <w:p>
            <w:pPr>
              <w:ind w:left="180"/>
              <w:spacing w:after="0" w:line="252" w:lineRule="exact"/>
              <w:rPr>
                <w:sz w:val="20"/>
                <w:szCs w:val="20"/>
                <w:color w:val="auto"/>
              </w:rPr>
            </w:pPr>
            <w:r>
              <w:rPr>
                <w:rFonts w:ascii="Arial" w:cs="Arial" w:eastAsia="Arial" w:hAnsi="Arial"/>
                <w:sz w:val="18"/>
                <w:szCs w:val="18"/>
                <w:color w:val="auto"/>
              </w:rPr>
              <w:t>Net realized gain/(loss) on investments</w:t>
            </w:r>
            <w:r>
              <w:rPr>
                <w:rFonts w:ascii="Arial" w:cs="Arial" w:eastAsia="Arial" w:hAnsi="Arial"/>
                <w:sz w:val="29"/>
                <w:szCs w:val="29"/>
                <w:color w:val="auto"/>
                <w:vertAlign w:val="superscript"/>
              </w:rPr>
              <w:t>(1)</w:t>
            </w:r>
          </w:p>
        </w:tc>
        <w:tc>
          <w:tcPr>
            <w:tcW w:w="3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unrealized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080" w:type="dxa"/>
            <w:vAlign w:val="bottom"/>
            <w:shd w:val="clear" w:color="auto" w:fill="CCEEFF"/>
          </w:tcPr>
          <w:p>
            <w:pPr>
              <w:ind w:left="180"/>
              <w:spacing w:after="0" w:line="262" w:lineRule="exact"/>
              <w:rPr>
                <w:sz w:val="20"/>
                <w:szCs w:val="20"/>
                <w:color w:val="auto"/>
              </w:rPr>
            </w:pPr>
            <w:r>
              <w:rPr>
                <w:rFonts w:ascii="Arial" w:cs="Arial" w:eastAsia="Arial" w:hAnsi="Arial"/>
                <w:sz w:val="18"/>
                <w:szCs w:val="18"/>
                <w:color w:val="auto"/>
              </w:rPr>
              <w:t>appreciation/(depreciation) of investments</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2"/>
        </w:trPr>
        <w:tc>
          <w:tcPr>
            <w:tcW w:w="4080" w:type="dxa"/>
            <w:vAlign w:val="bottom"/>
          </w:tcPr>
          <w:p>
            <w:pPr>
              <w:ind w:left="180"/>
              <w:spacing w:after="0"/>
              <w:rPr>
                <w:sz w:val="20"/>
                <w:szCs w:val="20"/>
                <w:color w:val="auto"/>
              </w:rPr>
            </w:pPr>
            <w:r>
              <w:rPr>
                <w:rFonts w:ascii="Arial" w:cs="Arial" w:eastAsia="Arial" w:hAnsi="Arial"/>
                <w:sz w:val="18"/>
                <w:szCs w:val="18"/>
                <w:color w:val="auto"/>
              </w:rPr>
              <w:t>Dividends declared</w:t>
            </w:r>
          </w:p>
        </w:tc>
        <w:tc>
          <w:tcPr>
            <w:tcW w:w="3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w w:val="98"/>
              </w:rPr>
              <w:t>Issuance of common stock from public offering</w:t>
            </w:r>
            <w:r>
              <w:rPr>
                <w:rFonts w:ascii="Arial" w:cs="Arial" w:eastAsia="Arial" w:hAnsi="Arial"/>
                <w:sz w:val="29"/>
                <w:szCs w:val="29"/>
                <w:color w:val="auto"/>
                <w:w w:val="98"/>
                <w:vertAlign w:val="superscript"/>
              </w:rPr>
              <w:t>(1)</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2"/>
        </w:trPr>
        <w:tc>
          <w:tcPr>
            <w:tcW w:w="4080" w:type="dxa"/>
            <w:vAlign w:val="bottom"/>
          </w:tcPr>
          <w:p>
            <w:pPr>
              <w:ind w:left="180"/>
              <w:spacing w:after="0" w:line="252" w:lineRule="exact"/>
              <w:rPr>
                <w:sz w:val="20"/>
                <w:szCs w:val="20"/>
                <w:color w:val="auto"/>
              </w:rPr>
            </w:pPr>
            <w:r>
              <w:rPr>
                <w:rFonts w:ascii="Arial" w:cs="Arial" w:eastAsia="Arial" w:hAnsi="Arial"/>
                <w:sz w:val="18"/>
                <w:szCs w:val="18"/>
                <w:color w:val="auto"/>
              </w:rPr>
              <w:t>Repurchase of common stock</w:t>
            </w:r>
            <w:r>
              <w:rPr>
                <w:rFonts w:ascii="Arial" w:cs="Arial" w:eastAsia="Arial" w:hAnsi="Arial"/>
                <w:sz w:val="29"/>
                <w:szCs w:val="29"/>
                <w:color w:val="auto"/>
                <w:vertAlign w:val="superscript"/>
              </w:rPr>
              <w:t>(1)</w:t>
            </w:r>
          </w:p>
        </w:tc>
        <w:tc>
          <w:tcPr>
            <w:tcW w:w="320" w:type="dxa"/>
            <w:vAlign w:val="bottom"/>
          </w:tcPr>
          <w:p>
            <w:pPr>
              <w:spacing w:after="0"/>
              <w:rPr>
                <w:sz w:val="21"/>
                <w:szCs w:val="21"/>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44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65"/>
        </w:trPr>
        <w:tc>
          <w:tcPr>
            <w:tcW w:w="4080" w:type="dxa"/>
            <w:vAlign w:val="bottom"/>
            <w:shd w:val="clear" w:color="auto" w:fill="CCEEFF"/>
          </w:tcPr>
          <w:p>
            <w:pPr>
              <w:ind w:left="180"/>
              <w:spacing w:after="0" w:line="265"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asset value at end of period</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vMerge w:val="continue"/>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8.41</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7.83</w:t>
            </w:r>
          </w:p>
        </w:tc>
        <w:tc>
          <w:tcPr>
            <w:tcW w:w="4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8.41</w:t>
            </w:r>
          </w:p>
        </w:tc>
        <w:tc>
          <w:tcPr>
            <w:tcW w:w="54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92"/>
        </w:trPr>
        <w:tc>
          <w:tcPr>
            <w:tcW w:w="40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Per share market value at end of period</w:t>
            </w:r>
          </w:p>
        </w:tc>
        <w:tc>
          <w:tcPr>
            <w:tcW w:w="320" w:type="dxa"/>
            <w:vAlign w:val="bottom"/>
            <w:tcBorders>
              <w:top w:val="single" w:sz="8" w:color="auto"/>
            </w:tcBorders>
            <w:shd w:val="clear" w:color="auto" w:fill="CCEEFF"/>
          </w:tcPr>
          <w:p>
            <w:pPr>
              <w:jc w:val="right"/>
              <w:ind w:right="132"/>
              <w:spacing w:after="0" w:line="19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3.62</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52"/>
              <w:spacing w:after="0" w:line="19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3.87</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3.62</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3.87</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80" w:type="dxa"/>
            <w:vAlign w:val="bottom"/>
          </w:tcPr>
          <w:p>
            <w:pPr>
              <w:spacing w:after="0" w:line="252"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32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13.13%</w:t>
            </w:r>
          </w:p>
        </w:tc>
        <w:tc>
          <w:tcPr>
            <w:tcW w:w="4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9"/>
                <w:szCs w:val="29"/>
                <w:color w:val="auto"/>
                <w:vertAlign w:val="superscript"/>
              </w:rPr>
              <w:t>(2)</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14.42%</w:t>
            </w:r>
          </w:p>
        </w:tc>
        <w:tc>
          <w:tcPr>
            <w:tcW w:w="4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25,209,108</w:t>
            </w:r>
          </w:p>
        </w:tc>
        <w:tc>
          <w:tcPr>
            <w:tcW w:w="4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28,333,661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25,209,108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28,333,661</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Ratios/Supplemental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211,971,043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221,783,611</w:t>
            </w:r>
          </w:p>
        </w:tc>
        <w:tc>
          <w:tcPr>
            <w:tcW w:w="4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211,971,043</w:t>
            </w:r>
          </w:p>
        </w:tc>
        <w:tc>
          <w:tcPr>
            <w:tcW w:w="54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221,783,611</w:t>
            </w: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net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204,284,971</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278,994,914</w:t>
            </w:r>
          </w:p>
        </w:tc>
        <w:tc>
          <w:tcPr>
            <w:tcW w:w="4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206,224,853</w:t>
            </w:r>
          </w:p>
        </w:tc>
        <w:tc>
          <w:tcPr>
            <w:tcW w:w="3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340,160,110</w:t>
            </w:r>
          </w:p>
        </w:tc>
        <w:tc>
          <w:tcPr>
            <w:tcW w:w="0" w:type="dxa"/>
            <w:vAlign w:val="bottom"/>
          </w:tcPr>
          <w:p>
            <w:pPr>
              <w:spacing w:after="0"/>
              <w:rPr>
                <w:sz w:val="1"/>
                <w:szCs w:val="1"/>
                <w:color w:val="auto"/>
              </w:rPr>
            </w:pP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Ratio of net operating expenses to average net</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line="210" w:lineRule="exact"/>
              <w:rPr>
                <w:sz w:val="20"/>
                <w:szCs w:val="20"/>
                <w:color w:val="auto"/>
              </w:rPr>
            </w:pPr>
            <w:r>
              <w:rPr>
                <w:rFonts w:ascii="Arial" w:cs="Arial" w:eastAsia="Arial" w:hAnsi="Arial"/>
                <w:sz w:val="15"/>
                <w:szCs w:val="15"/>
                <w:color w:val="auto"/>
              </w:rPr>
              <w:t>assets</w:t>
            </w:r>
            <w:r>
              <w:rPr>
                <w:rFonts w:ascii="Arial" w:cs="Arial" w:eastAsia="Arial" w:hAnsi="Arial"/>
                <w:sz w:val="24"/>
                <w:szCs w:val="24"/>
                <w:color w:val="auto"/>
                <w:vertAlign w:val="superscript"/>
              </w:rPr>
              <w:t>(3)</w:t>
            </w:r>
          </w:p>
        </w:tc>
        <w:tc>
          <w:tcPr>
            <w:tcW w:w="3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2"/>
          </w:tcPr>
          <w:p>
            <w:pPr>
              <w:jc w:val="right"/>
              <w:ind w:right="420"/>
              <w:spacing w:after="0" w:line="80" w:lineRule="exact"/>
              <w:rPr>
                <w:sz w:val="20"/>
                <w:szCs w:val="20"/>
                <w:color w:val="auto"/>
              </w:rPr>
            </w:pPr>
            <w:r>
              <w:rPr>
                <w:rFonts w:ascii="Arial" w:cs="Arial" w:eastAsia="Arial" w:hAnsi="Arial"/>
                <w:sz w:val="9"/>
                <w:szCs w:val="9"/>
                <w:color w:val="auto"/>
              </w:rPr>
              <w:t>8.03</w:t>
            </w:r>
          </w:p>
        </w:tc>
        <w:tc>
          <w:tcPr>
            <w:tcW w:w="440" w:type="dxa"/>
            <w:vAlign w:val="bottom"/>
          </w:tcPr>
          <w:p>
            <w:pPr>
              <w:spacing w:after="0"/>
              <w:rPr>
                <w:sz w:val="8"/>
                <w:szCs w:val="8"/>
                <w:color w:val="auto"/>
              </w:rPr>
            </w:pPr>
          </w:p>
        </w:tc>
        <w:tc>
          <w:tcPr>
            <w:tcW w:w="1300" w:type="dxa"/>
            <w:vAlign w:val="bottom"/>
            <w:gridSpan w:val="2"/>
          </w:tcPr>
          <w:p>
            <w:pPr>
              <w:jc w:val="right"/>
              <w:ind w:right="320"/>
              <w:spacing w:after="0" w:line="80" w:lineRule="exact"/>
              <w:rPr>
                <w:sz w:val="20"/>
                <w:szCs w:val="20"/>
                <w:color w:val="auto"/>
              </w:rPr>
            </w:pPr>
            <w:r>
              <w:rPr>
                <w:rFonts w:ascii="Arial" w:cs="Arial" w:eastAsia="Arial" w:hAnsi="Arial"/>
                <w:sz w:val="9"/>
                <w:szCs w:val="9"/>
                <w:color w:val="auto"/>
              </w:rPr>
              <w:t>5.14</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jc w:val="right"/>
              <w:ind w:right="320"/>
              <w:spacing w:after="0" w:line="80" w:lineRule="exact"/>
              <w:rPr>
                <w:sz w:val="20"/>
                <w:szCs w:val="20"/>
                <w:color w:val="auto"/>
              </w:rPr>
            </w:pPr>
            <w:r>
              <w:rPr>
                <w:rFonts w:ascii="Arial" w:cs="Arial" w:eastAsia="Arial" w:hAnsi="Arial"/>
                <w:sz w:val="9"/>
                <w:szCs w:val="9"/>
                <w:color w:val="auto"/>
              </w:rPr>
              <w:t>9.62</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2"/>
          </w:tcPr>
          <w:p>
            <w:pPr>
              <w:jc w:val="right"/>
              <w:ind w:right="200"/>
              <w:spacing w:after="0" w:line="80" w:lineRule="exact"/>
              <w:rPr>
                <w:sz w:val="20"/>
                <w:szCs w:val="20"/>
                <w:color w:val="auto"/>
              </w:rPr>
            </w:pPr>
            <w:r>
              <w:rPr>
                <w:rFonts w:ascii="Arial" w:cs="Arial" w:eastAsia="Arial" w:hAnsi="Arial"/>
                <w:sz w:val="9"/>
                <w:szCs w:val="9"/>
                <w:color w:val="auto"/>
              </w:rPr>
              <w:t>4.89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shd w:val="clear" w:color="auto" w:fill="CCEEFF"/>
          </w:tcPr>
          <w:p>
            <w:pPr>
              <w:spacing w:after="0" w:line="225"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6"/>
                <w:szCs w:val="26"/>
                <w:color w:val="auto"/>
                <w:vertAlign w:val="superscript"/>
              </w:rPr>
              <w:t>(3)</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78371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08" w:lineRule="exact"/>
        <w:rPr>
          <w:sz w:val="20"/>
          <w:szCs w:val="20"/>
          <w:color w:val="auto"/>
        </w:rPr>
      </w:pPr>
    </w:p>
    <w:p>
      <w:pPr>
        <w:ind w:left="480" w:hanging="474"/>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relevant period.</w:t>
      </w:r>
    </w:p>
    <w:p>
      <w:pPr>
        <w:spacing w:after="0" w:line="217" w:lineRule="exact"/>
        <w:rPr>
          <w:rFonts w:ascii="Arial" w:cs="Arial" w:eastAsia="Arial" w:hAnsi="Arial"/>
          <w:sz w:val="18"/>
          <w:szCs w:val="18"/>
          <w:color w:val="auto"/>
        </w:rPr>
      </w:pPr>
    </w:p>
    <w:p>
      <w:pPr>
        <w:jc w:val="both"/>
        <w:ind w:left="480" w:hanging="474"/>
        <w:spacing w:after="0" w:line="277"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71" w:lineRule="exact"/>
        <w:rPr>
          <w:rFonts w:ascii="Arial" w:cs="Arial" w:eastAsia="Arial" w:hAnsi="Arial"/>
          <w:sz w:val="17"/>
          <w:szCs w:val="17"/>
          <w:color w:val="auto"/>
        </w:rPr>
      </w:pPr>
    </w:p>
    <w:p>
      <w:pPr>
        <w:jc w:val="both"/>
        <w:ind w:left="480" w:hanging="474"/>
        <w:spacing w:after="0" w:line="255"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3"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9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9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9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September 30, 2023, there were no material interest or penalties incurred related to uncertain tax positions.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 Notes due 2026</w:t>
      </w:r>
    </w:p>
    <w:p>
      <w:pPr>
        <w:spacing w:after="0" w:line="22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6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6.00% Notes due 2026 are direct unsecured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6.00% Notes due 2026 are listed for trading on the Nasdaq Global Select Market under the symbol “SSSSL”. The reported closing market price of SSSSL on September 30, 2023 and December 31, 2022 was $23.35 and $23.51 per note, respectively. As of September 30, 2023 and December 31, 2022, the fair value of the 6.00% Notes due 2026 was $70.1 million and $70.5 million, respectively. The 6.00% Notes due 2026 are classified as Level 1 of the fair value hierarchy (Refer to “Note 2 — Significant Accounting Policies”). As of September 30, 2023 and December 31, 2022, the Company was in compliance with the terms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Incentive Plan</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Stock Option Awards Under 2019 Equity Incentive Plan</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9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As of July 17, 2019</w:t>
            </w: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Input Assumptions</w:t>
            </w:r>
          </w:p>
        </w:tc>
        <w:tc>
          <w:tcPr>
            <w:tcW w:w="20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Grant Date</w:t>
            </w:r>
          </w:p>
        </w:tc>
      </w:tr>
      <w:tr>
        <w:trPr>
          <w:trHeight w:val="212"/>
        </w:trPr>
        <w:tc>
          <w:tcPr>
            <w:tcW w:w="8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(years)</w:t>
            </w: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31"/>
        </w:trPr>
        <w:tc>
          <w:tcPr>
            <w:tcW w:w="91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39.47%</w:t>
            </w:r>
          </w:p>
        </w:tc>
      </w:tr>
      <w:tr>
        <w:trPr>
          <w:trHeight w:val="220"/>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r>
      <w:tr>
        <w:trPr>
          <w:trHeight w:val="212"/>
        </w:trPr>
        <w:tc>
          <w:tcPr>
            <w:tcW w:w="5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 Fair</w:t>
            </w:r>
          </w:p>
        </w:tc>
      </w:tr>
      <w:tr>
        <w:trPr>
          <w:trHeight w:val="237"/>
        </w:trPr>
        <w:tc>
          <w:tcPr>
            <w:tcW w:w="542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Number of 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2"/>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79"/>
              </w:rPr>
              <w:t>6.57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5420" w:type="dxa"/>
            <w:vAlign w:val="bottom"/>
          </w:tcPr>
          <w:p>
            <w:pPr>
              <w:spacing w:after="0"/>
              <w:rPr>
                <w:sz w:val="20"/>
                <w:szCs w:val="20"/>
                <w:color w:val="auto"/>
              </w:rPr>
            </w:pPr>
            <w:r>
              <w:rPr>
                <w:rFonts w:ascii="Arial" w:cs="Arial" w:eastAsia="Arial" w:hAnsi="Arial"/>
                <w:sz w:val="18"/>
                <w:szCs w:val="18"/>
                <w:color w:val="auto"/>
              </w:rPr>
              <w:t>Vested and Exercisable as of December 31, 2019</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385,000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260"/>
              <w:spacing w:after="0"/>
              <w:rPr>
                <w:sz w:val="20"/>
                <w:szCs w:val="20"/>
                <w:color w:val="auto"/>
              </w:rPr>
            </w:pPr>
            <w:r>
              <w:rPr>
                <w:rFonts w:ascii="Arial" w:cs="Arial" w:eastAsia="Arial" w:hAnsi="Arial"/>
                <w:sz w:val="18"/>
                <w:szCs w:val="18"/>
                <w:color w:val="auto"/>
              </w:rPr>
              <w:t>6.57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45"/>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6.57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0"/>
        </w:trPr>
        <w:tc>
          <w:tcPr>
            <w:tcW w:w="5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as of September 30, 2023 and December 31, 2022</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419"/>
        </w:trPr>
        <w:tc>
          <w:tcPr>
            <w:tcW w:w="5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92"/>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2023 and December 31, 2022, there was $0 of total unrecognized compensation cost related to non-vested stock options granted under the 2019 Equity Incentive Plan, as the options were cancelled effective April 28,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23"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37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nine months ended September 30, 2023, the Company granted 60,060 restricted shares to the Company’s non-employee directors pursuant to the Amended &amp; Restated 2019 Equity Incentive Plan. Additionally, on May 31, 2023, 26,736 restricted shares related to the 2022 non-employee director grants vested. Compensation expense associated with the restricted shares is recognized on a quarterly basis over the respective vesting periods.</w:t>
      </w:r>
    </w:p>
    <w:p>
      <w:pPr>
        <w:spacing w:after="0" w:line="1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nine months ended September 30, 2023, the Company did not grant any restricted shares to the Company’s officers pursuant to the Amended</w:t>
      </w:r>
    </w:p>
    <w:p>
      <w:pPr>
        <w:spacing w:after="0" w:line="51" w:lineRule="exact"/>
        <w:rPr>
          <w:sz w:val="20"/>
          <w:szCs w:val="20"/>
          <w:color w:val="auto"/>
        </w:rPr>
      </w:pPr>
    </w:p>
    <w:p>
      <w:pPr>
        <w:jc w:val="both"/>
        <w:ind w:firstLine="6"/>
        <w:spacing w:after="0" w:line="248" w:lineRule="auto"/>
        <w:tabs>
          <w:tab w:leader="none" w:pos="1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Restated 2019 Equity Incentive Plan. The Company determined that the fair values, based on the grant date close price of such restricted shares granted to the Company’s officers under the Amended &amp; Restated 2019 Equity Incentive Plan during the nine months ended September 30, 2023 and 2022 were approximately $0 and $2,885,000, respectively, in the aggregate.</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and nine months ended September 30, 2023, the Company recognized stock-based compensation expense of $774,978 and $2,300,237, respectively. For the three and nine months ended September 30, 2022, the Company recognized stock-based compensation expense of $831,977 and $1,976,695, respectively. As of September 30, 2023 and December 31, 2022, there were approximately $4,351,373 and $6,451,610 of total unrecognized compensation costs related to the restricted share grants. Compensation expense associated with the restricted shares is recognized on a quarterly basis over the respective vesting periods.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summarizes the activities for the Company’s restricted share grants for the nine months ended September 30, 2023 under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Amended &amp; Restated 2019 Equity Incentive Plan:</w:t>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Number of Restricted</w:t>
            </w:r>
          </w:p>
        </w:tc>
      </w:tr>
      <w:tr>
        <w:trPr>
          <w:trHeight w:val="237"/>
        </w:trPr>
        <w:tc>
          <w:tcPr>
            <w:tcW w:w="702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r>
      <w:tr>
        <w:trPr>
          <w:trHeight w:val="212"/>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606,620</w:t>
            </w:r>
          </w:p>
        </w:tc>
        <w:tc>
          <w:tcPr>
            <w:tcW w:w="80" w:type="dxa"/>
            <w:vAlign w:val="bottom"/>
            <w:tcBorders>
              <w:top w:val="single" w:sz="8" w:color="CCEEFF"/>
            </w:tcBorders>
            <w:shd w:val="clear" w:color="auto" w:fill="CCEEFF"/>
          </w:tcPr>
          <w:p>
            <w:pPr>
              <w:spacing w:after="0"/>
              <w:rPr>
                <w:sz w:val="18"/>
                <w:szCs w:val="18"/>
                <w:color w:val="auto"/>
              </w:rPr>
            </w:pPr>
          </w:p>
        </w:tc>
      </w:tr>
      <w:tr>
        <w:trPr>
          <w:trHeight w:val="231"/>
        </w:trPr>
        <w:tc>
          <w:tcPr>
            <w:tcW w:w="70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60,060</w:t>
            </w:r>
          </w:p>
        </w:tc>
      </w:tr>
      <w:tr>
        <w:trPr>
          <w:trHeight w:val="259"/>
        </w:trPr>
        <w:tc>
          <w:tcPr>
            <w:tcW w:w="7020" w:type="dxa"/>
            <w:vAlign w:val="bottom"/>
            <w:shd w:val="clear" w:color="auto" w:fill="CCEEFF"/>
          </w:tcPr>
          <w:p>
            <w:pPr>
              <w:ind w:left="160"/>
              <w:spacing w:after="0" w:line="259" w:lineRule="exact"/>
              <w:rPr>
                <w:sz w:val="20"/>
                <w:szCs w:val="20"/>
                <w:color w:val="auto"/>
              </w:rPr>
            </w:pPr>
            <w:r>
              <w:rPr>
                <w:rFonts w:ascii="Arial" w:cs="Arial" w:eastAsia="Arial" w:hAnsi="Arial"/>
                <w:sz w:val="18"/>
                <w:szCs w:val="18"/>
                <w:color w:val="auto"/>
              </w:rPr>
              <w:t>Vested</w:t>
            </w:r>
            <w:r>
              <w:rPr>
                <w:rFonts w:ascii="Arial" w:cs="Arial" w:eastAsia="Arial" w:hAnsi="Arial"/>
                <w:sz w:val="29"/>
                <w:szCs w:val="29"/>
                <w:color w:val="auto"/>
                <w:vertAlign w:val="superscript"/>
              </w:rPr>
              <w:t>(1)</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(176,780)</w:t>
            </w:r>
          </w:p>
        </w:tc>
      </w:tr>
      <w:tr>
        <w:trPr>
          <w:trHeight w:val="232"/>
        </w:trPr>
        <w:tc>
          <w:tcPr>
            <w:tcW w:w="70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8"/>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489,900</w:t>
            </w:r>
          </w:p>
        </w:tc>
        <w:tc>
          <w:tcPr>
            <w:tcW w:w="80" w:type="dxa"/>
            <w:vAlign w:val="bottom"/>
            <w:tcBorders>
              <w:top w:val="single" w:sz="8" w:color="CCEEFF"/>
            </w:tcBorders>
            <w:shd w:val="clear" w:color="auto" w:fill="CCEEFF"/>
          </w:tcPr>
          <w:p>
            <w:pPr>
              <w:spacing w:after="0"/>
              <w:rPr>
                <w:sz w:val="20"/>
                <w:szCs w:val="20"/>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Vested as of September 30, 2023</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347,580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7837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8" w:lineRule="exact"/>
        <w:rPr>
          <w:sz w:val="20"/>
          <w:szCs w:val="20"/>
          <w:color w:val="auto"/>
        </w:rPr>
      </w:pPr>
    </w:p>
    <w:p>
      <w:pPr>
        <w:ind w:left="320" w:hanging="314"/>
        <w:spacing w:after="0" w:line="26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balance of vested shares reflects the total shares vested during the period and has not been reduced for those vested shares forfeited at time of vest related to net share settlement.</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From October 1, 2023 through November 8, 2023, the Company exited or received proceeds from the following investments (excluding short-term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Treasury bills):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 Net Share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3"/>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Transaction Date</w:t>
            </w:r>
          </w:p>
        </w:tc>
        <w:tc>
          <w:tcPr>
            <w:tcW w:w="1820" w:type="dxa"/>
            <w:vAlign w:val="bottom"/>
            <w:gridSpan w:val="2"/>
          </w:tcPr>
          <w:p>
            <w:pPr>
              <w:ind w:left="400"/>
              <w:spacing w:after="0"/>
              <w:rPr>
                <w:sz w:val="20"/>
                <w:szCs w:val="20"/>
                <w:color w:val="auto"/>
              </w:rPr>
            </w:pPr>
            <w:r>
              <w:rPr>
                <w:rFonts w:ascii="Arial" w:cs="Arial" w:eastAsia="Arial" w:hAnsi="Arial"/>
                <w:sz w:val="18"/>
                <w:szCs w:val="18"/>
                <w:b w:val="1"/>
                <w:bCs w:val="1"/>
                <w:color w:val="auto"/>
              </w:rPr>
              <w:t>Quantity</w:t>
            </w:r>
          </w:p>
        </w:tc>
        <w:tc>
          <w:tcPr>
            <w:tcW w:w="120" w:type="dxa"/>
            <w:vAlign w:val="bottom"/>
          </w:tcPr>
          <w:p>
            <w:pPr>
              <w:spacing w:after="0"/>
              <w:rPr>
                <w:sz w:val="23"/>
                <w:szCs w:val="23"/>
                <w:color w:val="auto"/>
              </w:rPr>
            </w:pPr>
          </w:p>
        </w:tc>
        <w:tc>
          <w:tcPr>
            <w:tcW w:w="1740" w:type="dxa"/>
            <w:vAlign w:val="bottom"/>
            <w:gridSpan w:val="2"/>
          </w:tcPr>
          <w:p>
            <w:pPr>
              <w:jc w:val="center"/>
              <w:ind w:right="300"/>
              <w:spacing w:after="0" w:line="266" w:lineRule="exact"/>
              <w:rPr>
                <w:sz w:val="20"/>
                <w:szCs w:val="20"/>
                <w:color w:val="auto"/>
              </w:rPr>
            </w:pPr>
            <w:r>
              <w:rPr>
                <w:rFonts w:ascii="Arial" w:cs="Arial" w:eastAsia="Arial" w:hAnsi="Arial"/>
                <w:sz w:val="18"/>
                <w:szCs w:val="18"/>
                <w:b w:val="1"/>
                <w:bCs w:val="1"/>
                <w:color w:val="auto"/>
                <w:w w:val="82"/>
              </w:rPr>
              <w:t xml:space="preserve">Price </w:t>
            </w:r>
            <w:r>
              <w:rPr>
                <w:rFonts w:ascii="Arial" w:cs="Arial" w:eastAsia="Arial" w:hAnsi="Arial"/>
                <w:sz w:val="29"/>
                <w:szCs w:val="29"/>
                <w:b w:val="1"/>
                <w:bCs w:val="1"/>
                <w:color w:val="auto"/>
                <w:w w:val="82"/>
                <w:vertAlign w:val="superscript"/>
              </w:rPr>
              <w:t>(1)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Proceeds</w:t>
            </w:r>
          </w:p>
        </w:tc>
        <w:tc>
          <w:tcPr>
            <w:tcW w:w="80" w:type="dxa"/>
            <w:vAlign w:val="bottom"/>
          </w:tcPr>
          <w:p>
            <w:pPr>
              <w:spacing w:after="0"/>
              <w:rPr>
                <w:sz w:val="23"/>
                <w:szCs w:val="23"/>
                <w:color w:val="auto"/>
              </w:rPr>
            </w:pPr>
          </w:p>
        </w:tc>
        <w:tc>
          <w:tcPr>
            <w:tcW w:w="1460" w:type="dxa"/>
            <w:vAlign w:val="bottom"/>
            <w:gridSpan w:val="2"/>
          </w:tcPr>
          <w:p>
            <w:pPr>
              <w:ind w:left="20"/>
              <w:spacing w:after="0" w:line="266" w:lineRule="exact"/>
              <w:rPr>
                <w:sz w:val="20"/>
                <w:szCs w:val="20"/>
                <w:color w:val="auto"/>
              </w:rPr>
            </w:pPr>
            <w:r>
              <w:rPr>
                <w:rFonts w:ascii="Arial" w:cs="Arial" w:eastAsia="Arial" w:hAnsi="Arial"/>
                <w:sz w:val="18"/>
                <w:szCs w:val="18"/>
                <w:b w:val="1"/>
                <w:bCs w:val="1"/>
                <w:color w:val="auto"/>
              </w:rPr>
              <w:t>Realized Gain</w:t>
            </w:r>
            <w:r>
              <w:rPr>
                <w:rFonts w:ascii="Arial" w:cs="Arial" w:eastAsia="Arial" w:hAnsi="Arial"/>
                <w:sz w:val="29"/>
                <w:szCs w:val="29"/>
                <w:b w:val="1"/>
                <w:bCs w:val="1"/>
                <w:color w:val="auto"/>
                <w:vertAlign w:val="superscript"/>
              </w:rPr>
              <w:t>(2)</w:t>
            </w:r>
          </w:p>
        </w:tc>
      </w:tr>
      <w:tr>
        <w:trPr>
          <w:trHeight w:val="201"/>
        </w:trPr>
        <w:tc>
          <w:tcPr>
            <w:tcW w:w="2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PSQ Holdings, Inc. (d/b/a</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96"/>
        </w:trPr>
        <w:tc>
          <w:tcPr>
            <w:tcW w:w="2480" w:type="dxa"/>
            <w:vAlign w:val="bottom"/>
            <w:gridSpan w:val="2"/>
            <w:shd w:val="clear" w:color="auto" w:fill="CCEEFF"/>
          </w:tcPr>
          <w:p>
            <w:pPr>
              <w:spacing w:after="0" w:line="276" w:lineRule="exact"/>
              <w:rPr>
                <w:sz w:val="20"/>
                <w:szCs w:val="20"/>
                <w:color w:val="auto"/>
              </w:rPr>
            </w:pPr>
            <w:r>
              <w:rPr>
                <w:rFonts w:ascii="Arial" w:cs="Arial" w:eastAsia="Arial" w:hAnsi="Arial"/>
                <w:sz w:val="18"/>
                <w:szCs w:val="18"/>
                <w:color w:val="auto"/>
              </w:rPr>
              <w:t xml:space="preserve">PublicSq.) - </w:t>
            </w:r>
            <w:r>
              <w:rPr>
                <w:rFonts w:ascii="Arial" w:cs="Arial" w:eastAsia="Arial" w:hAnsi="Arial"/>
                <w:sz w:val="18"/>
                <w:szCs w:val="18"/>
                <w:i w:val="1"/>
                <w:iCs w:val="1"/>
                <w:color w:val="auto"/>
              </w:rPr>
              <w:t>Warrants</w:t>
            </w:r>
            <w:r>
              <w:rPr>
                <w:rFonts w:ascii="Arial" w:cs="Arial" w:eastAsia="Arial" w:hAnsi="Arial"/>
                <w:sz w:val="29"/>
                <w:szCs w:val="29"/>
                <w:color w:val="auto"/>
                <w:vertAlign w:val="superscript"/>
              </w:rPr>
              <w:t>(3)</w:t>
            </w:r>
          </w:p>
        </w:tc>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1.01</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39,231</w:t>
            </w:r>
          </w:p>
        </w:tc>
      </w:tr>
      <w:tr>
        <w:trPr>
          <w:trHeight w:val="175"/>
        </w:trPr>
        <w:tc>
          <w:tcPr>
            <w:tcW w:w="248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8"/>
                <w:szCs w:val="18"/>
                <w:color w:val="auto"/>
              </w:rPr>
              <w:t>Residential Homes For Rent,</w:t>
            </w:r>
          </w:p>
        </w:tc>
        <w:tc>
          <w:tcPr>
            <w:tcW w:w="13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82"/>
        </w:trPr>
        <w:tc>
          <w:tcPr>
            <w:tcW w:w="2480" w:type="dxa"/>
            <w:vAlign w:val="bottom"/>
            <w:gridSpan w:val="2"/>
          </w:tcPr>
          <w:p>
            <w:pPr>
              <w:spacing w:after="0" w:line="276" w:lineRule="exact"/>
              <w:rPr>
                <w:sz w:val="20"/>
                <w:szCs w:val="20"/>
                <w:color w:val="auto"/>
              </w:rPr>
            </w:pPr>
            <w:r>
              <w:rPr>
                <w:rFonts w:ascii="Arial" w:cs="Arial" w:eastAsia="Arial" w:hAnsi="Arial"/>
                <w:sz w:val="18"/>
                <w:szCs w:val="18"/>
                <w:color w:val="auto"/>
              </w:rPr>
              <w:t>LLC (d/b/a Second Avenue)</w:t>
            </w:r>
            <w:r>
              <w:rPr>
                <w:rFonts w:ascii="Arial" w:cs="Arial" w:eastAsia="Arial" w:hAnsi="Arial"/>
                <w:sz w:val="29"/>
                <w:szCs w:val="29"/>
                <w:color w:val="auto"/>
                <w:vertAlign w:val="superscript"/>
              </w:rPr>
              <w:t>(4)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10/23/2023</w:t>
            </w:r>
          </w:p>
        </w:tc>
        <w:tc>
          <w:tcPr>
            <w:tcW w:w="22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74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83,333</w:t>
            </w:r>
          </w:p>
        </w:tc>
        <w:tc>
          <w:tcPr>
            <w:tcW w:w="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5"/>
        </w:trPr>
        <w:tc>
          <w:tcPr>
            <w:tcW w:w="24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Realized gain does not include adjustments to amounts held in escrow receivable.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November 8, 2023, SuRo Capital held 2,632,069 PSQ Holdings, Inc. (d/b/a PublicSq.) warrants.</w:t>
      </w:r>
    </w:p>
    <w:p>
      <w:pPr>
        <w:spacing w:after="0" w:line="5" w:lineRule="exact"/>
        <w:rPr>
          <w:rFonts w:ascii="Arial" w:cs="Arial" w:eastAsia="Arial" w:hAnsi="Arial"/>
          <w:sz w:val="18"/>
          <w:szCs w:val="18"/>
          <w:color w:val="auto"/>
        </w:rPr>
      </w:pPr>
    </w:p>
    <w:p>
      <w:pPr>
        <w:jc w:val="both"/>
        <w:ind w:left="320" w:hanging="314"/>
        <w:spacing w:after="0" w:line="248"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Subsequent to September 30, 2023,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19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From October 1, 2023 through November 8, 2023, the Company made the following investments (not including capitalized transaction costs or investments in short-term U.S. Treasury bills).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Investment</w:t>
            </w:r>
          </w:p>
        </w:tc>
        <w:tc>
          <w:tcPr>
            <w:tcW w:w="3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Transaction Date</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gridSpan w:val="2"/>
          </w:tcPr>
          <w:p>
            <w:pPr>
              <w:spacing w:after="0"/>
              <w:rPr>
                <w:sz w:val="20"/>
                <w:szCs w:val="20"/>
                <w:color w:val="auto"/>
              </w:rPr>
            </w:pPr>
          </w:p>
        </w:tc>
      </w:tr>
      <w:tr>
        <w:trPr>
          <w:trHeight w:val="24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Xgroup Holdings Limited (d/b/a Xpoint)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Convertible Note</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10/26/2023</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21"/>
                <w:szCs w:val="21"/>
                <w:color w:val="auto"/>
              </w:rPr>
            </w:pPr>
          </w:p>
        </w:tc>
      </w:tr>
      <w:tr>
        <w:trPr>
          <w:trHeight w:val="212"/>
        </w:trPr>
        <w:tc>
          <w:tcPr>
            <w:tcW w:w="60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ectPr>
          <w:pgSz w:w="11900" w:h="16838" w:orient="portrait"/>
          <w:cols w:equalWidth="0" w:num="1">
            <w:col w:w="11240"/>
          </w:cols>
          <w:pgMar w:left="320" w:top="233"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3"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5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two controlled portfolio companies as of September 30, 2023, SPBRX, INC. (f/k/a GSV Sustainability Partners, Inc.) and Architect Capital PayJoy SPV, LLC, did not meet the definition of a “significant subsidiary” as set forth in Rule 1-02(w)(2). For comparability purposes, the Company has omitted the previously disclosed summarized financial information of the Company’s significant subsidiaries for the quarter ended September 30, 2022 as the Company’s significant subsidiaries would not have been considered significant subsidiaries under the Final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94"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8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upon our management team and key investment professionals;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investments in growth-stage companies, other venture capital-backed companies, and generally U.S. companies;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make distributions;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the uncertainty of the value of our portfolio investments;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political, economic or industry conditions;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changes in laws or regulations (including the interpretation thereof), including tax laws, on our operations and/or the operation of our portfolio companies;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market volatility, including general price and volume fluctuations in stock markets;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7"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8" w:lineRule="exact"/>
        <w:rPr>
          <w:sz w:val="20"/>
          <w:szCs w:val="20"/>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inflation or an inflationary economic environment could adversely affect our portfolio companies’ operating results, causing us to suffer losses in our portfolio;</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81"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1"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54" w:lineRule="exact"/>
        <w:rPr>
          <w:sz w:val="20"/>
          <w:szCs w:val="20"/>
          <w:color w:val="auto"/>
        </w:rPr>
      </w:pPr>
    </w:p>
    <w:p>
      <w:pPr>
        <w:jc w:val="both"/>
        <w:ind w:firstLine="358"/>
        <w:spacing w:after="0" w:line="267"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79"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and effective June 22, 2020, we changed our name to “SuRo Capital Corp.” from “Sutter Rock Capital Corp.”</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and effective March 12, 2019, our Board of Directors approved our internalization (the “Internalization”) and we began operating as an internally-managed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5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2023, of all of our portfolio investments, excluding short-term U.S. Treasury bills, was $193,492,718.</w:t>
      </w:r>
    </w:p>
    <w:p>
      <w:pPr>
        <w:spacing w:after="0" w:line="1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the nine months ended September 30, 2023, we funded investments in an aggregate amount of $21,133,257 (not including capitalized transaction costs or investments in short-term U.S. Treasury bills) as shown in the following table:</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Transaction Date</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Gross Payments</w:t>
            </w:r>
          </w:p>
        </w:tc>
        <w:tc>
          <w:tcPr>
            <w:tcW w:w="120" w:type="dxa"/>
            <w:vAlign w:val="bottom"/>
            <w:tcBorders>
              <w:bottom w:val="single" w:sz="8" w:color="CCEEFF"/>
            </w:tcBorders>
            <w:gridSpan w:val="2"/>
          </w:tcPr>
          <w:p>
            <w:pPr>
              <w:spacing w:after="0"/>
              <w:rPr>
                <w:sz w:val="20"/>
                <w:szCs w:val="20"/>
                <w:color w:val="auto"/>
              </w:rPr>
            </w:pPr>
          </w:p>
        </w:tc>
      </w:tr>
      <w:tr>
        <w:trPr>
          <w:trHeight w:val="252"/>
        </w:trPr>
        <w:tc>
          <w:tcPr>
            <w:tcW w:w="35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Orchard Technologies, Inc.</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3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Preferred shares, Series 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1/13/2023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21"/>
                <w:szCs w:val="21"/>
                <w:color w:val="auto"/>
              </w:rPr>
            </w:pPr>
          </w:p>
        </w:tc>
      </w:tr>
      <w:tr>
        <w:trPr>
          <w:trHeight w:val="252"/>
        </w:trPr>
        <w:tc>
          <w:tcPr>
            <w:tcW w:w="3720" w:type="dxa"/>
            <w:vAlign w:val="bottom"/>
            <w:gridSpan w:val="2"/>
          </w:tcPr>
          <w:p>
            <w:pPr>
              <w:spacing w:after="0" w:line="252" w:lineRule="exact"/>
              <w:rPr>
                <w:sz w:val="20"/>
                <w:szCs w:val="20"/>
                <w:color w:val="auto"/>
              </w:rPr>
            </w:pPr>
            <w:r>
              <w:rPr>
                <w:rFonts w:ascii="Arial" w:cs="Arial" w:eastAsia="Arial" w:hAnsi="Arial"/>
                <w:sz w:val="18"/>
                <w:szCs w:val="18"/>
                <w:color w:val="auto"/>
              </w:rPr>
              <w:t>True Global Ventures 4 Plus Pte Ltd</w:t>
            </w:r>
            <w:r>
              <w:rPr>
                <w:rFonts w:ascii="Arial" w:cs="Arial" w:eastAsia="Arial" w:hAnsi="Arial"/>
                <w:sz w:val="29"/>
                <w:szCs w:val="29"/>
                <w:color w:val="auto"/>
                <w:vertAlign w:val="superscript"/>
              </w:rPr>
              <w:t>(2)</w:t>
            </w:r>
          </w:p>
        </w:tc>
        <w:tc>
          <w:tcPr>
            <w:tcW w:w="37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Limited Partner Fund Investment</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3/31/2023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21"/>
                <w:szCs w:val="2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PayJoy, Inc.</w:t>
            </w:r>
          </w:p>
        </w:tc>
        <w:tc>
          <w:tcPr>
            <w:tcW w:w="3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Simple Agreement for Future Equity (SAFE)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5/25/2023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2"/>
        </w:trPr>
        <w:tc>
          <w:tcPr>
            <w:tcW w:w="3720" w:type="dxa"/>
            <w:vAlign w:val="bottom"/>
            <w:gridSpan w:val="2"/>
          </w:tcPr>
          <w:p>
            <w:pPr>
              <w:spacing w:after="0"/>
              <w:rPr>
                <w:sz w:val="20"/>
                <w:szCs w:val="20"/>
                <w:color w:val="auto"/>
              </w:rPr>
            </w:pPr>
            <w:r>
              <w:rPr>
                <w:rFonts w:ascii="Arial" w:cs="Arial" w:eastAsia="Arial" w:hAnsi="Arial"/>
                <w:sz w:val="18"/>
                <w:szCs w:val="18"/>
                <w:color w:val="auto"/>
              </w:rPr>
              <w:t>ServiceTitan, Inc.</w:t>
            </w:r>
          </w:p>
        </w:tc>
        <w:tc>
          <w:tcPr>
            <w:tcW w:w="37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Common shares</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6/30/2023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9,999,990</w:t>
            </w:r>
          </w:p>
        </w:tc>
        <w:tc>
          <w:tcPr>
            <w:tcW w:w="100" w:type="dxa"/>
            <w:vAlign w:val="bottom"/>
          </w:tcPr>
          <w:p>
            <w:pPr>
              <w:spacing w:after="0"/>
              <w:rPr>
                <w:sz w:val="18"/>
                <w:szCs w:val="18"/>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FourKites, Inc.</w:t>
            </w:r>
          </w:p>
        </w:tc>
        <w:tc>
          <w:tcPr>
            <w:tcW w:w="3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Common shares</w:t>
            </w:r>
          </w:p>
        </w:tc>
        <w:tc>
          <w:tcPr>
            <w:tcW w:w="1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Various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5,803,269</w:t>
            </w:r>
          </w:p>
        </w:tc>
        <w:tc>
          <w:tcPr>
            <w:tcW w:w="100" w:type="dxa"/>
            <w:vAlign w:val="bottom"/>
            <w:shd w:val="clear" w:color="auto" w:fill="CCEEFF"/>
          </w:tcPr>
          <w:p>
            <w:pPr>
              <w:spacing w:after="0"/>
              <w:rPr>
                <w:sz w:val="18"/>
                <w:szCs w:val="18"/>
                <w:color w:val="auto"/>
              </w:rPr>
            </w:pPr>
          </w:p>
        </w:tc>
      </w:tr>
      <w:tr>
        <w:trPr>
          <w:trHeight w:val="252"/>
        </w:trPr>
        <w:tc>
          <w:tcPr>
            <w:tcW w:w="3720" w:type="dxa"/>
            <w:vAlign w:val="bottom"/>
            <w:gridSpan w:val="2"/>
          </w:tcPr>
          <w:p>
            <w:pPr>
              <w:spacing w:after="0" w:line="252" w:lineRule="exact"/>
              <w:rPr>
                <w:sz w:val="20"/>
                <w:szCs w:val="20"/>
                <w:color w:val="auto"/>
              </w:rPr>
            </w:pPr>
            <w:r>
              <w:rPr>
                <w:rFonts w:ascii="Arial" w:cs="Arial" w:eastAsia="Arial" w:hAnsi="Arial"/>
                <w:sz w:val="18"/>
                <w:szCs w:val="18"/>
                <w:color w:val="auto"/>
              </w:rPr>
              <w:t>Shogun Enterprises, Inc. (d/b/a Hearth)</w:t>
            </w:r>
            <w:r>
              <w:rPr>
                <w:rFonts w:ascii="Arial" w:cs="Arial" w:eastAsia="Arial" w:hAnsi="Arial"/>
                <w:sz w:val="29"/>
                <w:szCs w:val="29"/>
                <w:color w:val="auto"/>
                <w:vertAlign w:val="superscript"/>
              </w:rPr>
              <w:t>(3)</w:t>
            </w:r>
          </w:p>
        </w:tc>
        <w:tc>
          <w:tcPr>
            <w:tcW w:w="37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Preferred shares, Series B-4</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7/12/2023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499,998</w:t>
            </w:r>
          </w:p>
        </w:tc>
        <w:tc>
          <w:tcPr>
            <w:tcW w:w="100" w:type="dxa"/>
            <w:vAlign w:val="bottom"/>
          </w:tcPr>
          <w:p>
            <w:pPr>
              <w:spacing w:after="0"/>
              <w:rPr>
                <w:sz w:val="21"/>
                <w:szCs w:val="21"/>
                <w:color w:val="auto"/>
              </w:rPr>
            </w:pPr>
          </w:p>
        </w:tc>
      </w:tr>
      <w:tr>
        <w:trPr>
          <w:trHeight w:val="245"/>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Stake Trade, Inc. (d/b/a Prophet Exchange)</w:t>
            </w:r>
          </w:p>
        </w:tc>
        <w:tc>
          <w:tcPr>
            <w:tcW w:w="3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Simple Agreement for Future Equity (SAFE)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7/26/2023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r>
      <w:tr>
        <w:trPr>
          <w:trHeight w:val="212"/>
        </w:trPr>
        <w:tc>
          <w:tcPr>
            <w:tcW w:w="37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21,133,257</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jc w:val="both"/>
        <w:ind w:left="320" w:hanging="314"/>
        <w:spacing w:after="0" w:line="249"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January 13, 2023, we invested $2.0 million in Orchard Technologies, Inc.’s Series 1 Senior Preferred financing round. As part of the transaction, we exchanged a portion of our existing Series D Preferred shares investment for Series 1 Senior Preferred shares, Series 2 Senior Preferred shares, and Common shares. Additionally, our previous investment in the Simple Agreement for Future Equity was converted into additional Series 1 Senior Preferred shares.</w:t>
      </w:r>
    </w:p>
    <w:p>
      <w:pPr>
        <w:ind w:left="320" w:hanging="314"/>
        <w:spacing w:after="0" w:line="245"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 w:lineRule="exact"/>
        <w:rPr>
          <w:rFonts w:ascii="Arial" w:cs="Arial" w:eastAsia="Arial" w:hAnsi="Arial"/>
          <w:sz w:val="18"/>
          <w:szCs w:val="18"/>
          <w:color w:val="auto"/>
        </w:rPr>
      </w:pPr>
    </w:p>
    <w:p>
      <w:pPr>
        <w:jc w:val="both"/>
        <w:ind w:left="320" w:hanging="314"/>
        <w:spacing w:after="0" w:line="248"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July 12, 2023, we invested $0.5 million in Shogun Enterprises, Inc. (d/b/a Hearth)’s Series B-4 Preferred financing round. As part of the transaction, the previous investment in the Convertible Note was converted into Series B-3 Preferred shares. Additionally, we received Common Warrants as part of the transaction.</w:t>
      </w:r>
    </w:p>
    <w:p>
      <w:pPr>
        <w:spacing w:after="0" w:line="19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During the nine months ended September 30, 2023, we capitalized fees of $33,676.</w:t>
      </w:r>
    </w:p>
    <w:p>
      <w:pPr>
        <w:spacing w:after="0" w:line="21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During the nine months ended September 30, 2023, we exited or received proceeds from investments in the amount of $9,658,163, net of transaction costs, and realized a net loss on investments of $14,542,137 (including adjustments to amounts held in escrow receivable) as shown in following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Transaction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Average Net Share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Realized</w:t>
            </w:r>
          </w:p>
        </w:tc>
      </w:tr>
      <w:tr>
        <w:trPr>
          <w:trHeight w:val="27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Quantity</w:t>
            </w:r>
          </w:p>
        </w:tc>
        <w:tc>
          <w:tcPr>
            <w:tcW w:w="1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72"/>
              <w:spacing w:after="0" w:line="265" w:lineRule="exact"/>
              <w:rPr>
                <w:sz w:val="20"/>
                <w:szCs w:val="20"/>
                <w:color w:val="auto"/>
              </w:rPr>
            </w:pPr>
            <w:r>
              <w:rPr>
                <w:rFonts w:ascii="Arial" w:cs="Arial" w:eastAsia="Arial" w:hAnsi="Arial"/>
                <w:sz w:val="18"/>
                <w:szCs w:val="18"/>
                <w:b w:val="1"/>
                <w:bCs w:val="1"/>
                <w:color w:val="auto"/>
                <w:w w:val="85"/>
              </w:rPr>
              <w:t xml:space="preserve">Price </w:t>
            </w:r>
            <w:r>
              <w:rPr>
                <w:rFonts w:ascii="Arial" w:cs="Arial" w:eastAsia="Arial" w:hAnsi="Arial"/>
                <w:sz w:val="29"/>
                <w:szCs w:val="29"/>
                <w:b w:val="1"/>
                <w:bCs w:val="1"/>
                <w:color w:val="auto"/>
                <w:w w:val="85"/>
                <w:vertAlign w:val="superscript"/>
              </w:rPr>
              <w:t>(1)</w:t>
            </w: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Net Proceeds</w:t>
            </w:r>
          </w:p>
        </w:tc>
        <w:tc>
          <w:tcPr>
            <w:tcW w:w="3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2"/>
              <w:spacing w:after="0" w:line="265" w:lineRule="exact"/>
              <w:rPr>
                <w:sz w:val="20"/>
                <w:szCs w:val="20"/>
                <w:color w:val="auto"/>
              </w:rPr>
            </w:pPr>
            <w:r>
              <w:rPr>
                <w:rFonts w:ascii="Arial" w:cs="Arial" w:eastAsia="Arial" w:hAnsi="Arial"/>
                <w:sz w:val="18"/>
                <w:szCs w:val="18"/>
                <w:b w:val="1"/>
                <w:bCs w:val="1"/>
                <w:color w:val="auto"/>
                <w:w w:val="88"/>
              </w:rPr>
              <w:t>Gain/(Loss)</w:t>
            </w:r>
            <w:r>
              <w:rPr>
                <w:rFonts w:ascii="Arial" w:cs="Arial" w:eastAsia="Arial" w:hAnsi="Arial"/>
                <w:sz w:val="29"/>
                <w:szCs w:val="29"/>
                <w:b w:val="1"/>
                <w:bCs w:val="1"/>
                <w:color w:val="auto"/>
                <w:w w:val="88"/>
                <w:vertAlign w:val="superscript"/>
              </w:rPr>
              <w:t>(2)</w:t>
            </w:r>
          </w:p>
        </w:tc>
        <w:tc>
          <w:tcPr>
            <w:tcW w:w="100" w:type="dxa"/>
            <w:vAlign w:val="bottom"/>
            <w:tcBorders>
              <w:bottom w:val="single" w:sz="8" w:color="CCEEFF"/>
            </w:tcBorders>
            <w:gridSpan w:val="2"/>
          </w:tcPr>
          <w:p>
            <w:pPr>
              <w:spacing w:after="0"/>
              <w:rPr>
                <w:sz w:val="23"/>
                <w:szCs w:val="23"/>
                <w:color w:val="auto"/>
              </w:rPr>
            </w:pPr>
          </w:p>
        </w:tc>
      </w:tr>
      <w:tr>
        <w:trPr>
          <w:trHeight w:val="252"/>
        </w:trPr>
        <w:tc>
          <w:tcPr>
            <w:tcW w:w="27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Kahoot! ASA</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38,305</w:t>
            </w: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(100,466)</w:t>
            </w:r>
          </w:p>
        </w:tc>
      </w:tr>
      <w:tr>
        <w:trPr>
          <w:trHeight w:val="201"/>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w w:val="99"/>
              </w:rPr>
              <w:t>NewLake Capital Partners, Inc. (f/k/a</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2940" w:type="dxa"/>
            <w:vAlign w:val="bottom"/>
            <w:gridSpan w:val="2"/>
          </w:tcPr>
          <w:p>
            <w:pPr>
              <w:spacing w:after="0" w:line="262" w:lineRule="exact"/>
              <w:rPr>
                <w:sz w:val="20"/>
                <w:szCs w:val="20"/>
                <w:color w:val="auto"/>
              </w:rPr>
            </w:pPr>
            <w:r>
              <w:rPr>
                <w:rFonts w:ascii="Arial" w:cs="Arial" w:eastAsia="Arial" w:hAnsi="Arial"/>
                <w:sz w:val="18"/>
                <w:szCs w:val="18"/>
                <w:color w:val="auto"/>
                <w:w w:val="99"/>
              </w:rPr>
              <w:t>GreenAcreage Real Estate Corp.)</w:t>
            </w:r>
            <w:r>
              <w:rPr>
                <w:rFonts w:ascii="Arial" w:cs="Arial" w:eastAsia="Arial" w:hAnsi="Arial"/>
                <w:sz w:val="29"/>
                <w:szCs w:val="29"/>
                <w:color w:val="auto"/>
                <w:w w:val="99"/>
                <w:vertAlign w:val="superscript"/>
              </w:rPr>
              <w:t>(4)</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123,938</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2,293,102</w:t>
            </w:r>
          </w:p>
        </w:tc>
        <w:tc>
          <w:tcPr>
            <w:tcW w:w="14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(186,748)</w:t>
            </w:r>
          </w:p>
        </w:tc>
      </w:tr>
      <w:tr>
        <w:trPr>
          <w:trHeight w:val="252"/>
        </w:trPr>
        <w:tc>
          <w:tcPr>
            <w:tcW w:w="294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(5)</w:t>
            </w: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1,539,996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4,715,375</w:t>
            </w: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(3,824,934)</w:t>
            </w:r>
          </w:p>
        </w:tc>
      </w:tr>
      <w:tr>
        <w:trPr>
          <w:trHeight w:val="252"/>
        </w:trPr>
        <w:tc>
          <w:tcPr>
            <w:tcW w:w="2940" w:type="dxa"/>
            <w:vAlign w:val="bottom"/>
            <w:gridSpan w:val="2"/>
          </w:tcPr>
          <w:p>
            <w:pPr>
              <w:spacing w:after="0" w:line="252" w:lineRule="exact"/>
              <w:rPr>
                <w:sz w:val="20"/>
                <w:szCs w:val="20"/>
                <w:color w:val="auto"/>
              </w:rPr>
            </w:pPr>
            <w:r>
              <w:rPr>
                <w:rFonts w:ascii="Arial" w:cs="Arial" w:eastAsia="Arial" w:hAnsi="Arial"/>
                <w:sz w:val="18"/>
                <w:szCs w:val="18"/>
                <w:color w:val="auto"/>
              </w:rPr>
              <w:t>Rent the Runway, Inc.</w:t>
            </w:r>
            <w:r>
              <w:rPr>
                <w:rFonts w:ascii="Arial" w:cs="Arial" w:eastAsia="Arial" w:hAnsi="Arial"/>
                <w:sz w:val="29"/>
                <w:szCs w:val="29"/>
                <w:color w:val="auto"/>
                <w:vertAlign w:val="superscript"/>
              </w:rPr>
              <w:t>(6)</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1/4/2023</w:t>
            </w:r>
          </w:p>
        </w:tc>
        <w:tc>
          <w:tcPr>
            <w:tcW w:w="2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79,191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241,456</w:t>
            </w:r>
          </w:p>
        </w:tc>
        <w:tc>
          <w:tcPr>
            <w:tcW w:w="14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(961,837)</w:t>
            </w:r>
          </w:p>
        </w:tc>
      </w:tr>
      <w:tr>
        <w:trPr>
          <w:trHeight w:val="201"/>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Homes for Rent, LLC</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2"/>
        </w:trPr>
        <w:tc>
          <w:tcPr>
            <w:tcW w:w="294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(d/b/a Second Avenue)</w:t>
            </w:r>
            <w:r>
              <w:rPr>
                <w:rFonts w:ascii="Arial" w:cs="Arial" w:eastAsia="Arial" w:hAnsi="Arial"/>
                <w:sz w:val="29"/>
                <w:szCs w:val="29"/>
                <w:color w:val="auto"/>
                <w:vertAlign w:val="superscript"/>
              </w:rPr>
              <w:t>(7)</w:t>
            </w: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True Global Ventures 4 Plus Pte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2940" w:type="dxa"/>
            <w:vAlign w:val="bottom"/>
            <w:gridSpan w:val="2"/>
          </w:tcPr>
          <w:p>
            <w:pPr>
              <w:spacing w:after="0" w:line="262" w:lineRule="exact"/>
              <w:rPr>
                <w:sz w:val="20"/>
                <w:szCs w:val="20"/>
                <w:color w:val="auto"/>
              </w:rPr>
            </w:pPr>
            <w:r>
              <w:rPr>
                <w:rFonts w:ascii="Arial" w:cs="Arial" w:eastAsia="Arial" w:hAnsi="Arial"/>
                <w:sz w:val="18"/>
                <w:szCs w:val="18"/>
                <w:color w:val="auto"/>
              </w:rPr>
              <w:t>Ltd</w:t>
            </w:r>
            <w:r>
              <w:rPr>
                <w:rFonts w:ascii="Arial" w:cs="Arial" w:eastAsia="Arial" w:hAnsi="Arial"/>
                <w:sz w:val="29"/>
                <w:szCs w:val="29"/>
                <w:color w:val="auto"/>
                <w:vertAlign w:val="superscript"/>
              </w:rPr>
              <w:t>(8)</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1,582,629</w:t>
            </w:r>
          </w:p>
        </w:tc>
        <w:tc>
          <w:tcPr>
            <w:tcW w:w="1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1,330,000</w:t>
            </w:r>
          </w:p>
        </w:tc>
        <w:tc>
          <w:tcPr>
            <w:tcW w:w="80" w:type="dxa"/>
            <w:vAlign w:val="bottom"/>
          </w:tcPr>
          <w:p>
            <w:pPr>
              <w:spacing w:after="0"/>
              <w:rPr>
                <w:sz w:val="22"/>
                <w:szCs w:val="22"/>
                <w:color w:val="auto"/>
              </w:rPr>
            </w:pPr>
          </w:p>
        </w:tc>
      </w:tr>
      <w:tr>
        <w:trPr>
          <w:trHeight w:val="285"/>
        </w:trPr>
        <w:tc>
          <w:tcPr>
            <w:tcW w:w="2940" w:type="dxa"/>
            <w:vAlign w:val="bottom"/>
            <w:gridSpan w:val="2"/>
            <w:shd w:val="clear" w:color="auto" w:fill="CCEEFF"/>
          </w:tcPr>
          <w:p>
            <w:pPr>
              <w:spacing w:after="0" w:line="265" w:lineRule="exact"/>
              <w:rPr>
                <w:sz w:val="20"/>
                <w:szCs w:val="20"/>
                <w:color w:val="auto"/>
              </w:rPr>
            </w:pPr>
            <w:r>
              <w:rPr>
                <w:rFonts w:ascii="Arial" w:cs="Arial" w:eastAsia="Arial" w:hAnsi="Arial"/>
                <w:sz w:val="18"/>
                <w:szCs w:val="18"/>
                <w:color w:val="auto"/>
              </w:rPr>
              <w:t>Ozy Media, Inc.</w:t>
            </w:r>
            <w:r>
              <w:rPr>
                <w:rFonts w:ascii="Arial" w:cs="Arial" w:eastAsia="Arial" w:hAnsi="Arial"/>
                <w:sz w:val="29"/>
                <w:szCs w:val="29"/>
                <w:color w:val="auto"/>
                <w:vertAlign w:val="superscript"/>
              </w:rPr>
              <w:t>(9)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5/4/2023</w:t>
            </w:r>
          </w:p>
        </w:tc>
        <w:tc>
          <w:tcPr>
            <w:tcW w:w="2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3,492,465</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(10,945,024)</w:t>
            </w:r>
          </w:p>
        </w:tc>
      </w:tr>
      <w:tr>
        <w:trPr>
          <w:trHeight w:val="212"/>
        </w:trPr>
        <w:tc>
          <w:tcPr>
            <w:tcW w:w="2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9,658,163</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(14,689,009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5"/>
                <w:szCs w:val="15"/>
                <w:b w:val="1"/>
                <w:bCs w:val="1"/>
                <w:color w:val="auto"/>
                <w:w w:val="79"/>
              </w:rPr>
              <w:t>)</w:t>
            </w: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Realized gain/(loss) does not include adjustments to amounts held in escrow receivable.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March 8, 2023, we had sold our remaining Kahoot! ASA public common shares.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September 30, 2023, we held 105,820 remaining NewLake Capital Partners, Inc. public common shares.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September 30, 2023, we held 262,420 remaining Nextdoor Holdings, Inc. public common shares.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January 4, 2023, we had sold our remaining Rent the Runway, Inc. public common shares.</w:t>
      </w:r>
    </w:p>
    <w:p>
      <w:pPr>
        <w:spacing w:after="0" w:line="5"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nine months ended September 30, 2023, approximately $0.9 million was received from Residential Homes for Rent, LLC (d/b/a Second Avenue) related to the 15% term loan due December 23, 2023. Of the proceeds received, approximately $0.8 million repaid a portion of the outstanding principal and the remaining was attributed to interest.</w:t>
      </w:r>
    </w:p>
    <w:p>
      <w:pPr>
        <w:spacing w:after="0" w:line="2"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previously unfunded capital commitment of $1.3 million was deemed fully contributed in lieu of cash distributions.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4, 2023, we abandoned our investment in Ozy Media, Inc.</w:t>
      </w:r>
    </w:p>
    <w:p>
      <w:pPr>
        <w:sectPr>
          <w:pgSz w:w="11900" w:h="16838" w:orient="portrait"/>
          <w:cols w:equalWidth="0" w:num="1">
            <w:col w:w="11240"/>
          </w:cols>
          <w:pgMar w:left="320" w:top="233"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2022, of all of our portfolio investments, excluding short-term U.S. Treasury bills, was $157,747,892.</w:t>
      </w:r>
    </w:p>
    <w:p>
      <w:pPr>
        <w:spacing w:after="0" w:line="1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the nine months ended September 30, 2022, we funded investments in an aggregate amount of $13,415,076 (not including capitalized transaction costs) as shown in the following table: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w w:val="91"/>
              </w:rPr>
              <w:t>Transaction Date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Payments</w:t>
            </w:r>
          </w:p>
        </w:tc>
      </w:tr>
      <w:tr>
        <w:trPr>
          <w:trHeight w:val="212"/>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Shogun Enterprises, Inc.</w:t>
            </w:r>
          </w:p>
        </w:tc>
        <w:tc>
          <w:tcPr>
            <w:tcW w:w="2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Convertible Note 0.5%, Due 4/18/2024</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5/2/2022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EDGE Markets, Inc.</w:t>
            </w:r>
          </w:p>
        </w:tc>
        <w:tc>
          <w:tcPr>
            <w:tcW w:w="34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Preferred Shares, Series Seed</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5/18/2022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Whoop, Inc.</w:t>
            </w:r>
          </w:p>
        </w:tc>
        <w:tc>
          <w:tcPr>
            <w:tcW w:w="3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Preferred Shares, Series C</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Xgroup Holdings Limited (d/b/a Xpoint)</w:t>
            </w:r>
          </w:p>
        </w:tc>
        <w:tc>
          <w:tcPr>
            <w:tcW w:w="34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Convertible Note 6%, Due 8/17/2023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8/17/2022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Orchard Technologies, Inc.</w:t>
            </w:r>
          </w:p>
        </w:tc>
        <w:tc>
          <w:tcPr>
            <w:tcW w:w="3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Simple Agreement for Future Equity (SAFE)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r>
      <w:tr>
        <w:trPr>
          <w:trHeight w:val="272"/>
        </w:trPr>
        <w:tc>
          <w:tcPr>
            <w:tcW w:w="20" w:type="dxa"/>
            <w:vAlign w:val="bottom"/>
          </w:tcPr>
          <w:p>
            <w:pPr>
              <w:spacing w:after="0"/>
              <w:rPr>
                <w:sz w:val="23"/>
                <w:szCs w:val="23"/>
                <w:color w:val="auto"/>
              </w:rPr>
            </w:pPr>
          </w:p>
        </w:tc>
        <w:tc>
          <w:tcPr>
            <w:tcW w:w="3460" w:type="dxa"/>
            <w:vAlign w:val="bottom"/>
            <w:tcBorders>
              <w:bottom w:val="single" w:sz="8" w:color="CCEEFF"/>
            </w:tcBorders>
            <w:gridSpan w:val="2"/>
          </w:tcPr>
          <w:p>
            <w:pPr>
              <w:spacing w:after="0" w:line="265" w:lineRule="exact"/>
              <w:rPr>
                <w:sz w:val="20"/>
                <w:szCs w:val="20"/>
                <w:color w:val="auto"/>
              </w:rPr>
            </w:pPr>
            <w:r>
              <w:rPr>
                <w:rFonts w:ascii="Arial" w:cs="Arial" w:eastAsia="Arial" w:hAnsi="Arial"/>
                <w:sz w:val="18"/>
                <w:szCs w:val="18"/>
                <w:color w:val="auto"/>
              </w:rPr>
              <w:t>Forge Global, Inc.</w:t>
            </w:r>
            <w:r>
              <w:rPr>
                <w:rFonts w:ascii="Arial" w:cs="Arial" w:eastAsia="Arial" w:hAnsi="Arial"/>
                <w:sz w:val="29"/>
                <w:szCs w:val="29"/>
                <w:color w:val="auto"/>
                <w:vertAlign w:val="superscript"/>
              </w:rPr>
              <w:t>(1)</w:t>
            </w:r>
          </w:p>
        </w:tc>
        <w:tc>
          <w:tcPr>
            <w:tcW w:w="34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9/30/2022</w:t>
            </w: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915,076</w:t>
            </w:r>
          </w:p>
        </w:tc>
        <w:tc>
          <w:tcPr>
            <w:tcW w:w="80" w:type="dxa"/>
            <w:vAlign w:val="bottom"/>
            <w:tcBorders>
              <w:bottom w:val="single" w:sz="8" w:color="CCEEFF"/>
            </w:tcBorders>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3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13,415,076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jc w:val="both"/>
        <w:ind w:left="320" w:hanging="314"/>
        <w:spacing w:after="0" w:line="255"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8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During the nine months ended September 30, 2022, we capitalized fees of $26,206.</w:t>
      </w:r>
    </w:p>
    <w:p>
      <w:pPr>
        <w:spacing w:after="0" w:line="21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During the nine months ended September 30, 2022, we exited or received proceeds from investments in the amount of $7,776,744, net of transaction costs, and realized a net loss on investments of $4,011,047 (including adjustments to amounts held in escrow receivable) as shown in following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Average Net Share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Realized</w:t>
            </w:r>
          </w:p>
        </w:tc>
      </w:tr>
      <w:tr>
        <w:trPr>
          <w:trHeight w:val="27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Transaction Date</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Quantity</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right"/>
              <w:ind w:right="600"/>
              <w:spacing w:after="0" w:line="266" w:lineRule="exact"/>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29"/>
                <w:szCs w:val="29"/>
                <w:b w:val="1"/>
                <w:bCs w:val="1"/>
                <w:color w:val="auto"/>
                <w:vertAlign w:val="superscript"/>
              </w:rPr>
              <w:t>(1)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Proceeds</w:t>
            </w:r>
          </w:p>
        </w:tc>
        <w:tc>
          <w:tcPr>
            <w:tcW w:w="140" w:type="dxa"/>
            <w:vAlign w:val="bottom"/>
          </w:tcPr>
          <w:p>
            <w:pPr>
              <w:spacing w:after="0"/>
              <w:rPr>
                <w:sz w:val="23"/>
                <w:szCs w:val="23"/>
                <w:color w:val="auto"/>
              </w:rPr>
            </w:pPr>
          </w:p>
        </w:tc>
        <w:tc>
          <w:tcPr>
            <w:tcW w:w="1400" w:type="dxa"/>
            <w:vAlign w:val="bottom"/>
            <w:gridSpan w:val="3"/>
          </w:tcPr>
          <w:p>
            <w:pPr>
              <w:jc w:val="right"/>
              <w:ind w:right="300"/>
              <w:spacing w:after="0" w:line="266" w:lineRule="exact"/>
              <w:rPr>
                <w:sz w:val="20"/>
                <w:szCs w:val="20"/>
                <w:color w:val="auto"/>
              </w:rPr>
            </w:pPr>
            <w:r>
              <w:rPr>
                <w:rFonts w:ascii="Arial" w:cs="Arial" w:eastAsia="Arial" w:hAnsi="Arial"/>
                <w:sz w:val="18"/>
                <w:szCs w:val="18"/>
                <w:b w:val="1"/>
                <w:bCs w:val="1"/>
                <w:color w:val="auto"/>
                <w:w w:val="88"/>
              </w:rPr>
              <w:t>Gain/(Loss)</w:t>
            </w:r>
            <w:r>
              <w:rPr>
                <w:rFonts w:ascii="Arial" w:cs="Arial" w:eastAsia="Arial" w:hAnsi="Arial"/>
                <w:sz w:val="29"/>
                <w:szCs w:val="29"/>
                <w:b w:val="1"/>
                <w:bCs w:val="1"/>
                <w:color w:val="auto"/>
                <w:w w:val="88"/>
                <w:vertAlign w:val="superscript"/>
              </w:rPr>
              <w:t>(2)</w:t>
            </w:r>
          </w:p>
        </w:tc>
      </w:tr>
      <w:tr>
        <w:trPr>
          <w:trHeight w:val="200"/>
        </w:trPr>
        <w:tc>
          <w:tcPr>
            <w:tcW w:w="26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NewLake Capital Partners, Inc.</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4"/>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GreenAcreage Real Estate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2"/>
        </w:trPr>
        <w:tc>
          <w:tcPr>
            <w:tcW w:w="282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(3)</w:t>
            </w:r>
          </w:p>
        </w:tc>
        <w:tc>
          <w:tcPr>
            <w:tcW w:w="1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46,338</w:t>
            </w: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1,102,346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175,196</w:t>
            </w:r>
          </w:p>
        </w:tc>
        <w:tc>
          <w:tcPr>
            <w:tcW w:w="80" w:type="dxa"/>
            <w:vAlign w:val="bottom"/>
            <w:shd w:val="clear" w:color="auto" w:fill="CCEEFF"/>
          </w:tcPr>
          <w:p>
            <w:pPr>
              <w:spacing w:after="0"/>
              <w:rPr>
                <w:sz w:val="22"/>
                <w:szCs w:val="22"/>
                <w:color w:val="auto"/>
              </w:rPr>
            </w:pPr>
          </w:p>
        </w:tc>
      </w:tr>
      <w:tr>
        <w:trPr>
          <w:trHeight w:val="252"/>
        </w:trPr>
        <w:tc>
          <w:tcPr>
            <w:tcW w:w="2820" w:type="dxa"/>
            <w:vAlign w:val="bottom"/>
            <w:gridSpan w:val="2"/>
          </w:tcPr>
          <w:p>
            <w:pPr>
              <w:spacing w:after="0" w:line="252" w:lineRule="exact"/>
              <w:rPr>
                <w:sz w:val="20"/>
                <w:szCs w:val="20"/>
                <w:color w:val="auto"/>
              </w:rPr>
            </w:pPr>
            <w:r>
              <w:rPr>
                <w:rFonts w:ascii="Arial" w:cs="Arial" w:eastAsia="Arial" w:hAnsi="Arial"/>
                <w:sz w:val="18"/>
                <w:szCs w:val="18"/>
                <w:color w:val="auto"/>
              </w:rPr>
              <w:t>Rover Group, Inc.</w:t>
            </w:r>
            <w:r>
              <w:rPr>
                <w:rFonts w:ascii="Arial" w:cs="Arial" w:eastAsia="Arial" w:hAnsi="Arial"/>
                <w:sz w:val="29"/>
                <w:szCs w:val="29"/>
                <w:color w:val="auto"/>
                <w:vertAlign w:val="superscript"/>
              </w:rPr>
              <w:t>(4)</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731,527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3,710,895</w:t>
            </w:r>
          </w:p>
        </w:tc>
        <w:tc>
          <w:tcPr>
            <w:tcW w:w="1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1,524,188</w:t>
            </w:r>
          </w:p>
        </w:tc>
        <w:tc>
          <w:tcPr>
            <w:tcW w:w="80" w:type="dxa"/>
            <w:vAlign w:val="bottom"/>
          </w:tcPr>
          <w:p>
            <w:pPr>
              <w:spacing w:after="0"/>
              <w:rPr>
                <w:sz w:val="21"/>
                <w:szCs w:val="21"/>
                <w:color w:val="auto"/>
              </w:rPr>
            </w:pPr>
          </w:p>
        </w:tc>
      </w:tr>
      <w:tr>
        <w:trPr>
          <w:trHeight w:val="252"/>
        </w:trPr>
        <w:tc>
          <w:tcPr>
            <w:tcW w:w="282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Rent the Runway, Inc.</w:t>
            </w:r>
            <w:r>
              <w:rPr>
                <w:rFonts w:ascii="Arial" w:cs="Arial" w:eastAsia="Arial" w:hAnsi="Arial"/>
                <w:sz w:val="29"/>
                <w:szCs w:val="29"/>
                <w:color w:val="auto"/>
                <w:vertAlign w:val="superscript"/>
              </w:rPr>
              <w:t>(5)</w:t>
            </w:r>
          </w:p>
        </w:tc>
        <w:tc>
          <w:tcPr>
            <w:tcW w:w="1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480,969</w:t>
            </w: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(1,190,461)</w:t>
            </w:r>
          </w:p>
        </w:tc>
      </w:tr>
      <w:tr>
        <w:trPr>
          <w:trHeight w:val="201"/>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Residential Homes for Rent, LLC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2820" w:type="dxa"/>
            <w:vAlign w:val="bottom"/>
            <w:gridSpan w:val="2"/>
          </w:tcPr>
          <w:p>
            <w:pPr>
              <w:spacing w:after="0" w:line="262" w:lineRule="exact"/>
              <w:rPr>
                <w:sz w:val="20"/>
                <w:szCs w:val="20"/>
                <w:color w:val="auto"/>
              </w:rPr>
            </w:pPr>
            <w:r>
              <w:rPr>
                <w:rFonts w:ascii="Arial" w:cs="Arial" w:eastAsia="Arial" w:hAnsi="Arial"/>
                <w:sz w:val="18"/>
                <w:szCs w:val="18"/>
                <w:color w:val="auto"/>
              </w:rPr>
              <w:t>(d/b/a Second Avenue)</w:t>
            </w:r>
            <w:r>
              <w:rPr>
                <w:rFonts w:ascii="Arial" w:cs="Arial" w:eastAsia="Arial" w:hAnsi="Arial"/>
                <w:sz w:val="29"/>
                <w:szCs w:val="29"/>
                <w:color w:val="auto"/>
                <w:vertAlign w:val="superscript"/>
              </w:rPr>
              <w:t>(6)</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2"/>
                <w:szCs w:val="22"/>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True Global Ventures 4 Plus Pte</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2"/>
        </w:trPr>
        <w:tc>
          <w:tcPr>
            <w:tcW w:w="282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Ltd</w:t>
            </w:r>
            <w:r>
              <w:rPr>
                <w:rFonts w:ascii="Arial" w:cs="Arial" w:eastAsia="Arial" w:hAnsi="Arial"/>
                <w:sz w:val="29"/>
                <w:szCs w:val="29"/>
                <w:color w:val="auto"/>
                <w:vertAlign w:val="superscript"/>
              </w:rPr>
              <w:t>(7)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5/31/2022</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874,470</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160,965</w:t>
            </w:r>
          </w:p>
        </w:tc>
        <w:tc>
          <w:tcPr>
            <w:tcW w:w="80" w:type="dxa"/>
            <w:vAlign w:val="bottom"/>
            <w:shd w:val="clear" w:color="auto" w:fill="CCEEFF"/>
          </w:tcPr>
          <w:p>
            <w:pPr>
              <w:spacing w:after="0"/>
              <w:rPr>
                <w:sz w:val="22"/>
                <w:szCs w:val="22"/>
                <w:color w:val="auto"/>
              </w:rPr>
            </w:pPr>
          </w:p>
        </w:tc>
      </w:tr>
      <w:tr>
        <w:trPr>
          <w:trHeight w:val="252"/>
        </w:trPr>
        <w:tc>
          <w:tcPr>
            <w:tcW w:w="2820" w:type="dxa"/>
            <w:vAlign w:val="bottom"/>
            <w:gridSpan w:val="2"/>
          </w:tcPr>
          <w:p>
            <w:pPr>
              <w:spacing w:after="0" w:line="252" w:lineRule="exact"/>
              <w:rPr>
                <w:sz w:val="20"/>
                <w:szCs w:val="20"/>
                <w:color w:val="auto"/>
              </w:rPr>
            </w:pPr>
            <w:r>
              <w:rPr>
                <w:rFonts w:ascii="Arial" w:cs="Arial" w:eastAsia="Arial" w:hAnsi="Arial"/>
                <w:sz w:val="18"/>
                <w:szCs w:val="18"/>
                <w:color w:val="auto"/>
              </w:rPr>
              <w:t>Palantir Lending Trust SPV I</w:t>
            </w:r>
            <w:r>
              <w:rPr>
                <w:rFonts w:ascii="Arial" w:cs="Arial" w:eastAsia="Arial" w:hAnsi="Arial"/>
                <w:sz w:val="29"/>
                <w:szCs w:val="29"/>
                <w:color w:val="auto"/>
                <w:vertAlign w:val="superscript"/>
              </w:rPr>
              <w:t>(8)</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7/14/2022</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611,930</w:t>
            </w:r>
          </w:p>
        </w:tc>
        <w:tc>
          <w:tcPr>
            <w:tcW w:w="1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610,790</w:t>
            </w:r>
          </w:p>
        </w:tc>
        <w:tc>
          <w:tcPr>
            <w:tcW w:w="80" w:type="dxa"/>
            <w:vAlign w:val="bottom"/>
          </w:tcPr>
          <w:p>
            <w:pPr>
              <w:spacing w:after="0"/>
              <w:rPr>
                <w:sz w:val="21"/>
                <w:szCs w:val="21"/>
                <w:color w:val="auto"/>
              </w:rPr>
            </w:pPr>
          </w:p>
        </w:tc>
      </w:tr>
      <w:tr>
        <w:trPr>
          <w:trHeight w:val="285"/>
        </w:trPr>
        <w:tc>
          <w:tcPr>
            <w:tcW w:w="2820" w:type="dxa"/>
            <w:vAlign w:val="bottom"/>
            <w:gridSpan w:val="2"/>
            <w:shd w:val="clear" w:color="auto" w:fill="CCEEFF"/>
          </w:tcPr>
          <w:p>
            <w:pPr>
              <w:spacing w:after="0" w:line="265" w:lineRule="exact"/>
              <w:rPr>
                <w:sz w:val="20"/>
                <w:szCs w:val="20"/>
                <w:color w:val="auto"/>
              </w:rPr>
            </w:pPr>
            <w:r>
              <w:rPr>
                <w:rFonts w:ascii="Arial" w:cs="Arial" w:eastAsia="Arial" w:hAnsi="Arial"/>
                <w:sz w:val="18"/>
                <w:szCs w:val="18"/>
                <w:color w:val="auto"/>
              </w:rPr>
              <w:t>Enjoy Technology, Inc.</w:t>
            </w:r>
            <w:r>
              <w:rPr>
                <w:rFonts w:ascii="Arial" w:cs="Arial" w:eastAsia="Arial" w:hAnsi="Arial"/>
                <w:sz w:val="29"/>
                <w:szCs w:val="29"/>
                <w:color w:val="auto"/>
                <w:vertAlign w:val="superscript"/>
              </w:rPr>
              <w:t>(9)</w:t>
            </w:r>
          </w:p>
        </w:tc>
        <w:tc>
          <w:tcPr>
            <w:tcW w:w="1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Various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947,297</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246,134</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(5,280,642)</w:t>
            </w:r>
          </w:p>
        </w:tc>
      </w:tr>
      <w:tr>
        <w:trPr>
          <w:trHeight w:val="212"/>
        </w:trPr>
        <w:tc>
          <w:tcPr>
            <w:tcW w:w="28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7,776,744</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(3,999,964</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5"/>
                <w:szCs w:val="15"/>
                <w:b w:val="1"/>
                <w:bCs w:val="1"/>
                <w:color w:val="auto"/>
                <w:w w:val="79"/>
              </w:rPr>
              <w:t>)</w:t>
            </w: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Realized gain/(loss) does not include adjustments to amounts held in escrow receivable.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September 30, 2022, we held 232,133 remaining NewLake Capital Partners, Inc. public common shares.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September 30, 2022, we held 106,854 remaining Rover Group, Inc. public common shares.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September 30, 2022, we held 229,191 remaining Rent the Runway, Inc. public common shares.</w:t>
      </w:r>
    </w:p>
    <w:p>
      <w:pPr>
        <w:spacing w:after="0" w:line="5"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nine months ended September 30, 2022, approximately $0.9 million has been received from Residential Homes for Rent, LLC (d/b/a Second Avenue) related to the 15% term loan due December 23, 2023. Of the proceeds received, approximately $0.8 million repaid a portion of the outstanding principal and the remaining was attributed to interest.</w:t>
      </w:r>
    </w:p>
    <w:p>
      <w:pPr>
        <w:spacing w:after="0" w:line="2"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31, 2022, we received an $874,470 cash distribution from True Global Ventures 4 Plus Pte Ltd. we expect to receive three additional distributions from True Global Ventures 4 Plus of varying amounts.</w:t>
      </w:r>
    </w:p>
    <w:p>
      <w:pPr>
        <w:spacing w:after="0" w:line="1"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14, 2022, a final payment was received for the remaining 512,290 Class A common shares of Palantir Technologies, Inc. that comprised the beneficial equity interest in underlying shares. The realized gain from our investment in Palantir Lending Trust SPV I is generated by the proceeds from the sale of shares collateralizing the repaid promissory note to Palantir Lending Trust SPV I and attributable to the Equity Participation in Underlying Collateral.</w:t>
      </w:r>
    </w:p>
    <w:p>
      <w:pPr>
        <w:spacing w:after="0" w:line="2"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August 12, 2022, we had sold all our public common shares of Enjoy Technology, Inc.</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During the nine months ended September 30, 2022, we did not write-off any investments and our OneValley, Inc. (f/k/a NestGSV, Inc.) Series B preferred warrants with a strike price of $2.31 expired on May 29, 2022.</w:t>
      </w:r>
    </w:p>
    <w:p>
      <w:pPr>
        <w:sectPr>
          <w:pgSz w:w="11900" w:h="16838" w:orient="portrait"/>
          <w:cols w:equalWidth="0" w:num="1">
            <w:col w:w="11240"/>
          </w:cols>
          <w:pgMar w:left="320" w:top="233"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for the three and nine months ended September 30, 2023 and 2022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r>
      <w:tr>
        <w:trPr>
          <w:trHeight w:val="232"/>
        </w:trPr>
        <w:tc>
          <w:tcPr>
            <w:tcW w:w="5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9"/>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1,465,746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519,511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4,137,046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1,993,242</w:t>
            </w:r>
          </w:p>
        </w:tc>
        <w:tc>
          <w:tcPr>
            <w:tcW w:w="100" w:type="dxa"/>
            <w:vAlign w:val="bottom"/>
            <w:shd w:val="clear" w:color="auto" w:fill="CCEEFF"/>
          </w:tcPr>
          <w:p>
            <w:pPr>
              <w:spacing w:after="0"/>
              <w:rPr>
                <w:sz w:val="18"/>
                <w:szCs w:val="18"/>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1,402,601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411,747</w:t>
            </w: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3,947,611</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1,563,484</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63,145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107,764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189,435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429,758</w:t>
            </w:r>
          </w:p>
        </w:tc>
      </w:tr>
      <w:tr>
        <w:trPr>
          <w:trHeight w:val="212"/>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4,134,172</w:t>
            </w:r>
          </w:p>
        </w:tc>
        <w:tc>
          <w:tcPr>
            <w:tcW w:w="34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4,328,744</w:t>
            </w:r>
          </w:p>
        </w:tc>
        <w:tc>
          <w:tcPr>
            <w:tcW w:w="3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14,832,577</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13,838,068</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2,123,704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1,836,808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6,378,330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5,456,771</w:t>
            </w: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Directors’ fees</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161,661</w:t>
            </w:r>
          </w:p>
        </w:tc>
        <w:tc>
          <w:tcPr>
            <w:tcW w:w="3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161,661</w:t>
            </w: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483,887</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514,055</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277,075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565,411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2,184,488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2,916,583</w:t>
            </w: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1,215,248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1,202,748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3,642,801</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3,630,301</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74,497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620,606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82,238</w:t>
            </w: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356,484</w:t>
            </w:r>
          </w:p>
        </w:tc>
        <w:tc>
          <w:tcPr>
            <w:tcW w:w="3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487,619</w:t>
            </w: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1,522,465</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1,238,120</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(2,668,426)</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(3,809,233)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(10,695,531)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(11,844,826)</w:t>
            </w: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(1,461,281)</w:t>
            </w:r>
          </w:p>
        </w:tc>
        <w:tc>
          <w:tcPr>
            <w:tcW w:w="3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(5,141,097)</w:t>
            </w: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(14,542,137)</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(4,011,047)</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change in unrealized appreciation/(depreciation) of investments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29,323,067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(36,951,920)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39,427,513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(103,929,610)</w:t>
            </w:r>
          </w:p>
        </w:tc>
      </w:tr>
      <w:tr>
        <w:trPr>
          <w:trHeight w:val="229"/>
        </w:trPr>
        <w:tc>
          <w:tcPr>
            <w:tcW w:w="5180" w:type="dxa"/>
            <w:vAlign w:val="bottom"/>
          </w:tcPr>
          <w:p>
            <w:pPr>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25,193,360</w:t>
            </w:r>
          </w:p>
        </w:tc>
        <w:tc>
          <w:tcPr>
            <w:tcW w:w="380" w:type="dxa"/>
            <w:vAlign w:val="bottom"/>
          </w:tcPr>
          <w:p>
            <w:pPr>
              <w:jc w:val="right"/>
              <w:ind w:right="223"/>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(45,902,250)</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14,189,845</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6"/>
              </w:rPr>
              <w:t>(119,785,483)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17" w:lineRule="exact"/>
        <w:rPr>
          <w:sz w:val="20"/>
          <w:szCs w:val="20"/>
          <w:color w:val="auto"/>
        </w:rPr>
      </w:pPr>
    </w:p>
    <w:p>
      <w:pPr>
        <w:jc w:val="both"/>
        <w:ind w:firstLine="358"/>
        <w:spacing w:after="0" w:line="267" w:lineRule="auto"/>
        <w:rPr>
          <w:sz w:val="20"/>
          <w:szCs w:val="20"/>
          <w:color w:val="auto"/>
        </w:rPr>
      </w:pPr>
      <w:r>
        <w:rPr>
          <w:rFonts w:ascii="Arial" w:cs="Arial" w:eastAsia="Arial" w:hAnsi="Arial"/>
          <w:sz w:val="17"/>
          <w:szCs w:val="17"/>
          <w:color w:val="auto"/>
        </w:rPr>
        <w:t>Investment income increased to $1,465,746 for the three months ended September 30, 2023 from $519,511 for the three months ended September 30, 2022. The net increase between periods was due to the addition of interest income from short-term U.S. Treasury bills and an increase in interest income from Architect Capital PayJoy SPV, LLC. The increase was offset by a decrease in interest income from Residential Homes for Rent, LLC (d/b/a Second Avenue), Xgroup Holdings Limited (d/b/a Xpoint), and Shogun Enterprises, Inc. (d/b/a Hearth), plus a decrease in dividend income from NewLake Capital Partners, Inc. (f/k/a GreenAcreage Real Estate Corp.) and a cessation in dividend income from Treehouse Real Estate Investment Trust, Inc. during the three months ended September 30, 2023, relative to the three months ended September 30, 2022.</w:t>
      </w:r>
    </w:p>
    <w:p>
      <w:pPr>
        <w:spacing w:after="0" w:line="179" w:lineRule="exact"/>
        <w:rPr>
          <w:sz w:val="20"/>
          <w:szCs w:val="20"/>
          <w:color w:val="auto"/>
        </w:rPr>
      </w:pPr>
    </w:p>
    <w:p>
      <w:pPr>
        <w:jc w:val="both"/>
        <w:ind w:firstLine="358"/>
        <w:spacing w:after="0" w:line="312" w:lineRule="auto"/>
        <w:rPr>
          <w:sz w:val="20"/>
          <w:szCs w:val="20"/>
          <w:color w:val="auto"/>
        </w:rPr>
      </w:pPr>
      <w:r>
        <w:rPr>
          <w:rFonts w:ascii="Arial" w:cs="Arial" w:eastAsia="Arial" w:hAnsi="Arial"/>
          <w:sz w:val="15"/>
          <w:szCs w:val="15"/>
          <w:color w:val="auto"/>
        </w:rPr>
        <w:t>Investment income increased to $4,137,046 for the nine months ended September 30, 2023 from $1,993,242 for the nine months ended September 30, 2022. The net increase between periods was due to the addition of interest income from short-term U.S. Treasury Bills and Xgroup Holdings Limited (d/b/a Xpoint). The increase was offset by a decrease in interest income from Architect Capital PayJoy SPV, LLC, Residential Homes for Rent, LLC (d/b/a Second Avenue), plus a decrease in dividend income from NewLake Capital Partners, Inc. (f/k/a GreenAcreage Real Estate Corp.) and a cessation in dividend income from Treehouse Real Estate Investment Trust, Inc. during the nine months ended September 30, 2023, relative to the nine months ended September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Total operating expenses decreased to $4,134,172 for the three months ended September 30, 2023 from $4,328,744 for the three months ended September 30, 2022. The decrease in operating expense was primarily due a decrease in professional fees and other expenses, offset by an increase in compensation expense associated with an increased headcount and stock-based compensation expense during the three months ended September 30, 2023, relative to the three months ended September 30, 2022.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Total operating expenses increased to $14,832,577 for the nine months ended September 30, 2023 from $13,838,068 for the nine months ended September 30, 2022. The increase in operating expense was primarily due to an increase in compensation expense associated with an increased headcount, stock-based compensation expense and income tax expense related to blocker corporations, offset by a decrease in professional fees during the nine months ended September 30, 2023, relative to the nine months ended September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17"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For the three months ended September 30, 2023, we recognized a net investment loss of $2,668,426, compared to a net investment loss of $3,809,233 for the three months ended September 30, 2022. The change between periods resulted from an increase in total investment income and a decrease in operating expenses during the three months ended September 30, 2023, relative to the three months ended September 30, 2022.</w:t>
      </w:r>
    </w:p>
    <w:p>
      <w:pPr>
        <w:spacing w:after="0" w:line="171"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For the nine months ended September 30, 2023, we recognized a net investment loss of $10,695,531, compared to a net investment loss of $11,844,826 for the nine months ended September 30, 2022. The change between periods resulted from an increase in total investment income, offset by an increase in operating expenses during the nine months ended September 30, 2023, relative to the nine months ended September 30,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17"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For the three months ended September 30, 2023, we recognized a net realized loss on our investments of $1,461,281, compared to a net realized loss of $5,141,097 for the three months ended September 30, 2022.</w:t>
      </w:r>
    </w:p>
    <w:p>
      <w:pPr>
        <w:spacing w:after="0" w:line="18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For the nine months ended September 30, 2023, we recognized a net realized loss on our investments of $14,542,137, compared to a net realized loss of $4,011,047 for the nine months ended September 30, 2022. The components of our net realized gains on portfolio investments for the nine months ended September 30, 2023 and 2022, excluding short-term U.S. Treasury bills and fluctuations in escrow receivables estimates, are reflected in the tables above, under “—Portfolio and Investment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September 30, 2023 and 2022, we had a net change in unrealized appreciation/(depreciation) of $29,323,067 and $(36,951,920), respectively. The following tables summarize, by portfolio company, the significant changes in unrealized appreciation/(depreciation) of our investment portfolio for the three months ended September 30,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Net Change in Unrealized</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Net Change in Unrealized</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Appreciation/(Depreciation)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Appreciation/(Depreciation)</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For the Three Months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For the Three Months</w:t>
            </w: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Ended September 30, 2023</w:t>
            </w:r>
          </w:p>
        </w:tc>
        <w:tc>
          <w:tcPr>
            <w:tcW w:w="32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Ended September 30, 2022</w:t>
            </w:r>
          </w:p>
        </w:tc>
        <w:tc>
          <w:tcPr>
            <w:tcW w:w="100" w:type="dxa"/>
            <w:vAlign w:val="bottom"/>
            <w:tcBorders>
              <w:bottom w:val="single" w:sz="8" w:color="CCEEFF"/>
            </w:tcBorders>
            <w:gridSpan w:val="2"/>
          </w:tcPr>
          <w:p>
            <w:pPr>
              <w:spacing w:after="0"/>
              <w:rPr>
                <w:sz w:val="20"/>
                <w:szCs w:val="20"/>
                <w:color w:val="auto"/>
              </w:rPr>
            </w:pPr>
          </w:p>
        </w:tc>
      </w:tr>
      <w:tr>
        <w:trPr>
          <w:trHeight w:val="25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Learneo, Inc. (f/k/a Course Hero,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32,856,880</w:t>
            </w:r>
          </w:p>
        </w:tc>
        <w:tc>
          <w:tcPr>
            <w:tcW w:w="31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Enjoy Technology, Inc. </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5,321,214</w:t>
            </w:r>
          </w:p>
        </w:tc>
        <w:tc>
          <w:tcPr>
            <w:tcW w:w="80" w:type="dxa"/>
            <w:vAlign w:val="bottom"/>
            <w:shd w:val="clear" w:color="auto" w:fill="CCEEFF"/>
          </w:tcPr>
          <w:p>
            <w:pPr>
              <w:spacing w:after="0"/>
              <w:rPr>
                <w:sz w:val="21"/>
                <w:szCs w:val="21"/>
                <w:color w:val="auto"/>
              </w:rPr>
            </w:pPr>
          </w:p>
        </w:tc>
      </w:tr>
      <w:tr>
        <w:trPr>
          <w:trHeight w:val="201"/>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NewLake Capital Partners, Inc. (f/k/a</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3180" w:type="dxa"/>
            <w:vAlign w:val="bottom"/>
            <w:gridSpan w:val="2"/>
          </w:tcPr>
          <w:p>
            <w:pPr>
              <w:spacing w:after="0"/>
              <w:rPr>
                <w:sz w:val="20"/>
                <w:szCs w:val="20"/>
                <w:color w:val="auto"/>
              </w:rPr>
            </w:pPr>
            <w:r>
              <w:rPr>
                <w:rFonts w:ascii="Arial" w:cs="Arial" w:eastAsia="Arial" w:hAnsi="Arial"/>
                <w:sz w:val="18"/>
                <w:szCs w:val="18"/>
                <w:color w:val="auto"/>
              </w:rPr>
              <w:t>ServiceTitan, Inc.</w:t>
            </w:r>
          </w:p>
        </w:tc>
        <w:tc>
          <w:tcPr>
            <w:tcW w:w="80" w:type="dxa"/>
            <w:vAlign w:val="bottom"/>
          </w:tcPr>
          <w:p>
            <w:pPr>
              <w:spacing w:after="0"/>
              <w:rPr>
                <w:sz w:val="22"/>
                <w:szCs w:val="22"/>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1,948,436</w:t>
            </w:r>
          </w:p>
        </w:tc>
        <w:tc>
          <w:tcPr>
            <w:tcW w:w="3400" w:type="dxa"/>
            <w:vAlign w:val="bottom"/>
            <w:gridSpan w:val="2"/>
          </w:tcPr>
          <w:p>
            <w:pPr>
              <w:spacing w:after="0" w:line="262" w:lineRule="exact"/>
              <w:rPr>
                <w:sz w:val="20"/>
                <w:szCs w:val="20"/>
                <w:color w:val="auto"/>
              </w:rPr>
            </w:pPr>
            <w:r>
              <w:rPr>
                <w:rFonts w:ascii="Arial" w:cs="Arial" w:eastAsia="Arial" w:hAnsi="Arial"/>
                <w:sz w:val="18"/>
                <w:szCs w:val="18"/>
                <w:color w:val="auto"/>
              </w:rPr>
              <w:t>GreenAcreage Real Estate Corp.)</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(1,137,566)</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Forge Global, Inc.</w:t>
            </w: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(1,003,231)</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StormWind, LLC</w:t>
            </w:r>
          </w:p>
        </w:tc>
        <w:tc>
          <w:tcPr>
            <w:tcW w:w="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(1,513,211)</w:t>
            </w: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Orchard Technologies, Inc.</w:t>
            </w:r>
          </w:p>
        </w:tc>
        <w:tc>
          <w:tcPr>
            <w:tcW w:w="80" w:type="dxa"/>
            <w:vAlign w:val="bottom"/>
          </w:tcPr>
          <w:p>
            <w:pPr>
              <w:spacing w:after="0"/>
              <w:rPr>
                <w:sz w:val="18"/>
                <w:szCs w:val="18"/>
                <w:color w:val="auto"/>
              </w:rPr>
            </w:pP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(1,286,496)</w:t>
            </w:r>
          </w:p>
        </w:tc>
        <w:tc>
          <w:tcPr>
            <w:tcW w:w="3400" w:type="dxa"/>
            <w:vAlign w:val="bottom"/>
            <w:gridSpan w:val="2"/>
          </w:tcPr>
          <w:p>
            <w:pPr>
              <w:spacing w:after="0"/>
              <w:rPr>
                <w:sz w:val="20"/>
                <w:szCs w:val="20"/>
                <w:color w:val="auto"/>
              </w:rPr>
            </w:pPr>
            <w:r>
              <w:rPr>
                <w:rFonts w:ascii="Arial" w:cs="Arial" w:eastAsia="Arial" w:hAnsi="Arial"/>
                <w:sz w:val="18"/>
                <w:szCs w:val="18"/>
                <w:color w:val="auto"/>
              </w:rPr>
              <w:t>Skillsoft Corp.</w:t>
            </w:r>
          </w:p>
        </w:tc>
        <w:tc>
          <w:tcPr>
            <w:tcW w:w="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(1,659,315)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Aspiration Partners, Inc.</w:t>
            </w: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(3,689,833)</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Whoop, Inc.</w:t>
            </w:r>
          </w:p>
        </w:tc>
        <w:tc>
          <w:tcPr>
            <w:tcW w:w="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(1,717,793)</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Course Hero, Inc.</w:t>
            </w:r>
          </w:p>
        </w:tc>
        <w:tc>
          <w:tcPr>
            <w:tcW w:w="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(2,819,949)</w:t>
            </w:r>
          </w:p>
        </w:tc>
      </w:tr>
      <w:tr>
        <w:trPr>
          <w:trHeight w:val="212"/>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Shogun Enterprises, Inc.</w:t>
            </w:r>
          </w:p>
        </w:tc>
        <w:tc>
          <w:tcPr>
            <w:tcW w:w="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(3,991,271)</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Varo Money, Inc.</w:t>
            </w:r>
          </w:p>
        </w:tc>
        <w:tc>
          <w:tcPr>
            <w:tcW w:w="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(4,090,467)</w:t>
            </w:r>
          </w:p>
        </w:tc>
      </w:tr>
      <w:tr>
        <w:trPr>
          <w:trHeight w:val="212"/>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Aspiration Partners, Inc.</w:t>
            </w:r>
          </w:p>
        </w:tc>
        <w:tc>
          <w:tcPr>
            <w:tcW w:w="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(4,626,914)</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Forge Global Holdings, Inc.</w:t>
            </w:r>
          </w:p>
        </w:tc>
        <w:tc>
          <w:tcPr>
            <w:tcW w:w="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(17,782,022)</w:t>
            </w:r>
          </w:p>
        </w:tc>
      </w:tr>
      <w:tr>
        <w:trPr>
          <w:trHeight w:val="285"/>
        </w:trPr>
        <w:tc>
          <w:tcPr>
            <w:tcW w:w="3180" w:type="dxa"/>
            <w:vAlign w:val="bottom"/>
            <w:gridSpan w:val="2"/>
            <w:shd w:val="clear" w:color="auto" w:fill="CCEEFF"/>
          </w:tcPr>
          <w:p>
            <w:pPr>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4"/>
                <w:szCs w:val="24"/>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497,311</w:t>
            </w:r>
          </w:p>
        </w:tc>
        <w:tc>
          <w:tcPr>
            <w:tcW w:w="3400" w:type="dxa"/>
            <w:vAlign w:val="bottom"/>
            <w:gridSpan w:val="2"/>
            <w:shd w:val="clear" w:color="auto" w:fill="CCEEFF"/>
          </w:tcPr>
          <w:p>
            <w:pPr>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4"/>
                <w:szCs w:val="24"/>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(2,934,626)</w:t>
            </w:r>
          </w:p>
        </w:tc>
      </w:tr>
      <w:tr>
        <w:trPr>
          <w:trHeight w:val="212"/>
        </w:trPr>
        <w:tc>
          <w:tcPr>
            <w:tcW w:w="31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29,323,067</w:t>
            </w:r>
          </w:p>
        </w:tc>
        <w:tc>
          <w:tcPr>
            <w:tcW w:w="3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(36,951,920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5"/>
                <w:szCs w:val="15"/>
                <w:b w:val="1"/>
                <w:bCs w:val="1"/>
                <w:color w:val="auto"/>
                <w:w w:val="79"/>
              </w:rPr>
              <w:t>)</w:t>
            </w: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line="252"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320" w:hanging="314"/>
        <w:spacing w:after="0" w:line="251"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represents investments for which individual changes in unrealized appreciation/(depreciation) was less than $1.0 million for the three months ended September 30, 2023 and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nine months ended September 30, 2023 and 2022, we had a net change in unrealized appreciation/(depreciation) of $39,427,513 and $(103,929,610), respectively. The following tables summarize, by portfolio company, the significant changes in unrealized appreciation/(depreciation) of our investment portfolio for the nine months ended September 30,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Net Change in Unrealized</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right"/>
              <w:ind w:right="123"/>
              <w:spacing w:after="0"/>
              <w:rPr>
                <w:sz w:val="20"/>
                <w:szCs w:val="20"/>
                <w:color w:val="auto"/>
              </w:rPr>
            </w:pPr>
            <w:r>
              <w:rPr>
                <w:rFonts w:ascii="Arial" w:cs="Arial" w:eastAsia="Arial" w:hAnsi="Arial"/>
                <w:sz w:val="18"/>
                <w:szCs w:val="18"/>
                <w:b w:val="1"/>
                <w:bCs w:val="1"/>
                <w:color w:val="auto"/>
                <w:w w:val="88"/>
              </w:rPr>
              <w:t>Net Change in Unrealized</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Appreciation/(Depreciation)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w w:val="93"/>
              </w:rPr>
              <w:t>Appreciation/(Depreciation)</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For the Nine Months Ended</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Borders>
              <w:bottom w:val="single" w:sz="8" w:color="CCEEFF"/>
            </w:tcBorders>
          </w:tcPr>
          <w:p>
            <w:pPr>
              <w:spacing w:after="0"/>
              <w:rPr>
                <w:sz w:val="20"/>
                <w:szCs w:val="20"/>
                <w:color w:val="auto"/>
              </w:rPr>
            </w:pPr>
          </w:p>
        </w:tc>
      </w:tr>
      <w:tr>
        <w:trPr>
          <w:trHeight w:val="25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PSQ Holdings, Inc. (d/b/a PublicSq.)</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15,395,054</w:t>
            </w:r>
          </w:p>
        </w:tc>
        <w:tc>
          <w:tcPr>
            <w:tcW w:w="31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w w:val="88"/>
              </w:rPr>
              <w:t>True Global Ventures 4 Plus Fund Pte Ltd</w:t>
            </w:r>
            <w:r>
              <w:rPr>
                <w:rFonts w:ascii="Arial" w:cs="Arial" w:eastAsia="Arial" w:hAnsi="Arial"/>
                <w:sz w:val="29"/>
                <w:szCs w:val="29"/>
                <w:color w:val="auto"/>
                <w:w w:val="88"/>
                <w:vertAlign w:val="superscript"/>
              </w:rPr>
              <w:t>(1)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3,106,863</w:t>
            </w: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Learneo, Inc. (f/k/a Course Hero, Inc.)</w:t>
            </w:r>
          </w:p>
        </w:tc>
        <w:tc>
          <w:tcPr>
            <w:tcW w:w="8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14,861,095</w:t>
            </w:r>
          </w:p>
        </w:tc>
        <w:tc>
          <w:tcPr>
            <w:tcW w:w="3400" w:type="dxa"/>
            <w:vAlign w:val="bottom"/>
            <w:gridSpan w:val="2"/>
          </w:tcPr>
          <w:p>
            <w:pPr>
              <w:spacing w:after="0"/>
              <w:rPr>
                <w:sz w:val="20"/>
                <w:szCs w:val="20"/>
                <w:color w:val="auto"/>
              </w:rPr>
            </w:pPr>
            <w:r>
              <w:rPr>
                <w:rFonts w:ascii="Arial" w:cs="Arial" w:eastAsia="Arial" w:hAnsi="Arial"/>
                <w:sz w:val="18"/>
                <w:szCs w:val="18"/>
                <w:color w:val="auto"/>
              </w:rPr>
              <w:t>Whoop, Inc.</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(1,724,978)</w:t>
            </w:r>
          </w:p>
        </w:tc>
      </w:tr>
      <w:tr>
        <w:trPr>
          <w:trHeight w:val="252"/>
        </w:trPr>
        <w:tc>
          <w:tcPr>
            <w:tcW w:w="318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Ozy Media, Inc.</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10,945,024</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StormWind, LLC</w:t>
            </w:r>
          </w:p>
        </w:tc>
        <w:tc>
          <w:tcPr>
            <w:tcW w:w="8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(2,108,140)</w:t>
            </w:r>
          </w:p>
        </w:tc>
      </w:tr>
      <w:tr>
        <w:trPr>
          <w:trHeight w:val="252"/>
        </w:trPr>
        <w:tc>
          <w:tcPr>
            <w:tcW w:w="3180" w:type="dxa"/>
            <w:vAlign w:val="bottom"/>
            <w:gridSpan w:val="2"/>
          </w:tcPr>
          <w:p>
            <w:pPr>
              <w:spacing w:after="0" w:line="252"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(1)</w:t>
            </w:r>
          </w:p>
        </w:tc>
        <w:tc>
          <w:tcPr>
            <w:tcW w:w="80" w:type="dxa"/>
            <w:vAlign w:val="bottom"/>
          </w:tcPr>
          <w:p>
            <w:pPr>
              <w:spacing w:after="0"/>
              <w:rPr>
                <w:sz w:val="21"/>
                <w:szCs w:val="21"/>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5,304,938</w:t>
            </w:r>
          </w:p>
        </w:tc>
        <w:tc>
          <w:tcPr>
            <w:tcW w:w="3400" w:type="dxa"/>
            <w:vAlign w:val="bottom"/>
            <w:gridSpan w:val="2"/>
          </w:tcPr>
          <w:p>
            <w:pPr>
              <w:spacing w:after="0"/>
              <w:rPr>
                <w:sz w:val="20"/>
                <w:szCs w:val="20"/>
                <w:color w:val="auto"/>
              </w:rPr>
            </w:pPr>
            <w:r>
              <w:rPr>
                <w:rFonts w:ascii="Arial" w:cs="Arial" w:eastAsia="Arial" w:hAnsi="Arial"/>
                <w:sz w:val="18"/>
                <w:szCs w:val="18"/>
                <w:color w:val="auto"/>
              </w:rPr>
              <w:t>Blink Health, Inc.</w:t>
            </w:r>
          </w:p>
        </w:tc>
        <w:tc>
          <w:tcPr>
            <w:tcW w:w="8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(3,561,393)</w:t>
            </w:r>
          </w:p>
        </w:tc>
      </w:tr>
      <w:tr>
        <w:trPr>
          <w:trHeight w:val="201"/>
        </w:trPr>
        <w:tc>
          <w:tcPr>
            <w:tcW w:w="2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NewLake Capital Partners, Inc. (f/k/a</w:t>
            </w: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Shogun Enterprises, Inc. (d/b/a Hearth)</w:t>
            </w:r>
          </w:p>
        </w:tc>
        <w:tc>
          <w:tcPr>
            <w:tcW w:w="8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4,187,278</w:t>
            </w:r>
          </w:p>
        </w:tc>
        <w:tc>
          <w:tcPr>
            <w:tcW w:w="340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GreenAcreage Real Estate Corp.)</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(3,925,585)</w:t>
            </w: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ServiceTitan, Inc.</w:t>
            </w:r>
          </w:p>
        </w:tc>
        <w:tc>
          <w:tcPr>
            <w:tcW w:w="8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1,940,351</w:t>
            </w:r>
          </w:p>
        </w:tc>
        <w:tc>
          <w:tcPr>
            <w:tcW w:w="3400" w:type="dxa"/>
            <w:vAlign w:val="bottom"/>
            <w:gridSpan w:val="2"/>
          </w:tcPr>
          <w:p>
            <w:pPr>
              <w:spacing w:after="0"/>
              <w:rPr>
                <w:sz w:val="20"/>
                <w:szCs w:val="20"/>
                <w:color w:val="auto"/>
              </w:rPr>
            </w:pPr>
            <w:r>
              <w:rPr>
                <w:rFonts w:ascii="Arial" w:cs="Arial" w:eastAsia="Arial" w:hAnsi="Arial"/>
                <w:sz w:val="18"/>
                <w:szCs w:val="18"/>
                <w:color w:val="auto"/>
              </w:rPr>
              <w:t>Neutron Holdings, Inc. (d/b/a/ Lime)</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(3,991,353)</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Varo Money, Inc.</w:t>
            </w: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1,689,042</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Shogun Enterprises, Inc.</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(4,022,725)</w:t>
            </w: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Whoop, Inc.</w:t>
            </w:r>
          </w:p>
        </w:tc>
        <w:tc>
          <w:tcPr>
            <w:tcW w:w="80" w:type="dxa"/>
            <w:vAlign w:val="bottom"/>
          </w:tcPr>
          <w:p>
            <w:pPr>
              <w:spacing w:after="0"/>
              <w:rPr>
                <w:sz w:val="18"/>
                <w:szCs w:val="18"/>
                <w:color w:val="auto"/>
              </w:rPr>
            </w:pP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(2,389,579)</w:t>
            </w:r>
          </w:p>
        </w:tc>
        <w:tc>
          <w:tcPr>
            <w:tcW w:w="3400" w:type="dxa"/>
            <w:vAlign w:val="bottom"/>
            <w:gridSpan w:val="2"/>
          </w:tcPr>
          <w:p>
            <w:pPr>
              <w:spacing w:after="0"/>
              <w:rPr>
                <w:sz w:val="20"/>
                <w:szCs w:val="20"/>
                <w:color w:val="auto"/>
              </w:rPr>
            </w:pPr>
            <w:r>
              <w:rPr>
                <w:rFonts w:ascii="Arial" w:cs="Arial" w:eastAsia="Arial" w:hAnsi="Arial"/>
                <w:sz w:val="18"/>
                <w:szCs w:val="18"/>
                <w:color w:val="auto"/>
              </w:rPr>
              <w:t>Aspiration Partners, Inc.</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(4,284,109)</w:t>
            </w:r>
          </w:p>
        </w:tc>
      </w:tr>
      <w:tr>
        <w:trPr>
          <w:trHeight w:val="25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Trax, Ltd.</w:t>
            </w:r>
          </w:p>
        </w:tc>
        <w:tc>
          <w:tcPr>
            <w:tcW w:w="8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(2,927,814)</w:t>
            </w:r>
          </w:p>
        </w:tc>
        <w:tc>
          <w:tcPr>
            <w:tcW w:w="340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Rover Group, Inc.</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(5,221,903)</w:t>
            </w: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Orchard Technologies, Inc.</w:t>
            </w:r>
          </w:p>
        </w:tc>
        <w:tc>
          <w:tcPr>
            <w:tcW w:w="80" w:type="dxa"/>
            <w:vAlign w:val="bottom"/>
          </w:tcPr>
          <w:p>
            <w:pPr>
              <w:spacing w:after="0"/>
              <w:rPr>
                <w:sz w:val="18"/>
                <w:szCs w:val="18"/>
                <w:color w:val="auto"/>
              </w:rPr>
            </w:pP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(4,775,546)</w:t>
            </w:r>
          </w:p>
        </w:tc>
        <w:tc>
          <w:tcPr>
            <w:tcW w:w="3400" w:type="dxa"/>
            <w:vAlign w:val="bottom"/>
            <w:gridSpan w:val="2"/>
          </w:tcPr>
          <w:p>
            <w:pPr>
              <w:spacing w:after="0"/>
              <w:rPr>
                <w:sz w:val="20"/>
                <w:szCs w:val="20"/>
                <w:color w:val="auto"/>
              </w:rPr>
            </w:pPr>
            <w:r>
              <w:rPr>
                <w:rFonts w:ascii="Arial" w:cs="Arial" w:eastAsia="Arial" w:hAnsi="Arial"/>
                <w:sz w:val="18"/>
                <w:szCs w:val="18"/>
                <w:color w:val="auto"/>
              </w:rPr>
              <w:t>Varo Money, Inc.</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(7,085,189)</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Aspiration Partners, Inc.</w:t>
            </w: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(6,541,511)</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Trax Ltd.</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(7,139,557)</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Skillsoft Corp.</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(7,187,091)</w:t>
            </w:r>
          </w:p>
        </w:tc>
      </w:tr>
      <w:tr>
        <w:trPr>
          <w:trHeight w:val="212"/>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Nextdoor Holdings, Inc.</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(7,410,781)</w:t>
            </w:r>
          </w:p>
        </w:tc>
      </w:tr>
      <w:tr>
        <w:trPr>
          <w:trHeight w:val="212"/>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Forge Global Holdings, Inc.</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(17,541,727)</w:t>
            </w:r>
          </w:p>
        </w:tc>
      </w:tr>
      <w:tr>
        <w:trPr>
          <w:trHeight w:val="212"/>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Course Hero, Inc.</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(31,124,041)</w:t>
            </w:r>
          </w:p>
        </w:tc>
      </w:tr>
      <w:tr>
        <w:trPr>
          <w:trHeight w:val="272"/>
        </w:trPr>
        <w:tc>
          <w:tcPr>
            <w:tcW w:w="3180" w:type="dxa"/>
            <w:vAlign w:val="bottom"/>
            <w:gridSpan w:val="2"/>
          </w:tcPr>
          <w:p>
            <w:pPr>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80" w:type="dxa"/>
            <w:vAlign w:val="bottom"/>
          </w:tcPr>
          <w:p>
            <w:pPr>
              <w:spacing w:after="0"/>
              <w:rPr>
                <w:sz w:val="23"/>
                <w:szCs w:val="23"/>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1,739,181</w:t>
            </w:r>
          </w:p>
        </w:tc>
        <w:tc>
          <w:tcPr>
            <w:tcW w:w="3400" w:type="dxa"/>
            <w:vAlign w:val="bottom"/>
            <w:gridSpan w:val="2"/>
          </w:tcPr>
          <w:p>
            <w:pPr>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80" w:type="dxa"/>
            <w:vAlign w:val="bottom"/>
          </w:tcPr>
          <w:p>
            <w:pPr>
              <w:spacing w:after="0"/>
              <w:rPr>
                <w:sz w:val="23"/>
                <w:szCs w:val="23"/>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(707,901)</w:t>
            </w:r>
          </w:p>
        </w:tc>
      </w:tr>
      <w:tr>
        <w:trPr>
          <w:trHeight w:val="225"/>
        </w:trPr>
        <w:tc>
          <w:tcPr>
            <w:tcW w:w="3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39,427,513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(103,929,610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9"/>
              </w:rPr>
              <w:t>)</w:t>
            </w: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line="252"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320" w:hanging="314"/>
        <w:spacing w:after="0" w:line="251"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represents investments for which individual changes in unrealized appreciation/(depreciation) was less than $1.0 million for the nine months ended September 30, 2023 and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17"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Please refer to “Note 12—Subsequent Events” to our condensed consolidated financial statements as of September 30, 2023 for details regarding activity in our investment portfolio from October 1, 2023 through November 8, 2023.</w:t>
      </w:r>
    </w:p>
    <w:p>
      <w:pPr>
        <w:spacing w:after="0" w:line="181"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December 17, 2021, we issued $75.0 million aggregate principal amount of 6.00% Notes due 2026, all of which remain outstanding. For additional information, see below and “Note 10—Debt Capital Activities” to our condensed consolidated financial statements as of September 30, 2023.</w:t>
      </w:r>
    </w:p>
    <w:p>
      <w:pPr>
        <w:spacing w:after="0" w:line="146"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nine months ended September 30, 2023 and 2022, our operating expenses were $14,832,577 and $13,838,068,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r>
              <w:rPr>
                <w:rFonts w:ascii="Arial" w:cs="Arial" w:eastAsia="Arial" w:hAnsi="Arial"/>
                <w:sz w:val="18"/>
                <w:szCs w:val="18"/>
                <w:b w:val="1"/>
                <w:bCs w:val="1"/>
                <w:color w:val="auto"/>
              </w:rPr>
              <w:t>Cash Reserves and Liquid Securities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2022</w:t>
            </w:r>
          </w:p>
        </w:tc>
      </w:tr>
      <w:tr>
        <w:trPr>
          <w:trHeight w:val="212"/>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73,503,279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40,117,598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676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rPr>
              <w:t>U.S. Treasury bills</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20,265,064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85,056,817</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Securities of publicly traded portfolio companies: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676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11,637,102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13,298,992</w:t>
            </w:r>
          </w:p>
        </w:tc>
      </w:tr>
      <w:tr>
        <w:trPr>
          <w:trHeight w:val="271"/>
        </w:trPr>
        <w:tc>
          <w:tcPr>
            <w:tcW w:w="6760" w:type="dxa"/>
            <w:vAlign w:val="bottom"/>
          </w:tcPr>
          <w:p>
            <w:pPr>
              <w:ind w:left="180"/>
              <w:spacing w:after="0" w:line="265"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14,353,896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24,493</w:t>
            </w:r>
          </w:p>
        </w:tc>
      </w:tr>
      <w:tr>
        <w:trPr>
          <w:trHeight w:val="23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of publicly traded portfolio companies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25,990,998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13,323,485</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Cash Reserves and Liquid Securities</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119,759,341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138,497,900</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short-term U.S. Treasury bills.</w:t>
      </w:r>
    </w:p>
    <w:p>
      <w:pPr>
        <w:spacing w:after="0" w:line="16"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“Unrestricted securities” represents common stock and warrants of our publicly traded portfolio companies that are not subject to any restrictions upon sale. We may incur losses.</w:t>
      </w:r>
    </w:p>
    <w:p>
      <w:pPr>
        <w:spacing w:after="0" w:line="1" w:lineRule="exact"/>
        <w:rPr>
          <w:rFonts w:ascii="Arial" w:cs="Arial" w:eastAsia="Arial" w:hAnsi="Arial"/>
          <w:sz w:val="18"/>
          <w:szCs w:val="18"/>
          <w:color w:val="auto"/>
        </w:rPr>
      </w:pPr>
    </w:p>
    <w:p>
      <w:pPr>
        <w:ind w:left="320" w:hanging="314"/>
        <w:spacing w:after="0" w:line="25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Securities of publicly traded portfolio companies “subject to other sales restrictions” represents common stock of our publicly traded companies that are subject to certain lock-up restrictions.</w:t>
      </w:r>
    </w:p>
    <w:p>
      <w:pPr>
        <w:spacing w:after="0" w:line="19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nine months ended September 30, 2023, cash increased to $73,503,279 from $40,117,598 at the beginning of the year. The increase in cash was primarily due to the exit of short-term U.S. Treasury bills and other portfolio investment exits, and investment income received. These increases were offset by the repurchase of our common stock pursuant to a modified “Dutch Auction” tender offer (the “Modified Dutch Auction Tender Offer”) and Share Repurchase Program, purchase of new and follow-on investments, interest on the 6.00% Notes due 2026, and to pay our operating expenses. For additional information relating to the Modified Dutch Auction Tender Offer or Share Repurchase Program, see “Modified Dutch Auction Tender Offer” below and “Note 5 - Common Stock” to our condensed consolidated financial statements as of September 30, 2023.</w:t>
      </w:r>
    </w:p>
    <w:p>
      <w:pPr>
        <w:spacing w:after="0" w:line="17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significant contractual payment obligations as of September 30, 2023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b w:val="1"/>
                <w:bCs w:val="1"/>
                <w:color w:val="auto"/>
              </w:rPr>
              <w:t xml:space="preserve">Payments Due By Period </w:t>
            </w: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2"/>
              <w:spacing w:after="0" w:line="194"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0"/>
              </w:rPr>
              <w:t>3–5 years</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5 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6.00% Notes due December 30, 2026</w:t>
            </w:r>
            <w:r>
              <w:rPr>
                <w:rFonts w:ascii="Arial" w:cs="Arial" w:eastAsia="Arial" w:hAnsi="Arial"/>
                <w:sz w:val="27"/>
                <w:szCs w:val="27"/>
                <w:color w:val="auto"/>
                <w:vertAlign w:val="superscript"/>
              </w:rPr>
              <w:t>(1)</w:t>
            </w:r>
          </w:p>
        </w:tc>
        <w:tc>
          <w:tcPr>
            <w:tcW w:w="14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75.0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75.2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line="264"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principal balance payable to investors for the 6.00% Notes due 2026 as of September 30, 2023. Refer to “Note 10—Debt Capital Activities” in our condensed consolidated financial statements as of September 30, 2023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7"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During the three and nine months ended September 30, 2023, we repurchased 186,493 shares of our common stock under the Share Repurchase Program. During the three and nine months ended September 30, 2022, we repurchased 0 and 1,008,676 shares, respectively, of our common stock under the Share Repurchase Program. As of September 30, 2023, the dollar value of shares that remained available to be purchased under the Share Repurchase Program was approximately $20.7 million. On August 7, 2023, our Board of Directors authorized an extension of, and an increase in the amount of shares of our common stock that may be repurchased under, the discretionary Share Repurchase Program until the earlier of (i) October 31, 2024 or (ii) the repurchase of $60.0 million in aggregate amount of our common stock.</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and the rules promulgated thereunder. For more information on the Share Repurchase Program, see “Note 5—Common Stock” to our condensed consolidated financial statements as of September 30,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17, 2023, we commenced the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17"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As of September 30, 2023 and December 31, 2022, we had no off-balance sheet arrangements, including any risk management of commodity pricing or other hedging practices. However, we may employ hedging and other risk management techniques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29, 2020, we entered into an At-the-Market Sales Agreement, dated July 29, 2020 (the “Initial Sales Agreement”), with BTIG, LLC, JMP Securities LLC, and Ladenburg Thalmann &amp; Co., Inc. (collectively, the “Agents”). Under the Initial Sales Agreement, we may, but have no obligation to, issue and sell up to $50.0 million in aggregate amount of shares of our common stock (the “Shares”) from time to time through the Agents or to them as principal for their own account (the “ATM Program”). On September 23, 2020, we increased the maximum amount of Shares to be sold through the ATM Program to $150.0 million from $50.0 million. In connection with the upsize of the ATM Program to $150.0 million, we entered into the Amendment No. 1 to the At-the-Market Sales Agreement, dated September 23, 2020, with the Agents. We intend to use the net proceeds from the ATM Program to make investments in portfolio companies in accordance with our investment objective and strategy and for general corporate purposes.</w:t>
      </w:r>
    </w:p>
    <w:p>
      <w:pPr>
        <w:spacing w:after="0" w:line="15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three and nine months ended September 30, 2023, we did not issue or sell shares under the ATM program. During the three and nine months ended September 30, 2022, we issued and sold 0 and 17,807 shares, respectively, under the ATM Program at weighted-average price of $13.01 per share, for gross proceeds of $231,677 and net proceeds of $229,896, after deducting commissions to the Agents on Shares sold. As of September 30, 2023, up to approximately $98.8 million in aggregate amount of the Shares remain available for sale under the ATM Program.</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5—Common Stock” to our condensed consolidated financial statements as of September 30, 2023 for more information regarding the ATM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Notes due 2026</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ectPr>
          <w:pgSz w:w="11900" w:h="16838" w:orient="portrait"/>
          <w:cols w:equalWidth="0" w:num="1">
            <w:col w:w="11240"/>
          </w:cols>
          <w:pgMar w:left="320" w:top="233" w:right="339" w:bottom="114" w:gutter="0" w:footer="0" w:header="0"/>
        </w:sectPr>
      </w:pPr>
    </w:p>
    <w:bookmarkStart w:id="63" w:name="page64"/>
    <w:bookmarkEnd w:id="63"/>
    <w:p>
      <w:pPr>
        <w:ind w:firstLine="318"/>
        <w:spacing w:after="0" w:line="264" w:lineRule="auto"/>
        <w:rPr>
          <w:sz w:val="20"/>
          <w:szCs w:val="20"/>
          <w:color w:val="auto"/>
        </w:rPr>
      </w:pPr>
      <w:r>
        <w:rPr>
          <w:rFonts w:ascii="Arial" w:cs="Arial" w:eastAsia="Arial" w:hAnsi="Arial"/>
          <w:sz w:val="18"/>
          <w:szCs w:val="18"/>
          <w:color w:val="auto"/>
        </w:rPr>
        <w:t>Refer to “Note 10—Debt Capital Activities” to our condensed consolidated financial statements as of September 30, 2023 for more information regarding the 6.00% Notes due 2026.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2023. The table is divided by fiscal year according to record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Record Date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per Share</w:t>
            </w:r>
          </w:p>
        </w:tc>
      </w:tr>
      <w:tr>
        <w:trPr>
          <w:trHeight w:val="212"/>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November 16, 2015</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 2015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2.76</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2016:</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August 16, 2016</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August 24, 2016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0.04</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2019:</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November 5, 2019</w:t>
            </w:r>
            <w:r>
              <w:rPr>
                <w:rFonts w:ascii="Arial" w:cs="Arial" w:eastAsia="Arial" w:hAnsi="Arial"/>
                <w:sz w:val="29"/>
                <w:szCs w:val="29"/>
                <w:color w:val="auto"/>
                <w:vertAlign w:val="superscript"/>
              </w:rPr>
              <w:t>(3)</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December 2, 2019</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12, 2019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0.20</w:t>
            </w: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December 20, 2019</w:t>
            </w:r>
            <w:r>
              <w:rPr>
                <w:rFonts w:ascii="Arial" w:cs="Arial" w:eastAsia="Arial" w:hAnsi="Arial"/>
                <w:sz w:val="29"/>
                <w:szCs w:val="29"/>
                <w:color w:val="auto"/>
                <w:vertAlign w:val="superscript"/>
              </w:rPr>
              <w:t>(4)</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December 31, 2019</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January 15, 2020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2020: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July 29, 2020</w:t>
            </w:r>
            <w:r>
              <w:rPr>
                <w:rFonts w:ascii="Arial" w:cs="Arial" w:eastAsia="Arial" w:hAnsi="Arial"/>
                <w:sz w:val="29"/>
                <w:szCs w:val="29"/>
                <w:color w:val="auto"/>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August 11, 2020</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August 25, 2020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September 28, 2020</w:t>
            </w:r>
            <w:r>
              <w:rPr>
                <w:rFonts w:ascii="Arial" w:cs="Arial" w:eastAsia="Arial" w:hAnsi="Arial"/>
                <w:sz w:val="29"/>
                <w:szCs w:val="29"/>
                <w:color w:val="auto"/>
                <w:vertAlign w:val="superscript"/>
              </w:rPr>
              <w:t>(6)</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October 5, 2020</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 2020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October 28, 2020</w:t>
            </w:r>
            <w:r>
              <w:rPr>
                <w:rFonts w:ascii="Arial" w:cs="Arial" w:eastAsia="Arial" w:hAnsi="Arial"/>
                <w:sz w:val="29"/>
                <w:szCs w:val="29"/>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November 10, 2020</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November 30, 2020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December 16, 2020</w:t>
            </w:r>
            <w:r>
              <w:rPr>
                <w:rFonts w:ascii="Arial" w:cs="Arial" w:eastAsia="Arial" w:hAnsi="Arial"/>
                <w:sz w:val="29"/>
                <w:szCs w:val="29"/>
                <w:color w:val="auto"/>
                <w:vertAlign w:val="superscript"/>
              </w:rPr>
              <w:t>(8)</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December 30, 2020</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January 15,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0.22</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2021: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January 26, 2021</w:t>
            </w:r>
            <w:r>
              <w:rPr>
                <w:rFonts w:ascii="Arial" w:cs="Arial" w:eastAsia="Arial" w:hAnsi="Arial"/>
                <w:sz w:val="29"/>
                <w:szCs w:val="29"/>
                <w:color w:val="auto"/>
                <w:vertAlign w:val="superscript"/>
              </w:rPr>
              <w:t>(9)</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February 5, 2021</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February 19,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March 8, 2021</w:t>
            </w:r>
            <w:r>
              <w:rPr>
                <w:rFonts w:ascii="Arial" w:cs="Arial" w:eastAsia="Arial" w:hAnsi="Arial"/>
                <w:sz w:val="29"/>
                <w:szCs w:val="29"/>
                <w:color w:val="auto"/>
                <w:vertAlign w:val="superscript"/>
              </w:rPr>
              <w:t>(10)</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March 30, 2021</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April 15, 2021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May 4, 2021</w:t>
            </w:r>
            <w:r>
              <w:rPr>
                <w:rFonts w:ascii="Arial" w:cs="Arial" w:eastAsia="Arial" w:hAnsi="Arial"/>
                <w:sz w:val="29"/>
                <w:szCs w:val="29"/>
                <w:color w:val="auto"/>
                <w:vertAlign w:val="superscript"/>
              </w:rPr>
              <w:t>(11)</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May 18, 2021</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August 3, 2021</w:t>
            </w:r>
            <w:r>
              <w:rPr>
                <w:rFonts w:ascii="Arial" w:cs="Arial" w:eastAsia="Arial" w:hAnsi="Arial"/>
                <w:sz w:val="29"/>
                <w:szCs w:val="29"/>
                <w:color w:val="auto"/>
                <w:vertAlign w:val="superscript"/>
              </w:rPr>
              <w:t>(12)</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August 18, 2021</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September 30, 2021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52"/>
        </w:trPr>
        <w:tc>
          <w:tcPr>
            <w:tcW w:w="542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November 2, 2021</w:t>
            </w:r>
            <w:r>
              <w:rPr>
                <w:rFonts w:ascii="Arial" w:cs="Arial" w:eastAsia="Arial" w:hAnsi="Arial"/>
                <w:sz w:val="29"/>
                <w:szCs w:val="29"/>
                <w:color w:val="auto"/>
                <w:vertAlign w:val="superscript"/>
              </w:rPr>
              <w:t>(13)</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November 17, 2021</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30,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r>
      <w:tr>
        <w:trPr>
          <w:trHeight w:val="252"/>
        </w:trPr>
        <w:tc>
          <w:tcPr>
            <w:tcW w:w="5420" w:type="dxa"/>
            <w:vAlign w:val="bottom"/>
            <w:gridSpan w:val="2"/>
            <w:shd w:val="clear" w:color="auto" w:fill="CCEEFF"/>
          </w:tcPr>
          <w:p>
            <w:pPr>
              <w:ind w:left="180"/>
              <w:spacing w:after="0" w:line="252" w:lineRule="exact"/>
              <w:rPr>
                <w:sz w:val="20"/>
                <w:szCs w:val="20"/>
                <w:color w:val="auto"/>
              </w:rPr>
            </w:pPr>
            <w:r>
              <w:rPr>
                <w:rFonts w:ascii="Arial" w:cs="Arial" w:eastAsia="Arial" w:hAnsi="Arial"/>
                <w:sz w:val="18"/>
                <w:szCs w:val="18"/>
                <w:color w:val="auto"/>
              </w:rPr>
              <w:t>December 20, 2021</w:t>
            </w:r>
            <w:r>
              <w:rPr>
                <w:rFonts w:ascii="Arial" w:cs="Arial" w:eastAsia="Arial" w:hAnsi="Arial"/>
                <w:sz w:val="29"/>
                <w:szCs w:val="29"/>
                <w:color w:val="auto"/>
                <w:vertAlign w:val="superscript"/>
              </w:rPr>
              <w:t>(14)</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December 31, 2021</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January 14, 2022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2022: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5"/>
        </w:trPr>
        <w:tc>
          <w:tcPr>
            <w:tcW w:w="5420" w:type="dxa"/>
            <w:vAlign w:val="bottom"/>
            <w:gridSpan w:val="2"/>
            <w:shd w:val="clear" w:color="auto" w:fill="CCEEFF"/>
          </w:tcPr>
          <w:p>
            <w:pPr>
              <w:ind w:left="180"/>
              <w:spacing w:after="0" w:line="265" w:lineRule="exact"/>
              <w:rPr>
                <w:sz w:val="20"/>
                <w:szCs w:val="20"/>
                <w:color w:val="auto"/>
              </w:rPr>
            </w:pPr>
            <w:r>
              <w:rPr>
                <w:rFonts w:ascii="Arial" w:cs="Arial" w:eastAsia="Arial" w:hAnsi="Arial"/>
                <w:sz w:val="18"/>
                <w:szCs w:val="18"/>
                <w:color w:val="auto"/>
              </w:rPr>
              <w:t>March 8, 2022</w:t>
            </w:r>
            <w:r>
              <w:rPr>
                <w:rFonts w:ascii="Arial" w:cs="Arial" w:eastAsia="Arial" w:hAnsi="Arial"/>
                <w:sz w:val="29"/>
                <w:szCs w:val="29"/>
                <w:color w:val="auto"/>
                <w:vertAlign w:val="superscript"/>
              </w:rPr>
              <w:t>(15)</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March 25, 2022</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April 15, 2022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24"/>
                <w:szCs w:val="24"/>
                <w:color w:val="auto"/>
              </w:rPr>
            </w:pPr>
          </w:p>
        </w:tc>
      </w:tr>
      <w:tr>
        <w:trPr>
          <w:trHeight w:val="212"/>
        </w:trPr>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jc w:val="both"/>
        <w:ind w:left="320" w:hanging="314"/>
        <w:spacing w:after="0" w:line="262"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7"/>
          <w:szCs w:val="17"/>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$3,512,849 distribution paid on December 12, 2019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$2,107,709 distribution paid on January 15, 2020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$2,516,452 distribution paid on August 25, 2020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$5,071,326 distribution paid on October 20, 2020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$4,978,504 distribution paid on November 30, 2020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$4,381,084 distribution paid on January 15, 2021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right="20" w:hanging="314"/>
        <w:spacing w:after="0" w:line="24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$4,981,131 distribution paid on February 19, 2021 represented a distribution from realized gains. None of the distribution represented a return of capital.</w:t>
      </w:r>
    </w:p>
    <w:p>
      <w:pPr>
        <w:spacing w:after="0" w:line="1" w:lineRule="exact"/>
        <w:rPr>
          <w:rFonts w:ascii="Arial" w:cs="Arial" w:eastAsia="Arial" w:hAnsi="Arial"/>
          <w:sz w:val="18"/>
          <w:szCs w:val="18"/>
          <w:color w:val="auto"/>
        </w:rPr>
      </w:pPr>
    </w:p>
    <w:p>
      <w:pPr>
        <w:ind w:left="320" w:hanging="314"/>
        <w:spacing w:after="0" w:line="280"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of the $6,051,304 distribution paid on April 15, 2021 represented a distribution from realized gains. None of the distribution represented a return of capital.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both"/>
        <w:ind w:left="320" w:hanging="314"/>
        <w:spacing w:after="0" w:line="262"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3" w:lineRule="exact"/>
        <w:rPr>
          <w:rFonts w:ascii="Arial" w:cs="Arial" w:eastAsia="Arial" w:hAnsi="Arial"/>
          <w:sz w:val="17"/>
          <w:szCs w:val="17"/>
          <w:color w:val="auto"/>
        </w:rPr>
      </w:pPr>
    </w:p>
    <w:p>
      <w:pPr>
        <w:jc w:val="both"/>
        <w:ind w:left="320" w:hanging="314"/>
        <w:spacing w:after="0" w:line="26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1" w:lineRule="exact"/>
        <w:rPr>
          <w:rFonts w:ascii="Arial" w:cs="Arial" w:eastAsia="Arial" w:hAnsi="Arial"/>
          <w:sz w:val="17"/>
          <w:szCs w:val="17"/>
          <w:color w:val="auto"/>
        </w:rPr>
      </w:pPr>
    </w:p>
    <w:p>
      <w:pPr>
        <w:jc w:val="both"/>
        <w:ind w:left="320" w:hanging="314"/>
        <w:spacing w:after="0" w:line="26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1" w:lineRule="exact"/>
        <w:rPr>
          <w:rFonts w:ascii="Arial" w:cs="Arial" w:eastAsia="Arial" w:hAnsi="Arial"/>
          <w:sz w:val="17"/>
          <w:szCs w:val="17"/>
          <w:color w:val="auto"/>
        </w:rPr>
      </w:pPr>
    </w:p>
    <w:p>
      <w:pPr>
        <w:ind w:left="320" w:right="20" w:hanging="314"/>
        <w:spacing w:after="0" w:line="26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of the $23,338,915 distribution paid on January 14, 2022 represented a distribution from realized gains. None of the distribution represented a return of capital.</w:t>
      </w:r>
    </w:p>
    <w:p>
      <w:pPr>
        <w:ind w:left="320" w:hanging="314"/>
        <w:spacing w:after="0" w:line="28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of the $3,441,824 distribution paid on April 15, 2022 represented a distribution from realized gains. None of the distribution represented a return of capital.</w:t>
      </w:r>
    </w:p>
    <w:p>
      <w:pPr>
        <w:spacing w:after="0" w:line="169"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94"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60"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5"/>
          <w:szCs w:val="15"/>
          <w:i w:val="1"/>
          <w:iCs w:val="1"/>
          <w:color w:val="auto"/>
        </w:rPr>
        <w:t>U.S.</w:t>
      </w:r>
      <w:r>
        <w:rPr>
          <w:rFonts w:ascii="Arial" w:cs="Arial" w:eastAsia="Arial" w:hAnsi="Arial"/>
          <w:sz w:val="15"/>
          <w:szCs w:val="15"/>
          <w:color w:val="auto"/>
        </w:rPr>
        <w:t xml:space="preserve"> </w:t>
      </w:r>
      <w:r>
        <w:rPr>
          <w:rFonts w:ascii="Arial" w:cs="Arial" w:eastAsia="Arial" w:hAnsi="Arial"/>
          <w:sz w:val="15"/>
          <w:szCs w:val="15"/>
          <w:i w:val="1"/>
          <w:iCs w:val="1"/>
          <w:color w:val="auto"/>
        </w:rPr>
        <w:t>Federal and State Income Taxes</w:t>
      </w:r>
      <w:r>
        <w:rPr>
          <w:rFonts w:ascii="Arial" w:cs="Arial" w:eastAsia="Arial" w:hAnsi="Arial"/>
          <w:sz w:val="15"/>
          <w:szCs w:val="15"/>
          <w:color w:val="auto"/>
        </w:rPr>
        <w:t>” and “Note 9—Income Taxes” to our condensed consolidated financial statements as of September 30, 2023 for more</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2023 for further detail regarding our critical accounting policies and recently issued or adopted accounting pronouncements.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3—Related-Party Arrangements” to our condensed consolidated financial statements as of September 30, 2023 for more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3"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2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investments may not have a readily available market quotation, as such term is defined in Rule 2a-5, and we value these investments at fair value as determined in good faith by our Board of Directors in accordance with our valuation policy,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September 30, 2023, all of our debt investments and outstanding borrowings bore fixed rates of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of September 30, 2023,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September 30, 2023 that have materially affected, or are reasonably likely to materially affect, our internal control over financial reporting.</w:t>
      </w:r>
    </w:p>
    <w:p>
      <w:pPr>
        <w:sectPr>
          <w:pgSz w:w="11900" w:h="16838" w:orient="portrait"/>
          <w:cols w:equalWidth="0" w:num="1">
            <w:col w:w="11240"/>
          </w:cols>
          <w:pgMar w:left="320" w:top="233"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7" w:name="page68"/>
    <w:bookmarkEnd w:id="67"/>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Investing in our securities involves a number of significant risks. In addition to the other information contained in this report, you should carefully consider the factors discussed in our annual report on Form 10-K for the fiscal year ended December 31, 2022, filed with the SEC on March 16, 2023, and the factors discussed in our quarterly report on Form 10-Q for the quarter ended March 31, 2023, filed with the SEC on May 10, 2023, which could materially affect our business, financial condition and/or operating results. Although the risks described in our annual report on Form 10-K for the fiscal year ended December 31, 2022 and our quarterly report on Form 10-Q for the quarter ended March 31, 2023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2022, or the risk factors discussed in “Item 1A. Risk Factors” or Part II of our quarterly report on Form 10-Q for the quarter ended March 31,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did not sell any equity securities during the period covered in this report that were not registered under the Securities Act of 1933, as amended.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9"/>
          <w:szCs w:val="29"/>
          <w:b w:val="1"/>
          <w:bCs w:val="1"/>
          <w:color w:val="auto"/>
          <w:vertAlign w:val="superscript"/>
        </w:rPr>
        <w:t>(1)</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our purchases of our common stock during the nine months ended September 30, 2023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Total Number</w:t>
            </w: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of Shares</w:t>
            </w: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Dollar Value of</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Purchased as</w:t>
            </w: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Shares that May</w:t>
            </w:r>
          </w:p>
        </w:tc>
        <w:tc>
          <w:tcPr>
            <w:tcW w:w="0" w:type="dxa"/>
            <w:vAlign w:val="bottom"/>
          </w:tcPr>
          <w:p>
            <w:pPr>
              <w:spacing w:after="0"/>
              <w:rPr>
                <w:sz w:val="1"/>
                <w:szCs w:val="1"/>
                <w:color w:val="auto"/>
              </w:rPr>
            </w:pPr>
          </w:p>
        </w:tc>
      </w:tr>
      <w:tr>
        <w:trPr>
          <w:trHeight w:val="177"/>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center"/>
              <w:ind w:right="320"/>
              <w:spacing w:after="0" w:line="177" w:lineRule="exact"/>
              <w:rPr>
                <w:sz w:val="20"/>
                <w:szCs w:val="20"/>
                <w:color w:val="auto"/>
              </w:rPr>
            </w:pPr>
            <w:r>
              <w:rPr>
                <w:rFonts w:ascii="Arial" w:cs="Arial" w:eastAsia="Arial" w:hAnsi="Arial"/>
                <w:sz w:val="18"/>
                <w:szCs w:val="18"/>
                <w:b w:val="1"/>
                <w:bCs w:val="1"/>
                <w:color w:val="auto"/>
                <w:w w:val="91"/>
              </w:rPr>
              <w:t>Part of Publicly</w:t>
            </w:r>
          </w:p>
        </w:tc>
        <w:tc>
          <w:tcPr>
            <w:tcW w:w="1540" w:type="dxa"/>
            <w:vAlign w:val="bottom"/>
            <w:gridSpan w:val="3"/>
          </w:tcPr>
          <w:p>
            <w:pPr>
              <w:jc w:val="center"/>
              <w:ind w:right="100"/>
              <w:spacing w:after="0" w:line="177" w:lineRule="exact"/>
              <w:rPr>
                <w:sz w:val="20"/>
                <w:szCs w:val="20"/>
                <w:color w:val="auto"/>
              </w:rPr>
            </w:pPr>
            <w:r>
              <w:rPr>
                <w:rFonts w:ascii="Arial" w:cs="Arial" w:eastAsia="Arial" w:hAnsi="Arial"/>
                <w:sz w:val="18"/>
                <w:szCs w:val="18"/>
                <w:b w:val="1"/>
                <w:bCs w:val="1"/>
                <w:color w:val="auto"/>
                <w:w w:val="86"/>
              </w:rPr>
              <w:t>Yet Be Purchased</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Announced</w:t>
            </w: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Under the Share</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Price Paid</w:t>
            </w: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Plans or</w:t>
            </w: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Repurchase</w:t>
            </w:r>
          </w:p>
        </w:tc>
        <w:tc>
          <w:tcPr>
            <w:tcW w:w="0" w:type="dxa"/>
            <w:vAlign w:val="bottom"/>
          </w:tcPr>
          <w:p>
            <w:pPr>
              <w:spacing w:after="0"/>
              <w:rPr>
                <w:sz w:val="1"/>
                <w:szCs w:val="1"/>
                <w:color w:val="auto"/>
              </w:rPr>
            </w:pPr>
          </w:p>
        </w:tc>
      </w:tr>
      <w:tr>
        <w:trPr>
          <w:trHeight w:val="271"/>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20" w:type="dxa"/>
            <w:vAlign w:val="bottom"/>
            <w:gridSpan w:val="2"/>
          </w:tcPr>
          <w:p>
            <w:pPr>
              <w:jc w:val="center"/>
              <w:ind w:right="180"/>
              <w:spacing w:after="0" w:line="265" w:lineRule="exact"/>
              <w:rPr>
                <w:sz w:val="20"/>
                <w:szCs w:val="20"/>
                <w:color w:val="auto"/>
              </w:rPr>
            </w:pPr>
            <w:r>
              <w:rPr>
                <w:rFonts w:ascii="Arial" w:cs="Arial" w:eastAsia="Arial" w:hAnsi="Arial"/>
                <w:sz w:val="18"/>
                <w:szCs w:val="18"/>
                <w:b w:val="1"/>
                <w:bCs w:val="1"/>
                <w:color w:val="auto"/>
                <w:w w:val="82"/>
              </w:rPr>
              <w:t>Purchased</w:t>
            </w:r>
            <w:r>
              <w:rPr>
                <w:rFonts w:ascii="Arial" w:cs="Arial" w:eastAsia="Arial" w:hAnsi="Arial"/>
                <w:sz w:val="29"/>
                <w:szCs w:val="29"/>
                <w:b w:val="1"/>
                <w:bCs w:val="1"/>
                <w:color w:val="auto"/>
                <w:w w:val="82"/>
                <w:vertAlign w:val="superscript"/>
              </w:rPr>
              <w:t>(2)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Per Share</w:t>
            </w: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Programs</w:t>
            </w:r>
          </w:p>
        </w:tc>
        <w:tc>
          <w:tcPr>
            <w:tcW w:w="8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12"/>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2023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spacing w:after="0"/>
              <w:rPr>
                <w:sz w:val="20"/>
                <w:szCs w:val="20"/>
                <w:color w:val="auto"/>
              </w:rPr>
            </w:pPr>
            <w:r>
              <w:rPr>
                <w:rFonts w:ascii="Arial" w:cs="Arial" w:eastAsia="Arial" w:hAnsi="Arial"/>
                <w:sz w:val="18"/>
                <w:szCs w:val="18"/>
                <w:color w:val="auto"/>
              </w:rPr>
              <w:t>February 1 through February 28, 2023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2"/>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through March 31, 2023</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2"/>
        </w:trPr>
        <w:tc>
          <w:tcPr>
            <w:tcW w:w="4960" w:type="dxa"/>
            <w:vAlign w:val="bottom"/>
            <w:gridSpan w:val="2"/>
          </w:tcPr>
          <w:p>
            <w:pPr>
              <w:spacing w:after="0"/>
              <w:rPr>
                <w:sz w:val="20"/>
                <w:szCs w:val="20"/>
                <w:color w:val="auto"/>
              </w:rPr>
            </w:pPr>
            <w:r>
              <w:rPr>
                <w:rFonts w:ascii="Arial" w:cs="Arial" w:eastAsia="Arial" w:hAnsi="Arial"/>
                <w:sz w:val="18"/>
                <w:szCs w:val="18"/>
                <w:color w:val="auto"/>
              </w:rPr>
              <w:t>April 1 through April 30, 2023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2"/>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through May 31, 2023</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8"/>
                <w:szCs w:val="18"/>
                <w:color w:val="auto"/>
              </w:rPr>
              <w:t>June 1 through June 30, 2023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4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through July 31, 2023</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8"/>
                <w:szCs w:val="18"/>
                <w:color w:val="auto"/>
              </w:rPr>
              <w:t>August 1 through August 31, 2023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69,990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69,990</w:t>
            </w:r>
          </w:p>
        </w:tc>
        <w:tc>
          <w:tcPr>
            <w:tcW w:w="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21,111,429</w:t>
            </w:r>
          </w:p>
        </w:tc>
        <w:tc>
          <w:tcPr>
            <w:tcW w:w="0" w:type="dxa"/>
            <w:vAlign w:val="bottom"/>
          </w:tcPr>
          <w:p>
            <w:pPr>
              <w:spacing w:after="0"/>
              <w:rPr>
                <w:sz w:val="1"/>
                <w:szCs w:val="1"/>
                <w:color w:val="auto"/>
              </w:rPr>
            </w:pPr>
          </w:p>
        </w:tc>
      </w:tr>
      <w:tr>
        <w:trPr>
          <w:trHeight w:val="252"/>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through September 30, 2023</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116,503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116,503</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20,686,087</w:t>
            </w:r>
          </w:p>
        </w:tc>
        <w:tc>
          <w:tcPr>
            <w:tcW w:w="0" w:type="dxa"/>
            <w:vAlign w:val="bottom"/>
          </w:tcPr>
          <w:p>
            <w:pPr>
              <w:spacing w:after="0"/>
              <w:rPr>
                <w:sz w:val="1"/>
                <w:szCs w:val="1"/>
                <w:color w:val="auto"/>
              </w:rPr>
            </w:pPr>
          </w:p>
        </w:tc>
      </w:tr>
      <w:tr>
        <w:trPr>
          <w:trHeight w:val="212"/>
        </w:trPr>
        <w:tc>
          <w:tcPr>
            <w:tcW w:w="49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3,186,493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3,186,493</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On March 17, 2023, we commenced the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88"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7837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8" w:lineRule="exact"/>
        <w:rPr>
          <w:sz w:val="20"/>
          <w:szCs w:val="20"/>
          <w:color w:val="auto"/>
        </w:rPr>
      </w:pPr>
    </w:p>
    <w:p>
      <w:pPr>
        <w:jc w:val="both"/>
        <w:ind w:left="320" w:hanging="314"/>
        <w:spacing w:after="0" w:line="300" w:lineRule="auto"/>
        <w:tabs>
          <w:tab w:leader="none" w:pos="3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our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w:t>
      </w:r>
    </w:p>
    <w:p>
      <w:pPr>
        <w:sectPr>
          <w:pgSz w:w="11900" w:h="16865" w:orient="portrait"/>
          <w:cols w:equalWidth="0" w:num="1">
            <w:col w:w="11240"/>
          </w:cols>
          <w:pgMar w:left="320" w:top="233" w:right="339" w:bottom="0" w:gutter="0" w:footer="0" w:header="0"/>
        </w:sectPr>
      </w:pPr>
    </w:p>
    <w:bookmarkStart w:id="68" w:name="page69"/>
    <w:bookmarkEnd w:id="68"/>
    <w:p>
      <w:pPr>
        <w:jc w:val="both"/>
        <w:ind w:left="320"/>
        <w:spacing w:after="0" w:line="261" w:lineRule="auto"/>
        <w:rPr>
          <w:sz w:val="20"/>
          <w:szCs w:val="20"/>
          <w:color w:val="auto"/>
        </w:rPr>
      </w:pPr>
      <w:r>
        <w:rPr>
          <w:rFonts w:ascii="Arial" w:cs="Arial" w:eastAsia="Arial" w:hAnsi="Arial"/>
          <w:sz w:val="17"/>
          <w:szCs w:val="17"/>
          <w:color w:val="auto"/>
        </w:rPr>
        <w:t>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our Board of Directors approved an extension of the Share Repurchase Program until the earlier of (i) October 31, 2023 or (ii) the repurchase of $55.0 million in aggregate amount of our common stock. On August 7, 2023, our Board of Directors approved an extension of the Share Repurchase Program under the earlier of (i) October 31, 2024 or (ii) the repurchase of $60.0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2023, we repurchased 186,493 shares of common stock under the Share Repurchase Program. As of September 30, 2023, the dollar value of shares that remained available to be purchased under the Share Repurchase Program was approximately $20.7 million.</w:t>
      </w:r>
    </w:p>
    <w:p>
      <w:pPr>
        <w:spacing w:after="0" w:line="4" w:lineRule="exact"/>
        <w:rPr>
          <w:sz w:val="20"/>
          <w:szCs w:val="20"/>
          <w:color w:val="auto"/>
        </w:rPr>
      </w:pPr>
    </w:p>
    <w:p>
      <w:pPr>
        <w:ind w:left="320" w:hanging="314"/>
        <w:spacing w:after="0" w:line="251" w:lineRule="auto"/>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purchases of our common stock made on the open market by or on behalf of any “affiliated purchaser,” as defined in Exchange Act Rule 10b-18(a)(3),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88"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7"/>
          <w:szCs w:val="17"/>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3.1</w:t>
            </w:r>
          </w:p>
        </w:tc>
        <w:tc>
          <w:tcPr>
            <w:tcW w:w="2880" w:type="dxa"/>
            <w:vAlign w:val="bottom"/>
            <w:gridSpan w:val="9"/>
            <w:vMerge w:val="restart"/>
          </w:tcPr>
          <w:p>
            <w:pPr>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Articles of Amendment and Restatement</w:t>
              </w:r>
            </w:hyperlink>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87"/>
              </w:rPr>
            </w:pPr>
            <w:hyperlink r:id="rId113">
              <w:r>
                <w:rPr>
                  <w:rFonts w:ascii="Arial" w:cs="Arial" w:eastAsia="Arial" w:hAnsi="Arial"/>
                  <w:sz w:val="15"/>
                  <w:szCs w:val="15"/>
                  <w:color w:val="0000EE"/>
                  <w:w w:val="87"/>
                </w:rPr>
                <w:t>(1)</w:t>
              </w:r>
            </w:hyperlink>
          </w:p>
        </w:tc>
        <w:tc>
          <w:tcPr>
            <w:tcW w:w="216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7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80" w:type="dxa"/>
            <w:vAlign w:val="bottom"/>
            <w:vMerge w:val="continue"/>
          </w:tcPr>
          <w:p>
            <w:pPr>
              <w:spacing w:after="0"/>
              <w:rPr>
                <w:sz w:val="4"/>
                <w:szCs w:val="4"/>
                <w:color w:val="auto"/>
              </w:rPr>
            </w:pPr>
          </w:p>
        </w:tc>
        <w:tc>
          <w:tcPr>
            <w:tcW w:w="2880" w:type="dxa"/>
            <w:vAlign w:val="bottom"/>
            <w:tcBorders>
              <w:bottom w:val="single" w:sz="8" w:color="0000EE"/>
            </w:tcBorders>
            <w:gridSpan w:val="9"/>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3.2</w:t>
            </w:r>
          </w:p>
        </w:tc>
        <w:tc>
          <w:tcPr>
            <w:tcW w:w="1660" w:type="dxa"/>
            <w:vAlign w:val="bottom"/>
            <w:vMerge w:val="restart"/>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Articles of Amendment</w:t>
              </w:r>
            </w:hyperlink>
          </w:p>
        </w:tc>
        <w:tc>
          <w:tcPr>
            <w:tcW w:w="180" w:type="dxa"/>
            <w:vAlign w:val="bottom"/>
            <w:tcBorders>
              <w:bottom w:val="single" w:sz="8" w:color="0000EE"/>
            </w:tcBorders>
            <w:gridSpan w:val="3"/>
          </w:tcPr>
          <w:p>
            <w:pPr>
              <w:jc w:val="right"/>
              <w:spacing w:after="0" w:line="152" w:lineRule="exact"/>
              <w:rPr>
                <w:rFonts w:ascii="Arial" w:cs="Arial" w:eastAsia="Arial" w:hAnsi="Arial"/>
                <w:sz w:val="15"/>
                <w:szCs w:val="15"/>
                <w:color w:val="0000EE"/>
                <w:w w:val="87"/>
              </w:rPr>
            </w:pPr>
            <w:hyperlink r:id="rId114">
              <w:r>
                <w:rPr>
                  <w:rFonts w:ascii="Arial" w:cs="Arial" w:eastAsia="Arial" w:hAnsi="Arial"/>
                  <w:sz w:val="15"/>
                  <w:szCs w:val="15"/>
                  <w:color w:val="0000EE"/>
                  <w:w w:val="87"/>
                </w:rPr>
                <w:t>(2)</w:t>
              </w:r>
            </w:hyperlink>
          </w:p>
        </w:tc>
        <w:tc>
          <w:tcPr>
            <w:tcW w:w="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228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80" w:type="dxa"/>
            <w:vAlign w:val="bottom"/>
            <w:vMerge w:val="continue"/>
          </w:tcPr>
          <w:p>
            <w:pPr>
              <w:spacing w:after="0"/>
              <w:rPr>
                <w:sz w:val="4"/>
                <w:szCs w:val="4"/>
                <w:color w:val="auto"/>
              </w:rPr>
            </w:pPr>
          </w:p>
        </w:tc>
        <w:tc>
          <w:tcPr>
            <w:tcW w:w="166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3.3</w:t>
            </w:r>
          </w:p>
        </w:tc>
        <w:tc>
          <w:tcPr>
            <w:tcW w:w="1660" w:type="dxa"/>
            <w:vAlign w:val="bottom"/>
            <w:vMerge w:val="restart"/>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Articles of Amendment</w:t>
              </w:r>
            </w:hyperlink>
          </w:p>
        </w:tc>
        <w:tc>
          <w:tcPr>
            <w:tcW w:w="180" w:type="dxa"/>
            <w:vAlign w:val="bottom"/>
            <w:tcBorders>
              <w:bottom w:val="single" w:sz="8" w:color="0000EE"/>
            </w:tcBorders>
            <w:gridSpan w:val="3"/>
          </w:tcPr>
          <w:p>
            <w:pPr>
              <w:jc w:val="right"/>
              <w:spacing w:after="0" w:line="152" w:lineRule="exact"/>
              <w:rPr>
                <w:rFonts w:ascii="Arial" w:cs="Arial" w:eastAsia="Arial" w:hAnsi="Arial"/>
                <w:sz w:val="15"/>
                <w:szCs w:val="15"/>
                <w:color w:val="0000EE"/>
                <w:w w:val="87"/>
              </w:rPr>
            </w:pPr>
            <w:hyperlink r:id="rId115">
              <w:r>
                <w:rPr>
                  <w:rFonts w:ascii="Arial" w:cs="Arial" w:eastAsia="Arial" w:hAnsi="Arial"/>
                  <w:sz w:val="15"/>
                  <w:szCs w:val="15"/>
                  <w:color w:val="0000EE"/>
                  <w:w w:val="87"/>
                </w:rPr>
                <w:t>(3)</w:t>
              </w:r>
            </w:hyperlink>
          </w:p>
        </w:tc>
        <w:tc>
          <w:tcPr>
            <w:tcW w:w="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228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80" w:type="dxa"/>
            <w:vAlign w:val="bottom"/>
            <w:vMerge w:val="continue"/>
          </w:tcPr>
          <w:p>
            <w:pPr>
              <w:spacing w:after="0"/>
              <w:rPr>
                <w:sz w:val="4"/>
                <w:szCs w:val="4"/>
                <w:color w:val="auto"/>
              </w:rPr>
            </w:pPr>
          </w:p>
        </w:tc>
        <w:tc>
          <w:tcPr>
            <w:tcW w:w="166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3.4</w:t>
            </w:r>
          </w:p>
        </w:tc>
        <w:tc>
          <w:tcPr>
            <w:tcW w:w="1660" w:type="dxa"/>
            <w:vAlign w:val="bottom"/>
            <w:vMerge w:val="restart"/>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Articles of Amendment</w:t>
              </w:r>
            </w:hyperlink>
          </w:p>
        </w:tc>
        <w:tc>
          <w:tcPr>
            <w:tcW w:w="180" w:type="dxa"/>
            <w:vAlign w:val="bottom"/>
            <w:tcBorders>
              <w:bottom w:val="single" w:sz="8" w:color="0000EE"/>
            </w:tcBorders>
            <w:gridSpan w:val="3"/>
          </w:tcPr>
          <w:p>
            <w:pPr>
              <w:jc w:val="right"/>
              <w:spacing w:after="0" w:line="152" w:lineRule="exact"/>
              <w:rPr>
                <w:rFonts w:ascii="Arial" w:cs="Arial" w:eastAsia="Arial" w:hAnsi="Arial"/>
                <w:sz w:val="15"/>
                <w:szCs w:val="15"/>
                <w:color w:val="0000EE"/>
                <w:w w:val="87"/>
              </w:rPr>
            </w:pPr>
            <w:hyperlink r:id="rId116">
              <w:r>
                <w:rPr>
                  <w:rFonts w:ascii="Arial" w:cs="Arial" w:eastAsia="Arial" w:hAnsi="Arial"/>
                  <w:sz w:val="15"/>
                  <w:szCs w:val="15"/>
                  <w:color w:val="0000EE"/>
                  <w:w w:val="87"/>
                </w:rPr>
                <w:t>(4)</w:t>
              </w:r>
            </w:hyperlink>
          </w:p>
        </w:tc>
        <w:tc>
          <w:tcPr>
            <w:tcW w:w="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228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80" w:type="dxa"/>
            <w:vAlign w:val="bottom"/>
            <w:vMerge w:val="continue"/>
          </w:tcPr>
          <w:p>
            <w:pPr>
              <w:spacing w:after="0"/>
              <w:rPr>
                <w:sz w:val="4"/>
                <w:szCs w:val="4"/>
                <w:color w:val="auto"/>
              </w:rPr>
            </w:pPr>
          </w:p>
        </w:tc>
        <w:tc>
          <w:tcPr>
            <w:tcW w:w="166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3.5</w:t>
            </w:r>
          </w:p>
        </w:tc>
        <w:tc>
          <w:tcPr>
            <w:tcW w:w="2780" w:type="dxa"/>
            <w:vAlign w:val="bottom"/>
            <w:gridSpan w:val="8"/>
            <w:vMerge w:val="restart"/>
          </w:tcPr>
          <w:p>
            <w:pPr>
              <w:spacing w:after="0"/>
              <w:rPr>
                <w:rFonts w:ascii="Arial" w:cs="Arial" w:eastAsia="Arial" w:hAnsi="Arial"/>
                <w:sz w:val="18"/>
                <w:szCs w:val="18"/>
                <w:color w:val="0000EE"/>
                <w:w w:val="87"/>
              </w:rPr>
            </w:pPr>
            <w:hyperlink r:id="rId117">
              <w:r>
                <w:rPr>
                  <w:rFonts w:ascii="Arial" w:cs="Arial" w:eastAsia="Arial" w:hAnsi="Arial"/>
                  <w:sz w:val="18"/>
                  <w:szCs w:val="18"/>
                  <w:color w:val="0000EE"/>
                  <w:w w:val="87"/>
                </w:rPr>
                <w:t>Second Amended and Restated Bylaws</w:t>
              </w:r>
            </w:hyperlink>
          </w:p>
        </w:tc>
        <w:tc>
          <w:tcPr>
            <w:tcW w:w="160" w:type="dxa"/>
            <w:vAlign w:val="bottom"/>
            <w:tcBorders>
              <w:bottom w:val="single" w:sz="8" w:color="0000EE"/>
            </w:tcBorders>
            <w:gridSpan w:val="2"/>
          </w:tcPr>
          <w:p>
            <w:pPr>
              <w:jc w:val="right"/>
              <w:spacing w:after="0" w:line="146" w:lineRule="exact"/>
              <w:rPr>
                <w:sz w:val="20"/>
                <w:szCs w:val="20"/>
                <w:color w:val="auto"/>
              </w:rPr>
            </w:pPr>
            <w:r>
              <w:rPr>
                <w:rFonts w:ascii="Arial" w:cs="Arial" w:eastAsia="Arial" w:hAnsi="Arial"/>
                <w:sz w:val="15"/>
                <w:szCs w:val="15"/>
                <w:color w:val="0000EE"/>
                <w:w w:val="76"/>
              </w:rPr>
              <w:t>(4)</w:t>
            </w:r>
          </w:p>
        </w:tc>
        <w:tc>
          <w:tcPr>
            <w:tcW w:w="228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480" w:type="dxa"/>
            <w:vAlign w:val="bottom"/>
            <w:vMerge w:val="continue"/>
          </w:tcPr>
          <w:p>
            <w:pPr>
              <w:spacing w:after="0"/>
              <w:rPr>
                <w:sz w:val="4"/>
                <w:szCs w:val="4"/>
                <w:color w:val="auto"/>
              </w:rPr>
            </w:pPr>
          </w:p>
        </w:tc>
        <w:tc>
          <w:tcPr>
            <w:tcW w:w="2780" w:type="dxa"/>
            <w:vAlign w:val="bottom"/>
            <w:tcBorders>
              <w:bottom w:val="single" w:sz="8" w:color="0000EE"/>
            </w:tcBorders>
            <w:gridSpan w:val="8"/>
            <w:vMerge w:val="continue"/>
          </w:tcPr>
          <w:p>
            <w:pPr>
              <w:spacing w:after="0"/>
              <w:rPr>
                <w:sz w:val="4"/>
                <w:szCs w:val="4"/>
                <w:color w:val="auto"/>
              </w:rPr>
            </w:pPr>
          </w:p>
        </w:tc>
        <w:tc>
          <w:tcPr>
            <w:tcW w:w="160" w:type="dxa"/>
            <w:vAlign w:val="bottom"/>
            <w:gridSpan w:val="2"/>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4.1</w:t>
            </w:r>
          </w:p>
        </w:tc>
        <w:tc>
          <w:tcPr>
            <w:tcW w:w="8280" w:type="dxa"/>
            <w:vAlign w:val="bottom"/>
            <w:gridSpan w:val="16"/>
            <w:vMerge w:val="restart"/>
          </w:tcPr>
          <w:p>
            <w:pPr>
              <w:spacing w:after="0"/>
              <w:rPr>
                <w:rFonts w:ascii="Arial" w:cs="Arial" w:eastAsia="Arial" w:hAnsi="Arial"/>
                <w:sz w:val="18"/>
                <w:szCs w:val="18"/>
                <w:color w:val="0000EE"/>
                <w:w w:val="87"/>
              </w:rPr>
            </w:pPr>
            <w:hyperlink r:id="rId118">
              <w:r>
                <w:rPr>
                  <w:rFonts w:ascii="Arial" w:cs="Arial" w:eastAsia="Arial" w:hAnsi="Arial"/>
                  <w:sz w:val="18"/>
                  <w:szCs w:val="18"/>
                  <w:color w:val="0000EE"/>
                  <w:w w:val="87"/>
                </w:rPr>
                <w:t>Base Indenture, dated March 28, 2018, by and between the Registrant and U.S. Bank National Association, as trustee</w:t>
              </w:r>
            </w:hyperlink>
          </w:p>
        </w:tc>
        <w:tc>
          <w:tcPr>
            <w:tcW w:w="180" w:type="dxa"/>
            <w:vAlign w:val="bottom"/>
            <w:tcBorders>
              <w:bottom w:val="single" w:sz="8" w:color="0000EE"/>
            </w:tcBorders>
            <w:gridSpan w:val="4"/>
          </w:tcPr>
          <w:p>
            <w:pPr>
              <w:jc w:val="right"/>
              <w:spacing w:after="0" w:line="146" w:lineRule="exact"/>
              <w:rPr>
                <w:sz w:val="20"/>
                <w:szCs w:val="20"/>
                <w:color w:val="auto"/>
              </w:rPr>
            </w:pPr>
            <w:r>
              <w:rPr>
                <w:rFonts w:ascii="Arial" w:cs="Arial" w:eastAsia="Arial" w:hAnsi="Arial"/>
                <w:sz w:val="15"/>
                <w:szCs w:val="15"/>
                <w:color w:val="0000EE"/>
                <w:w w:val="87"/>
              </w:rPr>
              <w:t>(5)</w:t>
            </w:r>
          </w:p>
        </w:tc>
        <w:tc>
          <w:tcPr>
            <w:tcW w:w="2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80" w:type="dxa"/>
            <w:vAlign w:val="bottom"/>
            <w:vMerge w:val="continue"/>
          </w:tcPr>
          <w:p>
            <w:pPr>
              <w:spacing w:after="0"/>
              <w:rPr>
                <w:sz w:val="4"/>
                <w:szCs w:val="4"/>
                <w:color w:val="auto"/>
              </w:rPr>
            </w:pPr>
          </w:p>
        </w:tc>
        <w:tc>
          <w:tcPr>
            <w:tcW w:w="8280" w:type="dxa"/>
            <w:vAlign w:val="bottom"/>
            <w:tcBorders>
              <w:bottom w:val="single" w:sz="8" w:color="0000EE"/>
            </w:tcBorders>
            <w:gridSpan w:val="1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80" w:type="dxa"/>
            <w:vAlign w:val="bottom"/>
          </w:tcPr>
          <w:p>
            <w:pPr>
              <w:jc w:val="center"/>
              <w:ind w:right="52"/>
              <w:spacing w:after="0" w:line="192" w:lineRule="exact"/>
              <w:rPr>
                <w:sz w:val="20"/>
                <w:szCs w:val="20"/>
                <w:color w:val="auto"/>
              </w:rPr>
            </w:pPr>
            <w:r>
              <w:rPr>
                <w:rFonts w:ascii="Arial" w:cs="Arial" w:eastAsia="Arial" w:hAnsi="Arial"/>
                <w:sz w:val="18"/>
                <w:szCs w:val="18"/>
                <w:color w:val="auto"/>
                <w:w w:val="87"/>
              </w:rPr>
              <w:t>4.2</w:t>
            </w:r>
          </w:p>
        </w:tc>
        <w:tc>
          <w:tcPr>
            <w:tcW w:w="10600" w:type="dxa"/>
            <w:vAlign w:val="bottom"/>
            <w:tcBorders>
              <w:bottom w:val="single" w:sz="8" w:color="0000EE"/>
            </w:tcBorders>
            <w:gridSpan w:val="21"/>
          </w:tcPr>
          <w:p>
            <w:pPr>
              <w:spacing w:after="0" w:line="192"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Second Supplemental Indenture, dated December 17, 2021, relating to the 6.00% Notes due 2026, by and between the Company and U.S. Bank</w:t>
              </w:r>
            </w:hyperlink>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2240" w:type="dxa"/>
            <w:vAlign w:val="bottom"/>
            <w:gridSpan w:val="6"/>
            <w:vMerge w:val="restart"/>
          </w:tcPr>
          <w:p>
            <w:pPr>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National Association, as trustee</w:t>
              </w:r>
            </w:hyperlink>
          </w:p>
        </w:tc>
        <w:tc>
          <w:tcPr>
            <w:tcW w:w="160" w:type="dxa"/>
            <w:vAlign w:val="bottom"/>
            <w:tcBorders>
              <w:bottom w:val="single" w:sz="8" w:color="0000EE"/>
            </w:tcBorders>
          </w:tcPr>
          <w:p>
            <w:pPr>
              <w:jc w:val="right"/>
              <w:spacing w:after="0" w:line="152" w:lineRule="exact"/>
              <w:rPr>
                <w:rFonts w:ascii="Arial" w:cs="Arial" w:eastAsia="Arial" w:hAnsi="Arial"/>
                <w:sz w:val="15"/>
                <w:szCs w:val="15"/>
                <w:color w:val="0000EE"/>
                <w:w w:val="76"/>
              </w:rPr>
            </w:pPr>
            <w:hyperlink r:id="rId119">
              <w:r>
                <w:rPr>
                  <w:rFonts w:ascii="Arial" w:cs="Arial" w:eastAsia="Arial" w:hAnsi="Arial"/>
                  <w:sz w:val="15"/>
                  <w:szCs w:val="15"/>
                  <w:color w:val="0000EE"/>
                  <w:w w:val="76"/>
                </w:rPr>
                <w:t>(6)</w:t>
              </w:r>
            </w:hyperlink>
          </w:p>
        </w:tc>
        <w:tc>
          <w:tcPr>
            <w:tcW w:w="2820" w:type="dxa"/>
            <w:vAlign w:val="bottom"/>
            <w:gridSpan w:val="5"/>
            <w:vMerge w:val="restart"/>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20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2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4.3</w:t>
            </w:r>
          </w:p>
        </w:tc>
        <w:tc>
          <w:tcPr>
            <w:tcW w:w="2240" w:type="dxa"/>
            <w:vAlign w:val="bottom"/>
            <w:tcBorders>
              <w:bottom w:val="single" w:sz="8" w:color="0000EE"/>
            </w:tcBorders>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2820" w:type="dxa"/>
            <w:vAlign w:val="bottom"/>
            <w:gridSpan w:val="5"/>
            <w:vMerge w:val="continue"/>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0000EE"/>
                <w:w w:val="76"/>
              </w:rPr>
              <w:t>(6)</w:t>
            </w: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80" w:type="dxa"/>
            <w:vAlign w:val="bottom"/>
            <w:vMerge w:val="continue"/>
          </w:tcPr>
          <w:p>
            <w:pPr>
              <w:spacing w:after="0"/>
              <w:rPr>
                <w:sz w:val="14"/>
                <w:szCs w:val="14"/>
                <w:color w:val="auto"/>
              </w:rPr>
            </w:pPr>
          </w:p>
        </w:tc>
        <w:tc>
          <w:tcPr>
            <w:tcW w:w="5220" w:type="dxa"/>
            <w:vAlign w:val="bottom"/>
            <w:gridSpan w:val="12"/>
            <w:vMerge w:val="restart"/>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Form of 6.00% Notes due 2026 (incorporated by reference to Exhibit 4.2)</w:t>
              </w:r>
            </w:hyperlink>
          </w:p>
        </w:tc>
        <w:tc>
          <w:tcPr>
            <w:tcW w:w="160" w:type="dxa"/>
            <w:vAlign w:val="bottom"/>
            <w:tcBorders>
              <w:bottom w:val="single" w:sz="8" w:color="0000EE"/>
            </w:tcBorders>
            <w:vMerge w:val="continue"/>
          </w:tcPr>
          <w:p>
            <w:pPr>
              <w:spacing w:after="0"/>
              <w:rPr>
                <w:sz w:val="14"/>
                <w:szCs w:val="14"/>
                <w:color w:val="auto"/>
              </w:rPr>
            </w:pPr>
          </w:p>
        </w:tc>
        <w:tc>
          <w:tcPr>
            <w:tcW w:w="17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20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2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480" w:type="dxa"/>
            <w:vAlign w:val="bottom"/>
            <w:vMerge w:val="continue"/>
          </w:tcPr>
          <w:p>
            <w:pPr>
              <w:spacing w:after="0"/>
              <w:rPr>
                <w:sz w:val="4"/>
                <w:szCs w:val="4"/>
                <w:color w:val="auto"/>
              </w:rPr>
            </w:pPr>
          </w:p>
        </w:tc>
        <w:tc>
          <w:tcPr>
            <w:tcW w:w="5220" w:type="dxa"/>
            <w:vAlign w:val="bottom"/>
            <w:tcBorders>
              <w:bottom w:val="single" w:sz="8" w:color="0000EE"/>
            </w:tcBorders>
            <w:gridSpan w:val="12"/>
            <w:vMerge w:val="continue"/>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80" w:type="dxa"/>
            <w:vAlign w:val="bottom"/>
            <w:vMerge w:val="restart"/>
          </w:tcPr>
          <w:p>
            <w:pPr>
              <w:jc w:val="center"/>
              <w:ind w:right="52"/>
              <w:spacing w:after="0"/>
              <w:rPr>
                <w:sz w:val="20"/>
                <w:szCs w:val="20"/>
                <w:color w:val="auto"/>
              </w:rPr>
            </w:pPr>
            <w:r>
              <w:rPr>
                <w:rFonts w:ascii="Arial" w:cs="Arial" w:eastAsia="Arial" w:hAnsi="Arial"/>
                <w:sz w:val="18"/>
                <w:szCs w:val="18"/>
                <w:color w:val="auto"/>
                <w:w w:val="87"/>
              </w:rPr>
              <w:t>4.4</w:t>
            </w:r>
          </w:p>
        </w:tc>
        <w:tc>
          <w:tcPr>
            <w:tcW w:w="1760" w:type="dxa"/>
            <w:vAlign w:val="bottom"/>
            <w:gridSpan w:val="3"/>
            <w:vMerge w:val="restart"/>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Description of Securities</w:t>
              </w:r>
            </w:hyperlink>
          </w:p>
        </w:tc>
        <w:tc>
          <w:tcPr>
            <w:tcW w:w="16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76"/>
              </w:rPr>
            </w:pPr>
            <w:hyperlink r:id="rId121">
              <w:r>
                <w:rPr>
                  <w:rFonts w:ascii="Arial" w:cs="Arial" w:eastAsia="Arial" w:hAnsi="Arial"/>
                  <w:sz w:val="15"/>
                  <w:szCs w:val="15"/>
                  <w:color w:val="0000EE"/>
                  <w:w w:val="76"/>
                </w:rPr>
                <w:t>(7)</w:t>
              </w:r>
            </w:hyperlink>
          </w:p>
        </w:tc>
        <w:tc>
          <w:tcPr>
            <w:tcW w:w="5180" w:type="dxa"/>
            <w:vAlign w:val="bottom"/>
            <w:gridSpan w:val="9"/>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20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2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480" w:type="dxa"/>
            <w:vAlign w:val="bottom"/>
            <w:vMerge w:val="continue"/>
          </w:tcPr>
          <w:p>
            <w:pPr>
              <w:spacing w:after="0"/>
              <w:rPr>
                <w:sz w:val="4"/>
                <w:szCs w:val="4"/>
                <w:color w:val="auto"/>
              </w:rPr>
            </w:pPr>
          </w:p>
        </w:tc>
        <w:tc>
          <w:tcPr>
            <w:tcW w:w="1760" w:type="dxa"/>
            <w:vAlign w:val="bottom"/>
            <w:tcBorders>
              <w:bottom w:val="single" w:sz="8" w:color="0000EE"/>
            </w:tcBorders>
            <w:gridSpan w:val="3"/>
            <w:vMerge w:val="continue"/>
          </w:tcPr>
          <w:p>
            <w:pPr>
              <w:spacing w:after="0"/>
              <w:rPr>
                <w:sz w:val="4"/>
                <w:szCs w:val="4"/>
                <w:color w:val="auto"/>
              </w:rPr>
            </w:pPr>
          </w:p>
        </w:tc>
        <w:tc>
          <w:tcPr>
            <w:tcW w:w="160" w:type="dxa"/>
            <w:vAlign w:val="bottom"/>
            <w:gridSpan w:val="2"/>
          </w:tcPr>
          <w:p>
            <w:pPr>
              <w:spacing w:after="0"/>
              <w:rPr>
                <w:sz w:val="4"/>
                <w:szCs w:val="4"/>
                <w:color w:val="auto"/>
              </w:rPr>
            </w:pPr>
          </w:p>
        </w:tc>
        <w:tc>
          <w:tcPr>
            <w:tcW w:w="5180" w:type="dxa"/>
            <w:vAlign w:val="bottom"/>
            <w:gridSpan w:val="9"/>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80" w:type="dxa"/>
            <w:vAlign w:val="bottom"/>
          </w:tcPr>
          <w:p>
            <w:pPr>
              <w:jc w:val="center"/>
              <w:ind w:right="72"/>
              <w:spacing w:after="0" w:line="192" w:lineRule="exact"/>
              <w:rPr>
                <w:sz w:val="20"/>
                <w:szCs w:val="20"/>
                <w:color w:val="auto"/>
              </w:rPr>
            </w:pPr>
            <w:r>
              <w:rPr>
                <w:rFonts w:ascii="Arial" w:cs="Arial" w:eastAsia="Arial" w:hAnsi="Arial"/>
                <w:sz w:val="18"/>
                <w:szCs w:val="18"/>
                <w:color w:val="auto"/>
                <w:w w:val="91"/>
              </w:rPr>
              <w:t>31.1</w:t>
            </w:r>
          </w:p>
        </w:tc>
        <w:tc>
          <w:tcPr>
            <w:tcW w:w="8400" w:type="dxa"/>
            <w:vAlign w:val="bottom"/>
            <w:tcBorders>
              <w:bottom w:val="single" w:sz="8" w:color="0000EE"/>
            </w:tcBorders>
            <w:gridSpan w:val="19"/>
          </w:tcPr>
          <w:p>
            <w:pPr>
              <w:spacing w:after="0" w:line="192" w:lineRule="exact"/>
              <w:rPr>
                <w:sz w:val="20"/>
                <w:szCs w:val="20"/>
                <w:color w:val="auto"/>
              </w:rPr>
            </w:pPr>
            <w:r>
              <w:rPr>
                <w:rFonts w:ascii="Arial" w:cs="Arial" w:eastAsia="Arial" w:hAnsi="Arial"/>
                <w:sz w:val="18"/>
                <w:szCs w:val="18"/>
                <w:color w:val="0000EE"/>
                <w:w w:val="89"/>
              </w:rPr>
              <w:t>Certification of Chief Executive Officer pursuant to Rule 13a-14 of the Securities Exchange Act of 1934, as amended*</w:t>
            </w:r>
          </w:p>
        </w:tc>
        <w:tc>
          <w:tcPr>
            <w:tcW w:w="2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Pr>
          <w:p>
            <w:pPr>
              <w:jc w:val="center"/>
              <w:ind w:right="72"/>
              <w:spacing w:after="0" w:line="192" w:lineRule="exact"/>
              <w:rPr>
                <w:sz w:val="20"/>
                <w:szCs w:val="20"/>
                <w:color w:val="auto"/>
              </w:rPr>
            </w:pPr>
            <w:r>
              <w:rPr>
                <w:rFonts w:ascii="Arial" w:cs="Arial" w:eastAsia="Arial" w:hAnsi="Arial"/>
                <w:sz w:val="18"/>
                <w:szCs w:val="18"/>
                <w:color w:val="auto"/>
                <w:w w:val="91"/>
              </w:rPr>
              <w:t>31.2</w:t>
            </w:r>
          </w:p>
        </w:tc>
        <w:tc>
          <w:tcPr>
            <w:tcW w:w="10600" w:type="dxa"/>
            <w:vAlign w:val="bottom"/>
            <w:gridSpan w:val="21"/>
          </w:tcPr>
          <w:p>
            <w:pPr>
              <w:spacing w:after="0" w:line="192" w:lineRule="exact"/>
              <w:rPr>
                <w:sz w:val="20"/>
                <w:szCs w:val="20"/>
                <w:color w:val="auto"/>
              </w:rPr>
            </w:pPr>
            <w:r>
              <w:rPr>
                <w:rFonts w:ascii="Arial" w:cs="Arial" w:eastAsia="Arial" w:hAnsi="Arial"/>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192"/>
        </w:trPr>
        <w:tc>
          <w:tcPr>
            <w:tcW w:w="480" w:type="dxa"/>
            <w:vAlign w:val="bottom"/>
          </w:tcPr>
          <w:p>
            <w:pPr>
              <w:jc w:val="center"/>
              <w:ind w:right="72"/>
              <w:spacing w:after="0" w:line="192" w:lineRule="exact"/>
              <w:rPr>
                <w:sz w:val="20"/>
                <w:szCs w:val="20"/>
                <w:color w:val="auto"/>
              </w:rPr>
            </w:pPr>
            <w:r>
              <w:rPr>
                <w:rFonts w:ascii="Arial" w:cs="Arial" w:eastAsia="Arial" w:hAnsi="Arial"/>
                <w:sz w:val="18"/>
                <w:szCs w:val="18"/>
                <w:color w:val="auto"/>
                <w:w w:val="91"/>
              </w:rPr>
              <w:t>32.1</w:t>
            </w:r>
          </w:p>
        </w:tc>
        <w:tc>
          <w:tcPr>
            <w:tcW w:w="7140" w:type="dxa"/>
            <w:vAlign w:val="bottom"/>
            <w:tcBorders>
              <w:top w:val="single" w:sz="8" w:color="0000EE"/>
              <w:bottom w:val="single" w:sz="8" w:color="0000EE"/>
            </w:tcBorders>
            <w:gridSpan w:val="15"/>
          </w:tcPr>
          <w:p>
            <w:pPr>
              <w:spacing w:after="0" w:line="192" w:lineRule="exact"/>
              <w:rPr>
                <w:sz w:val="20"/>
                <w:szCs w:val="20"/>
                <w:color w:val="auto"/>
              </w:rPr>
            </w:pPr>
            <w:r>
              <w:rPr>
                <w:rFonts w:ascii="Arial" w:cs="Arial" w:eastAsia="Arial" w:hAnsi="Arial"/>
                <w:sz w:val="18"/>
                <w:szCs w:val="18"/>
                <w:color w:val="0000EE"/>
                <w:w w:val="90"/>
              </w:rPr>
              <w:t>Certification of Chief Executive Officer pursuant to Section 906 of the Sarbanes-Oxley Act of 2002*</w:t>
            </w:r>
          </w:p>
        </w:tc>
        <w:tc>
          <w:tcPr>
            <w:tcW w:w="1200" w:type="dxa"/>
            <w:vAlign w:val="bottom"/>
            <w:tcBorders>
              <w:top w:val="single" w:sz="8" w:color="0000EE"/>
            </w:tcBorders>
            <w:gridSpan w:val="3"/>
          </w:tcPr>
          <w:p>
            <w:pPr>
              <w:spacing w:after="0"/>
              <w:rPr>
                <w:sz w:val="16"/>
                <w:szCs w:val="16"/>
                <w:color w:val="auto"/>
              </w:rPr>
            </w:pPr>
          </w:p>
        </w:tc>
        <w:tc>
          <w:tcPr>
            <w:tcW w:w="22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Pr>
          <w:p>
            <w:pPr>
              <w:jc w:val="center"/>
              <w:ind w:right="72"/>
              <w:spacing w:after="0" w:line="192" w:lineRule="exact"/>
              <w:rPr>
                <w:sz w:val="20"/>
                <w:szCs w:val="20"/>
                <w:color w:val="auto"/>
              </w:rPr>
            </w:pPr>
            <w:r>
              <w:rPr>
                <w:rFonts w:ascii="Arial" w:cs="Arial" w:eastAsia="Arial" w:hAnsi="Arial"/>
                <w:sz w:val="18"/>
                <w:szCs w:val="18"/>
                <w:color w:val="auto"/>
                <w:w w:val="91"/>
              </w:rPr>
              <w:t>32.2</w:t>
            </w:r>
          </w:p>
        </w:tc>
        <w:tc>
          <w:tcPr>
            <w:tcW w:w="7100" w:type="dxa"/>
            <w:vAlign w:val="bottom"/>
            <w:tcBorders>
              <w:bottom w:val="single" w:sz="8" w:color="0000EE"/>
            </w:tcBorders>
            <w:gridSpan w:val="14"/>
          </w:tcPr>
          <w:p>
            <w:pPr>
              <w:spacing w:after="0" w:line="192" w:lineRule="exact"/>
              <w:rPr>
                <w:sz w:val="20"/>
                <w:szCs w:val="20"/>
                <w:color w:val="auto"/>
              </w:rPr>
            </w:pPr>
            <w:r>
              <w:rPr>
                <w:rFonts w:ascii="Arial" w:cs="Arial" w:eastAsia="Arial" w:hAnsi="Arial"/>
                <w:sz w:val="18"/>
                <w:szCs w:val="18"/>
                <w:color w:val="0000EE"/>
                <w:w w:val="90"/>
              </w:rPr>
              <w:t>Certification of Chief Financial Officer pursuant to Section 906 of the Sarbanes-Oxley Act of 2002*</w:t>
            </w:r>
          </w:p>
        </w:tc>
        <w:tc>
          <w:tcPr>
            <w:tcW w:w="35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7837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46" w:lineRule="exact"/>
        <w:rPr>
          <w:sz w:val="20"/>
          <w:szCs w:val="20"/>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80" w:lineRule="exact"/>
        <w:rPr>
          <w:rFonts w:ascii="Arial" w:cs="Arial" w:eastAsia="Arial" w:hAnsi="Arial"/>
          <w:sz w:val="18"/>
          <w:szCs w:val="18"/>
          <w:color w:val="auto"/>
        </w:rPr>
      </w:pPr>
    </w:p>
    <w:p>
      <w:pPr>
        <w:ind w:left="320" w:right="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80"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80"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16, 2020, and incorporated by reference herein.</w:t>
      </w:r>
    </w:p>
    <w:p>
      <w:pPr>
        <w:spacing w:after="0" w:line="180"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Registration Statement on Form N-2 (File No. 333-239681), filed on July 2, 2020, and incorporated by reference herein.</w:t>
      </w:r>
    </w:p>
    <w:p>
      <w:pPr>
        <w:spacing w:after="0" w:line="180"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December 17, 2021, and incorporated by reference herein.</w:t>
      </w:r>
    </w:p>
    <w:p>
      <w:pPr>
        <w:spacing w:after="0" w:line="180"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Annual Report on Form 10-K (File No. 814-00852) filed on March 11, 2022, and incorporated by reference herein.</w:t>
      </w:r>
    </w:p>
    <w:p>
      <w:pPr>
        <w:spacing w:after="0" w:line="181" w:lineRule="exact"/>
        <w:rPr>
          <w:sz w:val="20"/>
          <w:szCs w:val="20"/>
          <w:color w:val="auto"/>
        </w:rPr>
      </w:pPr>
    </w:p>
    <w:p>
      <w:pPr>
        <w:ind w:left="320" w:hanging="314"/>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233"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SURO CAPITAL CORP.</w:t>
      </w:r>
    </w:p>
    <w:p>
      <w:pPr>
        <w:spacing w:after="0" w:line="223"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9,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10795</wp:posOffset>
            </wp:positionV>
            <wp:extent cx="334835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348355" cy="16510"/>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Mark D. Klein</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6"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9, 2023</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10795</wp:posOffset>
            </wp:positionV>
            <wp:extent cx="33483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3348355" cy="17145"/>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Allison Green</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Chief Compliance Officer, Treasurer, and</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Corporate Secretary</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SuRo Capital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17"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1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hanging="318"/>
        <w:spacing w:after="0" w:line="294" w:lineRule="auto"/>
        <w:tabs>
          <w:tab w:leader="none" w:pos="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960" w:hanging="318"/>
        <w:spacing w:after="0" w:line="255"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960" w:hanging="318"/>
        <w:spacing w:after="0" w:line="294" w:lineRule="auto"/>
        <w:tabs>
          <w:tab w:leader="none" w:pos="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hanging="318"/>
        <w:spacing w:after="0" w:line="264"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November, 2023.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10795</wp:posOffset>
            </wp:positionV>
            <wp:extent cx="334835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348355" cy="16510"/>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Mark D. Klein</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SuRo Capital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1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1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hanging="318"/>
        <w:spacing w:after="0" w:line="294" w:lineRule="auto"/>
        <w:tabs>
          <w:tab w:leader="none" w:pos="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960" w:hanging="318"/>
        <w:spacing w:after="0" w:line="255"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960" w:hanging="318"/>
        <w:spacing w:after="0" w:line="294" w:lineRule="auto"/>
        <w:tabs>
          <w:tab w:leader="none" w:pos="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hanging="318"/>
        <w:spacing w:after="0" w:line="264"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November, 2023.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10795</wp:posOffset>
            </wp:positionV>
            <wp:extent cx="33483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48355" cy="1714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Allison Green</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quarterly report on Form 10-Q for the three and nine months ended September 30, 2023 (the “Report”) of SuRo Capital Corp. (the “Registrant”), as filed with the Securities and Exchange Commission on the date hereof, I, Mark D. Klein, the Chief Executive Officer of the Registrant, hereby certify, to the best of my knowledge, that:</w:t>
      </w:r>
    </w:p>
    <w:p>
      <w:pPr>
        <w:spacing w:after="0" w:line="188"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10795</wp:posOffset>
            </wp:positionV>
            <wp:extent cx="355917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Mark D. Klein</w:t>
      </w:r>
    </w:p>
    <w:p>
      <w:pPr>
        <w:spacing w:after="0" w:line="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quarterly report on Form 10-Q for the three and nine months ended September 30, 2023 (the “Report”) of SuRo Capital Corp. (the “Registrant”), as filed with the Securities and Exchange Commission on the date hereof, I, Allison Green, the Chief Financial Officer of the Registrant, hereby certify, to the best of my knowledge, that:</w:t>
      </w:r>
    </w:p>
    <w:p>
      <w:pPr>
        <w:spacing w:after="0" w:line="188"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10795</wp:posOffset>
            </wp:positionV>
            <wp:extent cx="355917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Allison Green</w:t>
      </w:r>
    </w:p>
    <w:p>
      <w:pPr>
        <w:spacing w:after="0" w:line="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amp;"/>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13" Type="http://schemas.openxmlformats.org/officeDocument/2006/relationships/hyperlink" Target="https://www.sec.gov/Archives/edgar/data/1509470/000113379611000069/k216228_ex99-2a.htm" TargetMode="External"/><Relationship Id="rId114" Type="http://schemas.openxmlformats.org/officeDocument/2006/relationships/hyperlink" Target="https://www.sec.gov/Archives/edgar/data/1509470/000114420411033389/v224342_ex3-1.htm" TargetMode="External"/><Relationship Id="rId115" Type="http://schemas.openxmlformats.org/officeDocument/2006/relationships/hyperlink" Target="https://www.sec.gov/Archives/edgar/data/1509470/000114420419037014/tv526412_ex3-1.htm" TargetMode="External"/><Relationship Id="rId116" Type="http://schemas.openxmlformats.org/officeDocument/2006/relationships/hyperlink" Target="https://www.sec.gov/Archives/edgar/data/1509470/000110465920073783/tm2022743d1_ex3-1.htm" TargetMode="External"/><Relationship Id="rId117" Type="http://schemas.openxmlformats.org/officeDocument/2006/relationships/hyperlink" Target="https://www.sec.gov/Archives/edgar/data/1509470/000110465920073783/tm2022743d1_ex3-2.htm" TargetMode="External"/><Relationship Id="rId118" Type="http://schemas.openxmlformats.org/officeDocument/2006/relationships/hyperlink" Target="https://www.sec.gov/Archives/edgar/data/1509470/000110465920080689/tm2023838d1_ex-d3.htm" TargetMode="External"/><Relationship Id="rId119" Type="http://schemas.openxmlformats.org/officeDocument/2006/relationships/hyperlink" Target="https://www.sec.gov/Archives/edgar/data/1509470/000110465921150924/tm2135610d1_ex4-2.htm" TargetMode="External"/><Relationship Id="rId120" Type="http://schemas.openxmlformats.org/officeDocument/2006/relationships/hyperlink" Target="https://www.sec.gov/Archives/edgar/data/1509470/000110465921150924/tm2135610d1_ex4-2.htm#S1" TargetMode="External"/><Relationship Id="rId121" Type="http://schemas.openxmlformats.org/officeDocument/2006/relationships/hyperlink" Target="https://www.sec.gov/Archives/edgar/data/1509470/000162828022005867/surocapital-form10xk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2023-11-09T14:39:03Z</dcterms:created>
  <dcterms:modified xsi:type="dcterms:W3CDTF">2023-11-09T14:39:03Z</dcterms:modified>
</cp:coreProperties>
</file>