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Neostellar Capital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DAVID GOLDMAN</w:t>
              <w:br/>
              <w:t xml:space="preserve">191 MASON STREET, </w:t>
              <w:br/>
              <w:t>GREENWICH, CT, 06830</w:t>
              <w:br/>
              <w:t>914-921-5000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0"/>
        <w:gridCol w:w="8085"/>
      </w:tblGrid>
      <w:tr>
        <w:trPr/>
        <w:tc>
          <w:tcPr>
            <w:tcW w:w="2120" w:type="dxa"/>
            <w:tcBorders/>
            <w:vAlign w:val="center"/>
          </w:tcPr>
          <w:p>
            <w:pPr>
              <w:pStyle w:val="TableContents"/>
              <w:bidi w:val="0"/>
              <w:spacing w:before="0" w:after="283"/>
              <w:jc w:val="left"/>
              <w:rPr/>
            </w:pPr>
            <w:r>
              <w:rPr/>
              <w:t>1</w:t>
            </w:r>
          </w:p>
        </w:tc>
        <w:tc>
          <w:tcPr>
            <w:tcW w:w="808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GAMCO INVESTORS, INC. ET AL</w:t>
            </w:r>
          </w:p>
        </w:tc>
      </w:tr>
      <w:tr>
        <w:trPr/>
        <w:tc>
          <w:tcPr>
            <w:tcW w:w="2120" w:type="dxa"/>
            <w:tcBorders/>
            <w:vAlign w:val="center"/>
          </w:tcPr>
          <w:p>
            <w:pPr>
              <w:pStyle w:val="TableContents"/>
              <w:bidi w:val="0"/>
              <w:spacing w:before="0" w:after="283"/>
              <w:jc w:val="left"/>
              <w:rPr/>
            </w:pPr>
            <w:r>
              <w:rPr/>
              <w:t>2</w:t>
            </w:r>
          </w:p>
        </w:tc>
        <w:tc>
          <w:tcPr>
            <w:tcW w:w="80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0" w:type="dxa"/>
            <w:tcBorders/>
            <w:vAlign w:val="center"/>
          </w:tcPr>
          <w:p>
            <w:pPr>
              <w:pStyle w:val="TableContents"/>
              <w:bidi w:val="0"/>
              <w:spacing w:before="0" w:after="283"/>
              <w:jc w:val="left"/>
              <w:rPr/>
            </w:pPr>
            <w:r>
              <w:rPr/>
              <w:t>3</w:t>
            </w:r>
          </w:p>
        </w:tc>
        <w:tc>
          <w:tcPr>
            <w:tcW w:w="8085" w:type="dxa"/>
            <w:tcBorders/>
            <w:vAlign w:val="center"/>
          </w:tcPr>
          <w:p>
            <w:pPr>
              <w:pStyle w:val="TableContents"/>
              <w:bidi w:val="0"/>
              <w:spacing w:before="0" w:after="283"/>
              <w:jc w:val="left"/>
              <w:rPr/>
            </w:pPr>
            <w:r>
              <w:rPr/>
              <w:t>SEC use only</w:t>
            </w:r>
          </w:p>
        </w:tc>
      </w:tr>
      <w:tr>
        <w:trPr/>
        <w:tc>
          <w:tcPr>
            <w:tcW w:w="2120" w:type="dxa"/>
            <w:tcBorders/>
            <w:vAlign w:val="center"/>
          </w:tcPr>
          <w:p>
            <w:pPr>
              <w:pStyle w:val="TableContents"/>
              <w:bidi w:val="0"/>
              <w:spacing w:before="0" w:after="283"/>
              <w:jc w:val="left"/>
              <w:rPr/>
            </w:pPr>
            <w:r>
              <w:rPr/>
              <w:t>4</w:t>
            </w:r>
          </w:p>
        </w:tc>
        <w:tc>
          <w:tcPr>
            <w:tcW w:w="808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0" w:type="dxa"/>
            <w:tcBorders/>
            <w:vAlign w:val="center"/>
          </w:tcPr>
          <w:p>
            <w:pPr>
              <w:pStyle w:val="TableContents"/>
              <w:bidi w:val="0"/>
              <w:spacing w:before="0" w:after="283"/>
              <w:jc w:val="left"/>
              <w:rPr/>
            </w:pPr>
            <w:r>
              <w:rPr/>
              <w:t>5</w:t>
            </w:r>
          </w:p>
        </w:tc>
        <w:tc>
          <w:tcPr>
            <w:tcW w:w="808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0" w:type="dxa"/>
            <w:tcBorders/>
            <w:vAlign w:val="center"/>
          </w:tcPr>
          <w:p>
            <w:pPr>
              <w:pStyle w:val="TableContents"/>
              <w:bidi w:val="0"/>
              <w:spacing w:before="0" w:after="283"/>
              <w:jc w:val="left"/>
              <w:rPr/>
            </w:pPr>
            <w:r>
              <w:rPr/>
              <w:t>6</w:t>
            </w:r>
          </w:p>
        </w:tc>
        <w:tc>
          <w:tcPr>
            <w:tcW w:w="80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11</w:t>
            </w:r>
          </w:p>
        </w:tc>
        <w:tc>
          <w:tcPr>
            <w:tcW w:w="80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0" w:type="dxa"/>
            <w:tcBorders/>
            <w:vAlign w:val="center"/>
          </w:tcPr>
          <w:p>
            <w:pPr>
              <w:pStyle w:val="TableContents"/>
              <w:bidi w:val="0"/>
              <w:spacing w:before="0" w:after="283"/>
              <w:jc w:val="left"/>
              <w:rPr/>
            </w:pPr>
            <w:r>
              <w:rPr/>
              <w:t>12</w:t>
            </w:r>
          </w:p>
        </w:tc>
        <w:tc>
          <w:tcPr>
            <w:tcW w:w="808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0" w:type="dxa"/>
            <w:tcBorders/>
            <w:vAlign w:val="center"/>
          </w:tcPr>
          <w:p>
            <w:pPr>
              <w:pStyle w:val="TableContents"/>
              <w:bidi w:val="0"/>
              <w:spacing w:before="0" w:after="283"/>
              <w:jc w:val="left"/>
              <w:rPr/>
            </w:pPr>
            <w:r>
              <w:rPr/>
              <w:t>13</w:t>
            </w:r>
          </w:p>
        </w:tc>
        <w:tc>
          <w:tcPr>
            <w:tcW w:w="808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0" w:type="dxa"/>
            <w:tcBorders/>
            <w:vAlign w:val="center"/>
          </w:tcPr>
          <w:p>
            <w:pPr>
              <w:pStyle w:val="TableContents"/>
              <w:bidi w:val="0"/>
              <w:spacing w:before="0" w:after="283"/>
              <w:jc w:val="left"/>
              <w:rPr/>
            </w:pPr>
            <w:r>
              <w:rPr/>
              <w:t>14</w:t>
            </w:r>
          </w:p>
        </w:tc>
        <w:tc>
          <w:tcPr>
            <w:tcW w:w="80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FUNDS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1,614,410.00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1,614,410.00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1,614,410.00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3"/>
        <w:gridCol w:w="8062"/>
      </w:tblGrid>
      <w:tr>
        <w:trPr/>
        <w:tc>
          <w:tcPr>
            <w:tcW w:w="2143" w:type="dxa"/>
            <w:tcBorders/>
            <w:vAlign w:val="center"/>
          </w:tcPr>
          <w:p>
            <w:pPr>
              <w:pStyle w:val="TableContents"/>
              <w:bidi w:val="0"/>
              <w:spacing w:before="0" w:after="283"/>
              <w:jc w:val="left"/>
              <w:rPr/>
            </w:pPr>
            <w:r>
              <w:rPr/>
              <w:t>1</w:t>
            </w:r>
          </w:p>
        </w:tc>
        <w:tc>
          <w:tcPr>
            <w:tcW w:w="806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GAMCO Asset Management Inc.</w:t>
            </w:r>
          </w:p>
        </w:tc>
      </w:tr>
      <w:tr>
        <w:trPr/>
        <w:tc>
          <w:tcPr>
            <w:tcW w:w="2143" w:type="dxa"/>
            <w:tcBorders/>
            <w:vAlign w:val="center"/>
          </w:tcPr>
          <w:p>
            <w:pPr>
              <w:pStyle w:val="TableContents"/>
              <w:bidi w:val="0"/>
              <w:spacing w:before="0" w:after="283"/>
              <w:jc w:val="left"/>
              <w:rPr/>
            </w:pPr>
            <w:r>
              <w:rPr/>
              <w:t>2</w:t>
            </w:r>
          </w:p>
        </w:tc>
        <w:tc>
          <w:tcPr>
            <w:tcW w:w="806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3" w:type="dxa"/>
            <w:tcBorders/>
            <w:vAlign w:val="center"/>
          </w:tcPr>
          <w:p>
            <w:pPr>
              <w:pStyle w:val="TableContents"/>
              <w:bidi w:val="0"/>
              <w:spacing w:before="0" w:after="283"/>
              <w:jc w:val="left"/>
              <w:rPr/>
            </w:pPr>
            <w:r>
              <w:rPr/>
              <w:t>3</w:t>
            </w:r>
          </w:p>
        </w:tc>
        <w:tc>
          <w:tcPr>
            <w:tcW w:w="8062" w:type="dxa"/>
            <w:tcBorders/>
            <w:vAlign w:val="center"/>
          </w:tcPr>
          <w:p>
            <w:pPr>
              <w:pStyle w:val="TableContents"/>
              <w:bidi w:val="0"/>
              <w:spacing w:before="0" w:after="283"/>
              <w:jc w:val="left"/>
              <w:rPr/>
            </w:pPr>
            <w:r>
              <w:rPr/>
              <w:t>SEC use only</w:t>
            </w:r>
          </w:p>
        </w:tc>
      </w:tr>
      <w:tr>
        <w:trPr/>
        <w:tc>
          <w:tcPr>
            <w:tcW w:w="2143" w:type="dxa"/>
            <w:tcBorders/>
            <w:vAlign w:val="center"/>
          </w:tcPr>
          <w:p>
            <w:pPr>
              <w:pStyle w:val="TableContents"/>
              <w:bidi w:val="0"/>
              <w:spacing w:before="0" w:after="283"/>
              <w:jc w:val="left"/>
              <w:rPr/>
            </w:pPr>
            <w:r>
              <w:rPr/>
              <w:t>4</w:t>
            </w:r>
          </w:p>
        </w:tc>
        <w:tc>
          <w:tcPr>
            <w:tcW w:w="806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3" w:type="dxa"/>
            <w:tcBorders/>
            <w:vAlign w:val="center"/>
          </w:tcPr>
          <w:p>
            <w:pPr>
              <w:pStyle w:val="TableContents"/>
              <w:bidi w:val="0"/>
              <w:spacing w:before="0" w:after="283"/>
              <w:jc w:val="left"/>
              <w:rPr/>
            </w:pPr>
            <w:r>
              <w:rPr/>
              <w:t>5</w:t>
            </w:r>
          </w:p>
        </w:tc>
        <w:tc>
          <w:tcPr>
            <w:tcW w:w="806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6</w:t>
            </w:r>
          </w:p>
        </w:tc>
        <w:tc>
          <w:tcPr>
            <w:tcW w:w="806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4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274,000.00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274,000.00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62"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pPr>
            <w:r>
              <w:rPr/>
              <w:t>11</w:t>
            </w:r>
          </w:p>
        </w:tc>
        <w:tc>
          <w:tcPr>
            <w:tcW w:w="806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274,000.00</w:t>
            </w:r>
          </w:p>
        </w:tc>
      </w:tr>
      <w:tr>
        <w:trPr/>
        <w:tc>
          <w:tcPr>
            <w:tcW w:w="2143" w:type="dxa"/>
            <w:tcBorders/>
            <w:vAlign w:val="center"/>
          </w:tcPr>
          <w:p>
            <w:pPr>
              <w:pStyle w:val="TableContents"/>
              <w:bidi w:val="0"/>
              <w:spacing w:before="0" w:after="283"/>
              <w:jc w:val="left"/>
              <w:rPr/>
            </w:pPr>
            <w:r>
              <w:rPr/>
              <w:t>12</w:t>
            </w:r>
          </w:p>
        </w:tc>
        <w:tc>
          <w:tcPr>
            <w:tcW w:w="806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13</w:t>
            </w:r>
          </w:p>
        </w:tc>
        <w:tc>
          <w:tcPr>
            <w:tcW w:w="806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1.0 % </w:t>
            </w:r>
          </w:p>
        </w:tc>
      </w:tr>
      <w:tr>
        <w:trPr/>
        <w:tc>
          <w:tcPr>
            <w:tcW w:w="2143" w:type="dxa"/>
            <w:tcBorders/>
            <w:vAlign w:val="center"/>
          </w:tcPr>
          <w:p>
            <w:pPr>
              <w:pStyle w:val="TableContents"/>
              <w:bidi w:val="0"/>
              <w:spacing w:before="0" w:after="283"/>
              <w:jc w:val="left"/>
              <w:rPr/>
            </w:pPr>
            <w:r>
              <w:rPr/>
              <w:t>14</w:t>
            </w:r>
          </w:p>
        </w:tc>
        <w:tc>
          <w:tcPr>
            <w:tcW w:w="806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11"/>
        <w:gridCol w:w="8094"/>
      </w:tblGrid>
      <w:tr>
        <w:trPr/>
        <w:tc>
          <w:tcPr>
            <w:tcW w:w="2111" w:type="dxa"/>
            <w:tcBorders/>
            <w:vAlign w:val="center"/>
          </w:tcPr>
          <w:p>
            <w:pPr>
              <w:pStyle w:val="TableContents"/>
              <w:bidi w:val="0"/>
              <w:spacing w:before="0" w:after="283"/>
              <w:jc w:val="left"/>
              <w:rPr/>
            </w:pPr>
            <w:r>
              <w:rPr/>
              <w:t>1</w:t>
            </w:r>
          </w:p>
        </w:tc>
        <w:tc>
          <w:tcPr>
            <w:tcW w:w="809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&amp; Co INVESTMENT ADVISERS, INC.</w:t>
            </w:r>
          </w:p>
        </w:tc>
      </w:tr>
      <w:tr>
        <w:trPr/>
        <w:tc>
          <w:tcPr>
            <w:tcW w:w="2111" w:type="dxa"/>
            <w:tcBorders/>
            <w:vAlign w:val="center"/>
          </w:tcPr>
          <w:p>
            <w:pPr>
              <w:pStyle w:val="TableContents"/>
              <w:bidi w:val="0"/>
              <w:spacing w:before="0" w:after="283"/>
              <w:jc w:val="left"/>
              <w:rPr/>
            </w:pPr>
            <w:r>
              <w:rPr/>
              <w:t>2</w:t>
            </w:r>
          </w:p>
        </w:tc>
        <w:tc>
          <w:tcPr>
            <w:tcW w:w="809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11" w:type="dxa"/>
            <w:tcBorders/>
            <w:vAlign w:val="center"/>
          </w:tcPr>
          <w:p>
            <w:pPr>
              <w:pStyle w:val="TableContents"/>
              <w:bidi w:val="0"/>
              <w:spacing w:before="0" w:after="283"/>
              <w:jc w:val="left"/>
              <w:rPr/>
            </w:pPr>
            <w:r>
              <w:rPr/>
              <w:t>3</w:t>
            </w:r>
          </w:p>
        </w:tc>
        <w:tc>
          <w:tcPr>
            <w:tcW w:w="8094" w:type="dxa"/>
            <w:tcBorders/>
            <w:vAlign w:val="center"/>
          </w:tcPr>
          <w:p>
            <w:pPr>
              <w:pStyle w:val="TableContents"/>
              <w:bidi w:val="0"/>
              <w:spacing w:before="0" w:after="283"/>
              <w:jc w:val="left"/>
              <w:rPr/>
            </w:pPr>
            <w:r>
              <w:rPr/>
              <w:t>SEC use only</w:t>
            </w:r>
          </w:p>
        </w:tc>
      </w:tr>
      <w:tr>
        <w:trPr/>
        <w:tc>
          <w:tcPr>
            <w:tcW w:w="2111" w:type="dxa"/>
            <w:tcBorders/>
            <w:vAlign w:val="center"/>
          </w:tcPr>
          <w:p>
            <w:pPr>
              <w:pStyle w:val="TableContents"/>
              <w:bidi w:val="0"/>
              <w:spacing w:before="0" w:after="283"/>
              <w:jc w:val="left"/>
              <w:rPr/>
            </w:pPr>
            <w:r>
              <w:rPr/>
              <w:t>4</w:t>
            </w:r>
          </w:p>
        </w:tc>
        <w:tc>
          <w:tcPr>
            <w:tcW w:w="809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11" w:type="dxa"/>
            <w:tcBorders/>
            <w:vAlign w:val="center"/>
          </w:tcPr>
          <w:p>
            <w:pPr>
              <w:pStyle w:val="TableContents"/>
              <w:bidi w:val="0"/>
              <w:spacing w:before="0" w:after="283"/>
              <w:jc w:val="left"/>
              <w:rPr/>
            </w:pPr>
            <w:r>
              <w:rPr/>
              <w:t>5</w:t>
            </w:r>
          </w:p>
        </w:tc>
        <w:tc>
          <w:tcPr>
            <w:tcW w:w="809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11" w:type="dxa"/>
            <w:tcBorders/>
            <w:vAlign w:val="center"/>
          </w:tcPr>
          <w:p>
            <w:pPr>
              <w:pStyle w:val="TableContents"/>
              <w:bidi w:val="0"/>
              <w:spacing w:before="0" w:after="283"/>
              <w:jc w:val="left"/>
              <w:rPr/>
            </w:pPr>
            <w:r>
              <w:rPr/>
              <w:t>6</w:t>
            </w:r>
          </w:p>
        </w:tc>
        <w:tc>
          <w:tcPr>
            <w:tcW w:w="809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1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94" w:type="dxa"/>
            <w:tcBorders/>
            <w:vAlign w:val="center"/>
          </w:tcPr>
          <w:p>
            <w:pPr>
              <w:pStyle w:val="TableContents"/>
              <w:bidi w:val="0"/>
              <w:spacing w:before="0" w:after="283"/>
              <w:jc w:val="left"/>
              <w:rPr>
                <w:sz w:val="4"/>
                <w:szCs w:val="4"/>
              </w:rPr>
            </w:pPr>
            <w:r>
              <w:rPr>
                <w:sz w:val="4"/>
                <w:szCs w:val="4"/>
              </w:rPr>
            </w:r>
          </w:p>
        </w:tc>
      </w:tr>
      <w:tr>
        <w:trPr/>
        <w:tc>
          <w:tcPr>
            <w:tcW w:w="2111" w:type="dxa"/>
            <w:tcBorders/>
            <w:vAlign w:val="center"/>
          </w:tcPr>
          <w:p>
            <w:pPr>
              <w:pStyle w:val="TableContents"/>
              <w:bidi w:val="0"/>
              <w:spacing w:before="0" w:after="283"/>
              <w:jc w:val="left"/>
              <w:rPr/>
            </w:pPr>
            <w:r>
              <w:rPr/>
              <w:t>11</w:t>
            </w:r>
          </w:p>
        </w:tc>
        <w:tc>
          <w:tcPr>
            <w:tcW w:w="809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2,000.00</w:t>
            </w:r>
          </w:p>
        </w:tc>
      </w:tr>
      <w:tr>
        <w:trPr/>
        <w:tc>
          <w:tcPr>
            <w:tcW w:w="2111" w:type="dxa"/>
            <w:tcBorders/>
            <w:vAlign w:val="center"/>
          </w:tcPr>
          <w:p>
            <w:pPr>
              <w:pStyle w:val="TableContents"/>
              <w:bidi w:val="0"/>
              <w:spacing w:before="0" w:after="283"/>
              <w:jc w:val="left"/>
              <w:rPr/>
            </w:pPr>
            <w:r>
              <w:rPr/>
              <w:t>12</w:t>
            </w:r>
          </w:p>
        </w:tc>
        <w:tc>
          <w:tcPr>
            <w:tcW w:w="809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11" w:type="dxa"/>
            <w:tcBorders/>
            <w:vAlign w:val="center"/>
          </w:tcPr>
          <w:p>
            <w:pPr>
              <w:pStyle w:val="TableContents"/>
              <w:bidi w:val="0"/>
              <w:spacing w:before="0" w:after="283"/>
              <w:jc w:val="left"/>
              <w:rPr/>
            </w:pPr>
            <w:r>
              <w:rPr/>
              <w:t>13</w:t>
            </w:r>
          </w:p>
        </w:tc>
        <w:tc>
          <w:tcPr>
            <w:tcW w:w="809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11" w:type="dxa"/>
            <w:tcBorders/>
            <w:vAlign w:val="center"/>
          </w:tcPr>
          <w:p>
            <w:pPr>
              <w:pStyle w:val="TableContents"/>
              <w:bidi w:val="0"/>
              <w:spacing w:before="0" w:after="283"/>
              <w:jc w:val="left"/>
              <w:rPr/>
            </w:pPr>
            <w:r>
              <w:rPr/>
              <w:t>14</w:t>
            </w:r>
          </w:p>
        </w:tc>
        <w:tc>
          <w:tcPr>
            <w:tcW w:w="809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04"/>
        <w:gridCol w:w="8101"/>
      </w:tblGrid>
      <w:tr>
        <w:trPr/>
        <w:tc>
          <w:tcPr>
            <w:tcW w:w="2104" w:type="dxa"/>
            <w:tcBorders/>
            <w:vAlign w:val="center"/>
          </w:tcPr>
          <w:p>
            <w:pPr>
              <w:pStyle w:val="TableContents"/>
              <w:bidi w:val="0"/>
              <w:spacing w:before="0" w:after="283"/>
              <w:jc w:val="left"/>
              <w:rPr/>
            </w:pPr>
            <w:r>
              <w:rPr/>
              <w:t>1</w:t>
            </w:r>
          </w:p>
        </w:tc>
        <w:tc>
          <w:tcPr>
            <w:tcW w:w="810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FOUNDATION, INC.</w:t>
            </w:r>
          </w:p>
        </w:tc>
      </w:tr>
      <w:tr>
        <w:trPr/>
        <w:tc>
          <w:tcPr>
            <w:tcW w:w="2104" w:type="dxa"/>
            <w:tcBorders/>
            <w:vAlign w:val="center"/>
          </w:tcPr>
          <w:p>
            <w:pPr>
              <w:pStyle w:val="TableContents"/>
              <w:bidi w:val="0"/>
              <w:spacing w:before="0" w:after="283"/>
              <w:jc w:val="left"/>
              <w:rPr/>
            </w:pPr>
            <w:r>
              <w:rPr/>
              <w:t>2</w:t>
            </w:r>
          </w:p>
        </w:tc>
        <w:tc>
          <w:tcPr>
            <w:tcW w:w="810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04" w:type="dxa"/>
            <w:tcBorders/>
            <w:vAlign w:val="center"/>
          </w:tcPr>
          <w:p>
            <w:pPr>
              <w:pStyle w:val="TableContents"/>
              <w:bidi w:val="0"/>
              <w:spacing w:before="0" w:after="283"/>
              <w:jc w:val="left"/>
              <w:rPr/>
            </w:pPr>
            <w:r>
              <w:rPr/>
              <w:t>3</w:t>
            </w:r>
          </w:p>
        </w:tc>
        <w:tc>
          <w:tcPr>
            <w:tcW w:w="8101" w:type="dxa"/>
            <w:tcBorders/>
            <w:vAlign w:val="center"/>
          </w:tcPr>
          <w:p>
            <w:pPr>
              <w:pStyle w:val="TableContents"/>
              <w:bidi w:val="0"/>
              <w:spacing w:before="0" w:after="283"/>
              <w:jc w:val="left"/>
              <w:rPr/>
            </w:pPr>
            <w:r>
              <w:rPr/>
              <w:t>SEC use only</w:t>
            </w:r>
          </w:p>
        </w:tc>
      </w:tr>
      <w:tr>
        <w:trPr/>
        <w:tc>
          <w:tcPr>
            <w:tcW w:w="2104" w:type="dxa"/>
            <w:tcBorders/>
            <w:vAlign w:val="center"/>
          </w:tcPr>
          <w:p>
            <w:pPr>
              <w:pStyle w:val="TableContents"/>
              <w:bidi w:val="0"/>
              <w:spacing w:before="0" w:after="283"/>
              <w:jc w:val="left"/>
              <w:rPr/>
            </w:pPr>
            <w:r>
              <w:rPr/>
              <w:t>4</w:t>
            </w:r>
          </w:p>
        </w:tc>
        <w:tc>
          <w:tcPr>
            <w:tcW w:w="810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04" w:type="dxa"/>
            <w:tcBorders/>
            <w:vAlign w:val="center"/>
          </w:tcPr>
          <w:p>
            <w:pPr>
              <w:pStyle w:val="TableContents"/>
              <w:bidi w:val="0"/>
              <w:spacing w:before="0" w:after="283"/>
              <w:jc w:val="left"/>
              <w:rPr/>
            </w:pPr>
            <w:r>
              <w:rPr/>
              <w:t>5</w:t>
            </w:r>
          </w:p>
        </w:tc>
        <w:tc>
          <w:tcPr>
            <w:tcW w:w="810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04" w:type="dxa"/>
            <w:tcBorders/>
            <w:vAlign w:val="center"/>
          </w:tcPr>
          <w:p>
            <w:pPr>
              <w:pStyle w:val="TableContents"/>
              <w:bidi w:val="0"/>
              <w:spacing w:before="0" w:after="283"/>
              <w:jc w:val="left"/>
              <w:rPr/>
            </w:pPr>
            <w:r>
              <w:rPr/>
              <w:t>6</w:t>
            </w:r>
          </w:p>
        </w:tc>
        <w:tc>
          <w:tcPr>
            <w:tcW w:w="810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0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2104" w:type="dxa"/>
            <w:tcBorders/>
            <w:vAlign w:val="center"/>
          </w:tcPr>
          <w:p>
            <w:pPr>
              <w:pStyle w:val="TableContents"/>
              <w:bidi w:val="0"/>
              <w:spacing w:before="0" w:after="283"/>
              <w:jc w:val="left"/>
              <w:rPr/>
            </w:pPr>
            <w:r>
              <w:rPr/>
              <w:t>11</w:t>
            </w:r>
          </w:p>
        </w:tc>
        <w:tc>
          <w:tcPr>
            <w:tcW w:w="810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w:t>
            </w:r>
          </w:p>
        </w:tc>
      </w:tr>
      <w:tr>
        <w:trPr/>
        <w:tc>
          <w:tcPr>
            <w:tcW w:w="2104" w:type="dxa"/>
            <w:tcBorders/>
            <w:vAlign w:val="center"/>
          </w:tcPr>
          <w:p>
            <w:pPr>
              <w:pStyle w:val="TableContents"/>
              <w:bidi w:val="0"/>
              <w:spacing w:before="0" w:after="283"/>
              <w:jc w:val="left"/>
              <w:rPr/>
            </w:pPr>
            <w:r>
              <w:rPr/>
              <w:t>12</w:t>
            </w:r>
          </w:p>
        </w:tc>
        <w:tc>
          <w:tcPr>
            <w:tcW w:w="810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04" w:type="dxa"/>
            <w:tcBorders/>
            <w:vAlign w:val="center"/>
          </w:tcPr>
          <w:p>
            <w:pPr>
              <w:pStyle w:val="TableContents"/>
              <w:bidi w:val="0"/>
              <w:spacing w:before="0" w:after="283"/>
              <w:jc w:val="left"/>
              <w:rPr/>
            </w:pPr>
            <w:r>
              <w:rPr/>
              <w:t>13</w:t>
            </w:r>
          </w:p>
        </w:tc>
        <w:tc>
          <w:tcPr>
            <w:tcW w:w="810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04" w:type="dxa"/>
            <w:tcBorders/>
            <w:vAlign w:val="center"/>
          </w:tcPr>
          <w:p>
            <w:pPr>
              <w:pStyle w:val="TableContents"/>
              <w:bidi w:val="0"/>
              <w:spacing w:before="0" w:after="283"/>
              <w:jc w:val="left"/>
              <w:rPr/>
            </w:pPr>
            <w:r>
              <w:rPr/>
              <w:t>14</w:t>
            </w:r>
          </w:p>
        </w:tc>
        <w:tc>
          <w:tcPr>
            <w:tcW w:w="810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1"/>
        <w:gridCol w:w="8074"/>
      </w:tblGrid>
      <w:tr>
        <w:trPr/>
        <w:tc>
          <w:tcPr>
            <w:tcW w:w="2131" w:type="dxa"/>
            <w:tcBorders/>
            <w:vAlign w:val="center"/>
          </w:tcPr>
          <w:p>
            <w:pPr>
              <w:pStyle w:val="TableContents"/>
              <w:bidi w:val="0"/>
              <w:spacing w:before="0" w:after="283"/>
              <w:jc w:val="left"/>
              <w:rPr/>
            </w:pPr>
            <w:r>
              <w:rPr/>
              <w:t>1</w:t>
            </w:r>
          </w:p>
        </w:tc>
        <w:tc>
          <w:tcPr>
            <w:tcW w:w="807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GGCP, INC.</w:t>
            </w:r>
          </w:p>
        </w:tc>
      </w:tr>
      <w:tr>
        <w:trPr/>
        <w:tc>
          <w:tcPr>
            <w:tcW w:w="2131" w:type="dxa"/>
            <w:tcBorders/>
            <w:vAlign w:val="center"/>
          </w:tcPr>
          <w:p>
            <w:pPr>
              <w:pStyle w:val="TableContents"/>
              <w:bidi w:val="0"/>
              <w:spacing w:before="0" w:after="283"/>
              <w:jc w:val="left"/>
              <w:rPr/>
            </w:pPr>
            <w:r>
              <w:rPr/>
              <w:t>2</w:t>
            </w:r>
          </w:p>
        </w:tc>
        <w:tc>
          <w:tcPr>
            <w:tcW w:w="807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1" w:type="dxa"/>
            <w:tcBorders/>
            <w:vAlign w:val="center"/>
          </w:tcPr>
          <w:p>
            <w:pPr>
              <w:pStyle w:val="TableContents"/>
              <w:bidi w:val="0"/>
              <w:spacing w:before="0" w:after="283"/>
              <w:jc w:val="left"/>
              <w:rPr/>
            </w:pPr>
            <w:r>
              <w:rPr/>
              <w:t>3</w:t>
            </w:r>
          </w:p>
        </w:tc>
        <w:tc>
          <w:tcPr>
            <w:tcW w:w="8074" w:type="dxa"/>
            <w:tcBorders/>
            <w:vAlign w:val="center"/>
          </w:tcPr>
          <w:p>
            <w:pPr>
              <w:pStyle w:val="TableContents"/>
              <w:bidi w:val="0"/>
              <w:spacing w:before="0" w:after="283"/>
              <w:jc w:val="left"/>
              <w:rPr/>
            </w:pPr>
            <w:r>
              <w:rPr/>
              <w:t>SEC use only</w:t>
            </w:r>
          </w:p>
        </w:tc>
      </w:tr>
      <w:tr>
        <w:trPr/>
        <w:tc>
          <w:tcPr>
            <w:tcW w:w="2131" w:type="dxa"/>
            <w:tcBorders/>
            <w:vAlign w:val="center"/>
          </w:tcPr>
          <w:p>
            <w:pPr>
              <w:pStyle w:val="TableContents"/>
              <w:bidi w:val="0"/>
              <w:spacing w:before="0" w:after="283"/>
              <w:jc w:val="left"/>
              <w:rPr/>
            </w:pPr>
            <w:r>
              <w:rPr/>
              <w:t>4</w:t>
            </w:r>
          </w:p>
        </w:tc>
        <w:tc>
          <w:tcPr>
            <w:tcW w:w="807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1" w:type="dxa"/>
            <w:tcBorders/>
            <w:vAlign w:val="center"/>
          </w:tcPr>
          <w:p>
            <w:pPr>
              <w:pStyle w:val="TableContents"/>
              <w:bidi w:val="0"/>
              <w:spacing w:before="0" w:after="283"/>
              <w:jc w:val="left"/>
              <w:rPr/>
            </w:pPr>
            <w:r>
              <w:rPr/>
              <w:t>5</w:t>
            </w:r>
          </w:p>
        </w:tc>
        <w:tc>
          <w:tcPr>
            <w:tcW w:w="807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6</w:t>
            </w:r>
          </w:p>
        </w:tc>
        <w:tc>
          <w:tcPr>
            <w:tcW w:w="807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13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4"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283"/>
              <w:jc w:val="left"/>
              <w:rPr/>
            </w:pPr>
            <w:r>
              <w:rPr/>
              <w:t>11</w:t>
            </w:r>
          </w:p>
        </w:tc>
        <w:tc>
          <w:tcPr>
            <w:tcW w:w="807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1" w:type="dxa"/>
            <w:tcBorders/>
            <w:vAlign w:val="center"/>
          </w:tcPr>
          <w:p>
            <w:pPr>
              <w:pStyle w:val="TableContents"/>
              <w:bidi w:val="0"/>
              <w:spacing w:before="0" w:after="283"/>
              <w:jc w:val="left"/>
              <w:rPr/>
            </w:pPr>
            <w:r>
              <w:rPr/>
              <w:t>12</w:t>
            </w:r>
          </w:p>
        </w:tc>
        <w:tc>
          <w:tcPr>
            <w:tcW w:w="807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13</w:t>
            </w:r>
          </w:p>
        </w:tc>
        <w:tc>
          <w:tcPr>
            <w:tcW w:w="807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1" w:type="dxa"/>
            <w:tcBorders/>
            <w:vAlign w:val="center"/>
          </w:tcPr>
          <w:p>
            <w:pPr>
              <w:pStyle w:val="TableContents"/>
              <w:bidi w:val="0"/>
              <w:spacing w:before="0" w:after="283"/>
              <w:jc w:val="left"/>
              <w:rPr/>
            </w:pPr>
            <w:r>
              <w:rPr/>
              <w:t>14</w:t>
            </w:r>
          </w:p>
        </w:tc>
        <w:tc>
          <w:tcPr>
            <w:tcW w:w="807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Associated Capital Group, Inc.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MARIO J</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47"/>
        <w:gridCol w:w="9058"/>
      </w:tblGrid>
      <w:tr>
        <w:trPr/>
        <w:tc>
          <w:tcPr>
            <w:tcW w:w="1147" w:type="dxa"/>
            <w:tcBorders/>
            <w:vAlign w:val="center"/>
          </w:tcPr>
          <w:p>
            <w:pPr>
              <w:pStyle w:val="TableContents"/>
              <w:bidi w:val="0"/>
              <w:spacing w:before="0" w:after="283"/>
              <w:jc w:val="left"/>
              <w:rPr/>
            </w:pPr>
            <w:r>
              <w:rPr/>
              <w:t>Item 1.</w:t>
            </w:r>
          </w:p>
        </w:tc>
        <w:tc>
          <w:tcPr>
            <w:tcW w:w="9058" w:type="dxa"/>
            <w:tcBorders/>
            <w:vAlign w:val="center"/>
          </w:tcPr>
          <w:p>
            <w:pPr>
              <w:pStyle w:val="TableContents"/>
              <w:bidi w:val="0"/>
              <w:spacing w:before="0" w:after="283"/>
              <w:jc w:val="left"/>
              <w:rPr/>
            </w:pPr>
            <w:r>
              <w:rPr/>
              <w:t>Security and Issuer</w:t>
            </w:r>
          </w:p>
        </w:tc>
      </w:tr>
      <w:tr>
        <w:trPr/>
        <w:tc>
          <w:tcPr>
            <w:tcW w:w="1147" w:type="dxa"/>
            <w:tcBorders/>
            <w:vAlign w:val="center"/>
          </w:tcPr>
          <w:p>
            <w:pPr>
              <w:pStyle w:val="TableContents"/>
              <w:bidi w:val="0"/>
              <w:spacing w:before="0" w:after="283"/>
              <w:jc w:val="left"/>
              <w:rPr/>
            </w:pPr>
            <w:r>
              <w:rPr/>
              <w:t>(a)</w:t>
            </w:r>
          </w:p>
        </w:tc>
        <w:tc>
          <w:tcPr>
            <w:tcW w:w="905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$.01 per share</w:t>
            </w:r>
          </w:p>
        </w:tc>
      </w:tr>
      <w:tr>
        <w:trPr/>
        <w:tc>
          <w:tcPr>
            <w:tcW w:w="1147" w:type="dxa"/>
            <w:tcBorders/>
            <w:vAlign w:val="center"/>
          </w:tcPr>
          <w:p>
            <w:pPr>
              <w:pStyle w:val="TableContents"/>
              <w:bidi w:val="0"/>
              <w:spacing w:before="0" w:after="283"/>
              <w:jc w:val="left"/>
              <w:rPr/>
            </w:pPr>
            <w:r>
              <w:rPr/>
              <w:t>(b)</w:t>
            </w:r>
          </w:p>
        </w:tc>
        <w:tc>
          <w:tcPr>
            <w:tcW w:w="9058" w:type="dxa"/>
            <w:tcBorders/>
            <w:vAlign w:val="center"/>
          </w:tcPr>
          <w:p>
            <w:pPr>
              <w:pStyle w:val="TableContents"/>
              <w:bidi w:val="0"/>
              <w:jc w:val="left"/>
              <w:rPr/>
            </w:pPr>
            <w:r>
              <w:rPr/>
              <w:t xml:space="preserve">Name of Issuer: </w:t>
            </w:r>
          </w:p>
          <w:p>
            <w:pPr>
              <w:pStyle w:val="TableContents"/>
              <w:bidi w:val="0"/>
              <w:spacing w:before="0" w:after="0"/>
              <w:jc w:val="left"/>
              <w:rPr/>
            </w:pPr>
            <w:r>
              <w:rPr/>
              <w:t>Neostellar Capital Corp.</w:t>
            </w:r>
          </w:p>
        </w:tc>
      </w:tr>
      <w:tr>
        <w:trPr/>
        <w:tc>
          <w:tcPr>
            <w:tcW w:w="1147" w:type="dxa"/>
            <w:tcBorders/>
            <w:vAlign w:val="center"/>
          </w:tcPr>
          <w:p>
            <w:pPr>
              <w:pStyle w:val="TableContents"/>
              <w:bidi w:val="0"/>
              <w:spacing w:before="0" w:after="283"/>
              <w:jc w:val="left"/>
              <w:rPr/>
            </w:pPr>
            <w:r>
              <w:rPr/>
              <w:t>(c)</w:t>
            </w:r>
          </w:p>
        </w:tc>
        <w:tc>
          <w:tcPr>
            <w:tcW w:w="905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640 FIFTH AVENUE, 640 FIFTH AVENUE, NEW YORK, NEW YORK , 10019.</w:t>
            </w:r>
          </w:p>
        </w:tc>
      </w:tr>
      <w:tr>
        <w:trPr/>
        <w:tc>
          <w:tcPr>
            <w:tcW w:w="1147" w:type="dxa"/>
            <w:tcBorders/>
            <w:vAlign w:val="center"/>
          </w:tcPr>
          <w:p>
            <w:pPr>
              <w:pStyle w:val="TableContents"/>
              <w:bidi w:val="0"/>
              <w:spacing w:before="0" w:after="283"/>
              <w:jc w:val="left"/>
              <w:rPr/>
            </w:pPr>
            <w:r>
              <w:rPr/>
              <w:t>Item 2.</w:t>
            </w:r>
          </w:p>
        </w:tc>
        <w:tc>
          <w:tcPr>
            <w:tcW w:w="9058" w:type="dxa"/>
            <w:tcBorders/>
            <w:vAlign w:val="center"/>
          </w:tcPr>
          <w:p>
            <w:pPr>
              <w:pStyle w:val="TableContents"/>
              <w:bidi w:val="0"/>
              <w:spacing w:before="0" w:after="283"/>
              <w:jc w:val="left"/>
              <w:rPr/>
            </w:pPr>
            <w:r>
              <w:rPr/>
              <w:t>Identity and Background</w:t>
            </w:r>
          </w:p>
        </w:tc>
      </w:tr>
      <w:tr>
        <w:trPr/>
        <w:tc>
          <w:tcPr>
            <w:tcW w:w="1147" w:type="dxa"/>
            <w:tcBorders/>
            <w:vAlign w:val="center"/>
          </w:tcPr>
          <w:p>
            <w:pPr>
              <w:pStyle w:val="TableContents"/>
              <w:bidi w:val="0"/>
              <w:spacing w:before="0" w:after="283"/>
              <w:jc w:val="left"/>
              <w:rPr/>
            </w:pPr>
            <w:r>
              <w:rPr/>
              <w:t>(a)</w:t>
            </w:r>
          </w:p>
        </w:tc>
        <w:tc>
          <w:tcPr>
            <w:tcW w:w="9058" w:type="dxa"/>
            <w:tcBorders/>
            <w:vAlign w:val="center"/>
          </w:tcPr>
          <w:p>
            <w:pPr>
              <w:pStyle w:val="TableContents"/>
              <w:bidi w:val="0"/>
              <w:spacing w:before="0" w:after="0"/>
              <w:jc w:val="left"/>
              <w:rPr/>
            </w:pPr>
            <w:r>
              <w:rPr/>
              <w:t>This statement is being filed by one or more of the following persons: GGCP, Inc. (GGCP), GGCP Holdings LLC (GGCP Holdings), GAMCO Investors Manager LLC, GAMCO Gabelli Asset Management Company, LLC (GGAM), GAMCO Investors, Inc. (GBL), Associated Capital Group, Inc. (AC), Gabelli Funds, LLC (Gabelli Funds), GAMCO Asset Management Inc. (GAMCO), Teton Advisors, LLC (Teton Advisors), G-Legion, LLC (G-Legion), Gabelli &amp; 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tc>
      </w:tr>
      <w:tr>
        <w:trPr/>
        <w:tc>
          <w:tcPr>
            <w:tcW w:w="1147" w:type="dxa"/>
            <w:tcBorders/>
            <w:vAlign w:val="center"/>
          </w:tcPr>
          <w:p>
            <w:pPr>
              <w:pStyle w:val="TableContents"/>
              <w:bidi w:val="0"/>
              <w:spacing w:before="0" w:after="283"/>
              <w:jc w:val="left"/>
              <w:rPr/>
            </w:pPr>
            <w:r>
              <w:rPr/>
              <w:t>(b)</w:t>
            </w:r>
          </w:p>
        </w:tc>
        <w:tc>
          <w:tcPr>
            <w:tcW w:w="9058" w:type="dxa"/>
            <w:tcBorders/>
            <w:vAlign w:val="center"/>
          </w:tcPr>
          <w:p>
            <w:pPr>
              <w:pStyle w:val="TableContents"/>
              <w:bidi w:val="0"/>
              <w:spacing w:before="0" w:after="0"/>
              <w:jc w:val="left"/>
              <w:rPr/>
            </w:pPr>
            <w:r>
              <w:rPr/>
              <w:t>GAMCO is a New York corporation and GBL and MGH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 business office at One Corporate Center, Rye, New York 10580. Teton Advisors is a Wyoming limited liability company having its principal place of business at 189 Mason Street, Greenwich, CT 06830. G-Legion is a Delaware limited liability company having its principal place of business at 141 W. Jackson Blvd., Chicago, IL 60604.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w:t>
            </w:r>
          </w:p>
        </w:tc>
      </w:tr>
      <w:tr>
        <w:trPr/>
        <w:tc>
          <w:tcPr>
            <w:tcW w:w="1147" w:type="dxa"/>
            <w:tcBorders/>
            <w:vAlign w:val="center"/>
          </w:tcPr>
          <w:p>
            <w:pPr>
              <w:pStyle w:val="TableContents"/>
              <w:bidi w:val="0"/>
              <w:spacing w:before="0" w:after="283"/>
              <w:jc w:val="left"/>
              <w:rPr/>
            </w:pPr>
            <w:r>
              <w:rPr/>
              <w:t>(c)</w:t>
            </w:r>
          </w:p>
        </w:tc>
        <w:tc>
          <w:tcPr>
            <w:tcW w:w="9058" w:type="dxa"/>
            <w:tcBorders/>
            <w:vAlign w:val="center"/>
          </w:tcPr>
          <w:p>
            <w:pPr>
              <w:pStyle w:val="TableContents"/>
              <w:bidi w:val="0"/>
              <w:spacing w:before="0" w:after="0"/>
              <w:jc w:val="left"/>
              <w:rPr/>
            </w:pPr>
            <w:r>
              <w:rPr/>
              <w:t>GGCP makes investments for its own account and is the manager and a member of GGCP Holdings which is the controlling shareholder of GBL and AC. GBL, a public company whose stock is quoted on the OTCQX platform,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 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 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Gabelli Intermediate Credit Fund L.P., GAMA Select Plus Master Fund, Ltd., GAMCO Medical Opportunities L.P., and Gabelli Multimedia Partners, L.P. G.research is a wholly owned subsidiary of MGH. G.research, is a broker-dealer registered under the Securities Exchange Act of 1934, as amended (1934 Act), which may as a part of its business purchase and sell securities for its own account. 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Focused Growth and Income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SRI Fund, Inc., The Gabelli International Small Cap Fund, The Gabelli Healthcare &amp; Wellness Rx Trust, The Gabelli Global Small and Mid Cap Value Trust, The Gabelli Global Financial Services Fund, The Gabelli Global Mini Mites Fund, The Gabelli Media Mogul Fund, The Gabelli Pet Parents Fund, Keeley Small Cap Fund, Keeley Gabelli Small Cap Dividend Fund, Keeley Gabelli Mid Cap Dividend Fund, Keeley Gabelli SMID Cap Value Fund The Gabelli U.S. Treasury Money Market Fund, Bancroft Fund Ltd., Ellsworth Growth &amp; Income Fund Ltd., Gabelli Merchant Partners plc, Gabelli Growth Innovators ETF, Gabelli Love Our Planet &amp; People ETF, Gabelli Commercial Aerospace &amp; Defense ETF, Gabelli Financial Services Opportunities ETF, Gabelli Global Technology Leaders ETF, Gabelli High Income ETF, Gabelli Opportunities in Live Sport ETF, Keeley Dividend ETF (collectively, the Funds), which are registered investment companies. Gabelli Funds is also the investment adviser to The GAMCO International SICAV (sub-funds GAMCO Merger Arbitrage and GAMCO All Cap Value), a UCITS III vehicle. Teton Advisors, an investment adviser registered under the Advisers Act, provides discretionary advisory services to The TETON Westwood Mighty Mites Fund, The Teton Westwood Balanced Fund, and The TETON Westwood Equity Fund. The TETON Westwood Mighty Mites Fund is sub-advised by Gabelli Funds, and their holdings are included in this filing. G-Legion, an investment adviser registered under the Advisers Act, provides discretionary advisory services to The TETON Convertible Securities Fund. This fund is sub advised by Gabelli Funds, and their holdings are included in this filing. 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 The Foundation is a private foundation. Mario Gabelli is the Chairman, a Trustee and the Investment Manager of the Foundation. Elisa M. Wilson is the President of the Foundation. 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 CIBL is a holding company with interest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 Mario Gabelli is the controlling stockholder, co-Chief Executive Officer and a director of GGCP, co-Chief Executive Officer of GGAM, board member and majority member of GAMCO Investors Manager, LLC and Chairman and Chief Executive Officer of GBL. He is the Executive Chairman of AC. Mario Gabelli is also a member of GGCP Holdings. Mario Gabelli is the controlling shareholder of MGH and indirectly of Teton Advisors and G-Legion.</w:t>
            </w:r>
          </w:p>
        </w:tc>
      </w:tr>
      <w:tr>
        <w:trPr/>
        <w:tc>
          <w:tcPr>
            <w:tcW w:w="1147" w:type="dxa"/>
            <w:tcBorders/>
            <w:vAlign w:val="center"/>
          </w:tcPr>
          <w:p>
            <w:pPr>
              <w:pStyle w:val="TableContents"/>
              <w:bidi w:val="0"/>
              <w:spacing w:before="0" w:after="283"/>
              <w:jc w:val="left"/>
              <w:rPr/>
            </w:pPr>
            <w:r>
              <w:rPr/>
              <w:t>(d)</w:t>
            </w:r>
          </w:p>
        </w:tc>
        <w:tc>
          <w:tcPr>
            <w:tcW w:w="9058" w:type="dxa"/>
            <w:tcBorders/>
            <w:vAlign w:val="center"/>
          </w:tcPr>
          <w:p>
            <w:pPr>
              <w:pStyle w:val="TableContents"/>
              <w:bidi w:val="0"/>
              <w:spacing w:before="0" w:after="0"/>
              <w:jc w:val="left"/>
              <w:rPr/>
            </w:pPr>
            <w:r>
              <w:rPr/>
              <w:t>Not applicable.</w:t>
            </w:r>
          </w:p>
        </w:tc>
      </w:tr>
      <w:tr>
        <w:trPr/>
        <w:tc>
          <w:tcPr>
            <w:tcW w:w="1147" w:type="dxa"/>
            <w:tcBorders/>
            <w:vAlign w:val="center"/>
          </w:tcPr>
          <w:p>
            <w:pPr>
              <w:pStyle w:val="TableContents"/>
              <w:bidi w:val="0"/>
              <w:spacing w:before="0" w:after="283"/>
              <w:jc w:val="left"/>
              <w:rPr/>
            </w:pPr>
            <w:r>
              <w:rPr/>
              <w:t>(e)</w:t>
            </w:r>
          </w:p>
        </w:tc>
        <w:tc>
          <w:tcPr>
            <w:tcW w:w="9058" w:type="dxa"/>
            <w:tcBorders/>
            <w:vAlign w:val="center"/>
          </w:tcPr>
          <w:p>
            <w:pPr>
              <w:pStyle w:val="TableContents"/>
              <w:bidi w:val="0"/>
              <w:spacing w:before="0" w:after="0"/>
              <w:jc w:val="left"/>
              <w:rPr/>
            </w:pPr>
            <w:r>
              <w:rPr/>
              <w:t>Not applicable.</w:t>
            </w:r>
          </w:p>
        </w:tc>
      </w:tr>
      <w:tr>
        <w:trPr/>
        <w:tc>
          <w:tcPr>
            <w:tcW w:w="1147" w:type="dxa"/>
            <w:tcBorders/>
            <w:vAlign w:val="center"/>
          </w:tcPr>
          <w:p>
            <w:pPr>
              <w:pStyle w:val="TableContents"/>
              <w:bidi w:val="0"/>
              <w:spacing w:before="0" w:after="283"/>
              <w:jc w:val="left"/>
              <w:rPr/>
            </w:pPr>
            <w:r>
              <w:rPr/>
              <w:t>(f)</w:t>
            </w:r>
          </w:p>
        </w:tc>
        <w:tc>
          <w:tcPr>
            <w:tcW w:w="9058" w:type="dxa"/>
            <w:tcBorders/>
            <w:vAlign w:val="center"/>
          </w:tcPr>
          <w:p>
            <w:pPr>
              <w:pStyle w:val="TableContents"/>
              <w:bidi w:val="0"/>
              <w:spacing w:before="0" w:after="0"/>
              <w:jc w:val="left"/>
              <w:rPr/>
            </w:pPr>
            <w:r>
              <w:rPr/>
              <w:t xml:space="preserve">United States. </w:t>
            </w:r>
          </w:p>
        </w:tc>
      </w:tr>
      <w:tr>
        <w:trPr/>
        <w:tc>
          <w:tcPr>
            <w:tcW w:w="1147" w:type="dxa"/>
            <w:tcBorders/>
            <w:vAlign w:val="center"/>
          </w:tcPr>
          <w:p>
            <w:pPr>
              <w:pStyle w:val="TableContents"/>
              <w:bidi w:val="0"/>
              <w:spacing w:before="0" w:after="283"/>
              <w:jc w:val="left"/>
              <w:rPr/>
            </w:pPr>
            <w:r>
              <w:rPr/>
              <w:t>Item 3.</w:t>
            </w:r>
          </w:p>
        </w:tc>
        <w:tc>
          <w:tcPr>
            <w:tcW w:w="9058" w:type="dxa"/>
            <w:tcBorders/>
            <w:vAlign w:val="center"/>
          </w:tcPr>
          <w:p>
            <w:pPr>
              <w:pStyle w:val="TableContents"/>
              <w:bidi w:val="0"/>
              <w:spacing w:before="0" w:after="283"/>
              <w:jc w:val="left"/>
              <w:rPr/>
            </w:pPr>
            <w:r>
              <w:rPr/>
              <w:t>Source and Amount of Funds or Other Consideration</w:t>
            </w:r>
          </w:p>
        </w:tc>
      </w:tr>
      <w:tr>
        <w:trPr/>
        <w:tc>
          <w:tcPr>
            <w:tcW w:w="1147" w:type="dxa"/>
            <w:tcBorders/>
            <w:vAlign w:val="center"/>
          </w:tcPr>
          <w:p>
            <w:pPr>
              <w:pStyle w:val="TableContents"/>
              <w:bidi w:val="0"/>
              <w:spacing w:before="0" w:after="283"/>
              <w:jc w:val="left"/>
              <w:rPr/>
            </w:pPr>
            <w:r>
              <w:rPr/>
              <w:t> </w:t>
            </w:r>
          </w:p>
        </w:tc>
        <w:tc>
          <w:tcPr>
            <w:tcW w:w="9058" w:type="dxa"/>
            <w:tcBorders/>
            <w:vAlign w:val="center"/>
          </w:tcPr>
          <w:p>
            <w:pPr>
              <w:pStyle w:val="TableContents"/>
              <w:bidi w:val="0"/>
              <w:spacing w:before="0" w:after="0"/>
              <w:jc w:val="left"/>
              <w:rPr/>
            </w:pPr>
            <w:r>
              <w:rPr/>
              <w:t>The Reporting Persons used an aggregate of approximately $3,318,846 to purchase the additional Securities reported as beneficially owned in Item 5 since the most recent filing on Schedule 13D. GAMCO and Gabelli Funds used approximately $145,056 and $3,168,796, respectively, of funds that were provided through the accounts of certain of their investment advisory clients (and, in the case of some of such accounts at GAMCO, may be through borrowings from client margin accounts) in order to purchase the additional Securities for such clients. GCIA used approximately $4,994 of client funds to purchase the additional Securities reported by it.</w:t>
            </w:r>
          </w:p>
        </w:tc>
      </w:tr>
      <w:tr>
        <w:trPr/>
        <w:tc>
          <w:tcPr>
            <w:tcW w:w="1147" w:type="dxa"/>
            <w:tcBorders/>
            <w:vAlign w:val="center"/>
          </w:tcPr>
          <w:p>
            <w:pPr>
              <w:pStyle w:val="TableContents"/>
              <w:bidi w:val="0"/>
              <w:spacing w:before="0" w:after="283"/>
              <w:jc w:val="left"/>
              <w:rPr/>
            </w:pPr>
            <w:r>
              <w:rPr/>
              <w:t>Item 4.</w:t>
            </w:r>
          </w:p>
        </w:tc>
        <w:tc>
          <w:tcPr>
            <w:tcW w:w="9058" w:type="dxa"/>
            <w:tcBorders/>
            <w:vAlign w:val="center"/>
          </w:tcPr>
          <w:p>
            <w:pPr>
              <w:pStyle w:val="TableContents"/>
              <w:bidi w:val="0"/>
              <w:spacing w:before="0" w:after="283"/>
              <w:jc w:val="left"/>
              <w:rPr/>
            </w:pPr>
            <w:r>
              <w:rPr/>
              <w:t>Purpose of Transaction</w:t>
            </w:r>
          </w:p>
        </w:tc>
      </w:tr>
      <w:tr>
        <w:trPr/>
        <w:tc>
          <w:tcPr>
            <w:tcW w:w="1147" w:type="dxa"/>
            <w:tcBorders/>
            <w:vAlign w:val="center"/>
          </w:tcPr>
          <w:p>
            <w:pPr>
              <w:pStyle w:val="TableContents"/>
              <w:bidi w:val="0"/>
              <w:spacing w:before="0" w:after="283"/>
              <w:jc w:val="left"/>
              <w:rPr/>
            </w:pPr>
            <w:r>
              <w:rPr/>
              <w:t> </w:t>
            </w:r>
          </w:p>
        </w:tc>
        <w:tc>
          <w:tcPr>
            <w:tcW w:w="9058" w:type="dxa"/>
            <w:tcBorders/>
            <w:vAlign w:val="center"/>
          </w:tcPr>
          <w:p>
            <w:pPr>
              <w:pStyle w:val="TableContents"/>
              <w:bidi w:val="0"/>
              <w:spacing w:before="0" w:after="0"/>
              <w:jc w:val="left"/>
              <w:rPr/>
            </w:pPr>
            <w:r>
              <w:rPr/>
              <w:t>The Reporting Persons file the long form Schedule 13D pursuant to Section 13d-1 of the Securities Exchange Act of 1934 (the "Act") even though they may be technically eligible to file the short form Schedule G. Because the Reporting Persons may regularly communicate with the Issuer's management, filing the Schedule 13D ensures that these conversations are compliant with the reporting obligations under the Exchange Act.</w:t>
            </w:r>
          </w:p>
        </w:tc>
      </w:tr>
      <w:tr>
        <w:trPr/>
        <w:tc>
          <w:tcPr>
            <w:tcW w:w="1147" w:type="dxa"/>
            <w:tcBorders/>
            <w:vAlign w:val="center"/>
          </w:tcPr>
          <w:p>
            <w:pPr>
              <w:pStyle w:val="TableContents"/>
              <w:bidi w:val="0"/>
              <w:spacing w:before="0" w:after="283"/>
              <w:jc w:val="left"/>
              <w:rPr/>
            </w:pPr>
            <w:r>
              <w:rPr/>
              <w:t>Item 5.</w:t>
            </w:r>
          </w:p>
        </w:tc>
        <w:tc>
          <w:tcPr>
            <w:tcW w:w="9058" w:type="dxa"/>
            <w:tcBorders/>
            <w:vAlign w:val="center"/>
          </w:tcPr>
          <w:p>
            <w:pPr>
              <w:pStyle w:val="TableContents"/>
              <w:bidi w:val="0"/>
              <w:spacing w:before="0" w:after="283"/>
              <w:jc w:val="left"/>
              <w:rPr/>
            </w:pPr>
            <w:r>
              <w:rPr/>
              <w:t>Interest in Securities of the Issuer</w:t>
            </w:r>
          </w:p>
        </w:tc>
      </w:tr>
      <w:tr>
        <w:trPr/>
        <w:tc>
          <w:tcPr>
            <w:tcW w:w="1147" w:type="dxa"/>
            <w:tcBorders/>
            <w:vAlign w:val="center"/>
          </w:tcPr>
          <w:p>
            <w:pPr>
              <w:pStyle w:val="TableContents"/>
              <w:bidi w:val="0"/>
              <w:spacing w:before="0" w:after="283"/>
              <w:jc w:val="left"/>
              <w:rPr/>
            </w:pPr>
            <w:r>
              <w:rPr/>
              <w:t>(a)</w:t>
            </w:r>
          </w:p>
        </w:tc>
        <w:tc>
          <w:tcPr>
            <w:tcW w:w="9058" w:type="dxa"/>
            <w:tcBorders/>
            <w:vAlign w:val="center"/>
          </w:tcPr>
          <w:p>
            <w:pPr>
              <w:pStyle w:val="TableContents"/>
              <w:bidi w:val="0"/>
              <w:spacing w:before="0" w:after="0"/>
              <w:jc w:val="left"/>
              <w:rPr/>
            </w:pPr>
            <w:r>
              <w:rPr/>
              <w:t xml:space="preserve">The aggregate number of Securities to which this Schedule 13D relates is 1,895,410 shares, representing 7.16% of the 26,473,222 shares outstanding as reported in the Issuer's most recently filed Form 10-Q for the quarterly period ended June 30, 2026. The Reporting Persons beneficially own those Securities as follows: GAMCO 274,000 shares 1.04%, Gabelli Funds 1,614,410 shares 6.10%, GCIA 2,000 shares 0.01% and Foundation 5,000 shares 0.02%. </w:t>
            </w:r>
          </w:p>
        </w:tc>
      </w:tr>
      <w:tr>
        <w:trPr/>
        <w:tc>
          <w:tcPr>
            <w:tcW w:w="1147" w:type="dxa"/>
            <w:tcBorders/>
            <w:vAlign w:val="center"/>
          </w:tcPr>
          <w:p>
            <w:pPr>
              <w:pStyle w:val="TableContents"/>
              <w:bidi w:val="0"/>
              <w:spacing w:before="0" w:after="283"/>
              <w:jc w:val="left"/>
              <w:rPr/>
            </w:pPr>
            <w:r>
              <w:rPr/>
              <w:t>(b)</w:t>
            </w:r>
          </w:p>
        </w:tc>
        <w:tc>
          <w:tcPr>
            <w:tcW w:w="9058" w:type="dxa"/>
            <w:tcBorders/>
            <w:vAlign w:val="center"/>
          </w:tcPr>
          <w:p>
            <w:pPr>
              <w:pStyle w:val="TableContents"/>
              <w:bidi w:val="0"/>
              <w:spacing w:before="0" w:after="0"/>
              <w:jc w:val="left"/>
              <w:rPr/>
            </w:pPr>
            <w:r>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 at any time, the Proxy Voting Committee of each such Fund may take and exercise in its sole discretion the entire voting power with respect to the shares held by such fund under special circumstances such as regulatory considerations, and (iii) the power of Mario Gabelli, AC, GBL, and GGCP is indirect with respect to Securities beneficially owned directly by other Reporting Persons.</w:t>
            </w:r>
          </w:p>
        </w:tc>
      </w:tr>
      <w:tr>
        <w:trPr/>
        <w:tc>
          <w:tcPr>
            <w:tcW w:w="1147" w:type="dxa"/>
            <w:tcBorders/>
            <w:vAlign w:val="center"/>
          </w:tcPr>
          <w:p>
            <w:pPr>
              <w:pStyle w:val="TableContents"/>
              <w:bidi w:val="0"/>
              <w:spacing w:before="0" w:after="283"/>
              <w:jc w:val="left"/>
              <w:rPr/>
            </w:pPr>
            <w:r>
              <w:rPr/>
              <w:t>(c)</w:t>
            </w:r>
          </w:p>
        </w:tc>
        <w:tc>
          <w:tcPr>
            <w:tcW w:w="9058" w:type="dxa"/>
            <w:tcBorders/>
            <w:vAlign w:val="center"/>
          </w:tcPr>
          <w:p>
            <w:pPr>
              <w:pStyle w:val="TableContents"/>
              <w:bidi w:val="0"/>
              <w:spacing w:before="0" w:after="0"/>
              <w:jc w:val="left"/>
              <w:rPr/>
            </w:pPr>
            <w:r>
              <w:rPr/>
              <w:t xml:space="preserve">Information with respect to all transactions in the Securities which were effected during the past sixty days or since the most recent filing on Schedule 13D, whichever is less, by each of the Reporting Persons and Covered Persons is set forth below: DATE SHARES PURCHASED PRICE /SOLD GABELLI FUNDS, LLC GABELLI ASSET FUND 9/9/2026 1,500 9.9964 GABELLI EQUITY TRUST 9/15/2026 20,000 7.8827 9/15/2026 15,000 7.9760 9/15/2026 20,000 7.9800 9/9/2026 30,000 9.9964 GABELLI FINANCIAL SERVICES OPPORTUNITIES ETF 9/15/2026 5,000 8.0656 9/14/2026 25,000 7.9757 9/9/2026 5,000 9.9964 GABELLI DIVIDEND &amp; INCOME TRUST 9/15/2026 20,000 7.8827 9/15/2026 10,000 7.9760 9/15/2026 10,000 7.9800 9/9/2026 8,000 9.9964 9/8/2026 35,000 10.0909 GAMCO ASSET MANAGEMENT INC. 9/14/2026 500 8.3350 9/11/2026 2,000 9.8200 9/9/2026 8,000 9.9176 9/8/2026 5,000 10.0900 9/1/2026 3,500 9.9208 </w:t>
            </w:r>
          </w:p>
        </w:tc>
      </w:tr>
      <w:tr>
        <w:trPr/>
        <w:tc>
          <w:tcPr>
            <w:tcW w:w="1147" w:type="dxa"/>
            <w:tcBorders/>
            <w:vAlign w:val="center"/>
          </w:tcPr>
          <w:p>
            <w:pPr>
              <w:pStyle w:val="TableContents"/>
              <w:bidi w:val="0"/>
              <w:spacing w:before="0" w:after="283"/>
              <w:jc w:val="left"/>
              <w:rPr/>
            </w:pPr>
            <w:r>
              <w:rPr/>
              <w:t>(d)</w:t>
            </w:r>
          </w:p>
        </w:tc>
        <w:tc>
          <w:tcPr>
            <w:tcW w:w="9058" w:type="dxa"/>
            <w:tcBorders/>
            <w:vAlign w:val="center"/>
          </w:tcPr>
          <w:p>
            <w:pPr>
              <w:pStyle w:val="TableContents"/>
              <w:bidi w:val="0"/>
              <w:spacing w:before="0" w:after="0"/>
              <w:jc w:val="left"/>
              <w:rPr/>
            </w:pPr>
            <w:r>
              <w:rPr/>
              <w:t>The investment advisory clients of, or partnerships managed by, GAMCO, Gabelli Funds, Teton Advisors and MJG Associates have the sole right to receive and, subject to the notice, withdrawal and/or termination provisions of such advisory contracts and partnership arrangements, the sole power to direct the receipt of dividends from, and the proceeds of sale of, any of the Securities beneficially owned by such Reporting Persons on behalf of such clients or partnerships. Except as noted, no such client or partnership has an interest by virtue of such relationship that relates to more than 5% of the Securities.</w:t>
            </w:r>
          </w:p>
        </w:tc>
      </w:tr>
      <w:tr>
        <w:trPr/>
        <w:tc>
          <w:tcPr>
            <w:tcW w:w="1147" w:type="dxa"/>
            <w:tcBorders/>
            <w:vAlign w:val="center"/>
          </w:tcPr>
          <w:p>
            <w:pPr>
              <w:pStyle w:val="TableContents"/>
              <w:bidi w:val="0"/>
              <w:spacing w:before="0" w:after="283"/>
              <w:jc w:val="left"/>
              <w:rPr/>
            </w:pPr>
            <w:r>
              <w:rPr/>
              <w:t>(e)</w:t>
            </w:r>
          </w:p>
        </w:tc>
        <w:tc>
          <w:tcPr>
            <w:tcW w:w="9058" w:type="dxa"/>
            <w:tcBorders/>
            <w:vAlign w:val="center"/>
          </w:tcPr>
          <w:p>
            <w:pPr>
              <w:pStyle w:val="TableContents"/>
              <w:bidi w:val="0"/>
              <w:spacing w:before="0" w:after="0"/>
              <w:jc w:val="left"/>
              <w:rPr/>
            </w:pPr>
            <w:r>
              <w:rPr/>
              <w:t>Not applicable.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GAMCO INVESTORS, INC. ET AL</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DAVID GOLDMAN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CHIEF LEGAL OFFICER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GABELLI FUNDS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DAVID GOLDMAN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GENERAL COUNSEL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GAMCO Asset Management Inc.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DOUGLAS R. JAMIESON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3"/>
        <w:gridCol w:w="5042"/>
      </w:tblGrid>
      <w:tr>
        <w:trPr/>
        <w:tc>
          <w:tcPr>
            <w:tcW w:w="5163" w:type="dxa"/>
            <w:tcBorders/>
            <w:vAlign w:val="center"/>
          </w:tcPr>
          <w:p>
            <w:pPr>
              <w:pStyle w:val="TableContents"/>
              <w:bidi w:val="0"/>
              <w:spacing w:before="0" w:after="0"/>
              <w:jc w:val="left"/>
              <w:rPr/>
            </w:pPr>
            <w:r>
              <w:rPr/>
              <w:t> </w:t>
            </w:r>
          </w:p>
          <w:tbl>
            <w:tblPr>
              <w:tblW w:w="5281" w:type="dxa"/>
              <w:jc w:val="left"/>
              <w:tblInd w:w="0" w:type="dxa"/>
              <w:tblLayout w:type="fixed"/>
              <w:tblCellMar>
                <w:top w:w="28" w:type="dxa"/>
                <w:left w:w="28" w:type="dxa"/>
                <w:bottom w:w="28" w:type="dxa"/>
                <w:right w:w="28" w:type="dxa"/>
              </w:tblCellMar>
            </w:tblPr>
            <w:tblGrid>
              <w:gridCol w:w="5281"/>
            </w:tblGrid>
            <w:tr>
              <w:trPr/>
              <w:tc>
                <w:tcPr>
                  <w:tcW w:w="5281" w:type="dxa"/>
                  <w:tcBorders/>
                  <w:vAlign w:val="center"/>
                </w:tcPr>
                <w:p>
                  <w:pPr>
                    <w:pStyle w:val="TableContents"/>
                    <w:bidi w:val="0"/>
                    <w:spacing w:before="0" w:after="0"/>
                    <w:jc w:val="left"/>
                    <w:rPr/>
                  </w:pPr>
                  <w:r>
                    <w:rPr/>
                    <w:t>GABELLI &amp; Co INVESTMENT ADVISERS, INC.</w:t>
                  </w:r>
                </w:p>
              </w:tc>
            </w:tr>
          </w:tbl>
          <w:p>
            <w:pPr>
              <w:pStyle w:val="TableContents"/>
              <w:bidi w:val="0"/>
              <w:spacing w:before="0" w:after="283"/>
              <w:jc w:val="left"/>
              <w:rPr/>
            </w:pPr>
            <w:r>
              <w:rPr/>
            </w:r>
          </w:p>
        </w:tc>
        <w:tc>
          <w:tcPr>
            <w:tcW w:w="50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DOUGLAS R. JAMIESON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GABELLI FOUNDATION, INC.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GGCP, INC.</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Associated Capital Group,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DAVID GOLDMAN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GENERAL COUNSEL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GABELLI MARIO J</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3435</Words>
  <Characters>18366</Characters>
  <CharactersWithSpaces>21596</CharactersWithSpaces>
  <Paragraphs>474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