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283"/>
              <w:jc w:val="both"/>
              <w:rPr/>
            </w:pPr>
            <w:bookmarkStart w:id="3" w:name="xdx_90A_edei--DocumentQuarterlyReport_c2"/>
            <w:bookmarkEnd w:id="3"/>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QUARTERLY REPORT PURSUANT TO SECTION 13 OR 15(d) OF THE SECURITIES EXCHANGE ACT OF 1934</w:t>
            </w:r>
            <w:r>
              <w:rPr>
                <w:rFonts w:ascii="Times New Roman;Times;Serif" w:hAnsi="Times New Roman;Times;Serif"/>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5_edei--DocumentPeriodEndDate_c202"/>
      <w:bookmarkEnd w:id="4"/>
      <w:r>
        <w:rPr>
          <w:rFonts w:ascii="Times New Roman;Times;Serif" w:hAnsi="Times New Roman;Times;Serif"/>
          <w:b/>
          <w:i w:val="false"/>
          <w:caps w:val="false"/>
          <w:smallCaps w:val="false"/>
          <w:sz w:val="20"/>
        </w:rPr>
        <w:t xml:space="preserve">June 30, </w:t>
      </w:r>
      <w:bookmarkStart w:id="5" w:name="xdx_901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283"/>
              <w:jc w:val="both"/>
              <w:rPr/>
            </w:pPr>
            <w:bookmarkStart w:id="6" w:name="xdx_90C_edei--DocumentTransitionReport_c"/>
            <w:bookmarkEnd w:id="6"/>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TRANSITION REPORT PURSUANT TO SECTION 13 OR 15(d) OF THE SECURITIES EXCHANGE ACT OF 1934</w:t>
            </w:r>
            <w:r>
              <w:rPr>
                <w:rFonts w:ascii="Times New Roman;Times;Serif" w:hAnsi="Times New Roman;Times;Serif"/>
                <w:sz w:val="20"/>
              </w:rPr>
              <w:t>​</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E_edei--EntityFileNumber_c20260101"/>
      <w:bookmarkEnd w:id="7"/>
      <w:r>
        <w:rPr>
          <w:rFonts w:ascii="Times New Roman;Times;Serif" w:hAnsi="Times New Roman;Times;Serif"/>
          <w:b/>
          <w:i w:val="false"/>
          <w:caps w:val="false"/>
          <w:smallCaps w:val="false"/>
          <w:sz w:val="20"/>
        </w:rPr>
        <w:t>814-00852</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7_edei--EntityRegistrantName_c2026"/>
      <w:bookmarkEnd w:id="8"/>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SuRo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4880"/>
        <w:gridCol w:w="60"/>
        <w:gridCol w:w="2915"/>
      </w:tblGrid>
      <w:tr>
        <w:trPr/>
        <w:tc>
          <w:tcPr>
            <w:tcW w:w="48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6_edei--EntityIncorporationStateCo"/>
            <w:bookmarkEnd w:id="9"/>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TaxIdentificationNum"/>
            <w:bookmarkEnd w:id="10"/>
            <w:r>
              <w:rPr>
                <w:rFonts w:ascii="Times New Roman;Times;Serif" w:hAnsi="Times New Roman;Times;Serif"/>
                <w:b/>
                <w:i w:val="false"/>
                <w:caps w:val="false"/>
                <w:smallCaps w:val="false"/>
                <w:sz w:val="20"/>
              </w:rPr>
              <w:t>27-4443543</w:t>
            </w:r>
          </w:p>
        </w:tc>
      </w:tr>
      <w:tr>
        <w:trPr/>
        <w:tc>
          <w:tcPr>
            <w:tcW w:w="48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r>
        <w:trPr/>
        <w:tc>
          <w:tcPr>
            <w:tcW w:w="48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B_edei--EntityAddressAddressLine1_"/>
            <w:bookmarkEnd w:id="11"/>
            <w:r>
              <w:rPr>
                <w:rFonts w:ascii="Times New Roman;Times;Serif" w:hAnsi="Times New Roman;Times;Serif"/>
                <w:b/>
                <w:i w:val="false"/>
                <w:caps w:val="false"/>
                <w:smallCaps w:val="false"/>
                <w:sz w:val="20"/>
              </w:rPr>
              <w:t xml:space="preserve">640 Fifth Avenue, </w:t>
            </w:r>
            <w:bookmarkStart w:id="12" w:name="xdx_905_edei--EntityAddressAddressLine2_"/>
            <w:bookmarkEnd w:id="12"/>
            <w:r>
              <w:rPr>
                <w:rFonts w:ascii="Times New Roman;Times;Serif" w:hAnsi="Times New Roman;Times;Serif"/>
                <w:b/>
                <w:i w:val="false"/>
                <w:caps w:val="false"/>
                <w:smallCaps w:val="false"/>
                <w:sz w:val="20"/>
              </w:rPr>
              <w:t xml:space="preserve">12th Floor, </w:t>
            </w:r>
            <w:bookmarkStart w:id="13" w:name="xdx_907_edei--EntityAddressCityOrTown_c2"/>
            <w:bookmarkEnd w:id="13"/>
            <w:r>
              <w:rPr>
                <w:rFonts w:ascii="Times New Roman;Times;Serif" w:hAnsi="Times New Roman;Times;Serif"/>
                <w:b/>
                <w:i w:val="false"/>
                <w:caps w:val="false"/>
                <w:smallCaps w:val="false"/>
                <w:sz w:val="20"/>
              </w:rPr>
              <w:t xml:space="preserve">New York, </w:t>
            </w:r>
            <w:bookmarkStart w:id="14" w:name="xdx_90F_edei--EntityAddressStateOrProvin"/>
            <w:bookmarkEnd w:id="14"/>
            <w:r>
              <w:rPr>
                <w:rFonts w:ascii="Times New Roman;Times;Serif" w:hAnsi="Times New Roman;Times;Serif"/>
                <w:b/>
                <w:i w:val="false"/>
                <w:caps w:val="false"/>
                <w:smallCaps w:val="false"/>
                <w:sz w:val="20"/>
              </w:rPr>
              <w:t>NY</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7_edei--EntityAddressPostalZipCode"/>
            <w:bookmarkEnd w:id="15"/>
            <w:r>
              <w:rPr>
                <w:rFonts w:ascii="Times New Roman;Times;Serif" w:hAnsi="Times New Roman;Times;Serif"/>
                <w:b/>
                <w:i w:val="false"/>
                <w:caps w:val="false"/>
                <w:smallCaps w:val="false"/>
                <w:sz w:val="20"/>
              </w:rPr>
              <w:t>10019</w:t>
            </w:r>
          </w:p>
        </w:tc>
      </w:tr>
      <w:tr>
        <w:trPr/>
        <w:tc>
          <w:tcPr>
            <w:tcW w:w="48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B_edei--CityAreaCode_c20260101__20"/>
      <w:bookmarkEnd w:id="16"/>
      <w:r>
        <w:rPr>
          <w:rFonts w:ascii="Times New Roman;Times;Serif" w:hAnsi="Times New Roman;Times;Serif"/>
          <w:b/>
          <w:i w:val="false"/>
          <w:caps w:val="false"/>
          <w:smallCaps w:val="false"/>
          <w:sz w:val="20"/>
        </w:rPr>
        <w:t xml:space="preserve">(212) </w:t>
      </w:r>
      <w:bookmarkStart w:id="17" w:name="xdx_90B_edei--LocalPhoneNumber_c20260101"/>
      <w:bookmarkEnd w:id="17"/>
      <w:r>
        <w:rPr>
          <w:rFonts w:ascii="Times New Roman;Times;Serif" w:hAnsi="Times New Roman;Times;Serif"/>
          <w:b/>
          <w:i w:val="false"/>
          <w:caps w:val="false"/>
          <w:smallCaps w:val="false"/>
          <w:sz w:val="20"/>
        </w:rPr>
        <w:t>931-6331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415"/>
        <w:gridCol w:w="60"/>
        <w:gridCol w:w="390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101"/>
            <w:bookmarkEnd w:id="18"/>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TradingSymbol_c20260101__2"/>
            <w:bookmarkEnd w:id="19"/>
            <w:r>
              <w:rPr>
                <w:rFonts w:ascii="Times New Roman;Times;Serif" w:hAnsi="Times New Roman;Times;Serif"/>
                <w:b w:val="false"/>
                <w:i w:val="false"/>
                <w:caps w:val="false"/>
                <w:smallCaps w:val="false"/>
                <w:sz w:val="20"/>
              </w:rPr>
              <w:t>NSLR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SecurityExchangeName_c2026"/>
            <w:bookmarkEnd w:id="20"/>
            <w:r>
              <w:rPr>
                <w:rFonts w:ascii="Times New Roman;Times;Serif" w:hAnsi="Times New Roman;Times;Serif"/>
                <w:b w:val="false"/>
                <w:i w:val="false"/>
                <w:caps w:val="false"/>
                <w:smallCaps w:val="false"/>
                <w:sz w:val="20"/>
              </w:rPr>
              <w:t>Nasdaq Global Select Market</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12bTitle_c20260101"/>
            <w:bookmarkEnd w:id="21"/>
            <w:r>
              <w:rPr>
                <w:rFonts w:ascii="Times New Roman;Times;Serif" w:hAnsi="Times New Roman;Times;Serif"/>
                <w:b w:val="false"/>
                <w:i w:val="false"/>
                <w:caps w:val="false"/>
                <w:smallCaps w:val="false"/>
                <w:sz w:val="20"/>
              </w:rPr>
              <w:t>6.00%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TradingSymbol_c20260101__2"/>
            <w:bookmarkEnd w:id="22"/>
            <w:r>
              <w:rPr>
                <w:rFonts w:ascii="Times New Roman;Times;Serif" w:hAnsi="Times New Roman;Times;Serif"/>
                <w:b w:val="false"/>
                <w:i w:val="false"/>
                <w:caps w:val="false"/>
                <w:smallCaps w:val="false"/>
                <w:sz w:val="20"/>
              </w:rPr>
              <w:t>NSLRL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SecurityExchangeName_c2026"/>
            <w:bookmarkEnd w:id="23"/>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3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5" w:name="xdx_902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450"/>
        <w:gridCol w:w="2465"/>
      </w:tblGrid>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B_edei--EntityFilerCategory_c20260"/>
            <w:bookmarkEnd w:id="26"/>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7" w:name="xdx_90A_edei--EntitySmallBusiness_c20260"/>
            <w:bookmarkEnd w:id="27"/>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C_edei--EntityEmergingGrowthCompan"/>
            <w:bookmarkEnd w:id="28"/>
            <w:r>
              <w:rPr>
                <w:rFonts w:ascii="Times New Roman;Times;Serif" w:hAnsi="Times New Roman;Times;Serif"/>
                <w:b w:val="false"/>
                <w:i w:val="false"/>
                <w:caps w:val="false"/>
                <w:smallCaps w:val="false"/>
                <w:sz w:val="20"/>
              </w:rPr>
              <w:t>☐</w:t>
            </w:r>
          </w:p>
        </w:tc>
        <w:tc>
          <w:tcPr>
            <w:tcW w:w="24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29" w:name="xdx_90F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had </w:t>
      </w:r>
      <w:bookmarkStart w:id="30" w:name="xdx_900_edei--EntityCommonStockSharesOut"/>
      <w:bookmarkEnd w:id="30"/>
      <w:r>
        <w:rPr>
          <w:rFonts w:ascii="Times New Roman;Times;Serif" w:hAnsi="Times New Roman;Times;Serif"/>
          <w:b w:val="false"/>
          <w:i w:val="false"/>
          <w:caps w:val="false"/>
          <w:smallCaps w:val="false"/>
          <w:sz w:val="20"/>
        </w:rPr>
        <w:t>26,473,222 shares of common stock, $</w:t>
      </w:r>
      <w:bookmarkStart w:id="31" w:name="xdx_909_edei--EntityListingParValuePerSh"/>
      <w:bookmarkEnd w:id="31"/>
      <w:r>
        <w:rPr>
          <w:rFonts w:ascii="Times New Roman;Times;Serif" w:hAnsi="Times New Roman;Times;Serif"/>
          <w:b w:val="false"/>
          <w:i w:val="false"/>
          <w:caps w:val="false"/>
          <w:smallCaps w:val="false"/>
          <w:sz w:val="20"/>
        </w:rPr>
        <w:t>0.01 par value per share, outstanding as of August 5,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toc_001"/>
      <w:bookmarkEnd w:id="3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6"/>
        <w:gridCol w:w="8913"/>
        <w:gridCol w:w="576"/>
      </w:tblGrid>
      <w:tr>
        <w:trPr/>
        <w:tc>
          <w:tcPr>
            <w:tcW w:w="716"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8913"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29" w:type="dxa"/>
            <w:gridSpan w:val="2"/>
            <w:tcBorders/>
            <w:shd w:fill="CCEEFF" w:val="clear"/>
            <w:tcMar>
              <w:bottom w:w="0" w:type="dxa"/>
            </w:tcMar>
            <w:vAlign w:val="center"/>
          </w:tcPr>
          <w:p>
            <w:pPr>
              <w:pStyle w:val="TableContents"/>
              <w:bidi w:val="0"/>
              <w:spacing w:before="0" w:after="283"/>
              <w:jc w:val="left"/>
              <w:rPr/>
            </w:pPr>
            <w:hyperlink w:anchor="ak_001">
              <w:r>
                <w:rPr>
                  <w:rStyle w:val="InternetLink"/>
                  <w:rFonts w:ascii="Times New Roman;Times;Serif" w:hAnsi="Times New Roman;Times;Serif"/>
                  <w:b/>
                  <w:i w:val="false"/>
                  <w:caps w:val="false"/>
                  <w:smallCaps w:val="false"/>
                  <w:sz w:val="20"/>
                </w:rPr>
                <w:t>PART I. FINANCIAL INFORMATION</w:t>
              </w:r>
            </w:hyperlink>
          </w:p>
        </w:tc>
        <w:tc>
          <w:tcPr>
            <w:tcW w:w="5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 </w:t>
            </w:r>
          </w:p>
        </w:tc>
        <w:tc>
          <w:tcPr>
            <w:tcW w:w="8913" w:type="dxa"/>
            <w:tcBorders/>
            <w:shd w:fill="FFFFFF" w:val="clear"/>
            <w:tcMar>
              <w:bottom w:w="0" w:type="dxa"/>
            </w:tcMar>
            <w:vAlign w:val="center"/>
          </w:tcPr>
          <w:p>
            <w:pPr>
              <w:pStyle w:val="TableContents"/>
              <w:bidi w:val="0"/>
              <w:spacing w:before="0" w:after="283"/>
              <w:jc w:val="left"/>
              <w:rPr/>
            </w:pPr>
            <w:hyperlink w:anchor="ak_002">
              <w:r>
                <w:rPr>
                  <w:rStyle w:val="InternetLink"/>
                  <w:rFonts w:ascii="Times New Roman;Times;Serif" w:hAnsi="Times New Roman;Times;Serif"/>
                  <w:b w:val="false"/>
                  <w:i w:val="false"/>
                  <w:caps w:val="false"/>
                  <w:smallCaps w:val="false"/>
                  <w:sz w:val="20"/>
                </w:rPr>
                <w:t>Financial Statements</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13" w:type="dxa"/>
            <w:tcBorders/>
            <w:shd w:fill="CCEEFF" w:val="clear"/>
            <w:tcMar>
              <w:bottom w:w="0" w:type="dxa"/>
            </w:tcMar>
            <w:vAlign w:val="center"/>
          </w:tcPr>
          <w:p>
            <w:pPr>
              <w:pStyle w:val="TableContents"/>
              <w:bidi w:val="0"/>
              <w:spacing w:before="0" w:after="283"/>
              <w:jc w:val="left"/>
              <w:rPr/>
            </w:pPr>
            <w:hyperlink w:anchor="ak_003">
              <w:r>
                <w:rPr>
                  <w:rStyle w:val="InternetLink"/>
                  <w:rFonts w:ascii="Times New Roman;Times;Serif" w:hAnsi="Times New Roman;Times;Serif"/>
                  <w:b w:val="false"/>
                  <w:i w:val="false"/>
                  <w:caps w:val="false"/>
                  <w:smallCaps w:val="false"/>
                  <w:sz w:val="20"/>
                </w:rPr>
                <w:t>Condensed Consolidated Statements of Assets and Liabilities as of June 30, 2026 (Unaudited) and December 31, 2025</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13" w:type="dxa"/>
            <w:tcBorders/>
            <w:shd w:fill="FFFFFF" w:val="clear"/>
            <w:tcMar>
              <w:bottom w:w="0" w:type="dxa"/>
            </w:tcMar>
            <w:vAlign w:val="center"/>
          </w:tcPr>
          <w:p>
            <w:pPr>
              <w:pStyle w:val="TableContents"/>
              <w:bidi w:val="0"/>
              <w:spacing w:before="0" w:after="283"/>
              <w:jc w:val="left"/>
              <w:rPr/>
            </w:pPr>
            <w:hyperlink w:anchor="ak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 (Unaudited)</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13" w:type="dxa"/>
            <w:tcBorders/>
            <w:shd w:fill="CCEEFF" w:val="clear"/>
            <w:tcMar>
              <w:bottom w:w="0" w:type="dxa"/>
            </w:tcMar>
            <w:vAlign w:val="center"/>
          </w:tcPr>
          <w:p>
            <w:pPr>
              <w:pStyle w:val="TableContents"/>
              <w:bidi w:val="0"/>
              <w:spacing w:before="0" w:after="283"/>
              <w:jc w:val="left"/>
              <w:rPr/>
            </w:pPr>
            <w:hyperlink w:anchor="ak_005">
              <w:r>
                <w:rPr>
                  <w:rStyle w:val="InternetLink"/>
                  <w:rFonts w:ascii="Times New Roman;Times;Serif" w:hAnsi="Times New Roman;Times;Serif"/>
                  <w:b w:val="false"/>
                  <w:i w:val="false"/>
                  <w:caps w:val="false"/>
                  <w:smallCaps w:val="false"/>
                  <w:sz w:val="20"/>
                </w:rPr>
                <w:t>Condensed Consolidated Statements of Changes in Net Assets for the Six Months Ended June 30, 2026 and 2025 (Unaudited)</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13" w:type="dxa"/>
            <w:tcBorders/>
            <w:shd w:fill="FFFFFF" w:val="clear"/>
            <w:tcMar>
              <w:bottom w:w="0" w:type="dxa"/>
            </w:tcMar>
            <w:vAlign w:val="center"/>
          </w:tcPr>
          <w:p>
            <w:pPr>
              <w:pStyle w:val="TableContents"/>
              <w:bidi w:val="0"/>
              <w:spacing w:before="0" w:after="283"/>
              <w:jc w:val="left"/>
              <w:rPr/>
            </w:pPr>
            <w:hyperlink w:anchor="ak_006">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13" w:type="dxa"/>
            <w:tcBorders/>
            <w:shd w:fill="CCEEFF" w:val="clear"/>
            <w:tcMar>
              <w:bottom w:w="0" w:type="dxa"/>
            </w:tcMar>
            <w:vAlign w:val="center"/>
          </w:tcPr>
          <w:p>
            <w:pPr>
              <w:pStyle w:val="TableContents"/>
              <w:bidi w:val="0"/>
              <w:spacing w:before="0" w:after="283"/>
              <w:jc w:val="left"/>
              <w:rPr/>
            </w:pPr>
            <w:hyperlink w:anchor="ak_007">
              <w:r>
                <w:rPr>
                  <w:rStyle w:val="InternetLink"/>
                  <w:rFonts w:ascii="Times New Roman;Times;Serif" w:hAnsi="Times New Roman;Times;Serif"/>
                  <w:b w:val="false"/>
                  <w:i w:val="false"/>
                  <w:caps w:val="false"/>
                  <w:smallCaps w:val="false"/>
                  <w:sz w:val="20"/>
                </w:rPr>
                <w:t>Condensed Consolidated Schedule of Investments as of June 30, 2026 (Unaudited)</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13" w:type="dxa"/>
            <w:tcBorders/>
            <w:shd w:fill="FFFFFF" w:val="clear"/>
            <w:tcMar>
              <w:bottom w:w="0" w:type="dxa"/>
            </w:tcMar>
            <w:vAlign w:val="center"/>
          </w:tcPr>
          <w:p>
            <w:pPr>
              <w:pStyle w:val="TableContents"/>
              <w:bidi w:val="0"/>
              <w:spacing w:before="0" w:after="283"/>
              <w:jc w:val="left"/>
              <w:rPr/>
            </w:pPr>
            <w:hyperlink w:anchor="ak_008">
              <w:r>
                <w:rPr>
                  <w:rStyle w:val="InternetLink"/>
                  <w:rFonts w:ascii="Times New Roman;Times;Serif" w:hAnsi="Times New Roman;Times;Serif"/>
                  <w:b w:val="false"/>
                  <w:i w:val="false"/>
                  <w:caps w:val="false"/>
                  <w:smallCaps w:val="false"/>
                  <w:sz w:val="20"/>
                </w:rPr>
                <w:t>Condensed Consolidated Schedule of Investments as of December 31, 2025</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13" w:type="dxa"/>
            <w:tcBorders/>
            <w:shd w:fill="CCEEFF" w:val="clear"/>
            <w:tcMar>
              <w:bottom w:w="0" w:type="dxa"/>
            </w:tcMar>
            <w:vAlign w:val="center"/>
          </w:tcPr>
          <w:p>
            <w:pPr>
              <w:pStyle w:val="TableContents"/>
              <w:bidi w:val="0"/>
              <w:spacing w:before="0" w:after="283"/>
              <w:jc w:val="left"/>
              <w:rPr/>
            </w:pPr>
            <w:hyperlink w:anchor="ak_009">
              <w:r>
                <w:rPr>
                  <w:rStyle w:val="InternetLink"/>
                  <w:rFonts w:ascii="Times New Roman;Times;Serif" w:hAnsi="Times New Roman;Times;Serif"/>
                  <w:b w:val="false"/>
                  <w:i w:val="false"/>
                  <w:caps w:val="false"/>
                  <w:smallCaps w:val="false"/>
                  <w:sz w:val="20"/>
                </w:rPr>
                <w:t>Notes to Condensed Consolidated Financial Statements as of June 30, 2026 (Unaudited)</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 </w:t>
            </w:r>
          </w:p>
        </w:tc>
        <w:tc>
          <w:tcPr>
            <w:tcW w:w="8913" w:type="dxa"/>
            <w:tcBorders/>
            <w:shd w:fill="FFFFFF" w:val="clear"/>
            <w:tcMar>
              <w:bottom w:w="0" w:type="dxa"/>
            </w:tcMar>
            <w:vAlign w:val="center"/>
          </w:tcPr>
          <w:p>
            <w:pPr>
              <w:pStyle w:val="TableContents"/>
              <w:bidi w:val="0"/>
              <w:spacing w:before="0" w:after="283"/>
              <w:jc w:val="left"/>
              <w:rPr/>
            </w:pPr>
            <w:hyperlink w:anchor="px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3. </w:t>
            </w:r>
          </w:p>
        </w:tc>
        <w:tc>
          <w:tcPr>
            <w:tcW w:w="8913" w:type="dxa"/>
            <w:tcBorders/>
            <w:shd w:fill="CCEEFF" w:val="clear"/>
            <w:tcMar>
              <w:bottom w:w="0" w:type="dxa"/>
            </w:tcMar>
            <w:vAlign w:val="center"/>
          </w:tcPr>
          <w:p>
            <w:pPr>
              <w:pStyle w:val="TableContents"/>
              <w:bidi w:val="0"/>
              <w:spacing w:before="0" w:after="283"/>
              <w:jc w:val="left"/>
              <w:rPr/>
            </w:pPr>
            <w:hyperlink w:anchor="px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16" w:type="dxa"/>
            <w:tcBorders>
              <w:bottom w:val="single" w:sz="8" w:space="0" w:color="FFFFFF"/>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4. </w:t>
            </w:r>
          </w:p>
        </w:tc>
        <w:tc>
          <w:tcPr>
            <w:tcW w:w="8913" w:type="dxa"/>
            <w:tcBorders/>
            <w:shd w:fill="FFFFFF" w:val="clear"/>
            <w:tcMar>
              <w:bottom w:w="0" w:type="dxa"/>
            </w:tcMar>
            <w:vAlign w:val="center"/>
          </w:tcPr>
          <w:p>
            <w:pPr>
              <w:pStyle w:val="TableContents"/>
              <w:bidi w:val="0"/>
              <w:spacing w:before="0" w:after="283"/>
              <w:jc w:val="left"/>
              <w:rPr/>
            </w:pPr>
            <w:hyperlink w:anchor="px_003">
              <w:r>
                <w:rPr>
                  <w:rStyle w:val="InternetLink"/>
                  <w:rFonts w:ascii="Times New Roman;Times;Serif" w:hAnsi="Times New Roman;Times;Serif"/>
                  <w:b w:val="false"/>
                  <w:i w:val="false"/>
                  <w:caps w:val="false"/>
                  <w:smallCaps w:val="false"/>
                  <w:sz w:val="20"/>
                </w:rPr>
                <w:t>Controls and Procedures</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9629" w:type="dxa"/>
            <w:gridSpan w:val="2"/>
            <w:tcBorders/>
            <w:shd w:fill="CCEEFF" w:val="clear"/>
            <w:tcMar>
              <w:bottom w:w="0" w:type="dxa"/>
            </w:tcMar>
            <w:vAlign w:val="center"/>
          </w:tcPr>
          <w:p>
            <w:pPr>
              <w:pStyle w:val="TableContents"/>
              <w:bidi w:val="0"/>
              <w:spacing w:before="0" w:after="283"/>
              <w:jc w:val="left"/>
              <w:rPr/>
            </w:pPr>
            <w:hyperlink w:anchor="px_004">
              <w:r>
                <w:rPr>
                  <w:rStyle w:val="InternetLink"/>
                  <w:rFonts w:ascii="Times New Roman;Times;Serif" w:hAnsi="Times New Roman;Times;Serif"/>
                  <w:b/>
                  <w:i w:val="false"/>
                  <w:caps w:val="false"/>
                  <w:smallCaps w:val="false"/>
                  <w:sz w:val="20"/>
                </w:rPr>
                <w:t>PART II. OTHER INFORMATION</w:t>
              </w:r>
            </w:hyperlink>
          </w:p>
        </w:tc>
        <w:tc>
          <w:tcPr>
            <w:tcW w:w="5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 </w:t>
            </w:r>
          </w:p>
        </w:tc>
        <w:tc>
          <w:tcPr>
            <w:tcW w:w="8913" w:type="dxa"/>
            <w:tcBorders/>
            <w:shd w:fill="FFFFFF" w:val="clear"/>
            <w:tcMar>
              <w:bottom w:w="0" w:type="dxa"/>
            </w:tcMar>
            <w:vAlign w:val="center"/>
          </w:tcPr>
          <w:p>
            <w:pPr>
              <w:pStyle w:val="TableContents"/>
              <w:bidi w:val="0"/>
              <w:spacing w:before="0" w:after="283"/>
              <w:jc w:val="left"/>
              <w:rPr/>
            </w:pPr>
            <w:hyperlink w:anchor="px_005">
              <w:r>
                <w:rPr>
                  <w:rStyle w:val="InternetLink"/>
                  <w:rFonts w:ascii="Times New Roman;Times;Serif" w:hAnsi="Times New Roman;Times;Serif"/>
                  <w:b w:val="false"/>
                  <w:i w:val="false"/>
                  <w:caps w:val="false"/>
                  <w:smallCaps w:val="false"/>
                  <w:sz w:val="20"/>
                </w:rPr>
                <w:t>Legal Proceedings</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1A. </w:t>
            </w:r>
          </w:p>
        </w:tc>
        <w:tc>
          <w:tcPr>
            <w:tcW w:w="8913" w:type="dxa"/>
            <w:tcBorders/>
            <w:shd w:fill="CCEEFF" w:val="clear"/>
            <w:tcMar>
              <w:bottom w:w="0" w:type="dxa"/>
            </w:tcMar>
            <w:vAlign w:val="center"/>
          </w:tcPr>
          <w:p>
            <w:pPr>
              <w:pStyle w:val="TableContents"/>
              <w:bidi w:val="0"/>
              <w:spacing w:before="0" w:after="283"/>
              <w:jc w:val="left"/>
              <w:rPr/>
            </w:pPr>
            <w:hyperlink w:anchor="px_006">
              <w:r>
                <w:rPr>
                  <w:rStyle w:val="InternetLink"/>
                  <w:rFonts w:ascii="Times New Roman;Times;Serif" w:hAnsi="Times New Roman;Times;Serif"/>
                  <w:b w:val="false"/>
                  <w:i w:val="false"/>
                  <w:caps w:val="false"/>
                  <w:smallCaps w:val="false"/>
                  <w:sz w:val="20"/>
                </w:rPr>
                <w:t>Risk Factors</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 </w:t>
            </w:r>
          </w:p>
        </w:tc>
        <w:tc>
          <w:tcPr>
            <w:tcW w:w="8913" w:type="dxa"/>
            <w:tcBorders/>
            <w:shd w:fill="FFFFFF" w:val="clear"/>
            <w:tcMar>
              <w:bottom w:w="0" w:type="dxa"/>
            </w:tcMar>
            <w:vAlign w:val="center"/>
          </w:tcPr>
          <w:p>
            <w:pPr>
              <w:pStyle w:val="TableContents"/>
              <w:bidi w:val="0"/>
              <w:spacing w:before="0" w:after="283"/>
              <w:jc w:val="left"/>
              <w:rPr/>
            </w:pPr>
            <w:hyperlink w:anchor="px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3. </w:t>
            </w:r>
          </w:p>
        </w:tc>
        <w:tc>
          <w:tcPr>
            <w:tcW w:w="8913" w:type="dxa"/>
            <w:tcBorders/>
            <w:shd w:fill="CCEEFF" w:val="clear"/>
            <w:tcMar>
              <w:bottom w:w="0" w:type="dxa"/>
            </w:tcMar>
            <w:vAlign w:val="center"/>
          </w:tcPr>
          <w:p>
            <w:pPr>
              <w:pStyle w:val="TableContents"/>
              <w:bidi w:val="0"/>
              <w:spacing w:before="0" w:after="283"/>
              <w:jc w:val="left"/>
              <w:rPr/>
            </w:pPr>
            <w:hyperlink w:anchor="px_008">
              <w:r>
                <w:rPr>
                  <w:rStyle w:val="InternetLink"/>
                  <w:rFonts w:ascii="Times New Roman;Times;Serif" w:hAnsi="Times New Roman;Times;Serif"/>
                  <w:b w:val="false"/>
                  <w:i w:val="false"/>
                  <w:caps w:val="false"/>
                  <w:smallCaps w:val="false"/>
                  <w:sz w:val="20"/>
                </w:rPr>
                <w:t>Defaults Upon Senior Securities</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4. </w:t>
            </w:r>
          </w:p>
        </w:tc>
        <w:tc>
          <w:tcPr>
            <w:tcW w:w="8913" w:type="dxa"/>
            <w:tcBorders/>
            <w:shd w:fill="FFFFFF" w:val="clear"/>
            <w:tcMar>
              <w:bottom w:w="0" w:type="dxa"/>
            </w:tcMar>
            <w:vAlign w:val="center"/>
          </w:tcPr>
          <w:p>
            <w:pPr>
              <w:pStyle w:val="TableContents"/>
              <w:bidi w:val="0"/>
              <w:spacing w:before="0" w:after="283"/>
              <w:jc w:val="left"/>
              <w:rPr/>
            </w:pPr>
            <w:hyperlink w:anchor="px_009">
              <w:r>
                <w:rPr>
                  <w:rStyle w:val="InternetLink"/>
                  <w:rFonts w:ascii="Times New Roman;Times;Serif" w:hAnsi="Times New Roman;Times;Serif"/>
                  <w:b w:val="false"/>
                  <w:i w:val="false"/>
                  <w:caps w:val="false"/>
                  <w:smallCaps w:val="false"/>
                  <w:sz w:val="20"/>
                </w:rPr>
                <w:t>Mine Safety Disclosures</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5. </w:t>
            </w:r>
          </w:p>
        </w:tc>
        <w:tc>
          <w:tcPr>
            <w:tcW w:w="8913" w:type="dxa"/>
            <w:tcBorders/>
            <w:shd w:fill="CCEEFF" w:val="clear"/>
            <w:tcMar>
              <w:bottom w:w="0" w:type="dxa"/>
            </w:tcMar>
            <w:vAlign w:val="center"/>
          </w:tcPr>
          <w:p>
            <w:pPr>
              <w:pStyle w:val="TableContents"/>
              <w:bidi w:val="0"/>
              <w:spacing w:before="0" w:after="283"/>
              <w:jc w:val="left"/>
              <w:rPr/>
            </w:pPr>
            <w:hyperlink w:anchor="px_010">
              <w:r>
                <w:rPr>
                  <w:rStyle w:val="InternetLink"/>
                  <w:rFonts w:ascii="Times New Roman;Times;Serif" w:hAnsi="Times New Roman;Times;Serif"/>
                  <w:b w:val="false"/>
                  <w:i w:val="false"/>
                  <w:caps w:val="false"/>
                  <w:smallCaps w:val="false"/>
                  <w:sz w:val="20"/>
                </w:rPr>
                <w:t>Other Information</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6. </w:t>
            </w:r>
          </w:p>
        </w:tc>
        <w:tc>
          <w:tcPr>
            <w:tcW w:w="8913" w:type="dxa"/>
            <w:tcBorders/>
            <w:shd w:fill="FFFFFF" w:val="clear"/>
            <w:tcMar>
              <w:bottom w:w="0" w:type="dxa"/>
            </w:tcMar>
            <w:vAlign w:val="center"/>
          </w:tcPr>
          <w:p>
            <w:pPr>
              <w:pStyle w:val="TableContents"/>
              <w:bidi w:val="0"/>
              <w:spacing w:before="0" w:after="283"/>
              <w:jc w:val="left"/>
              <w:rPr/>
            </w:pPr>
            <w:hyperlink w:anchor="px_011">
              <w:r>
                <w:rPr>
                  <w:rStyle w:val="InternetLink"/>
                  <w:rFonts w:ascii="Times New Roman;Times;Serif" w:hAnsi="Times New Roman;Times;Serif"/>
                  <w:b w:val="false"/>
                  <w:i w:val="false"/>
                  <w:caps w:val="false"/>
                  <w:smallCaps w:val="false"/>
                  <w:sz w:val="20"/>
                </w:rPr>
                <w:t>Exhibits</w:t>
              </w:r>
            </w:hyperlink>
          </w:p>
        </w:tc>
        <w:tc>
          <w:tcPr>
            <w:tcW w:w="5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629" w:type="dxa"/>
            <w:gridSpan w:val="2"/>
            <w:tcBorders/>
            <w:shd w:fill="CCEEFF" w:val="clear"/>
            <w:tcMar>
              <w:bottom w:w="0" w:type="dxa"/>
            </w:tcMar>
            <w:vAlign w:val="center"/>
          </w:tcPr>
          <w:p>
            <w:pPr>
              <w:pStyle w:val="TableContents"/>
              <w:bidi w:val="0"/>
              <w:spacing w:before="0" w:after="283"/>
              <w:jc w:val="left"/>
              <w:rPr/>
            </w:pPr>
            <w:hyperlink w:anchor="px_012">
              <w:r>
                <w:rPr>
                  <w:rStyle w:val="InternetLink"/>
                  <w:rFonts w:ascii="Times New Roman;Times;Serif" w:hAnsi="Times New Roman;Times;Serif"/>
                  <w:b w:val="false"/>
                  <w:i w:val="false"/>
                  <w:caps w:val="false"/>
                  <w:smallCaps w:val="false"/>
                  <w:sz w:val="20"/>
                </w:rPr>
                <w:t>Signatures</w:t>
              </w:r>
            </w:hyperlink>
          </w:p>
        </w:tc>
        <w:tc>
          <w:tcPr>
            <w:tcW w:w="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ak_001"/>
      <w:bookmarkEnd w:id="33"/>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34" w:name="ak_002"/>
      <w:bookmarkEnd w:id="34"/>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ak_003"/>
      <w:bookmarkEnd w:id="35"/>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ASSETS AND LIABILITIES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3_111_zHG2br8XcCCl"/>
      <w:bookmarkStart w:id="37" w:name="xdx_303_111_zHG2br8XcCCl"/>
      <w:bookmarkEnd w:id="37"/>
    </w:p>
    <w:tbl>
      <w:tblPr>
        <w:tblW w:w="10205" w:type="dxa"/>
        <w:jc w:val="left"/>
        <w:tblInd w:w="0" w:type="dxa"/>
        <w:tblLayout w:type="fixed"/>
        <w:tblCellMar>
          <w:top w:w="0" w:type="dxa"/>
          <w:left w:w="0" w:type="dxa"/>
          <w:bottom w:w="0" w:type="dxa"/>
          <w:right w:w="0" w:type="dxa"/>
        </w:tblCellMar>
      </w:tblPr>
      <w:tblGrid>
        <w:gridCol w:w="5640"/>
        <w:gridCol w:w="60"/>
        <w:gridCol w:w="222"/>
        <w:gridCol w:w="1938"/>
        <w:gridCol w:w="95"/>
        <w:gridCol w:w="60"/>
        <w:gridCol w:w="213"/>
        <w:gridCol w:w="1865"/>
        <w:gridCol w:w="112"/>
      </w:tblGrid>
      <w:tr>
        <w:trPr/>
        <w:tc>
          <w:tcPr>
            <w:tcW w:w="5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 w:name="xdx_496_20260630_zk5cVhKGvfn6"/>
            <w:bookmarkEnd w:id="38"/>
          </w:p>
        </w:tc>
        <w:tc>
          <w:tcPr>
            <w:tcW w:w="2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 w:name="xdx_493_20251231_zDP0OVPd2zvk"/>
            <w:bookmarkEnd w:id="39"/>
          </w:p>
        </w:tc>
        <w:tc>
          <w:tcPr>
            <w:tcW w:w="20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 (AUDITED)</w:t>
            </w:r>
          </w:p>
        </w:tc>
        <w:tc>
          <w:tcPr>
            <w:tcW w:w="112" w:type="dxa"/>
            <w:tcBorders/>
            <w:vAlign w:val="center"/>
          </w:tcPr>
          <w:p>
            <w:pPr>
              <w:pStyle w:val="TableContents"/>
              <w:bidi w:val="0"/>
              <w:spacing w:before="0" w:after="283"/>
              <w:jc w:val="left"/>
              <w:rPr/>
            </w:pPr>
            <w:r>
              <w:rPr/>
              <w:t> </w:t>
            </w:r>
            <w:bookmarkStart w:id="40" w:name="xdx_40F_eus-gaap--AssetsAbstract_iB_z9vG"/>
            <w:bookmarkEnd w:id="40"/>
          </w:p>
        </w:tc>
      </w:tr>
      <w:tr>
        <w:trPr/>
        <w:tc>
          <w:tcPr>
            <w:tcW w:w="56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1" w:name="xdx_406_eus-gaap--InvestmentOwnedBalance"/>
            <w:bookmarkEnd w:id="41"/>
          </w:p>
        </w:tc>
      </w:tr>
      <w:tr>
        <w:trPr/>
        <w:tc>
          <w:tcPr>
            <w:tcW w:w="5640" w:type="dxa"/>
            <w:tcBorders/>
            <w:shd w:fill="FFFFFF" w:val="clear"/>
            <w:vAlign w:val="center"/>
          </w:tcPr>
          <w:p>
            <w:pPr>
              <w:pStyle w:val="TableContents"/>
              <w:bidi w:val="0"/>
              <w:spacing w:before="0" w:after="283"/>
              <w:jc w:val="left"/>
              <w:rPr/>
            </w:pPr>
            <w:r>
              <w:rPr/>
              <w:t>Investments at fair value: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2" w:name="xdx_40B_eus-gaap--InvestmentOwnedAtFairV"/>
            <w:bookmarkEnd w:id="42"/>
          </w:p>
        </w:tc>
      </w:tr>
      <w:tr>
        <w:trPr/>
        <w:tc>
          <w:tcPr>
            <w:tcW w:w="5640" w:type="dxa"/>
            <w:tcBorders/>
            <w:shd w:fill="CCEEFF" w:val="clear"/>
            <w:vAlign w:val="center"/>
          </w:tcPr>
          <w:p>
            <w:pPr>
              <w:pStyle w:val="TableContents"/>
              <w:bidi w:val="0"/>
              <w:spacing w:before="0" w:after="283"/>
              <w:jc w:val="left"/>
              <w:rPr/>
            </w:pPr>
            <w:r>
              <w:rPr/>
              <w:t>Non-controlled/non-affiliate investments (cost of $</w:t>
            </w:r>
            <w:bookmarkStart w:id="43" w:name="xdx_90C_eus-gaap--InvestmentOwnedAtCost_"/>
            <w:bookmarkEnd w:id="43"/>
            <w:r>
              <w:rPr/>
              <w:t>241,230,810 and $</w:t>
            </w:r>
            <w:bookmarkStart w:id="44" w:name="xdx_909_eus-gaap--InvestmentOwnedAtCost_"/>
            <w:bookmarkEnd w:id="44"/>
            <w:r>
              <w:rPr/>
              <w:t>219,216,145, respectively)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938" w:type="dxa"/>
            <w:tcBorders/>
            <w:shd w:fill="CCEEFF" w:val="clear"/>
            <w:vAlign w:val="center"/>
          </w:tcPr>
          <w:p>
            <w:pPr>
              <w:pStyle w:val="TableContents"/>
              <w:bidi w:val="0"/>
              <w:spacing w:before="0" w:after="283"/>
              <w:jc w:val="right"/>
              <w:rPr/>
            </w:pPr>
            <w:r>
              <w:rPr/>
              <w:t>397,381,734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217,304,138</w:t>
            </w:r>
          </w:p>
        </w:tc>
        <w:tc>
          <w:tcPr>
            <w:tcW w:w="112" w:type="dxa"/>
            <w:tcBorders/>
            <w:shd w:fill="CCEEFF" w:val="clear"/>
            <w:vAlign w:val="center"/>
          </w:tcPr>
          <w:p>
            <w:pPr>
              <w:pStyle w:val="TableContents"/>
              <w:bidi w:val="0"/>
              <w:spacing w:before="0" w:after="283"/>
              <w:jc w:val="left"/>
              <w:rPr/>
            </w:pPr>
            <w:r>
              <w:rPr/>
              <w:t> </w:t>
            </w:r>
            <w:bookmarkStart w:id="45" w:name="xdx_40F_eus-gaap--InvestmentOwnedAtFairV"/>
            <w:bookmarkEnd w:id="45"/>
          </w:p>
        </w:tc>
      </w:tr>
      <w:tr>
        <w:trPr/>
        <w:tc>
          <w:tcPr>
            <w:tcW w:w="5640" w:type="dxa"/>
            <w:tcBorders/>
            <w:shd w:fill="FFFFFF" w:val="clear"/>
            <w:vAlign w:val="center"/>
          </w:tcPr>
          <w:p>
            <w:pPr>
              <w:pStyle w:val="TableContents"/>
              <w:bidi w:val="0"/>
              <w:spacing w:before="0" w:after="283"/>
              <w:jc w:val="left"/>
              <w:rPr/>
            </w:pPr>
            <w:r>
              <w:rPr/>
              <w:t>Non-controlled/affiliate investments (cost of $</w:t>
            </w:r>
            <w:bookmarkStart w:id="46" w:name="xdx_903_eus-gaap--InvestmentOwnedAtCost_"/>
            <w:bookmarkEnd w:id="46"/>
            <w:r>
              <w:rPr/>
              <w:t>21,609,640 and $</w:t>
            </w:r>
            <w:bookmarkStart w:id="47" w:name="xdx_901_eus-gaap--InvestmentOwnedAtCost_"/>
            <w:bookmarkEnd w:id="47"/>
            <w:r>
              <w:rPr/>
              <w:t>21,609,640, respectively)</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pPr>
            <w:r>
              <w:rPr/>
              <w:t>8,469,967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jc w:val="right"/>
              <w:rPr/>
            </w:pPr>
            <w:r>
              <w:rPr/>
              <w:t>8,207,367</w:t>
            </w:r>
          </w:p>
        </w:tc>
        <w:tc>
          <w:tcPr>
            <w:tcW w:w="112" w:type="dxa"/>
            <w:tcBorders/>
            <w:shd w:fill="FFFFFF" w:val="clear"/>
            <w:vAlign w:val="center"/>
          </w:tcPr>
          <w:p>
            <w:pPr>
              <w:pStyle w:val="TableContents"/>
              <w:bidi w:val="0"/>
              <w:spacing w:before="0" w:after="283"/>
              <w:jc w:val="left"/>
              <w:rPr/>
            </w:pPr>
            <w:r>
              <w:rPr/>
              <w:t> </w:t>
            </w:r>
            <w:bookmarkStart w:id="48" w:name="xdx_40A_eus-gaap--InvestmentOwnedAtFairV"/>
            <w:bookmarkEnd w:id="48"/>
          </w:p>
        </w:tc>
      </w:tr>
      <w:tr>
        <w:trPr/>
        <w:tc>
          <w:tcPr>
            <w:tcW w:w="5640" w:type="dxa"/>
            <w:tcBorders/>
            <w:shd w:fill="CCEEFF" w:val="clear"/>
            <w:vAlign w:val="center"/>
          </w:tcPr>
          <w:p>
            <w:pPr>
              <w:pStyle w:val="TableContents"/>
              <w:bidi w:val="0"/>
              <w:spacing w:before="0" w:after="283"/>
              <w:jc w:val="left"/>
              <w:rPr/>
            </w:pPr>
            <w:r>
              <w:rPr/>
              <w:t>Total Investments (cost of $</w:t>
            </w:r>
            <w:bookmarkStart w:id="49" w:name="xdx_90F_eus-gaap--InvestmentOwnedAtCost_"/>
            <w:bookmarkEnd w:id="49"/>
            <w:r>
              <w:rPr/>
              <w:t>262,840,450 and $</w:t>
            </w:r>
            <w:bookmarkStart w:id="50" w:name="xdx_906_eus-gaap--InvestmentOwnedAtCost_"/>
            <w:bookmarkEnd w:id="50"/>
            <w:r>
              <w:rPr/>
              <w:t>240,825,785, respectively)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405,851,701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225,511,505</w:t>
            </w:r>
          </w:p>
        </w:tc>
        <w:tc>
          <w:tcPr>
            <w:tcW w:w="112" w:type="dxa"/>
            <w:tcBorders/>
            <w:shd w:fill="CCEEFF" w:val="clear"/>
            <w:vAlign w:val="center"/>
          </w:tcPr>
          <w:p>
            <w:pPr>
              <w:pStyle w:val="TableContents"/>
              <w:bidi w:val="0"/>
              <w:spacing w:before="0" w:after="283"/>
              <w:jc w:val="left"/>
              <w:rPr/>
            </w:pPr>
            <w:r>
              <w:rPr/>
              <w:t> </w:t>
            </w:r>
            <w:bookmarkStart w:id="51" w:name="xdx_40E_eus-gaap--InvestmentOwnedAtFairV"/>
            <w:bookmarkEnd w:id="51"/>
          </w:p>
        </w:tc>
      </w:tr>
      <w:tr>
        <w:trPr/>
        <w:tc>
          <w:tcPr>
            <w:tcW w:w="5640" w:type="dxa"/>
            <w:tcBorders/>
            <w:shd w:fill="CCEEFF" w:val="clear"/>
            <w:vAlign w:val="center"/>
          </w:tcPr>
          <w:p>
            <w:pPr>
              <w:pStyle w:val="TableContents"/>
              <w:bidi w:val="0"/>
              <w:spacing w:before="0" w:after="283"/>
              <w:jc w:val="left"/>
              <w:rPr/>
            </w:pPr>
            <w:r>
              <w:rPr/>
              <w:t>Investments at fair value</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405,851,701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225,511,505</w:t>
            </w:r>
          </w:p>
        </w:tc>
        <w:tc>
          <w:tcPr>
            <w:tcW w:w="112" w:type="dxa"/>
            <w:tcBorders/>
            <w:shd w:fill="CCEEFF" w:val="clear"/>
            <w:vAlign w:val="center"/>
          </w:tcPr>
          <w:p>
            <w:pPr>
              <w:pStyle w:val="TableContents"/>
              <w:bidi w:val="0"/>
              <w:spacing w:before="0" w:after="283"/>
              <w:jc w:val="left"/>
              <w:rPr/>
            </w:pPr>
            <w:r>
              <w:rPr/>
              <w:t> </w:t>
            </w:r>
            <w:bookmarkStart w:id="52" w:name="xdx_402_eus-gaap--Cash_i01I_maAzAKQ_zbLj"/>
            <w:bookmarkEnd w:id="52"/>
          </w:p>
        </w:tc>
      </w:tr>
      <w:tr>
        <w:trPr/>
        <w:tc>
          <w:tcPr>
            <w:tcW w:w="564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12,940,740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49,034,154</w:t>
            </w:r>
          </w:p>
        </w:tc>
        <w:tc>
          <w:tcPr>
            <w:tcW w:w="112" w:type="dxa"/>
            <w:tcBorders/>
            <w:shd w:fill="FFFFFF" w:val="clear"/>
            <w:vAlign w:val="center"/>
          </w:tcPr>
          <w:p>
            <w:pPr>
              <w:pStyle w:val="TableContents"/>
              <w:bidi w:val="0"/>
              <w:spacing w:before="0" w:after="283"/>
              <w:jc w:val="left"/>
              <w:rPr/>
            </w:pPr>
            <w:r>
              <w:rPr/>
              <w:t> </w:t>
            </w:r>
            <w:bookmarkStart w:id="53" w:name="xdx_400_eus-gaap--RestrictedCashCurrent_"/>
            <w:bookmarkEnd w:id="53"/>
          </w:p>
        </w:tc>
      </w:tr>
      <w:tr>
        <w:trPr/>
        <w:tc>
          <w:tcPr>
            <w:tcW w:w="564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38,741</w:t>
            </w:r>
          </w:p>
        </w:tc>
        <w:tc>
          <w:tcPr>
            <w:tcW w:w="112" w:type="dxa"/>
            <w:tcBorders/>
            <w:shd w:fill="CCEEFF" w:val="clear"/>
            <w:vAlign w:val="center"/>
          </w:tcPr>
          <w:p>
            <w:pPr>
              <w:pStyle w:val="TableContents"/>
              <w:bidi w:val="0"/>
              <w:spacing w:before="0" w:after="283"/>
              <w:jc w:val="left"/>
              <w:rPr/>
            </w:pPr>
            <w:r>
              <w:rPr/>
              <w:t> </w:t>
            </w:r>
            <w:bookmarkStart w:id="54" w:name="xdx_40E_ecustom--InterestAndDividendsRec"/>
            <w:bookmarkEnd w:id="54"/>
          </w:p>
        </w:tc>
      </w:tr>
      <w:tr>
        <w:trPr/>
        <w:tc>
          <w:tcPr>
            <w:tcW w:w="5640" w:type="dxa"/>
            <w:tcBorders/>
            <w:shd w:fill="FFFFFF" w:val="clear"/>
            <w:vAlign w:val="center"/>
          </w:tcPr>
          <w:p>
            <w:pPr>
              <w:pStyle w:val="TableContents"/>
              <w:bidi w:val="0"/>
              <w:spacing w:before="0" w:after="283"/>
              <w:jc w:val="left"/>
              <w:rPr/>
            </w:pPr>
            <w:r>
              <w:rPr/>
              <w:t>Interest and dividends receivable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133,862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118,710</w:t>
            </w:r>
          </w:p>
        </w:tc>
        <w:tc>
          <w:tcPr>
            <w:tcW w:w="112" w:type="dxa"/>
            <w:tcBorders/>
            <w:shd w:fill="FFFFFF" w:val="clear"/>
            <w:vAlign w:val="center"/>
          </w:tcPr>
          <w:p>
            <w:pPr>
              <w:pStyle w:val="TableContents"/>
              <w:bidi w:val="0"/>
              <w:spacing w:before="0" w:after="283"/>
              <w:jc w:val="left"/>
              <w:rPr/>
            </w:pPr>
            <w:r>
              <w:rPr/>
              <w:t> </w:t>
            </w:r>
            <w:bookmarkStart w:id="55" w:name="xdx_406_eus-gaap--DeferredCostsCurrentAn"/>
            <w:bookmarkEnd w:id="55"/>
          </w:p>
        </w:tc>
      </w:tr>
      <w:tr>
        <w:trPr/>
        <w:tc>
          <w:tcPr>
            <w:tcW w:w="5640" w:type="dxa"/>
            <w:tcBorders/>
            <w:shd w:fill="CCEEFF" w:val="clear"/>
            <w:vAlign w:val="center"/>
          </w:tcPr>
          <w:p>
            <w:pPr>
              <w:pStyle w:val="TableContents"/>
              <w:bidi w:val="0"/>
              <w:spacing w:before="0" w:after="283"/>
              <w:jc w:val="left"/>
              <w:rPr/>
            </w:pPr>
            <w:r>
              <w:rPr/>
              <w:t>Deferred financing costs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578,102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508,310</w:t>
            </w:r>
          </w:p>
        </w:tc>
        <w:tc>
          <w:tcPr>
            <w:tcW w:w="112" w:type="dxa"/>
            <w:tcBorders/>
            <w:shd w:fill="CCEEFF" w:val="clear"/>
            <w:vAlign w:val="center"/>
          </w:tcPr>
          <w:p>
            <w:pPr>
              <w:pStyle w:val="TableContents"/>
              <w:bidi w:val="0"/>
              <w:spacing w:before="0" w:after="283"/>
              <w:jc w:val="left"/>
              <w:rPr/>
            </w:pPr>
            <w:r>
              <w:rPr/>
              <w:t> </w:t>
            </w:r>
            <w:bookmarkStart w:id="56" w:name="xdx_40C_eus-gaap--PrepaidExpenseAndOther"/>
            <w:bookmarkEnd w:id="56"/>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bookmarkStart w:id="57" w:name="xdx_F48_zAlSFFxIh0Cc"/>
            <w:bookmarkEnd w:id="57"/>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pPr>
            <w:r>
              <w:rPr/>
              <w:t>619,869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jc w:val="right"/>
              <w:rPr/>
            </w:pPr>
            <w:r>
              <w:rPr/>
              <w:t>807,302</w:t>
            </w:r>
          </w:p>
        </w:tc>
        <w:tc>
          <w:tcPr>
            <w:tcW w:w="112" w:type="dxa"/>
            <w:tcBorders/>
            <w:shd w:fill="FFFFFF" w:val="clear"/>
            <w:vAlign w:val="center"/>
          </w:tcPr>
          <w:p>
            <w:pPr>
              <w:pStyle w:val="TableContents"/>
              <w:bidi w:val="0"/>
              <w:spacing w:before="0" w:after="283"/>
              <w:jc w:val="left"/>
              <w:rPr/>
            </w:pPr>
            <w:r>
              <w:rPr/>
              <w:t> </w:t>
            </w:r>
            <w:bookmarkStart w:id="58" w:name="xdx_409_eus-gaap--Assets_i01TI_mtAzAKQ_m"/>
            <w:bookmarkEnd w:id="58"/>
          </w:p>
        </w:tc>
      </w:tr>
      <w:tr>
        <w:trPr/>
        <w:tc>
          <w:tcPr>
            <w:tcW w:w="564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38" w:type="dxa"/>
            <w:tcBorders>
              <w:bottom w:val="single" w:sz="8" w:space="0" w:color="000000"/>
            </w:tcBorders>
            <w:shd w:fill="CCEEFF" w:val="clear"/>
            <w:tcMar>
              <w:bottom w:w="28" w:type="dxa"/>
            </w:tcMar>
            <w:vAlign w:val="center"/>
          </w:tcPr>
          <w:p>
            <w:pPr>
              <w:pStyle w:val="TableContents"/>
              <w:bidi w:val="0"/>
              <w:spacing w:before="0" w:after="283"/>
              <w:jc w:val="right"/>
              <w:rPr/>
            </w:pPr>
            <w:r>
              <w:rPr/>
              <w:t>420,124,274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5" w:type="dxa"/>
            <w:tcBorders>
              <w:bottom w:val="single" w:sz="8" w:space="0" w:color="000000"/>
            </w:tcBorders>
            <w:shd w:fill="CCEEFF" w:val="clear"/>
            <w:tcMar>
              <w:bottom w:w="28" w:type="dxa"/>
            </w:tcMar>
            <w:vAlign w:val="center"/>
          </w:tcPr>
          <w:p>
            <w:pPr>
              <w:pStyle w:val="TableContents"/>
              <w:bidi w:val="0"/>
              <w:spacing w:before="0" w:after="283"/>
              <w:jc w:val="right"/>
              <w:rPr/>
            </w:pPr>
            <w:r>
              <w:rPr/>
              <w:t>276,018,722</w:t>
            </w:r>
          </w:p>
        </w:tc>
        <w:tc>
          <w:tcPr>
            <w:tcW w:w="112" w:type="dxa"/>
            <w:tcBorders/>
            <w:shd w:fill="CCEEFF" w:val="clear"/>
            <w:vAlign w:val="center"/>
          </w:tcPr>
          <w:p>
            <w:pPr>
              <w:pStyle w:val="TableContents"/>
              <w:bidi w:val="0"/>
              <w:spacing w:before="0" w:after="283"/>
              <w:jc w:val="left"/>
              <w:rPr/>
            </w:pPr>
            <w:r>
              <w:rPr/>
              <w:t> </w:t>
            </w:r>
            <w:bookmarkStart w:id="59" w:name="xdx_407_eus-gaap--LiabilitiesAbstract_iB"/>
            <w:bookmarkEnd w:id="59"/>
          </w:p>
        </w:tc>
      </w:tr>
      <w:tr>
        <w:trPr/>
        <w:tc>
          <w:tcPr>
            <w:tcW w:w="564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0" w:name="xdx_402_eus-gaap--NotesPayable_i01I_maLz"/>
            <w:bookmarkEnd w:id="60"/>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 Notes due December 30, 2026</w:t>
            </w:r>
            <w:bookmarkStart w:id="61" w:name="xdx_F4A_zjvMSzymjich"/>
            <w:bookmarkEnd w:id="61"/>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35,735,465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35,642,149</w:t>
            </w:r>
          </w:p>
        </w:tc>
        <w:tc>
          <w:tcPr>
            <w:tcW w:w="112" w:type="dxa"/>
            <w:tcBorders/>
            <w:shd w:fill="CCEEFF" w:val="clear"/>
            <w:vAlign w:val="center"/>
          </w:tcPr>
          <w:p>
            <w:pPr>
              <w:pStyle w:val="TableContents"/>
              <w:bidi w:val="0"/>
              <w:spacing w:before="0" w:after="283"/>
              <w:jc w:val="left"/>
              <w:rPr/>
            </w:pPr>
            <w:r>
              <w:rPr/>
              <w:t> </w:t>
            </w:r>
            <w:bookmarkStart w:id="62" w:name="xdx_400_ecustom--ConvertibleNotes_i01I_m"/>
            <w:bookmarkEnd w:id="62"/>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6.50% Convertible Notes due August 14, 2029</w:t>
            </w:r>
            <w:bookmarkStart w:id="63" w:name="xdx_F40_zVk7kYkHUHPc"/>
            <w:bookmarkEnd w:id="63"/>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26,421,748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34,131,509</w:t>
            </w:r>
          </w:p>
        </w:tc>
        <w:tc>
          <w:tcPr>
            <w:tcW w:w="112" w:type="dxa"/>
            <w:tcBorders/>
            <w:shd w:fill="FFFFFF" w:val="clear"/>
            <w:vAlign w:val="center"/>
          </w:tcPr>
          <w:p>
            <w:pPr>
              <w:pStyle w:val="TableContents"/>
              <w:bidi w:val="0"/>
              <w:spacing w:before="0" w:after="283"/>
              <w:jc w:val="left"/>
              <w:rPr/>
            </w:pPr>
            <w:r>
              <w:rPr/>
              <w:t> </w:t>
            </w:r>
            <w:bookmarkStart w:id="64" w:name="xdx_40E_eus-gaap--AccountsPayableAndAccr"/>
            <w:bookmarkEnd w:id="64"/>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w:t>
            </w:r>
            <w:bookmarkStart w:id="65" w:name="xdx_F43_zJnZ1iwDuc5j"/>
            <w:bookmarkEnd w:id="65"/>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2,110,075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627,522</w:t>
            </w:r>
          </w:p>
        </w:tc>
        <w:tc>
          <w:tcPr>
            <w:tcW w:w="112" w:type="dxa"/>
            <w:tcBorders/>
            <w:shd w:fill="CCEEFF" w:val="clear"/>
            <w:vAlign w:val="center"/>
          </w:tcPr>
          <w:p>
            <w:pPr>
              <w:pStyle w:val="TableContents"/>
              <w:bidi w:val="0"/>
              <w:spacing w:before="0" w:after="283"/>
              <w:jc w:val="left"/>
              <w:rPr/>
            </w:pPr>
            <w:r>
              <w:rPr/>
              <w:t> </w:t>
            </w:r>
            <w:bookmarkStart w:id="66" w:name="xdx_409_eus-gaap--DividendsPayableCurren"/>
            <w:bookmarkEnd w:id="66"/>
          </w:p>
        </w:tc>
      </w:tr>
      <w:tr>
        <w:trPr/>
        <w:tc>
          <w:tcPr>
            <w:tcW w:w="5640" w:type="dxa"/>
            <w:tcBorders/>
            <w:shd w:fill="FFFFFF" w:val="clear"/>
            <w:vAlign w:val="center"/>
          </w:tcPr>
          <w:p>
            <w:pPr>
              <w:pStyle w:val="TableContents"/>
              <w:bidi w:val="0"/>
              <w:spacing w:before="0" w:after="283"/>
              <w:jc w:val="left"/>
              <w:rPr/>
            </w:pPr>
            <w:r>
              <w:rPr/>
              <w:t>Dividends payable</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jc w:val="right"/>
              <w:rPr/>
            </w:pPr>
            <w:r>
              <w:rPr/>
              <w:t>301,291</w:t>
            </w:r>
          </w:p>
        </w:tc>
        <w:tc>
          <w:tcPr>
            <w:tcW w:w="112" w:type="dxa"/>
            <w:tcBorders/>
            <w:shd w:fill="FFFFFF" w:val="clear"/>
            <w:vAlign w:val="center"/>
          </w:tcPr>
          <w:p>
            <w:pPr>
              <w:pStyle w:val="TableContents"/>
              <w:bidi w:val="0"/>
              <w:spacing w:before="0" w:after="283"/>
              <w:jc w:val="left"/>
              <w:rPr/>
            </w:pPr>
            <w:r>
              <w:rPr/>
              <w:t> </w:t>
            </w:r>
            <w:bookmarkStart w:id="67" w:name="xdx_40D_eus-gaap--Liabilities_i01TI_msAN"/>
            <w:bookmarkEnd w:id="67"/>
          </w:p>
        </w:tc>
      </w:tr>
      <w:tr>
        <w:trPr/>
        <w:tc>
          <w:tcPr>
            <w:tcW w:w="564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64,267,288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70,702,471</w:t>
            </w:r>
          </w:p>
        </w:tc>
        <w:tc>
          <w:tcPr>
            <w:tcW w:w="112" w:type="dxa"/>
            <w:tcBorders/>
            <w:shd w:fill="CCEEFF" w:val="clear"/>
            <w:vAlign w:val="center"/>
          </w:tcPr>
          <w:p>
            <w:pPr>
              <w:pStyle w:val="TableContents"/>
              <w:bidi w:val="0"/>
              <w:spacing w:before="0" w:after="283"/>
              <w:jc w:val="left"/>
              <w:rPr/>
            </w:pPr>
            <w:r>
              <w:rPr/>
              <w:t> </w:t>
            </w:r>
            <w:bookmarkStart w:id="68" w:name="xdx_40D_eus-gaap--CommitmentsAndContinge"/>
            <w:bookmarkEnd w:id="68"/>
          </w:p>
        </w:tc>
      </w:tr>
      <w:tr>
        <w:trPr/>
        <w:tc>
          <w:tcPr>
            <w:tcW w:w="5640" w:type="dxa"/>
            <w:tcBorders/>
            <w:shd w:fill="FFFFFF" w:val="clear"/>
            <w:vAlign w:val="center"/>
          </w:tcPr>
          <w:p>
            <w:pPr>
              <w:pStyle w:val="TableContents"/>
              <w:bidi w:val="0"/>
              <w:spacing w:before="0" w:after="283"/>
              <w:jc w:val="left"/>
              <w:rPr>
                <w:b/>
              </w:rPr>
            </w:pPr>
            <w:r>
              <w:rPr>
                <w:b/>
              </w:rPr>
              <w:t>Commitments and contingencies (Notes 7 and 10)</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69" w:name="xdx_40C_eus-gaap--AssetsNet_i01TI_mtANzw"/>
            <w:bookmarkEnd w:id="69"/>
          </w:p>
        </w:tc>
      </w:tr>
      <w:tr>
        <w:trPr/>
        <w:tc>
          <w:tcPr>
            <w:tcW w:w="5640" w:type="dxa"/>
            <w:tcBorders/>
            <w:shd w:fill="CCEEFF" w:val="clear"/>
            <w:vAlign w:val="center"/>
          </w:tcPr>
          <w:p>
            <w:pPr>
              <w:pStyle w:val="TableContents"/>
              <w:bidi w:val="0"/>
              <w:spacing w:before="0" w:after="283"/>
              <w:jc w:val="left"/>
              <w:rPr>
                <w:b/>
              </w:rPr>
            </w:pPr>
            <w:r>
              <w:rPr>
                <w:b/>
              </w:rPr>
              <w:t>Net Assets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38" w:type="dxa"/>
            <w:tcBorders>
              <w:bottom w:val="double" w:sz="6" w:space="0" w:color="000000"/>
            </w:tcBorders>
            <w:shd w:fill="CCEEFF" w:val="clear"/>
            <w:tcMar>
              <w:bottom w:w="28" w:type="dxa"/>
            </w:tcMar>
            <w:vAlign w:val="center"/>
          </w:tcPr>
          <w:p>
            <w:pPr>
              <w:pStyle w:val="TableContents"/>
              <w:bidi w:val="0"/>
              <w:spacing w:before="0" w:after="283"/>
              <w:jc w:val="right"/>
              <w:rPr/>
            </w:pPr>
            <w:r>
              <w:rPr/>
              <w:t>355,856,986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65" w:type="dxa"/>
            <w:tcBorders>
              <w:bottom w:val="double" w:sz="6" w:space="0" w:color="000000"/>
            </w:tcBorders>
            <w:shd w:fill="CCEEFF" w:val="clear"/>
            <w:tcMar>
              <w:bottom w:w="28" w:type="dxa"/>
            </w:tcMar>
            <w:vAlign w:val="center"/>
          </w:tcPr>
          <w:p>
            <w:pPr>
              <w:pStyle w:val="TableContents"/>
              <w:bidi w:val="0"/>
              <w:spacing w:before="0" w:after="283"/>
              <w:jc w:val="right"/>
              <w:rPr/>
            </w:pPr>
            <w:r>
              <w:rPr/>
              <w:t>205,316,251</w:t>
            </w:r>
          </w:p>
        </w:tc>
        <w:tc>
          <w:tcPr>
            <w:tcW w:w="112" w:type="dxa"/>
            <w:tcBorders/>
            <w:shd w:fill="CCEEFF" w:val="clear"/>
            <w:vAlign w:val="center"/>
          </w:tcPr>
          <w:p>
            <w:pPr>
              <w:pStyle w:val="TableContents"/>
              <w:bidi w:val="0"/>
              <w:spacing w:before="0" w:after="283"/>
              <w:jc w:val="left"/>
              <w:rPr/>
            </w:pPr>
            <w:r>
              <w:rPr/>
              <w:t> </w:t>
            </w:r>
            <w:bookmarkStart w:id="70" w:name="xdx_407_eus-gaap--StockholdersEquityAbst"/>
            <w:bookmarkEnd w:id="70"/>
          </w:p>
        </w:tc>
      </w:tr>
      <w:tr>
        <w:trPr/>
        <w:tc>
          <w:tcPr>
            <w:tcW w:w="5640"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1" w:name="xdx_40D_eus-gaap--CommonStockValue_i01I_"/>
            <w:bookmarkEnd w:id="71"/>
          </w:p>
        </w:tc>
      </w:tr>
      <w:tr>
        <w:trPr/>
        <w:tc>
          <w:tcPr>
            <w:tcW w:w="5640" w:type="dxa"/>
            <w:tcBorders/>
            <w:shd w:fill="CCEEFF" w:val="clear"/>
            <w:vAlign w:val="center"/>
          </w:tcPr>
          <w:p>
            <w:pPr>
              <w:pStyle w:val="TableContents"/>
              <w:bidi w:val="0"/>
              <w:spacing w:before="0" w:after="283"/>
              <w:jc w:val="left"/>
              <w:rPr/>
            </w:pPr>
            <w:r>
              <w:rPr/>
              <w:t>Common stock, par value $</w:t>
            </w:r>
            <w:bookmarkStart w:id="72" w:name="xdx_90E_eus-gaap--CommonStockParOrStated"/>
            <w:bookmarkStart w:id="73" w:name="xdx_905_eus-gaap--CommonStockParOrStated"/>
            <w:bookmarkEnd w:id="72"/>
            <w:bookmarkEnd w:id="73"/>
            <w:r>
              <w:rPr/>
              <w:t>0.01 per share (</w:t>
            </w:r>
            <w:bookmarkStart w:id="74" w:name="xdx_902_eus-gaap--CommonStockSharesAutho"/>
            <w:bookmarkStart w:id="75" w:name="xdx_90F_eus-gaap--CommonStockSharesAutho"/>
            <w:bookmarkEnd w:id="74"/>
            <w:bookmarkEnd w:id="75"/>
            <w:r>
              <w:rPr/>
              <w:t xml:space="preserve">100,000,000 authorized; </w:t>
            </w:r>
            <w:bookmarkStart w:id="76" w:name="xdx_905_eus-gaap--CommonStockSharesOutst"/>
            <w:bookmarkStart w:id="77" w:name="xdx_905_eus-gaap--CommonStockSharesIssue"/>
            <w:bookmarkEnd w:id="76"/>
            <w:bookmarkEnd w:id="77"/>
            <w:r>
              <w:rPr/>
              <w:t xml:space="preserve">26,473,222 and </w:t>
            </w:r>
            <w:bookmarkStart w:id="78" w:name="xdx_908_eus-gaap--CommonStockSharesOutst"/>
            <w:bookmarkStart w:id="79" w:name="xdx_900_eus-gaap--CommonStockSharesIssue"/>
            <w:bookmarkEnd w:id="78"/>
            <w:bookmarkEnd w:id="79"/>
            <w:r>
              <w:rPr/>
              <w:t>25,377,756 issued and outstanding, respectively)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938" w:type="dxa"/>
            <w:tcBorders/>
            <w:shd w:fill="CCEEFF" w:val="clear"/>
            <w:vAlign w:val="center"/>
          </w:tcPr>
          <w:p>
            <w:pPr>
              <w:pStyle w:val="TableContents"/>
              <w:bidi w:val="0"/>
              <w:spacing w:before="0" w:after="283"/>
              <w:jc w:val="right"/>
              <w:rPr/>
            </w:pPr>
            <w:r>
              <w:rPr/>
              <w:t>264,732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253,778</w:t>
            </w:r>
          </w:p>
        </w:tc>
        <w:tc>
          <w:tcPr>
            <w:tcW w:w="112" w:type="dxa"/>
            <w:tcBorders/>
            <w:shd w:fill="CCEEFF" w:val="clear"/>
            <w:vAlign w:val="center"/>
          </w:tcPr>
          <w:p>
            <w:pPr>
              <w:pStyle w:val="TableContents"/>
              <w:bidi w:val="0"/>
              <w:spacing w:before="0" w:after="283"/>
              <w:jc w:val="left"/>
              <w:rPr/>
            </w:pPr>
            <w:r>
              <w:rPr/>
              <w:t> </w:t>
            </w:r>
            <w:bookmarkStart w:id="80" w:name="xdx_403_eus-gaap--AdditionalPaidInCapita"/>
            <w:bookmarkEnd w:id="80"/>
          </w:p>
        </w:tc>
      </w:tr>
      <w:tr>
        <w:trPr/>
        <w:tc>
          <w:tcPr>
            <w:tcW w:w="5640" w:type="dxa"/>
            <w:tcBorders/>
            <w:shd w:fill="FFFFFF" w:val="clear"/>
            <w:vAlign w:val="center"/>
          </w:tcPr>
          <w:p>
            <w:pPr>
              <w:pStyle w:val="TableContents"/>
              <w:bidi w:val="0"/>
              <w:spacing w:before="0" w:after="283"/>
              <w:jc w:val="left"/>
              <w:rPr/>
            </w:pPr>
            <w:r>
              <w:rPr/>
              <w:t>Paid-in capital in excess of par</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231,068,006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217,470,613</w:t>
            </w:r>
          </w:p>
        </w:tc>
        <w:tc>
          <w:tcPr>
            <w:tcW w:w="112" w:type="dxa"/>
            <w:tcBorders/>
            <w:shd w:fill="FFFFFF" w:val="clear"/>
            <w:vAlign w:val="center"/>
          </w:tcPr>
          <w:p>
            <w:pPr>
              <w:pStyle w:val="TableContents"/>
              <w:bidi w:val="0"/>
              <w:spacing w:before="0" w:after="283"/>
              <w:jc w:val="left"/>
              <w:rPr/>
            </w:pPr>
            <w:r>
              <w:rPr/>
              <w:t> </w:t>
            </w:r>
            <w:bookmarkStart w:id="81" w:name="xdx_405_ecustom--AccumulatedNetInvestmen"/>
            <w:bookmarkEnd w:id="81"/>
          </w:p>
        </w:tc>
      </w:tr>
      <w:tr>
        <w:trPr/>
        <w:tc>
          <w:tcPr>
            <w:tcW w:w="5640" w:type="dxa"/>
            <w:tcBorders/>
            <w:shd w:fill="CCEEFF" w:val="clear"/>
            <w:vAlign w:val="center"/>
          </w:tcPr>
          <w:p>
            <w:pPr>
              <w:pStyle w:val="TableContents"/>
              <w:bidi w:val="0"/>
              <w:spacing w:before="0" w:after="283"/>
              <w:jc w:val="left"/>
              <w:rPr/>
            </w:pPr>
            <w:r>
              <w:rPr/>
              <w:t>Accumulated net investment loss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(31,301,107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(3,967,932</w:t>
            </w:r>
          </w:p>
        </w:tc>
        <w:tc>
          <w:tcPr>
            <w:tcW w:w="112" w:type="dxa"/>
            <w:tcBorders/>
            <w:shd w:fill="CCEEFF" w:val="clear"/>
            <w:vAlign w:val="center"/>
          </w:tcPr>
          <w:p>
            <w:pPr>
              <w:pStyle w:val="TableContents"/>
              <w:bidi w:val="0"/>
              <w:spacing w:before="0" w:after="283"/>
              <w:jc w:val="left"/>
              <w:rPr/>
            </w:pPr>
            <w:r>
              <w:rPr/>
              <w:t>)</w:t>
            </w:r>
            <w:bookmarkStart w:id="82" w:name="xdx_409_ecustom--AccumulatedNetRealizedG"/>
            <w:bookmarkEnd w:id="82"/>
          </w:p>
        </w:tc>
      </w:tr>
      <w:tr>
        <w:trPr/>
        <w:tc>
          <w:tcPr>
            <w:tcW w:w="5640" w:type="dxa"/>
            <w:tcBorders/>
            <w:shd w:fill="FFFFFF" w:val="clear"/>
            <w:vAlign w:val="center"/>
          </w:tcPr>
          <w:p>
            <w:pPr>
              <w:pStyle w:val="TableContents"/>
              <w:bidi w:val="0"/>
              <w:spacing w:before="0" w:after="283"/>
              <w:jc w:val="left"/>
              <w:rPr/>
            </w:pPr>
            <w:r>
              <w:rPr/>
              <w:t>Accumulated net realized gain on investments, net of distributions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12,814,103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6,874,070</w:t>
            </w:r>
          </w:p>
        </w:tc>
        <w:tc>
          <w:tcPr>
            <w:tcW w:w="112" w:type="dxa"/>
            <w:tcBorders/>
            <w:shd w:fill="FFFFFF" w:val="clear"/>
            <w:vAlign w:val="center"/>
          </w:tcPr>
          <w:p>
            <w:pPr>
              <w:pStyle w:val="TableContents"/>
              <w:bidi w:val="0"/>
              <w:spacing w:before="0" w:after="283"/>
              <w:jc w:val="left"/>
              <w:rPr/>
            </w:pPr>
            <w:r>
              <w:rPr/>
              <w:t> </w:t>
            </w:r>
            <w:bookmarkStart w:id="83" w:name="xdx_40B_ecustom--AccumulatedNetUnrealize"/>
            <w:bookmarkEnd w:id="83"/>
          </w:p>
        </w:tc>
      </w:tr>
      <w:tr>
        <w:trPr/>
        <w:tc>
          <w:tcPr>
            <w:tcW w:w="5640" w:type="dxa"/>
            <w:tcBorders/>
            <w:shd w:fill="CCEEFF" w:val="clear"/>
            <w:vAlign w:val="center"/>
          </w:tcPr>
          <w:p>
            <w:pPr>
              <w:pStyle w:val="TableContents"/>
              <w:bidi w:val="0"/>
              <w:spacing w:before="0" w:after="283"/>
              <w:jc w:val="left"/>
              <w:rPr/>
            </w:pPr>
            <w:r>
              <w:rPr/>
              <w:t>Accumulated net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38" w:type="dxa"/>
            <w:tcBorders>
              <w:bottom w:val="single" w:sz="8" w:space="0" w:color="000000"/>
            </w:tcBorders>
            <w:shd w:fill="CCEEFF" w:val="clear"/>
            <w:tcMar>
              <w:bottom w:w="28" w:type="dxa"/>
            </w:tcMar>
            <w:vAlign w:val="center"/>
          </w:tcPr>
          <w:p>
            <w:pPr>
              <w:pStyle w:val="TableContents"/>
              <w:bidi w:val="0"/>
              <w:spacing w:before="0" w:after="283"/>
              <w:jc w:val="right"/>
              <w:rPr/>
            </w:pPr>
            <w:r>
              <w:rPr/>
              <w:t>143,011,252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5" w:type="dxa"/>
            <w:tcBorders>
              <w:bottom w:val="single" w:sz="8" w:space="0" w:color="000000"/>
            </w:tcBorders>
            <w:shd w:fill="CCEEFF" w:val="clear"/>
            <w:tcMar>
              <w:bottom w:w="28" w:type="dxa"/>
            </w:tcMar>
            <w:vAlign w:val="center"/>
          </w:tcPr>
          <w:p>
            <w:pPr>
              <w:pStyle w:val="TableContents"/>
              <w:bidi w:val="0"/>
              <w:spacing w:before="0" w:after="283"/>
              <w:jc w:val="right"/>
              <w:rPr/>
            </w:pPr>
            <w:r>
              <w:rPr/>
              <w:t>(15,314,278</w:t>
            </w:r>
          </w:p>
        </w:tc>
        <w:tc>
          <w:tcPr>
            <w:tcW w:w="112" w:type="dxa"/>
            <w:tcBorders/>
            <w:shd w:fill="CCEEFF" w:val="clear"/>
            <w:vAlign w:val="center"/>
          </w:tcPr>
          <w:p>
            <w:pPr>
              <w:pStyle w:val="TableContents"/>
              <w:bidi w:val="0"/>
              <w:spacing w:before="0" w:after="283"/>
              <w:jc w:val="left"/>
              <w:rPr/>
            </w:pPr>
            <w:r>
              <w:rPr/>
              <w:t>)</w:t>
            </w:r>
            <w:bookmarkStart w:id="84" w:name="xdx_401_eus-gaap--StockholdersEquityIncl"/>
            <w:bookmarkEnd w:id="84"/>
          </w:p>
        </w:tc>
      </w:tr>
      <w:tr>
        <w:trPr/>
        <w:tc>
          <w:tcPr>
            <w:tcW w:w="5640"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938" w:type="dxa"/>
            <w:tcBorders>
              <w:bottom w:val="double" w:sz="6" w:space="0" w:color="000000"/>
            </w:tcBorders>
            <w:shd w:fill="FFFFFF" w:val="clear"/>
            <w:tcMar>
              <w:bottom w:w="28" w:type="dxa"/>
            </w:tcMar>
            <w:vAlign w:val="center"/>
          </w:tcPr>
          <w:p>
            <w:pPr>
              <w:pStyle w:val="TableContents"/>
              <w:bidi w:val="0"/>
              <w:spacing w:before="0" w:after="283"/>
              <w:jc w:val="right"/>
              <w:rPr/>
            </w:pPr>
            <w:r>
              <w:rPr/>
              <w:t>355,856,986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65" w:type="dxa"/>
            <w:tcBorders>
              <w:bottom w:val="double" w:sz="6" w:space="0" w:color="000000"/>
            </w:tcBorders>
            <w:shd w:fill="FFFFFF" w:val="clear"/>
            <w:tcMar>
              <w:bottom w:w="28" w:type="dxa"/>
            </w:tcMar>
            <w:vAlign w:val="center"/>
          </w:tcPr>
          <w:p>
            <w:pPr>
              <w:pStyle w:val="TableContents"/>
              <w:bidi w:val="0"/>
              <w:spacing w:before="0" w:after="283"/>
              <w:jc w:val="right"/>
              <w:rPr/>
            </w:pPr>
            <w:r>
              <w:rPr/>
              <w:t>205,316,251</w:t>
            </w:r>
          </w:p>
        </w:tc>
        <w:tc>
          <w:tcPr>
            <w:tcW w:w="112" w:type="dxa"/>
            <w:tcBorders/>
            <w:shd w:fill="FFFFFF" w:val="clear"/>
            <w:vAlign w:val="center"/>
          </w:tcPr>
          <w:p>
            <w:pPr>
              <w:pStyle w:val="TableContents"/>
              <w:bidi w:val="0"/>
              <w:spacing w:before="0" w:after="283"/>
              <w:jc w:val="left"/>
              <w:rPr/>
            </w:pPr>
            <w:r>
              <w:rPr/>
              <w:t> </w:t>
            </w:r>
            <w:bookmarkStart w:id="85" w:name="xdx_407_eus-gaap--NetAssetValuePerShare_"/>
            <w:bookmarkEnd w:id="85"/>
          </w:p>
        </w:tc>
      </w:tr>
      <w:tr>
        <w:trPr/>
        <w:tc>
          <w:tcPr>
            <w:tcW w:w="5640" w:type="dxa"/>
            <w:tcBorders/>
            <w:shd w:fill="CCEEFF" w:val="clear"/>
            <w:vAlign w:val="center"/>
          </w:tcPr>
          <w:p>
            <w:pPr>
              <w:pStyle w:val="TableContents"/>
              <w:bidi w:val="0"/>
              <w:spacing w:before="0" w:after="283"/>
              <w:jc w:val="left"/>
              <w:rPr>
                <w:b/>
              </w:rPr>
            </w:pPr>
            <w:r>
              <w:rPr>
                <w:b/>
              </w:rPr>
              <w:t>Net Asset Value Per Share</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38" w:type="dxa"/>
            <w:tcBorders>
              <w:bottom w:val="double" w:sz="6" w:space="0" w:color="000000"/>
            </w:tcBorders>
            <w:shd w:fill="CCEEFF" w:val="clear"/>
            <w:tcMar>
              <w:bottom w:w="28" w:type="dxa"/>
            </w:tcMar>
            <w:vAlign w:val="center"/>
          </w:tcPr>
          <w:p>
            <w:pPr>
              <w:pStyle w:val="TableContents"/>
              <w:bidi w:val="0"/>
              <w:spacing w:before="0" w:after="283"/>
              <w:jc w:val="right"/>
              <w:rPr/>
            </w:pPr>
            <w:r>
              <w:rPr/>
              <w:t>13.44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65" w:type="dxa"/>
            <w:tcBorders>
              <w:bottom w:val="double" w:sz="6" w:space="0" w:color="000000"/>
            </w:tcBorders>
            <w:shd w:fill="CCEEFF" w:val="clear"/>
            <w:tcMar>
              <w:bottom w:w="28" w:type="dxa"/>
            </w:tcMar>
            <w:vAlign w:val="center"/>
          </w:tcPr>
          <w:p>
            <w:pPr>
              <w:pStyle w:val="TableContents"/>
              <w:bidi w:val="0"/>
              <w:spacing w:before="0" w:after="283"/>
              <w:jc w:val="right"/>
              <w:rPr/>
            </w:pPr>
            <w:r>
              <w:rPr/>
              <w:t>8.09</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6" w:name="xdx_F0C_z07TXbOEuhPd"/>
            <w:bookmarkEnd w:id="86"/>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7" w:name="xdx_F18_zgV0FSWrZjBf"/>
            <w:bookmarkEnd w:id="87"/>
            <w:r>
              <w:rPr>
                <w:rFonts w:ascii="Times New Roman;Times;Serif" w:hAnsi="Times New Roman;Times;Serif"/>
                <w:b w:val="false"/>
                <w:i w:val="false"/>
                <w:caps w:val="false"/>
                <w:smallCaps w:val="false"/>
                <w:sz w:val="20"/>
              </w:rPr>
              <w:t>These balances include a right of use asset and corresponding operating lease liability, respectively. Refer to “Note 7—Commitments and Contingencies—</w:t>
            </w:r>
            <w:r>
              <w:rPr>
                <w:rFonts w:ascii="Times New Roman;Times;Serif" w:hAnsi="Times New Roman;Times;Serif"/>
                <w:b w:val="false"/>
                <w:i/>
                <w:caps w:val="false"/>
                <w:smallCaps w:val="false"/>
                <w:sz w:val="20"/>
              </w:rPr>
              <w:t>Operating Leases and Related Deposits</w:t>
            </w:r>
            <w:r>
              <w:rPr>
                <w:rFonts w:ascii="Times New Roman;Times;Serif" w:hAnsi="Times New Roman;Times;Serif"/>
                <w:b w:val="false"/>
                <w:i w:val="false"/>
                <w:caps w:val="false"/>
                <w:smallCaps w:val="false"/>
                <w:sz w:val="20"/>
              </w:rPr>
              <w:t>” for more detail.</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8" w:name="xdx_F0F_z83hwwy5bp3i"/>
            <w:bookmarkEnd w:id="88"/>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9" w:name="xdx_F1C_zaHcH1Zu6Dtf"/>
            <w:bookmarkEnd w:id="89"/>
            <w:r>
              <w:rPr>
                <w:rFonts w:ascii="Times New Roman;Times;Serif" w:hAnsi="Times New Roman;Times;Serif"/>
                <w:b w:val="false"/>
                <w:i w:val="false"/>
                <w:caps w:val="false"/>
                <w:smallCaps w:val="false"/>
                <w:sz w:val="20"/>
              </w:rPr>
              <w:t xml:space="preserve">As of June 30, 2026, the </w:t>
            </w:r>
            <w:bookmarkStart w:id="90" w:name="xdx_907_eus-gaap--DebtInstrumentInterest"/>
            <w:bookmarkEnd w:id="90"/>
            <w:r>
              <w:rPr>
                <w:rFonts w:ascii="Times New Roman;Times;Serif" w:hAnsi="Times New Roman;Times;Serif"/>
                <w:b w:val="false"/>
                <w:i w:val="false"/>
                <w:caps w:val="false"/>
                <w:smallCaps w:val="false"/>
                <w:sz w:val="20"/>
              </w:rPr>
              <w:t xml:space="preserve">6.00% Notes due </w:t>
            </w:r>
            <w:bookmarkStart w:id="91" w:name="xdx_90D_eus-gaap--DebtInstrumentMaturity"/>
            <w:bookmarkEnd w:id="91"/>
            <w:r>
              <w:rPr>
                <w:rFonts w:ascii="Times New Roman;Times;Serif" w:hAnsi="Times New Roman;Times;Serif"/>
                <w:b w:val="false"/>
                <w:i w:val="false"/>
                <w:caps w:val="false"/>
                <w:smallCaps w:val="false"/>
                <w:sz w:val="20"/>
              </w:rPr>
              <w:t>December 30, 2026 (the “</w:t>
            </w:r>
            <w:bookmarkStart w:id="92" w:name="xdx_90C_eus-gaap--DebtInstrumentInterest"/>
            <w:bookmarkEnd w:id="92"/>
            <w:r>
              <w:rPr>
                <w:rFonts w:ascii="Times New Roman;Times;Serif" w:hAnsi="Times New Roman;Times;Serif"/>
                <w:b w:val="false"/>
                <w:i w:val="false"/>
                <w:caps w:val="false"/>
                <w:smallCaps w:val="false"/>
                <w:sz w:val="20"/>
              </w:rPr>
              <w:t xml:space="preserve">6.00% Notes due 2026”) (effective interest rate of </w:t>
            </w:r>
            <w:bookmarkStart w:id="93" w:name="xdx_909_eus-gaap--DebtInstrumentInterest"/>
            <w:bookmarkEnd w:id="93"/>
            <w:r>
              <w:rPr>
                <w:rFonts w:ascii="Times New Roman;Times;Serif" w:hAnsi="Times New Roman;Times;Serif"/>
                <w:b w:val="false"/>
                <w:i w:val="false"/>
                <w:caps w:val="false"/>
                <w:smallCaps w:val="false"/>
                <w:sz w:val="20"/>
              </w:rPr>
              <w:t>6.43%) had a face value of $</w:t>
            </w:r>
            <w:bookmarkStart w:id="94" w:name="xdx_901_eus-gaap--DebtInstrumentFaceAmou"/>
            <w:bookmarkEnd w:id="94"/>
            <w:r>
              <w:rPr>
                <w:rFonts w:ascii="Times New Roman;Times;Serif" w:hAnsi="Times New Roman;Times;Serif"/>
                <w:b w:val="false"/>
                <w:i w:val="false"/>
                <w:caps w:val="false"/>
                <w:smallCaps w:val="false"/>
                <w:sz w:val="20"/>
              </w:rPr>
              <w:t xml:space="preserve">35,829,825. As of December 31, 2025, the </w:t>
            </w:r>
            <w:bookmarkStart w:id="95" w:name="xdx_90C_eus-gaap--DebtInstrumentInterest"/>
            <w:bookmarkEnd w:id="95"/>
            <w:r>
              <w:rPr>
                <w:rFonts w:ascii="Times New Roman;Times;Serif" w:hAnsi="Times New Roman;Times;Serif"/>
                <w:b w:val="false"/>
                <w:i w:val="false"/>
                <w:caps w:val="false"/>
                <w:smallCaps w:val="false"/>
                <w:sz w:val="20"/>
              </w:rPr>
              <w:t xml:space="preserve">6.00% Notes due 2026 (effective interest rate of </w:t>
            </w:r>
            <w:bookmarkStart w:id="96" w:name="xdx_900_eus-gaap--DebtInstrumentInterest"/>
            <w:bookmarkEnd w:id="96"/>
            <w:r>
              <w:rPr>
                <w:rFonts w:ascii="Times New Roman;Times;Serif" w:hAnsi="Times New Roman;Times;Serif"/>
                <w:b w:val="false"/>
                <w:i w:val="false"/>
                <w:caps w:val="false"/>
                <w:smallCaps w:val="false"/>
                <w:sz w:val="20"/>
              </w:rPr>
              <w:t>7.08%) had a face value of $</w:t>
            </w:r>
            <w:bookmarkStart w:id="97" w:name="xdx_900_eus-gaap--DebtInstrumentFaceAmou"/>
            <w:bookmarkEnd w:id="97"/>
            <w:r>
              <w:rPr>
                <w:rFonts w:ascii="Times New Roman;Times;Serif" w:hAnsi="Times New Roman;Times;Serif"/>
                <w:b w:val="false"/>
                <w:i w:val="false"/>
                <w:caps w:val="false"/>
                <w:smallCaps w:val="false"/>
                <w:sz w:val="20"/>
              </w:rPr>
              <w:t>35,829,825. Refer to “Note 10—Debt Capital Activities” for a reconciliation of the carrying value to the face value.</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8" w:name="xdx_F06_zYFtzkelFenk"/>
            <w:bookmarkEnd w:id="98"/>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9" w:name="xdx_F1B_zGuqwtuI9Za9"/>
            <w:bookmarkEnd w:id="99"/>
            <w:r>
              <w:rPr>
                <w:rFonts w:ascii="Times New Roman;Times;Serif" w:hAnsi="Times New Roman;Times;Serif"/>
                <w:b w:val="false"/>
                <w:i w:val="false"/>
                <w:caps w:val="false"/>
                <w:smallCaps w:val="false"/>
                <w:sz w:val="20"/>
              </w:rPr>
              <w:t xml:space="preserve">As of June 30, 2026, the </w:t>
            </w:r>
            <w:bookmarkStart w:id="100" w:name="xdx_907_eus-gaap--DebtInstrumentInterest"/>
            <w:bookmarkEnd w:id="100"/>
            <w:r>
              <w:rPr>
                <w:rFonts w:ascii="Times New Roman;Times;Serif" w:hAnsi="Times New Roman;Times;Serif"/>
                <w:b w:val="false"/>
                <w:i w:val="false"/>
                <w:caps w:val="false"/>
                <w:smallCaps w:val="false"/>
                <w:sz w:val="20"/>
              </w:rPr>
              <w:t xml:space="preserve">6.50% Convertible Notes due </w:t>
            </w:r>
            <w:bookmarkStart w:id="101" w:name="xdx_90D_eus-gaap--DebtInstrumentMaturity"/>
            <w:bookmarkEnd w:id="101"/>
            <w:r>
              <w:rPr>
                <w:rFonts w:ascii="Times New Roman;Times;Serif" w:hAnsi="Times New Roman;Times;Serif"/>
                <w:b w:val="false"/>
                <w:i w:val="false"/>
                <w:caps w:val="false"/>
                <w:smallCaps w:val="false"/>
                <w:sz w:val="20"/>
              </w:rPr>
              <w:t>August 14, 2029 (the “</w:t>
            </w:r>
            <w:bookmarkStart w:id="102" w:name="xdx_90E_eus-gaap--DebtInstrumentInterest"/>
            <w:bookmarkEnd w:id="102"/>
            <w:r>
              <w:rPr>
                <w:rFonts w:ascii="Times New Roman;Times;Serif" w:hAnsi="Times New Roman;Times;Serif"/>
                <w:b w:val="false"/>
                <w:i w:val="false"/>
                <w:caps w:val="false"/>
                <w:smallCaps w:val="false"/>
                <w:sz w:val="20"/>
              </w:rPr>
              <w:t xml:space="preserve">6.50% Convertible Notes due 2029”) (effective interest rate of </w:t>
            </w:r>
            <w:bookmarkStart w:id="103" w:name="xdx_901_eus-gaap--DebtInstrumentInterest"/>
            <w:bookmarkEnd w:id="103"/>
            <w:r>
              <w:rPr>
                <w:rFonts w:ascii="Times New Roman;Times;Serif" w:hAnsi="Times New Roman;Times;Serif"/>
                <w:b w:val="false"/>
                <w:i w:val="false"/>
                <w:caps w:val="false"/>
                <w:smallCaps w:val="false"/>
                <w:sz w:val="20"/>
              </w:rPr>
              <w:t>8.06%) had a face value of $</w:t>
            </w:r>
            <w:bookmarkStart w:id="104" w:name="xdx_904_eus-gaap--DebtInstrumentFaceAmou"/>
            <w:bookmarkEnd w:id="104"/>
            <w:r>
              <w:rPr>
                <w:rFonts w:ascii="Times New Roman;Times;Serif" w:hAnsi="Times New Roman;Times;Serif"/>
                <w:b w:val="false"/>
                <w:i w:val="false"/>
                <w:caps w:val="false"/>
                <w:smallCaps w:val="false"/>
                <w:sz w:val="20"/>
              </w:rPr>
              <w:t xml:space="preserve">27,000,000. As of December 31, 2025, the </w:t>
            </w:r>
            <w:bookmarkStart w:id="105" w:name="xdx_90C_eus-gaap--DebtInstrumentInterest"/>
            <w:bookmarkEnd w:id="105"/>
            <w:r>
              <w:rPr>
                <w:rFonts w:ascii="Times New Roman;Times;Serif" w:hAnsi="Times New Roman;Times;Serif"/>
                <w:b w:val="false"/>
                <w:i w:val="false"/>
                <w:caps w:val="false"/>
                <w:smallCaps w:val="false"/>
                <w:sz w:val="20"/>
              </w:rPr>
              <w:t xml:space="preserve">6.50% Convertible Notes due 2029 (effective interest rate of </w:t>
            </w:r>
            <w:bookmarkStart w:id="106" w:name="xdx_90B_eus-gaap--DebtInstrumentInterest"/>
            <w:bookmarkEnd w:id="106"/>
            <w:r>
              <w:rPr>
                <w:rFonts w:ascii="Times New Roman;Times;Serif" w:hAnsi="Times New Roman;Times;Serif"/>
                <w:b w:val="false"/>
                <w:i w:val="false"/>
                <w:caps w:val="false"/>
                <w:smallCaps w:val="false"/>
                <w:sz w:val="20"/>
              </w:rPr>
              <w:t>7.17%) had a face value of $</w:t>
            </w:r>
            <w:bookmarkStart w:id="107" w:name="xdx_905_eus-gaap--DebtInstrumentFaceAmou"/>
            <w:bookmarkEnd w:id="107"/>
            <w:r>
              <w:rPr>
                <w:rFonts w:ascii="Times New Roman;Times;Serif" w:hAnsi="Times New Roman;Times;Serif"/>
                <w:b w:val="false"/>
                <w:i w:val="false"/>
                <w:caps w:val="false"/>
                <w:smallCaps w:val="false"/>
                <w:sz w:val="20"/>
              </w:rPr>
              <w:t>35,000,000. Refer to “Note 10—Debt Capital Activities” for a reconciliation of the carrying value to the face value.</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8" w:name="ak_004"/>
      <w:bookmarkEnd w:id="108"/>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9" w:name="xdx_309_113_zS9jZ1ZffHFk"/>
      <w:bookmarkStart w:id="110" w:name="xdx_309_113_zS9jZ1ZffHFk"/>
      <w:bookmarkEnd w:id="110"/>
    </w:p>
    <w:tbl>
      <w:tblPr>
        <w:tblW w:w="10205" w:type="dxa"/>
        <w:jc w:val="left"/>
        <w:tblInd w:w="0" w:type="dxa"/>
        <w:tblLayout w:type="fixed"/>
        <w:tblCellMar>
          <w:top w:w="0" w:type="dxa"/>
          <w:left w:w="0" w:type="dxa"/>
          <w:bottom w:w="0" w:type="dxa"/>
          <w:right w:w="0" w:type="dxa"/>
        </w:tblCellMar>
      </w:tblPr>
      <w:tblGrid>
        <w:gridCol w:w="4219"/>
        <w:gridCol w:w="60"/>
        <w:gridCol w:w="148"/>
        <w:gridCol w:w="1248"/>
        <w:gridCol w:w="100"/>
        <w:gridCol w:w="63"/>
        <w:gridCol w:w="148"/>
        <w:gridCol w:w="1168"/>
        <w:gridCol w:w="95"/>
        <w:gridCol w:w="60"/>
        <w:gridCol w:w="141"/>
        <w:gridCol w:w="1232"/>
        <w:gridCol w:w="95"/>
        <w:gridCol w:w="60"/>
        <w:gridCol w:w="141"/>
        <w:gridCol w:w="1111"/>
        <w:gridCol w:w="116"/>
      </w:tblGrid>
      <w:tr>
        <w:trPr/>
        <w:tc>
          <w:tcPr>
            <w:tcW w:w="4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A_20260401__20260630_zpRb9VoDLQ46"/>
            <w:bookmarkEnd w:id="111"/>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12" w:name="xdx_491_20250401__20250630_zmXkPQpzafG4"/>
            <w:bookmarkEnd w:id="112"/>
          </w:p>
        </w:tc>
        <w:tc>
          <w:tcPr>
            <w:tcW w:w="13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 w:name="xdx_494_20260101__20260630_zEjzXFqGEXT7"/>
            <w:bookmarkEnd w:id="113"/>
          </w:p>
        </w:tc>
        <w:tc>
          <w:tcPr>
            <w:tcW w:w="13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 w:name="xdx_491_20250101__20250630_zefcoucmm1H8"/>
            <w:bookmarkEnd w:id="114"/>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r>
      <w:tr>
        <w:trPr/>
        <w:tc>
          <w:tcPr>
            <w:tcW w:w="4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6" w:type="dxa"/>
            <w:tcBorders/>
            <w:vAlign w:val="center"/>
          </w:tcPr>
          <w:p>
            <w:pPr>
              <w:pStyle w:val="TableContents"/>
              <w:bidi w:val="0"/>
              <w:spacing w:before="0" w:after="283"/>
              <w:jc w:val="left"/>
              <w:rPr/>
            </w:pPr>
            <w:r>
              <w:rPr/>
              <w:t> </w:t>
            </w:r>
          </w:p>
        </w:tc>
      </w:tr>
      <w:tr>
        <w:trPr/>
        <w:tc>
          <w:tcPr>
            <w:tcW w:w="4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bookmarkStart w:id="115" w:name="xdx_402_eus-gaap--InvestmentIncomeNetAbs"/>
            <w:bookmarkEnd w:id="115"/>
          </w:p>
        </w:tc>
      </w:tr>
      <w:tr>
        <w:trPr/>
        <w:tc>
          <w:tcPr>
            <w:tcW w:w="4219" w:type="dxa"/>
            <w:tcBorders/>
            <w:shd w:fill="CCEEFF" w:val="clear"/>
            <w:vAlign w:val="center"/>
          </w:tcPr>
          <w:p>
            <w:pPr>
              <w:pStyle w:val="TableContents"/>
              <w:bidi w:val="0"/>
              <w:spacing w:before="0" w:after="283"/>
              <w:jc w:val="left"/>
              <w:rPr>
                <w:b/>
              </w:rPr>
            </w:pPr>
            <w:r>
              <w:rPr>
                <w:b/>
              </w:rPr>
              <w:t>INVESTMENT INCOME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19" w:type="dxa"/>
            <w:tcBorders/>
            <w:shd w:fill="FFFFFF" w:val="clear"/>
            <w:vAlign w:val="center"/>
          </w:tcPr>
          <w:p>
            <w:pPr>
              <w:pStyle w:val="TableContents"/>
              <w:bidi w:val="0"/>
              <w:spacing w:before="0" w:after="283"/>
              <w:jc w:val="left"/>
              <w:rPr/>
            </w:pPr>
            <w:r>
              <w:rPr/>
              <w:t>Non-controlled/non-affiliate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16" w:name="xdx_40E_eus-gaap--InvestmentIncomeIntere"/>
            <w:bookmarkEnd w:id="116"/>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bookmarkStart w:id="117" w:name="xdx_F4C_zTSe3CpBxbn8"/>
            <w:bookmarkEnd w:id="11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299,650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167,304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687,863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317,951</w:t>
            </w:r>
          </w:p>
        </w:tc>
        <w:tc>
          <w:tcPr>
            <w:tcW w:w="116" w:type="dxa"/>
            <w:tcBorders/>
            <w:shd w:fill="CCEEFF" w:val="clear"/>
            <w:vAlign w:val="center"/>
          </w:tcPr>
          <w:p>
            <w:pPr>
              <w:pStyle w:val="TableContents"/>
              <w:bidi w:val="0"/>
              <w:spacing w:before="0" w:after="283"/>
              <w:jc w:val="left"/>
              <w:rPr/>
            </w:pPr>
            <w:r>
              <w:rPr/>
              <w:t> </w:t>
            </w:r>
            <w:bookmarkStart w:id="118" w:name="xdx_408_eus-gaap--InvestmentIncomeDivide"/>
            <w:bookmarkEnd w:id="118"/>
          </w:p>
        </w:tc>
      </w:tr>
      <w:tr>
        <w:trPr/>
        <w:tc>
          <w:tcPr>
            <w:tcW w:w="4219" w:type="dxa"/>
            <w:tcBorders/>
            <w:shd w:fill="FFFFFF" w:val="clear"/>
            <w:vAlign w:val="center"/>
          </w:tcPr>
          <w:p>
            <w:pPr>
              <w:pStyle w:val="TableContents"/>
              <w:bidi w:val="0"/>
              <w:spacing w:before="0" w:after="283"/>
              <w:jc w:val="left"/>
              <w:rPr/>
            </w:pPr>
            <w:r>
              <w:rPr/>
              <w:t>Dividend income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343,750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348,447</w:t>
            </w:r>
          </w:p>
        </w:tc>
        <w:tc>
          <w:tcPr>
            <w:tcW w:w="116" w:type="dxa"/>
            <w:tcBorders/>
            <w:shd w:fill="FFFFFF" w:val="clear"/>
            <w:vAlign w:val="center"/>
          </w:tcPr>
          <w:p>
            <w:pPr>
              <w:pStyle w:val="TableContents"/>
              <w:bidi w:val="0"/>
              <w:spacing w:before="0" w:after="283"/>
              <w:jc w:val="left"/>
              <w:rPr/>
            </w:pPr>
            <w:r>
              <w:rPr/>
              <w:t> </w:t>
            </w:r>
            <w:bookmarkStart w:id="119" w:name="xdx_401_eus-gaap--InvestmentIncomeIntere"/>
            <w:bookmarkEnd w:id="119"/>
          </w:p>
        </w:tc>
      </w:tr>
      <w:tr>
        <w:trPr/>
        <w:tc>
          <w:tcPr>
            <w:tcW w:w="4219" w:type="dxa"/>
            <w:tcBorders/>
            <w:shd w:fill="CCEEFF" w:val="clear"/>
            <w:vAlign w:val="center"/>
          </w:tcPr>
          <w:p>
            <w:pPr>
              <w:pStyle w:val="TableContents"/>
              <w:bidi w:val="0"/>
              <w:spacing w:before="0" w:after="283"/>
              <w:jc w:val="left"/>
              <w:rPr/>
            </w:pPr>
            <w:r>
              <w:rPr/>
              <w:t>Total Investment Income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pPr>
            <w:r>
              <w:rPr/>
              <w:t>299,650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167,304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1,031,613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pPr>
            <w:r>
              <w:rPr/>
              <w:t>666,398</w:t>
            </w:r>
          </w:p>
        </w:tc>
        <w:tc>
          <w:tcPr>
            <w:tcW w:w="116" w:type="dxa"/>
            <w:tcBorders/>
            <w:shd w:fill="CCEEFF" w:val="clear"/>
            <w:vAlign w:val="center"/>
          </w:tcPr>
          <w:p>
            <w:pPr>
              <w:pStyle w:val="TableContents"/>
              <w:bidi w:val="0"/>
              <w:spacing w:before="0" w:after="283"/>
              <w:jc w:val="left"/>
              <w:rPr/>
            </w:pPr>
            <w:r>
              <w:rPr/>
              <w:t> </w:t>
            </w:r>
            <w:bookmarkStart w:id="120" w:name="xdx_409_eus-gaap--OperatingExpensesAbstr"/>
            <w:bookmarkEnd w:id="120"/>
          </w:p>
        </w:tc>
      </w:tr>
      <w:tr>
        <w:trPr/>
        <w:tc>
          <w:tcPr>
            <w:tcW w:w="4219"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21" w:name="xdx_401_eus-gaap--CompensationExpenseExc"/>
            <w:bookmarkEnd w:id="121"/>
          </w:p>
        </w:tc>
      </w:tr>
      <w:tr>
        <w:trPr/>
        <w:tc>
          <w:tcPr>
            <w:tcW w:w="4219" w:type="dxa"/>
            <w:tcBorders/>
            <w:shd w:fill="CCEEFF" w:val="clear"/>
            <w:vAlign w:val="center"/>
          </w:tcPr>
          <w:p>
            <w:pPr>
              <w:pStyle w:val="TableContents"/>
              <w:bidi w:val="0"/>
              <w:spacing w:before="0" w:after="283"/>
              <w:jc w:val="left"/>
              <w:rPr/>
            </w:pPr>
            <w:r>
              <w:rPr/>
              <w:t>Compensation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19,696,322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1,571,856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21,672,574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3,239,691</w:t>
            </w:r>
          </w:p>
        </w:tc>
        <w:tc>
          <w:tcPr>
            <w:tcW w:w="116" w:type="dxa"/>
            <w:tcBorders/>
            <w:shd w:fill="CCEEFF" w:val="clear"/>
            <w:vAlign w:val="center"/>
          </w:tcPr>
          <w:p>
            <w:pPr>
              <w:pStyle w:val="TableContents"/>
              <w:bidi w:val="0"/>
              <w:spacing w:before="0" w:after="283"/>
              <w:jc w:val="left"/>
              <w:rPr/>
            </w:pPr>
            <w:r>
              <w:rPr/>
              <w:t> </w:t>
            </w:r>
            <w:bookmarkStart w:id="122" w:name="xdx_406_ecustom--DirectorsFees_i01_pp0p0"/>
            <w:bookmarkEnd w:id="122"/>
          </w:p>
        </w:tc>
      </w:tr>
      <w:tr>
        <w:trPr/>
        <w:tc>
          <w:tcPr>
            <w:tcW w:w="4219" w:type="dxa"/>
            <w:tcBorders/>
            <w:shd w:fill="FFFFFF" w:val="clear"/>
            <w:vAlign w:val="center"/>
          </w:tcPr>
          <w:p>
            <w:pPr>
              <w:pStyle w:val="TableContents"/>
              <w:bidi w:val="0"/>
              <w:spacing w:before="0" w:after="283"/>
              <w:jc w:val="left"/>
              <w:rPr/>
            </w:pPr>
            <w:r>
              <w:rPr/>
              <w:t>Directors’ fees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427,476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175,495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623,038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346,060</w:t>
            </w:r>
          </w:p>
        </w:tc>
        <w:tc>
          <w:tcPr>
            <w:tcW w:w="116" w:type="dxa"/>
            <w:tcBorders/>
            <w:shd w:fill="FFFFFF" w:val="clear"/>
            <w:vAlign w:val="center"/>
          </w:tcPr>
          <w:p>
            <w:pPr>
              <w:pStyle w:val="TableContents"/>
              <w:bidi w:val="0"/>
              <w:spacing w:before="0" w:after="283"/>
              <w:jc w:val="left"/>
              <w:rPr/>
            </w:pPr>
            <w:r>
              <w:rPr/>
              <w:t> </w:t>
            </w:r>
            <w:bookmarkStart w:id="123" w:name="xdx_403_eus-gaap--InterestExpenseOperati"/>
            <w:bookmarkEnd w:id="123"/>
          </w:p>
        </w:tc>
      </w:tr>
      <w:tr>
        <w:trPr/>
        <w:tc>
          <w:tcPr>
            <w:tcW w:w="4219"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1,136,421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1,275,485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2,353,615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2,535,334</w:t>
            </w:r>
          </w:p>
        </w:tc>
        <w:tc>
          <w:tcPr>
            <w:tcW w:w="116" w:type="dxa"/>
            <w:tcBorders/>
            <w:shd w:fill="CCEEFF" w:val="clear"/>
            <w:vAlign w:val="center"/>
          </w:tcPr>
          <w:p>
            <w:pPr>
              <w:pStyle w:val="TableContents"/>
              <w:bidi w:val="0"/>
              <w:spacing w:before="0" w:after="283"/>
              <w:jc w:val="left"/>
              <w:rPr/>
            </w:pPr>
            <w:r>
              <w:rPr/>
              <w:t> </w:t>
            </w:r>
            <w:bookmarkStart w:id="124" w:name="xdx_409_eus-gaap--ProfessionalFees_i01_m"/>
            <w:bookmarkEnd w:id="124"/>
          </w:p>
        </w:tc>
      </w:tr>
      <w:tr>
        <w:trPr/>
        <w:tc>
          <w:tcPr>
            <w:tcW w:w="4219"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1,724,438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680,857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2,597,167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1,431,081</w:t>
            </w:r>
          </w:p>
        </w:tc>
        <w:tc>
          <w:tcPr>
            <w:tcW w:w="116" w:type="dxa"/>
            <w:tcBorders/>
            <w:shd w:fill="FFFFFF" w:val="clear"/>
            <w:vAlign w:val="center"/>
          </w:tcPr>
          <w:p>
            <w:pPr>
              <w:pStyle w:val="TableContents"/>
              <w:bidi w:val="0"/>
              <w:spacing w:before="0" w:after="283"/>
              <w:jc w:val="left"/>
              <w:rPr/>
            </w:pPr>
            <w:r>
              <w:rPr/>
              <w:t> </w:t>
            </w:r>
            <w:bookmarkStart w:id="125" w:name="xdx_40D_eus-gaap--IncomeTaxExpenseBenefi"/>
            <w:bookmarkEnd w:id="125"/>
          </w:p>
        </w:tc>
      </w:tr>
      <w:tr>
        <w:trPr/>
        <w:tc>
          <w:tcPr>
            <w:tcW w:w="4219"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(22,053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(218,745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35,505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(215,949</w:t>
            </w:r>
          </w:p>
        </w:tc>
        <w:tc>
          <w:tcPr>
            <w:tcW w:w="116" w:type="dxa"/>
            <w:tcBorders/>
            <w:shd w:fill="CCEEFF" w:val="clear"/>
            <w:vAlign w:val="center"/>
          </w:tcPr>
          <w:p>
            <w:pPr>
              <w:pStyle w:val="TableContents"/>
              <w:bidi w:val="0"/>
              <w:spacing w:before="0" w:after="283"/>
              <w:jc w:val="left"/>
              <w:rPr/>
            </w:pPr>
            <w:r>
              <w:rPr/>
              <w:t>)</w:t>
            </w:r>
            <w:bookmarkStart w:id="126" w:name="xdx_409_eus-gaap--OtherExpenses_i01_maOE"/>
            <w:bookmarkEnd w:id="126"/>
          </w:p>
        </w:tc>
      </w:tr>
      <w:tr>
        <w:trPr/>
        <w:tc>
          <w:tcPr>
            <w:tcW w:w="4219"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691,730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404,516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1,082,890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714,110</w:t>
            </w:r>
          </w:p>
        </w:tc>
        <w:tc>
          <w:tcPr>
            <w:tcW w:w="116" w:type="dxa"/>
            <w:tcBorders/>
            <w:shd w:fill="FFFFFF" w:val="clear"/>
            <w:vAlign w:val="center"/>
          </w:tcPr>
          <w:p>
            <w:pPr>
              <w:pStyle w:val="TableContents"/>
              <w:bidi w:val="0"/>
              <w:spacing w:before="0" w:after="283"/>
              <w:jc w:val="left"/>
              <w:rPr/>
            </w:pPr>
            <w:r>
              <w:rPr/>
              <w:t> </w:t>
            </w:r>
            <w:bookmarkStart w:id="127" w:name="xdx_402_eus-gaap--OperatingExpenses_iT_m"/>
            <w:bookmarkEnd w:id="127"/>
          </w:p>
        </w:tc>
      </w:tr>
      <w:tr>
        <w:trPr/>
        <w:tc>
          <w:tcPr>
            <w:tcW w:w="4219"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pPr>
            <w:r>
              <w:rPr/>
              <w:t>23,654,334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3,889,464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28,364,789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pPr>
            <w:r>
              <w:rPr/>
              <w:t>8,050,327</w:t>
            </w:r>
          </w:p>
        </w:tc>
        <w:tc>
          <w:tcPr>
            <w:tcW w:w="116" w:type="dxa"/>
            <w:tcBorders/>
            <w:shd w:fill="CCEEFF" w:val="clear"/>
            <w:vAlign w:val="center"/>
          </w:tcPr>
          <w:p>
            <w:pPr>
              <w:pStyle w:val="TableContents"/>
              <w:bidi w:val="0"/>
              <w:spacing w:before="0" w:after="283"/>
              <w:jc w:val="left"/>
              <w:rPr/>
            </w:pPr>
            <w:r>
              <w:rPr/>
              <w:t> </w:t>
            </w:r>
            <w:bookmarkStart w:id="128" w:name="xdx_40B_eus-gaap--NetInvestmentIncome_iT"/>
            <w:bookmarkEnd w:id="128"/>
          </w:p>
        </w:tc>
      </w:tr>
      <w:tr>
        <w:trPr/>
        <w:tc>
          <w:tcPr>
            <w:tcW w:w="4219" w:type="dxa"/>
            <w:tcBorders/>
            <w:shd w:fill="FFFFFF" w:val="clear"/>
            <w:vAlign w:val="center"/>
          </w:tcPr>
          <w:p>
            <w:pPr>
              <w:pStyle w:val="TableContents"/>
              <w:bidi w:val="0"/>
              <w:spacing w:before="0" w:after="283"/>
              <w:jc w:val="left"/>
              <w:rPr>
                <w:b/>
              </w:rPr>
            </w:pPr>
            <w:r>
              <w:rPr>
                <w:b/>
              </w:rPr>
              <w:t>Net Investment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(23,354,684</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(3,722,160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(27,333,176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(7,383,929</w:t>
            </w:r>
          </w:p>
        </w:tc>
        <w:tc>
          <w:tcPr>
            <w:tcW w:w="116" w:type="dxa"/>
            <w:tcBorders/>
            <w:shd w:fill="FFFFFF" w:val="clear"/>
            <w:vAlign w:val="center"/>
          </w:tcPr>
          <w:p>
            <w:pPr>
              <w:pStyle w:val="TableContents"/>
              <w:bidi w:val="0"/>
              <w:spacing w:before="0" w:after="283"/>
              <w:jc w:val="left"/>
              <w:rPr/>
            </w:pPr>
            <w:r>
              <w:rPr/>
              <w:t>)</w:t>
            </w:r>
            <w:bookmarkStart w:id="129" w:name="xdx_40C_eus-gaap--RealizedInvestmentGain"/>
            <w:bookmarkEnd w:id="129"/>
          </w:p>
        </w:tc>
      </w:tr>
      <w:tr>
        <w:trPr/>
        <w:tc>
          <w:tcPr>
            <w:tcW w:w="4219" w:type="dxa"/>
            <w:tcBorders/>
            <w:shd w:fill="CCEEFF" w:val="clear"/>
            <w:vAlign w:val="center"/>
          </w:tcPr>
          <w:p>
            <w:pPr>
              <w:pStyle w:val="TableContents"/>
              <w:bidi w:val="0"/>
              <w:spacing w:before="0" w:after="283"/>
              <w:jc w:val="left"/>
              <w:rPr>
                <w:b/>
              </w:rPr>
            </w:pPr>
            <w:r>
              <w:rPr>
                <w:b/>
              </w:rPr>
              <w:t>Realized Gain on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30" w:name="xdx_407_eus-gaap--RealizedInvestmentGain"/>
            <w:bookmarkEnd w:id="130"/>
          </w:p>
        </w:tc>
      </w:tr>
      <w:tr>
        <w:trPr/>
        <w:tc>
          <w:tcPr>
            <w:tcW w:w="4219" w:type="dxa"/>
            <w:tcBorders/>
            <w:shd w:fill="FFFFFF" w:val="clear"/>
            <w:vAlign w:val="center"/>
          </w:tcPr>
          <w:p>
            <w:pPr>
              <w:pStyle w:val="TableContents"/>
              <w:bidi w:val="0"/>
              <w:spacing w:before="0" w:after="283"/>
              <w:jc w:val="left"/>
              <w:rPr/>
            </w:pPr>
            <w:r>
              <w:rPr/>
              <w:t>Non-controlled/non-affiliated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5,049,520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21,212,611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5,940,033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21,194,660</w:t>
            </w:r>
          </w:p>
        </w:tc>
        <w:tc>
          <w:tcPr>
            <w:tcW w:w="116" w:type="dxa"/>
            <w:tcBorders/>
            <w:shd w:fill="FFFFFF" w:val="clear"/>
            <w:vAlign w:val="center"/>
          </w:tcPr>
          <w:p>
            <w:pPr>
              <w:pStyle w:val="TableContents"/>
              <w:bidi w:val="0"/>
              <w:spacing w:before="0" w:after="283"/>
              <w:jc w:val="left"/>
              <w:rPr/>
            </w:pPr>
            <w:r>
              <w:rPr/>
              <w:t> </w:t>
            </w:r>
            <w:bookmarkStart w:id="131" w:name="xdx_404_eus-gaap--RealizedInvestmentGain"/>
            <w:bookmarkEnd w:id="131"/>
          </w:p>
        </w:tc>
      </w:tr>
      <w:tr>
        <w:trPr/>
        <w:tc>
          <w:tcPr>
            <w:tcW w:w="4219" w:type="dxa"/>
            <w:tcBorders/>
            <w:shd w:fill="CCEEFF" w:val="clear"/>
            <w:vAlign w:val="center"/>
          </w:tcPr>
          <w:p>
            <w:pPr>
              <w:pStyle w:val="TableContents"/>
              <w:bidi w:val="0"/>
              <w:spacing w:before="0" w:after="283"/>
              <w:jc w:val="left"/>
              <w:rPr>
                <w:b/>
              </w:rPr>
            </w:pPr>
            <w:r>
              <w:rPr>
                <w:b/>
              </w:rPr>
              <w:t>Net Realized Gain on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5,049,520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21,212,611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5,940,033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21,194,660</w:t>
            </w:r>
          </w:p>
        </w:tc>
        <w:tc>
          <w:tcPr>
            <w:tcW w:w="116" w:type="dxa"/>
            <w:tcBorders/>
            <w:shd w:fill="CCEEFF" w:val="clear"/>
            <w:vAlign w:val="center"/>
          </w:tcPr>
          <w:p>
            <w:pPr>
              <w:pStyle w:val="TableContents"/>
              <w:bidi w:val="0"/>
              <w:spacing w:before="0" w:after="283"/>
              <w:jc w:val="left"/>
              <w:rPr/>
            </w:pPr>
            <w:r>
              <w:rPr/>
              <w:t> </w:t>
            </w:r>
            <w:bookmarkStart w:id="132" w:name="xdx_402_ecustom--RealizedInvestmentGains"/>
            <w:bookmarkEnd w:id="132"/>
          </w:p>
        </w:tc>
      </w:tr>
      <w:tr>
        <w:trPr/>
        <w:tc>
          <w:tcPr>
            <w:tcW w:w="4219" w:type="dxa"/>
            <w:tcBorders/>
            <w:shd w:fill="FFFFFF" w:val="clear"/>
            <w:vAlign w:val="center"/>
          </w:tcPr>
          <w:p>
            <w:pPr>
              <w:pStyle w:val="TableContents"/>
              <w:bidi w:val="0"/>
              <w:spacing w:before="0" w:after="283"/>
              <w:jc w:val="left"/>
              <w:rPr/>
            </w:pPr>
            <w:r>
              <w:rPr/>
              <w:t xml:space="preserve">Realized loss on partial repurchase of </w:t>
            </w:r>
            <w:bookmarkStart w:id="133" w:name="xdx_900_eus-gaap--DebtInstrumentInterest"/>
            <w:bookmarkEnd w:id="133"/>
            <w:r>
              <w:rPr/>
              <w:t>6.00% Notes due December 30, 2026</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(15,873</w:t>
            </w:r>
          </w:p>
        </w:tc>
        <w:tc>
          <w:tcPr>
            <w:tcW w:w="116" w:type="dxa"/>
            <w:tcBorders/>
            <w:shd w:fill="FFFFFF" w:val="clear"/>
            <w:vAlign w:val="center"/>
          </w:tcPr>
          <w:p>
            <w:pPr>
              <w:pStyle w:val="TableContents"/>
              <w:bidi w:val="0"/>
              <w:spacing w:before="0" w:after="283"/>
              <w:jc w:val="left"/>
              <w:rPr/>
            </w:pPr>
            <w:r>
              <w:rPr/>
              <w:t>)</w:t>
            </w:r>
            <w:bookmarkStart w:id="134" w:name="xdx_40D_ecustom--ChangeInUnrealizedAppre"/>
            <w:bookmarkEnd w:id="134"/>
          </w:p>
        </w:tc>
      </w:tr>
      <w:tr>
        <w:trPr/>
        <w:tc>
          <w:tcPr>
            <w:tcW w:w="4219" w:type="dxa"/>
            <w:tcBorders/>
            <w:shd w:fill="CCEEFF" w:val="clear"/>
            <w:vAlign w:val="center"/>
          </w:tcPr>
          <w:p>
            <w:pPr>
              <w:pStyle w:val="TableContents"/>
              <w:bidi w:val="0"/>
              <w:spacing w:before="0" w:after="283"/>
              <w:jc w:val="left"/>
              <w:rPr>
                <w:b/>
              </w:rPr>
            </w:pPr>
            <w:r>
              <w:rPr>
                <w:b/>
              </w:rPr>
              <w:t>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35" w:name="xdx_404_eus-gaap--UnrealizedGainLossOnIn"/>
            <w:bookmarkEnd w:id="135"/>
          </w:p>
        </w:tc>
      </w:tr>
      <w:tr>
        <w:trPr/>
        <w:tc>
          <w:tcPr>
            <w:tcW w:w="4219" w:type="dxa"/>
            <w:tcBorders/>
            <w:shd w:fill="FFFFFF" w:val="clear"/>
            <w:vAlign w:val="center"/>
          </w:tcPr>
          <w:p>
            <w:pPr>
              <w:pStyle w:val="TableContents"/>
              <w:bidi w:val="0"/>
              <w:spacing w:before="0" w:after="283"/>
              <w:jc w:val="left"/>
              <w:rPr/>
            </w:pPr>
            <w:r>
              <w:rPr/>
              <w:t>Non-controlled/non-affiliated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(1,930,131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35,090,339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158,062,930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29,841,454</w:t>
            </w:r>
          </w:p>
        </w:tc>
        <w:tc>
          <w:tcPr>
            <w:tcW w:w="116" w:type="dxa"/>
            <w:tcBorders/>
            <w:shd w:fill="FFFFFF" w:val="clear"/>
            <w:vAlign w:val="center"/>
          </w:tcPr>
          <w:p>
            <w:pPr>
              <w:pStyle w:val="TableContents"/>
              <w:bidi w:val="0"/>
              <w:spacing w:before="0" w:after="283"/>
              <w:jc w:val="left"/>
              <w:rPr/>
            </w:pPr>
            <w:r>
              <w:rPr/>
              <w:t> </w:t>
            </w:r>
            <w:bookmarkStart w:id="136" w:name="xdx_40D_eus-gaap--UnrealizedGainLossOnIn"/>
            <w:bookmarkEnd w:id="136"/>
          </w:p>
        </w:tc>
      </w:tr>
      <w:tr>
        <w:trPr/>
        <w:tc>
          <w:tcPr>
            <w:tcW w:w="4219" w:type="dxa"/>
            <w:tcBorders/>
            <w:shd w:fill="CCEEFF" w:val="clear"/>
            <w:vAlign w:val="center"/>
          </w:tcPr>
          <w:p>
            <w:pPr>
              <w:pStyle w:val="TableContents"/>
              <w:bidi w:val="0"/>
              <w:spacing w:before="0" w:after="283"/>
              <w:jc w:val="left"/>
              <w:rPr/>
            </w:pPr>
            <w:r>
              <w:rPr/>
              <w:t>Non-controlled/affiliate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1,531,622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(339,693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262,600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(812,406</w:t>
            </w:r>
          </w:p>
        </w:tc>
        <w:tc>
          <w:tcPr>
            <w:tcW w:w="116" w:type="dxa"/>
            <w:tcBorders/>
            <w:shd w:fill="CCEEFF" w:val="clear"/>
            <w:vAlign w:val="center"/>
          </w:tcPr>
          <w:p>
            <w:pPr>
              <w:pStyle w:val="TableContents"/>
              <w:bidi w:val="0"/>
              <w:spacing w:before="0" w:after="283"/>
              <w:jc w:val="left"/>
              <w:rPr/>
            </w:pPr>
            <w:r>
              <w:rPr/>
              <w:t>)</w:t>
            </w:r>
            <w:bookmarkStart w:id="137" w:name="xdx_408_eus-gaap--UnrealizedGainLossOnIn"/>
            <w:bookmarkEnd w:id="137"/>
          </w:p>
        </w:tc>
      </w:tr>
      <w:tr>
        <w:trPr/>
        <w:tc>
          <w:tcPr>
            <w:tcW w:w="4219" w:type="dxa"/>
            <w:tcBorders/>
            <w:shd w:fill="FFFFFF" w:val="clear"/>
            <w:vAlign w:val="center"/>
          </w:tcPr>
          <w:p>
            <w:pPr>
              <w:pStyle w:val="TableContents"/>
              <w:bidi w:val="0"/>
              <w:spacing w:before="0" w:after="283"/>
              <w:jc w:val="left"/>
              <w:rPr/>
            </w:pPr>
            <w:r>
              <w:rPr/>
              <w:t>Controlled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10,086,973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18,697,449</w:t>
            </w:r>
          </w:p>
        </w:tc>
        <w:tc>
          <w:tcPr>
            <w:tcW w:w="116" w:type="dxa"/>
            <w:tcBorders/>
            <w:shd w:fill="FFFFFF" w:val="clear"/>
            <w:vAlign w:val="center"/>
          </w:tcPr>
          <w:p>
            <w:pPr>
              <w:pStyle w:val="TableContents"/>
              <w:bidi w:val="0"/>
              <w:spacing w:before="0" w:after="283"/>
              <w:jc w:val="left"/>
              <w:rPr/>
            </w:pPr>
            <w:r>
              <w:rPr/>
              <w:t> </w:t>
            </w:r>
            <w:bookmarkStart w:id="138" w:name="xdx_402_eus-gaap--UnrealizedGainLossOnIn"/>
            <w:bookmarkEnd w:id="138"/>
          </w:p>
        </w:tc>
      </w:tr>
      <w:tr>
        <w:trPr/>
        <w:tc>
          <w:tcPr>
            <w:tcW w:w="4219" w:type="dxa"/>
            <w:tcBorders/>
            <w:shd w:fill="CCEEFF" w:val="clear"/>
            <w:vAlign w:val="center"/>
          </w:tcPr>
          <w:p>
            <w:pPr>
              <w:pStyle w:val="TableContents"/>
              <w:bidi w:val="0"/>
              <w:spacing w:before="0" w:after="283"/>
              <w:jc w:val="left"/>
              <w:rPr>
                <w:b/>
              </w:rPr>
            </w:pPr>
            <w:r>
              <w:rPr>
                <w:b/>
              </w:rPr>
              <w:t>Net 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pPr>
            <w:r>
              <w:rPr/>
              <w:t>(398,509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44,837,619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158,325,530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pPr>
            <w:r>
              <w:rPr/>
              <w:t>47,726,497</w:t>
            </w:r>
          </w:p>
        </w:tc>
        <w:tc>
          <w:tcPr>
            <w:tcW w:w="116" w:type="dxa"/>
            <w:tcBorders/>
            <w:shd w:fill="CCEEFF" w:val="clear"/>
            <w:vAlign w:val="center"/>
          </w:tcPr>
          <w:p>
            <w:pPr>
              <w:pStyle w:val="TableContents"/>
              <w:bidi w:val="0"/>
              <w:spacing w:before="0" w:after="283"/>
              <w:jc w:val="left"/>
              <w:rPr/>
            </w:pPr>
            <w:r>
              <w:rPr/>
              <w:t> </w:t>
            </w:r>
            <w:bookmarkStart w:id="139" w:name="xdx_408_eus-gaap--NetIncomeLoss_i01T_mtC"/>
            <w:bookmarkEnd w:id="139"/>
          </w:p>
        </w:tc>
      </w:tr>
      <w:tr>
        <w:trPr/>
        <w:tc>
          <w:tcPr>
            <w:tcW w:w="4219" w:type="dxa"/>
            <w:tcBorders/>
            <w:shd w:fill="FFFFFF" w:val="clear"/>
            <w:vAlign w:val="center"/>
          </w:tcPr>
          <w:p>
            <w:pPr>
              <w:pStyle w:val="TableContents"/>
              <w:bidi w:val="0"/>
              <w:spacing w:before="0" w:after="283"/>
              <w:jc w:val="left"/>
              <w:rPr>
                <w:b/>
              </w:rPr>
            </w:pPr>
            <w:r>
              <w:rPr>
                <w:b/>
              </w:rPr>
              <w:t>Net Change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(18,703,673</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62,328,070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136,932,387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61,521,355</w:t>
            </w:r>
          </w:p>
        </w:tc>
        <w:tc>
          <w:tcPr>
            <w:tcW w:w="116" w:type="dxa"/>
            <w:tcBorders/>
            <w:shd w:fill="FFFFFF" w:val="clear"/>
            <w:vAlign w:val="center"/>
          </w:tcPr>
          <w:p>
            <w:pPr>
              <w:pStyle w:val="TableContents"/>
              <w:bidi w:val="0"/>
              <w:spacing w:before="0" w:after="283"/>
              <w:jc w:val="left"/>
              <w:rPr/>
            </w:pPr>
            <w:r>
              <w:rPr/>
              <w:t> </w:t>
            </w:r>
            <w:bookmarkStart w:id="140" w:name="xdx_40B_eus-gaap--EarningsPerShareAbstra"/>
            <w:bookmarkEnd w:id="140"/>
          </w:p>
        </w:tc>
      </w:tr>
      <w:tr>
        <w:trPr/>
        <w:tc>
          <w:tcPr>
            <w:tcW w:w="4219" w:type="dxa"/>
            <w:tcBorders/>
            <w:shd w:fill="CCEEFF" w:val="clear"/>
            <w:vAlign w:val="center"/>
          </w:tcPr>
          <w:p>
            <w:pPr>
              <w:pStyle w:val="TableContents"/>
              <w:bidi w:val="0"/>
              <w:spacing w:before="0" w:after="283"/>
              <w:jc w:val="left"/>
              <w:rPr>
                <w:b/>
              </w:rPr>
            </w:pPr>
            <w:r>
              <w:rPr>
                <w:b/>
              </w:rPr>
              <w:t>Net Change in Net Assets Resulting from Operations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41" w:name="xdx_40D_eus-gaap--EarningsPerShareBasic_"/>
            <w:bookmarkEnd w:id="141"/>
          </w:p>
        </w:tc>
      </w:tr>
      <w:tr>
        <w:trPr/>
        <w:tc>
          <w:tcPr>
            <w:tcW w:w="4219"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pPr>
            <w:r>
              <w:rPr/>
              <w:t>(0.72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pPr>
            <w:r>
              <w:rPr/>
              <w:t>2.60</w:t>
            </w:r>
          </w:p>
        </w:tc>
        <w:tc>
          <w:tcPr>
            <w:tcW w:w="116" w:type="dxa"/>
            <w:tcBorders/>
            <w:shd w:fill="FFFFFF" w:val="clear"/>
            <w:vAlign w:val="center"/>
          </w:tcPr>
          <w:p>
            <w:pPr>
              <w:pStyle w:val="TableContents"/>
              <w:bidi w:val="0"/>
              <w:spacing w:before="0" w:after="283"/>
              <w:jc w:val="left"/>
              <w:rPr/>
            </w:pPr>
            <w:r>
              <w:rPr/>
              <w:t> </w:t>
            </w:r>
            <w:bookmarkStart w:id="142" w:name="xdx_40D_eus-gaap--EarningsPerShareDilute"/>
            <w:bookmarkEnd w:id="142"/>
          </w:p>
        </w:tc>
      </w:tr>
      <w:tr>
        <w:trPr/>
        <w:tc>
          <w:tcPr>
            <w:tcW w:w="4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bookmarkStart w:id="143" w:name="xdx_F40_zxOpBl7aQ9u4"/>
            <w:bookmarkEnd w:id="143"/>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8" w:type="dxa"/>
            <w:tcBorders>
              <w:bottom w:val="double" w:sz="6" w:space="0" w:color="000000"/>
            </w:tcBorders>
            <w:shd w:fill="CCEEFF" w:val="clear"/>
            <w:tcMar>
              <w:bottom w:w="28" w:type="dxa"/>
            </w:tcMar>
            <w:vAlign w:val="center"/>
          </w:tcPr>
          <w:p>
            <w:pPr>
              <w:pStyle w:val="TableContents"/>
              <w:bidi w:val="0"/>
              <w:spacing w:before="0" w:after="283"/>
              <w:jc w:val="right"/>
              <w:rPr/>
            </w:pPr>
            <w:r>
              <w:rPr/>
              <w:t>(0.72</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CCEEFF" w:val="clear"/>
            <w:tcMar>
              <w:bottom w:w="28" w:type="dxa"/>
            </w:tcMar>
            <w:vAlign w:val="center"/>
          </w:tcPr>
          <w:p>
            <w:pPr>
              <w:pStyle w:val="TableContents"/>
              <w:bidi w:val="0"/>
              <w:spacing w:before="0" w:after="283"/>
              <w:jc w:val="right"/>
              <w:rPr/>
            </w:pPr>
            <w:r>
              <w:rPr/>
              <w:t>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pPr>
            <w:r>
              <w:rPr/>
              <w:t>2.23</w:t>
            </w:r>
          </w:p>
        </w:tc>
        <w:tc>
          <w:tcPr>
            <w:tcW w:w="116" w:type="dxa"/>
            <w:tcBorders/>
            <w:shd w:fill="CCEEFF" w:val="clear"/>
            <w:vAlign w:val="center"/>
          </w:tcPr>
          <w:p>
            <w:pPr>
              <w:pStyle w:val="TableContents"/>
              <w:bidi w:val="0"/>
              <w:spacing w:before="0" w:after="283"/>
              <w:jc w:val="left"/>
              <w:rPr/>
            </w:pPr>
            <w:r>
              <w:rPr/>
              <w:t> </w:t>
            </w:r>
            <w:bookmarkStart w:id="144" w:name="xdx_407_eus-gaap--WeightedAverageNumberO"/>
            <w:bookmarkEnd w:id="144"/>
          </w:p>
        </w:tc>
      </w:tr>
      <w:tr>
        <w:trPr/>
        <w:tc>
          <w:tcPr>
            <w:tcW w:w="4219" w:type="dxa"/>
            <w:tcBorders/>
            <w:shd w:fill="FFFFFF" w:val="clear"/>
            <w:vAlign w:val="center"/>
          </w:tcPr>
          <w:p>
            <w:pPr>
              <w:pStyle w:val="TableContents"/>
              <w:bidi w:val="0"/>
              <w:spacing w:before="0" w:after="283"/>
              <w:jc w:val="left"/>
              <w:rPr>
                <w:b/>
              </w:rPr>
            </w:pPr>
            <w:r>
              <w:rPr>
                <w:b/>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45" w:name="xdx_409_eus-gaap--WeightedAverageNumberO"/>
            <w:bookmarkEnd w:id="145"/>
          </w:p>
        </w:tc>
      </w:tr>
      <w:tr>
        <w:trPr/>
        <w:tc>
          <w:tcPr>
            <w:tcW w:w="4219"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25,983,140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23,728,095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25,683,611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23,650,399</w:t>
            </w:r>
          </w:p>
        </w:tc>
        <w:tc>
          <w:tcPr>
            <w:tcW w:w="116" w:type="dxa"/>
            <w:tcBorders/>
            <w:shd w:fill="CCEEFF" w:val="clear"/>
            <w:vAlign w:val="center"/>
          </w:tcPr>
          <w:p>
            <w:pPr>
              <w:pStyle w:val="TableContents"/>
              <w:bidi w:val="0"/>
              <w:spacing w:before="0" w:after="283"/>
              <w:jc w:val="left"/>
              <w:rPr/>
            </w:pPr>
            <w:r>
              <w:rPr/>
              <w:t> </w:t>
            </w:r>
            <w:bookmarkStart w:id="146" w:name="xdx_408_eus-gaap--WeightedAverageNumberO"/>
            <w:bookmarkEnd w:id="146"/>
          </w:p>
        </w:tc>
      </w:tr>
      <w:tr>
        <w:trPr/>
        <w:tc>
          <w:tcPr>
            <w:tcW w:w="4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bookmarkStart w:id="147" w:name="xdx_F48_zixRVinsPnP1"/>
            <w:bookmarkEnd w:id="147"/>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25,983,140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28,244,225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30,168,169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28,113,063</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8" w:name="xdx_F03_zKhRub0dTaN3"/>
            <w:bookmarkEnd w:id="148"/>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49" w:name="xdx_F16_z4Clxq6pk4o1"/>
            <w:bookmarkEnd w:id="149"/>
            <w:r>
              <w:rPr>
                <w:rFonts w:ascii="Times New Roman;Times;Serif" w:hAnsi="Times New Roman;Times;Serif"/>
                <w:b w:val="false"/>
                <w:i w:val="false"/>
                <w:caps w:val="false"/>
                <w:smallCaps w:val="false"/>
                <w:sz w:val="20"/>
              </w:rPr>
              <w:t>Includes interest income earned on cash.</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0" w:name="xdx_F04_zAqgJnVwZUF4"/>
            <w:bookmarkEnd w:id="150"/>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1" w:name="xdx_F18_zk93AdJZdwy8"/>
            <w:bookmarkEnd w:id="151"/>
            <w:r>
              <w:rPr>
                <w:rFonts w:ascii="Times New Roman;Times;Serif" w:hAnsi="Times New Roman;Times;Serif"/>
                <w:b w:val="false"/>
                <w:i w:val="false"/>
                <w:caps w:val="false"/>
                <w:smallCaps w:val="false"/>
                <w:sz w:val="20"/>
              </w:rPr>
              <w:t>For the three months ended June 30, 2026,</w:t>
            </w:r>
            <w:bookmarkStart w:id="152" w:name="xdx_909_ecustom--WeightedAverageNumberEx"/>
            <w:bookmarkEnd w:id="152"/>
            <w:r>
              <w:rPr>
                <w:rFonts w:ascii="Times New Roman;Times;Serif" w:hAnsi="Times New Roman;Times;Serif"/>
                <w:b w:val="false"/>
                <w:i w:val="false"/>
                <w:caps w:val="false"/>
                <w:smallCaps w:val="false"/>
                <w:sz w:val="20"/>
              </w:rPr>
              <w:t xml:space="preserve"> 4,192,642 potentially dilutive common shares were excluded from the weighted-average common shares outstanding for diluted net change in net assets resulting from operations per common share because the effect of these shares would have been antidilutive. Refer to “Note 6 — Net Change in Net Assets Resulting from Operations per Common Share — Basic and Diluted”.</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3" w:name="ak_005"/>
      <w:bookmarkEnd w:id="153"/>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NET ASSETS (UNAUDITED)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4" w:name="xdx_30C_114_zi176eeN1Rme"/>
      <w:bookmarkStart w:id="155" w:name="xdx_30C_114_zi176eeN1Rme"/>
      <w:bookmarkEnd w:id="155"/>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 w:name="xdx_49E_20260101__20260630_ziYaVDKPr1Xl"/>
            <w:bookmarkEnd w:id="156"/>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9F_20250101__20250630_zselkGr9Gyg5"/>
            <w:bookmarkEnd w:id="157"/>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Net Assets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8" w:name="xdx_988_eus-gaap--AssetsNet_iS_c20260101"/>
            <w:bookmarkEnd w:id="158"/>
          </w:p>
        </w:tc>
        <w:tc>
          <w:tcPr>
            <w:tcW w:w="1220" w:type="dxa"/>
            <w:tcBorders/>
            <w:shd w:fill="CCEEFF" w:val="clear"/>
            <w:vAlign w:val="center"/>
          </w:tcPr>
          <w:p>
            <w:pPr>
              <w:pStyle w:val="TableContents"/>
              <w:bidi w:val="0"/>
              <w:spacing w:before="0" w:after="283"/>
              <w:jc w:val="right"/>
              <w:rPr/>
            </w:pPr>
            <w:r>
              <w:rPr/>
              <w:t>205,316,251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9" w:name="xdx_98B_eus-gaap--AssetsNet_iS_c20250101"/>
            <w:bookmarkEnd w:id="159"/>
          </w:p>
        </w:tc>
        <w:tc>
          <w:tcPr>
            <w:tcW w:w="1220" w:type="dxa"/>
            <w:tcBorders/>
            <w:shd w:fill="CCEEFF" w:val="clear"/>
            <w:vAlign w:val="center"/>
          </w:tcPr>
          <w:p>
            <w:pPr>
              <w:pStyle w:val="TableContents"/>
              <w:bidi w:val="0"/>
              <w:spacing w:before="0" w:after="283"/>
              <w:jc w:val="right"/>
              <w:rPr/>
            </w:pPr>
            <w:r>
              <w:rPr/>
              <w:t>157,572,086</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 w:name="xdx_40E_eus-gaap--NetIncomeLossAttributa"/>
            <w:bookmarkEnd w:id="160"/>
          </w:p>
        </w:tc>
      </w:tr>
      <w:tr>
        <w:trPr/>
        <w:tc>
          <w:tcPr>
            <w:tcW w:w="7160" w:type="dxa"/>
            <w:tcBorders/>
            <w:shd w:fill="CCEEFF" w:val="clear"/>
            <w:vAlign w:val="center"/>
          </w:tcPr>
          <w:p>
            <w:pPr>
              <w:pStyle w:val="TableContents"/>
              <w:bidi w:val="0"/>
              <w:spacing w:before="0" w:after="283"/>
              <w:jc w:val="left"/>
              <w:rPr>
                <w:b/>
              </w:rPr>
            </w:pPr>
            <w:r>
              <w:rPr>
                <w:b/>
              </w:rPr>
              <w:t>Change in Net Assets Resulting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Net investment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1" w:name="xdx_985_eus-gaap--NetInvestmentIncome_c2"/>
            <w:bookmarkEnd w:id="161"/>
          </w:p>
        </w:tc>
        <w:tc>
          <w:tcPr>
            <w:tcW w:w="1220" w:type="dxa"/>
            <w:tcBorders/>
            <w:shd w:fill="FFFFFF" w:val="clear"/>
            <w:vAlign w:val="center"/>
          </w:tcPr>
          <w:p>
            <w:pPr>
              <w:pStyle w:val="TableContents"/>
              <w:bidi w:val="0"/>
              <w:spacing w:before="0" w:after="283"/>
              <w:jc w:val="right"/>
              <w:rPr/>
            </w:pPr>
            <w:r>
              <w:rPr/>
              <w:t>(3,978,492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2" w:name="xdx_985_eus-gaap--NetInvestmentIncome_c2"/>
            <w:bookmarkEnd w:id="162"/>
          </w:p>
        </w:tc>
        <w:tc>
          <w:tcPr>
            <w:tcW w:w="1220" w:type="dxa"/>
            <w:tcBorders/>
            <w:shd w:fill="FFFFFF" w:val="clear"/>
            <w:vAlign w:val="center"/>
          </w:tcPr>
          <w:p>
            <w:pPr>
              <w:pStyle w:val="TableContents"/>
              <w:bidi w:val="0"/>
              <w:spacing w:before="0" w:after="283"/>
              <w:jc w:val="right"/>
              <w:rPr/>
            </w:pPr>
            <w:r>
              <w:rPr/>
              <w:t>(3,661,769</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Net realized gain/(loss) on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63" w:name="xdx_98B_eus-gaap--RealizedInvestmentGain"/>
            <w:bookmarkEnd w:id="163"/>
          </w:p>
        </w:tc>
        <w:tc>
          <w:tcPr>
            <w:tcW w:w="1220" w:type="dxa"/>
            <w:tcBorders/>
            <w:shd w:fill="CCEEFF" w:val="clear"/>
            <w:vAlign w:val="center"/>
          </w:tcPr>
          <w:p>
            <w:pPr>
              <w:pStyle w:val="TableContents"/>
              <w:bidi w:val="0"/>
              <w:spacing w:before="0" w:after="283"/>
              <w:jc w:val="right"/>
              <w:rPr/>
            </w:pPr>
            <w:r>
              <w:rPr/>
              <w:t>890,513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64" w:name="xdx_987_eus-gaap--RealizedInvestmentGain"/>
            <w:bookmarkEnd w:id="164"/>
          </w:p>
        </w:tc>
        <w:tc>
          <w:tcPr>
            <w:tcW w:w="1220" w:type="dxa"/>
            <w:tcBorders/>
            <w:shd w:fill="CCEEFF" w:val="clear"/>
            <w:vAlign w:val="center"/>
          </w:tcPr>
          <w:p>
            <w:pPr>
              <w:pStyle w:val="TableContents"/>
              <w:bidi w:val="0"/>
              <w:spacing w:before="0" w:after="283"/>
              <w:jc w:val="right"/>
              <w:rPr/>
            </w:pPr>
            <w:r>
              <w:rPr/>
              <w:t>(17,951</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Realized loss on partial repurchase of 6.00% Notes due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5" w:name="xdx_985_ecustom--RealizedInvestmentGains"/>
            <w:bookmarkEnd w:id="165"/>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6" w:name="xdx_98B_ecustom--RealizedInvestmentGains"/>
            <w:bookmarkEnd w:id="166"/>
          </w:p>
        </w:tc>
        <w:tc>
          <w:tcPr>
            <w:tcW w:w="1220" w:type="dxa"/>
            <w:tcBorders/>
            <w:shd w:fill="FFFFFF" w:val="clear"/>
            <w:vAlign w:val="center"/>
          </w:tcPr>
          <w:p>
            <w:pPr>
              <w:pStyle w:val="TableContents"/>
              <w:bidi w:val="0"/>
              <w:spacing w:before="0" w:after="283"/>
              <w:jc w:val="right"/>
              <w:rPr/>
            </w:pPr>
            <w:r>
              <w:rPr/>
              <w:t>(15,873</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Net 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7" w:name="xdx_986_eus-gaap--UnrealizedGainLossOnIn"/>
            <w:bookmarkEnd w:id="167"/>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158,724,039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8" w:name="xdx_98D_eus-gaap--UnrealizedGainLossOnIn"/>
            <w:bookmarkEnd w:id="168"/>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2,888,878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Net Change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9" w:name="xdx_987_eus-gaap--NetIncomeLoss_c2026010"/>
            <w:bookmarkEnd w:id="169"/>
          </w:p>
        </w:tc>
        <w:tc>
          <w:tcPr>
            <w:tcW w:w="1220" w:type="dxa"/>
            <w:tcBorders/>
            <w:shd w:fill="FFFFFF" w:val="clear"/>
            <w:vAlign w:val="center"/>
          </w:tcPr>
          <w:p>
            <w:pPr>
              <w:pStyle w:val="TableContents"/>
              <w:bidi w:val="0"/>
              <w:spacing w:before="0" w:after="283"/>
              <w:jc w:val="right"/>
              <w:rPr/>
            </w:pPr>
            <w:r>
              <w:rPr/>
              <w:t>155,636,060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70" w:name="xdx_986_eus-gaap--NetIncomeLoss_c2025010"/>
            <w:bookmarkEnd w:id="170"/>
          </w:p>
        </w:tc>
        <w:tc>
          <w:tcPr>
            <w:tcW w:w="1220" w:type="dxa"/>
            <w:tcBorders/>
            <w:shd w:fill="FFFFFF" w:val="clear"/>
            <w:vAlign w:val="center"/>
          </w:tcPr>
          <w:p>
            <w:pPr>
              <w:pStyle w:val="TableContents"/>
              <w:bidi w:val="0"/>
              <w:spacing w:before="0" w:after="283"/>
              <w:jc w:val="right"/>
              <w:rPr/>
            </w:pPr>
            <w:r>
              <w:rPr/>
              <w:t>(806,715</w:t>
            </w:r>
          </w:p>
        </w:tc>
        <w:tc>
          <w:tcPr>
            <w:tcW w:w="110" w:type="dxa"/>
            <w:tcBorders/>
            <w:shd w:fill="FFFFFF" w:val="clear"/>
            <w:vAlign w:val="center"/>
          </w:tcPr>
          <w:p>
            <w:pPr>
              <w:pStyle w:val="TableContents"/>
              <w:bidi w:val="0"/>
              <w:spacing w:before="0" w:after="283"/>
              <w:jc w:val="left"/>
              <w:rPr/>
            </w:pPr>
            <w:r>
              <w:rPr/>
              <w:t>)</w:t>
            </w:r>
            <w:bookmarkStart w:id="171" w:name="xdx_40F_eus-gaap--InvestmentCompanyCapit"/>
            <w:bookmarkEnd w:id="171"/>
          </w:p>
        </w:tc>
      </w:tr>
      <w:tr>
        <w:trPr/>
        <w:tc>
          <w:tcPr>
            <w:tcW w:w="7160" w:type="dxa"/>
            <w:tcBorders/>
            <w:shd w:fill="CCEEFF" w:val="clear"/>
            <w:vAlign w:val="center"/>
          </w:tcPr>
          <w:p>
            <w:pPr>
              <w:pStyle w:val="TableContents"/>
              <w:bidi w:val="0"/>
              <w:spacing w:before="0" w:after="283"/>
              <w:jc w:val="left"/>
              <w:rPr>
                <w:b/>
              </w:rPr>
            </w:pPr>
            <w:r>
              <w:rPr>
                <w:b/>
              </w:rPr>
              <w:t>Change in Net Assets Resulting from Capital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2" w:name="xdx_98F_ecustom--StockIssuedDuringPeriod"/>
            <w:bookmarkEnd w:id="172"/>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599,271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3" w:name="xdx_98A_ecustom--StockIssuedDuringPeriod"/>
            <w:bookmarkEnd w:id="173"/>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38,784</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Net Change in Net Assets Resulting from Capital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4" w:name="xdx_982_ecustom--InvestmentCompanyCapita"/>
            <w:bookmarkEnd w:id="174"/>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599,271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5" w:name="xdx_986_ecustom--InvestmentCompanyCapita"/>
            <w:bookmarkEnd w:id="175"/>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38,784</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Change in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6" w:name="xdx_984_eus-gaap--StockholdersEquityPeri"/>
            <w:bookmarkEnd w:id="17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156,235,331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7" w:name="xdx_98B_eus-gaap--StockholdersEquityPeri"/>
            <w:bookmarkEnd w:id="17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(767,931</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b/>
              </w:rPr>
            </w:pPr>
            <w:r>
              <w:rPr>
                <w:b/>
              </w:rPr>
              <w:t>Net Assets at March 31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78" w:name="xdx_987_eus-gaap--AssetsNet_iS_c20260401"/>
            <w:bookmarkEnd w:id="178"/>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361,551,582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79" w:name="xdx_98B_eus-gaap--AssetsNet_iS_c20250401"/>
            <w:bookmarkEnd w:id="17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156,804,155</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0" w:name="xdx_40E_eus-gaap--NetIncomeLossAttributa"/>
            <w:bookmarkEnd w:id="180"/>
          </w:p>
        </w:tc>
      </w:tr>
      <w:tr>
        <w:trPr/>
        <w:tc>
          <w:tcPr>
            <w:tcW w:w="7160" w:type="dxa"/>
            <w:tcBorders/>
            <w:shd w:fill="CCEEFF" w:val="clear"/>
            <w:vAlign w:val="center"/>
          </w:tcPr>
          <w:p>
            <w:pPr>
              <w:pStyle w:val="TableContents"/>
              <w:bidi w:val="0"/>
              <w:spacing w:before="0" w:after="283"/>
              <w:jc w:val="left"/>
              <w:rPr>
                <w:b/>
              </w:rPr>
            </w:pPr>
            <w:r>
              <w:rPr>
                <w:b/>
              </w:rPr>
              <w:t>Change in Net Assets Resulting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Net investment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81" w:name="xdx_98B_eus-gaap--NetInvestmentIncome_c2"/>
            <w:bookmarkEnd w:id="181"/>
          </w:p>
        </w:tc>
        <w:tc>
          <w:tcPr>
            <w:tcW w:w="1220" w:type="dxa"/>
            <w:tcBorders/>
            <w:shd w:fill="FFFFFF" w:val="clear"/>
            <w:vAlign w:val="center"/>
          </w:tcPr>
          <w:p>
            <w:pPr>
              <w:pStyle w:val="TableContents"/>
              <w:bidi w:val="0"/>
              <w:spacing w:before="0" w:after="283"/>
              <w:jc w:val="right"/>
              <w:rPr/>
            </w:pPr>
            <w:r>
              <w:rPr/>
              <w:t>(23,354,684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82" w:name="xdx_988_eus-gaap--NetInvestmentIncome_c2"/>
            <w:bookmarkEnd w:id="182"/>
          </w:p>
        </w:tc>
        <w:tc>
          <w:tcPr>
            <w:tcW w:w="1220" w:type="dxa"/>
            <w:tcBorders/>
            <w:shd w:fill="FFFFFF" w:val="clear"/>
            <w:vAlign w:val="center"/>
          </w:tcPr>
          <w:p>
            <w:pPr>
              <w:pStyle w:val="TableContents"/>
              <w:bidi w:val="0"/>
              <w:spacing w:before="0" w:after="283"/>
              <w:jc w:val="right"/>
              <w:rPr/>
            </w:pPr>
            <w:r>
              <w:rPr/>
              <w:t>(3,722,160</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Net realized gain on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83" w:name="xdx_983_eus-gaap--RealizedInvestmentGain"/>
            <w:bookmarkEnd w:id="183"/>
          </w:p>
        </w:tc>
        <w:tc>
          <w:tcPr>
            <w:tcW w:w="1220" w:type="dxa"/>
            <w:tcBorders/>
            <w:shd w:fill="CCEEFF" w:val="clear"/>
            <w:vAlign w:val="center"/>
          </w:tcPr>
          <w:p>
            <w:pPr>
              <w:pStyle w:val="TableContents"/>
              <w:bidi w:val="0"/>
              <w:spacing w:before="0" w:after="283"/>
              <w:jc w:val="right"/>
              <w:rPr/>
            </w:pPr>
            <w:r>
              <w:rPr/>
              <w:t>5,049,520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84" w:name="xdx_984_eus-gaap--RealizedInvestmentGain"/>
            <w:bookmarkEnd w:id="184"/>
          </w:p>
        </w:tc>
        <w:tc>
          <w:tcPr>
            <w:tcW w:w="1220" w:type="dxa"/>
            <w:tcBorders/>
            <w:shd w:fill="CCEEFF" w:val="clear"/>
            <w:vAlign w:val="center"/>
          </w:tcPr>
          <w:p>
            <w:pPr>
              <w:pStyle w:val="TableContents"/>
              <w:bidi w:val="0"/>
              <w:spacing w:before="0" w:after="283"/>
              <w:jc w:val="right"/>
              <w:rPr/>
            </w:pPr>
            <w:r>
              <w:rPr/>
              <w:t>21,212,611</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Net change in unrealized appreciation/(depreciation) of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5" w:name="xdx_983_eus-gaap--UnrealizedGainLossOnIn"/>
            <w:bookmarkEnd w:id="185"/>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(398,509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6" w:name="xdx_983_eus-gaap--UnrealizedGainLossOnIn"/>
            <w:bookmarkEnd w:id="18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44,837,619</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Net Change in Net Assets Resulting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87" w:name="xdx_983_eus-gaap--NetIncomeLoss_c2026040"/>
            <w:bookmarkEnd w:id="187"/>
          </w:p>
        </w:tc>
        <w:tc>
          <w:tcPr>
            <w:tcW w:w="1220" w:type="dxa"/>
            <w:tcBorders/>
            <w:shd w:fill="CCEEFF" w:val="clear"/>
            <w:vAlign w:val="center"/>
          </w:tcPr>
          <w:p>
            <w:pPr>
              <w:pStyle w:val="TableContents"/>
              <w:bidi w:val="0"/>
              <w:spacing w:before="0" w:after="283"/>
              <w:jc w:val="right"/>
              <w:rPr/>
            </w:pPr>
            <w:r>
              <w:rPr/>
              <w:t>(18,703,673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88" w:name="xdx_987_eus-gaap--NetIncomeLoss_c2025040"/>
            <w:bookmarkEnd w:id="188"/>
          </w:p>
        </w:tc>
        <w:tc>
          <w:tcPr>
            <w:tcW w:w="1220" w:type="dxa"/>
            <w:tcBorders/>
            <w:shd w:fill="CCEEFF" w:val="clear"/>
            <w:vAlign w:val="center"/>
          </w:tcPr>
          <w:p>
            <w:pPr>
              <w:pStyle w:val="TableContents"/>
              <w:bidi w:val="0"/>
              <w:spacing w:before="0" w:after="283"/>
              <w:jc w:val="right"/>
              <w:rPr/>
            </w:pPr>
            <w:r>
              <w:rPr/>
              <w:t>62,328,070</w:t>
            </w:r>
          </w:p>
        </w:tc>
        <w:tc>
          <w:tcPr>
            <w:tcW w:w="110" w:type="dxa"/>
            <w:tcBorders/>
            <w:shd w:fill="CCEEFF" w:val="clear"/>
            <w:vAlign w:val="center"/>
          </w:tcPr>
          <w:p>
            <w:pPr>
              <w:pStyle w:val="TableContents"/>
              <w:bidi w:val="0"/>
              <w:spacing w:before="0" w:after="283"/>
              <w:jc w:val="left"/>
              <w:rPr/>
            </w:pPr>
            <w:r>
              <w:rPr/>
              <w:t> </w:t>
            </w:r>
            <w:bookmarkStart w:id="189" w:name="xdx_40B_eus-gaap--InvestmentCompanyCapit"/>
            <w:bookmarkEnd w:id="189"/>
          </w:p>
        </w:tc>
      </w:tr>
      <w:tr>
        <w:trPr/>
        <w:tc>
          <w:tcPr>
            <w:tcW w:w="7160" w:type="dxa"/>
            <w:tcBorders/>
            <w:shd w:fill="FFFFFF" w:val="clear"/>
            <w:vAlign w:val="center"/>
          </w:tcPr>
          <w:p>
            <w:pPr>
              <w:pStyle w:val="TableContents"/>
              <w:bidi w:val="0"/>
              <w:spacing w:before="0" w:after="283"/>
              <w:jc w:val="left"/>
              <w:rPr>
                <w:b/>
              </w:rPr>
            </w:pPr>
            <w:r>
              <w:rPr>
                <w:b/>
              </w:rPr>
              <w:t>Change in Net Assets Resulting from Capital Transactions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0" w:name="xdx_98F_ecustom--StockIssuedDuringPeriod"/>
            <w:bookmarkEnd w:id="190"/>
          </w:p>
        </w:tc>
        <w:tc>
          <w:tcPr>
            <w:tcW w:w="1220" w:type="dxa"/>
            <w:tcBorders/>
            <w:shd w:fill="CCEEFF" w:val="clear"/>
            <w:vAlign w:val="center"/>
          </w:tcPr>
          <w:p>
            <w:pPr>
              <w:pStyle w:val="TableContents"/>
              <w:bidi w:val="0"/>
              <w:spacing w:before="0" w:after="283"/>
              <w:jc w:val="right"/>
              <w:rPr/>
            </w:pPr>
            <w:r>
              <w:rPr/>
              <w:t>11,085,473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1" w:name="xdx_98A_ecustom--StockIssuedDuringPeriod"/>
            <w:bookmarkEnd w:id="191"/>
          </w:p>
        </w:tc>
        <w:tc>
          <w:tcPr>
            <w:tcW w:w="1220" w:type="dxa"/>
            <w:tcBorders/>
            <w:shd w:fill="CCEEFF" w:val="clear"/>
            <w:vAlign w:val="center"/>
          </w:tcPr>
          <w:p>
            <w:pPr>
              <w:pStyle w:val="TableContents"/>
              <w:bidi w:val="0"/>
              <w:spacing w:before="0" w:after="283"/>
              <w:jc w:val="right"/>
              <w:rPr/>
            </w:pPr>
            <w:r>
              <w:rPr/>
              <w:t>277,370</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hanging="0"/>
              <w:jc w:val="left"/>
              <w:rPr/>
            </w:pPr>
            <w:r>
              <w:rPr/>
              <w:t>Shares repurchased for tax withholdings on vesting of employee equity awards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2" w:name="xdx_985_eus-gaap--StockRepurchasedDuring"/>
            <w:bookmarkEnd w:id="192"/>
          </w:p>
        </w:tc>
        <w:tc>
          <w:tcPr>
            <w:tcW w:w="1220" w:type="dxa"/>
            <w:tcBorders/>
            <w:shd w:fill="FFFFFF" w:val="clear"/>
            <w:vAlign w:val="center"/>
          </w:tcPr>
          <w:p>
            <w:pPr>
              <w:pStyle w:val="TableContents"/>
              <w:bidi w:val="0"/>
              <w:spacing w:before="0" w:after="283"/>
              <w:jc w:val="right"/>
              <w:rPr/>
            </w:pPr>
            <w:r>
              <w:rPr/>
              <w:t>(5,897,743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3" w:name="xdx_986_eus-gaap--StockRepurchasedDuring"/>
            <w:bookmarkEnd w:id="193"/>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Conversion of 6.50% Convertible Notes due 2029</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4" w:name="xdx_986_eus-gaap--StockIssuedDuringPerio"/>
            <w:bookmarkEnd w:id="194"/>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7,821,347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5" w:name="xdx_981_eus-gaap--StockIssuedDuringPerio"/>
            <w:bookmarkEnd w:id="195"/>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Net Change in Net Assets Resulting from Capital Transactions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6" w:name="xdx_983_ecustom--InvestmentCompanyCapita"/>
            <w:bookmarkEnd w:id="19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13,009,077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7" w:name="xdx_982_ecustom--InvestmentCompanyCapita"/>
            <w:bookmarkEnd w:id="19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277,370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Change in Net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8" w:name="xdx_988_eus-gaap--StockholdersEquityPeri"/>
            <w:bookmarkEnd w:id="198"/>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(5,694,596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9" w:name="xdx_98A_eus-gaap--StockholdersEquityPeri"/>
            <w:bookmarkEnd w:id="19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62,605,440</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Net Assets at June 30</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00" w:name="xdx_988_eus-gaap--AssetsNet_iE_c20260401"/>
            <w:bookmarkEnd w:id="200"/>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355,856,986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01" w:name="xdx_98F_eus-gaap--AssetsNet_iE_c20250401"/>
            <w:bookmarkEnd w:id="20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219,409,595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30"/>
        <w:gridCol w:w="60"/>
        <w:gridCol w:w="60"/>
        <w:gridCol w:w="1100"/>
        <w:gridCol w:w="60"/>
        <w:gridCol w:w="60"/>
        <w:gridCol w:w="60"/>
        <w:gridCol w:w="1100"/>
        <w:gridCol w:w="75"/>
      </w:tblGrid>
      <w:tr>
        <w:trPr/>
        <w:tc>
          <w:tcPr>
            <w:tcW w:w="76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bookmarkStart w:id="202" w:name="xdx_40E_eus-gaap--InvestmentCompanyCapit"/>
            <w:bookmarkEnd w:id="202"/>
          </w:p>
        </w:tc>
      </w:tr>
      <w:tr>
        <w:trPr/>
        <w:tc>
          <w:tcPr>
            <w:tcW w:w="7630" w:type="dxa"/>
            <w:tcBorders/>
            <w:shd w:fill="CCEEFF" w:val="clear"/>
            <w:vAlign w:val="center"/>
          </w:tcPr>
          <w:p>
            <w:pPr>
              <w:pStyle w:val="TableContents"/>
              <w:bidi w:val="0"/>
              <w:spacing w:before="0" w:after="283"/>
              <w:jc w:val="left"/>
              <w:rPr>
                <w:b/>
              </w:rPr>
            </w:pPr>
            <w:r>
              <w:rPr>
                <w:b/>
              </w:rPr>
              <w:t>Capital Share Activity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283"/>
              <w:jc w:val="left"/>
              <w:rPr/>
            </w:pPr>
            <w:r>
              <w:rPr/>
              <w:t>Shares outstanding at 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3" w:name="xdx_98D_eus-gaap--SharesOutstanding_iS_c"/>
            <w:bookmarkEnd w:id="203"/>
          </w:p>
        </w:tc>
        <w:tc>
          <w:tcPr>
            <w:tcW w:w="1100" w:type="dxa"/>
            <w:tcBorders/>
            <w:shd w:fill="FFFFFF" w:val="clear"/>
            <w:vAlign w:val="center"/>
          </w:tcPr>
          <w:p>
            <w:pPr>
              <w:pStyle w:val="TableContents"/>
              <w:bidi w:val="0"/>
              <w:spacing w:before="0" w:after="283"/>
              <w:jc w:val="right"/>
              <w:rPr/>
            </w:pPr>
            <w:r>
              <w:rPr/>
              <w:t>25,377,756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4" w:name="xdx_986_eus-gaap--SharesOutstanding_iS_c"/>
            <w:bookmarkEnd w:id="204"/>
          </w:p>
        </w:tc>
        <w:tc>
          <w:tcPr>
            <w:tcW w:w="1100" w:type="dxa"/>
            <w:tcBorders/>
            <w:shd w:fill="FFFFFF" w:val="clear"/>
            <w:vAlign w:val="center"/>
          </w:tcPr>
          <w:p>
            <w:pPr>
              <w:pStyle w:val="TableContents"/>
              <w:bidi w:val="0"/>
              <w:spacing w:before="0" w:after="283"/>
              <w:jc w:val="right"/>
              <w:rPr/>
            </w:pPr>
            <w:r>
              <w:rPr/>
              <w:t>23,601,566</w:t>
            </w:r>
          </w:p>
        </w:tc>
        <w:tc>
          <w:tcPr>
            <w:tcW w:w="75"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under restricted stock plan, net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5" w:name="xdx_98E_eus-gaap--StockIssuedDuringPerio"/>
            <w:bookmarkEnd w:id="205"/>
          </w:p>
        </w:tc>
        <w:tc>
          <w:tcPr>
            <w:tcW w:w="1100" w:type="dxa"/>
            <w:tcBorders/>
            <w:shd w:fill="CCEEFF" w:val="clear"/>
            <w:vAlign w:val="center"/>
          </w:tcPr>
          <w:p>
            <w:pPr>
              <w:pStyle w:val="TableContents"/>
              <w:bidi w:val="0"/>
              <w:spacing w:before="0" w:after="283"/>
              <w:jc w:val="right"/>
              <w:rPr/>
            </w:pPr>
            <w:r>
              <w:rPr/>
              <w:t>2,962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6" w:name="xdx_98C_eus-gaap--StockIssuedDuringPerio"/>
            <w:bookmarkEnd w:id="206"/>
          </w:p>
        </w:tc>
        <w:tc>
          <w:tcPr>
            <w:tcW w:w="1100" w:type="dxa"/>
            <w:tcBorders/>
            <w:shd w:fill="CCEEFF" w:val="clear"/>
            <w:vAlign w:val="center"/>
          </w:tcPr>
          <w:p>
            <w:pPr>
              <w:pStyle w:val="TableContents"/>
              <w:bidi w:val="0"/>
              <w:spacing w:before="0" w:after="283"/>
              <w:jc w:val="right"/>
              <w:rPr/>
            </w:pPr>
            <w:r>
              <w:rPr/>
              <w:t>286,541</w:t>
            </w:r>
          </w:p>
        </w:tc>
        <w:tc>
          <w:tcPr>
            <w:tcW w:w="75"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283"/>
              <w:jc w:val="left"/>
              <w:rPr/>
            </w:pPr>
            <w:r>
              <w:rPr/>
              <w:t>Issuance of common stock from conversion of 6.50% Convertible Notes due 2029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07" w:name="xdx_986_eus-gaap--StockIssuedDuringPerio"/>
            <w:bookmarkEnd w:id="20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1,092,504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08" w:name="xdx_982_eus-gaap--StockIssuedDuringPerio"/>
            <w:bookmarkEnd w:id="20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283"/>
              <w:jc w:val="left"/>
              <w:rPr>
                <w:b/>
              </w:rPr>
            </w:pPr>
            <w:r>
              <w:rPr>
                <w:b/>
              </w:rPr>
              <w:t>Shares Outstanding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9" w:name="xdx_982_eus-gaap--SharesOutstanding_iE_c"/>
            <w:bookmarkEnd w:id="20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26,473,222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0" w:name="xdx_98E_eus-gaap--SharesOutstanding_iE_c"/>
            <w:bookmarkEnd w:id="21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23,888,107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620" w:type="dxa"/>
        <w:jc w:val="left"/>
        <w:tblInd w:w="0" w:type="dxa"/>
        <w:tblLayout w:type="fixed"/>
        <w:tblCellMar>
          <w:top w:w="0" w:type="dxa"/>
          <w:left w:w="0" w:type="dxa"/>
          <w:bottom w:w="0" w:type="dxa"/>
          <w:right w:w="0" w:type="dxa"/>
        </w:tblCellMar>
      </w:tblPr>
      <w:tblGrid>
        <w:gridCol w:w="260"/>
        <w:gridCol w:w="536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11" w:name="xdx_F0D_zDiBymuWdvI9"/>
            <w:bookmarkEnd w:id="211"/>
            <w:r>
              <w:rPr>
                <w:rFonts w:ascii="Times New Roman;Times;Serif" w:hAnsi="Times New Roman;Times;Serif"/>
                <w:b w:val="false"/>
                <w:i w:val="false"/>
                <w:caps w:val="false"/>
                <w:smallCaps w:val="false"/>
                <w:sz w:val="20"/>
              </w:rPr>
              <w:t>(1)</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12" w:name="xdx_F14_z25ilK1JSXo1"/>
            <w:bookmarkEnd w:id="212"/>
            <w:r>
              <w:rPr>
                <w:rFonts w:ascii="Times New Roman;Times;Serif" w:hAnsi="Times New Roman;Times;Serif"/>
                <w:b w:val="false"/>
                <w:i w:val="false"/>
                <w:caps w:val="false"/>
                <w:smallCaps w:val="false"/>
                <w:sz w:val="20"/>
              </w:rPr>
              <w:t>Refer to “Note 11 — Stock-Based Compensation” for more detail.</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3" w:name="ak_006"/>
      <w:bookmarkEnd w:id="213"/>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360" w:right="0" w:hanging="3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4" w:name="xdx_30D_112_z1KIBk5LKP9l"/>
      <w:bookmarkStart w:id="215" w:name="xdx_30D_112_z1KIBk5LKP9l"/>
      <w:bookmarkEnd w:id="215"/>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 w:name="xdx_495_20260101__20260630_zfMn6qawLTKf"/>
            <w:bookmarkEnd w:id="216"/>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 w:name="xdx_49C_20250101__20250630_z4mO3CtO1ft1"/>
            <w:bookmarkEnd w:id="217"/>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218" w:name="xdx_403_eus-gaap--NetCashProvidedByUsedI"/>
            <w:bookmarkEnd w:id="218"/>
          </w:p>
        </w:tc>
      </w:tr>
      <w:tr>
        <w:trPr/>
        <w:tc>
          <w:tcPr>
            <w:tcW w:w="713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19" w:name="xdx_40B_eus-gaap--NetIncomeLoss_i01_maNC"/>
            <w:bookmarkEnd w:id="219"/>
          </w:p>
        </w:tc>
      </w:tr>
      <w:tr>
        <w:trPr/>
        <w:tc>
          <w:tcPr>
            <w:tcW w:w="7130" w:type="dxa"/>
            <w:tcBorders/>
            <w:shd w:fill="FFFFFF" w:val="clear"/>
            <w:vAlign w:val="center"/>
          </w:tcPr>
          <w:p>
            <w:pPr>
              <w:pStyle w:val="TableContents"/>
              <w:bidi w:val="0"/>
              <w:spacing w:before="0" w:after="283"/>
              <w:jc w:val="left"/>
              <w:rPr/>
            </w:pPr>
            <w:r>
              <w:rPr/>
              <w:t>Net change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136,932,387</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61,521,355</w:t>
            </w:r>
          </w:p>
        </w:tc>
        <w:tc>
          <w:tcPr>
            <w:tcW w:w="110" w:type="dxa"/>
            <w:tcBorders/>
            <w:shd w:fill="FFFFFF" w:val="clear"/>
            <w:vAlign w:val="center"/>
          </w:tcPr>
          <w:p>
            <w:pPr>
              <w:pStyle w:val="TableContents"/>
              <w:bidi w:val="0"/>
              <w:spacing w:before="0" w:after="283"/>
              <w:jc w:val="left"/>
              <w:rPr/>
            </w:pPr>
            <w:r>
              <w:rPr/>
              <w:t> </w:t>
            </w:r>
            <w:bookmarkStart w:id="220" w:name="xdx_40A_eus-gaap--AdjustmentsToReconcile"/>
            <w:bookmarkEnd w:id="220"/>
          </w:p>
        </w:tc>
      </w:tr>
      <w:tr>
        <w:trPr/>
        <w:tc>
          <w:tcPr>
            <w:tcW w:w="7130" w:type="dxa"/>
            <w:tcBorders/>
            <w:shd w:fill="CCEEFF" w:val="clear"/>
            <w:vAlign w:val="center"/>
          </w:tcPr>
          <w:p>
            <w:pPr>
              <w:pStyle w:val="TableContents"/>
              <w:bidi w:val="0"/>
              <w:spacing w:before="0" w:after="283"/>
              <w:jc w:val="left"/>
              <w:rPr/>
            </w:pPr>
            <w:r>
              <w:rPr/>
              <w:t>Adjustments to reconcile net change in net assets resulting from operations to net cash (used in)/provided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1" w:name="xdx_40B_ecustom--RealizedInvestmentGainL"/>
            <w:bookmarkEnd w:id="221"/>
          </w:p>
        </w:tc>
      </w:tr>
      <w:tr>
        <w:trPr/>
        <w:tc>
          <w:tcPr>
            <w:tcW w:w="7130" w:type="dxa"/>
            <w:tcBorders/>
            <w:shd w:fill="FFFFFF" w:val="clear"/>
            <w:vAlign w:val="center"/>
          </w:tcPr>
          <w:p>
            <w:pPr>
              <w:pStyle w:val="TableContents"/>
              <w:bidi w:val="0"/>
              <w:spacing w:before="0" w:after="283"/>
              <w:jc w:val="left"/>
              <w:rPr/>
            </w:pPr>
            <w:r>
              <w:rPr/>
              <w:t>Net realized gain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(5,940,033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(21,194,660</w:t>
            </w:r>
          </w:p>
        </w:tc>
        <w:tc>
          <w:tcPr>
            <w:tcW w:w="110" w:type="dxa"/>
            <w:tcBorders/>
            <w:shd w:fill="FFFFFF" w:val="clear"/>
            <w:vAlign w:val="center"/>
          </w:tcPr>
          <w:p>
            <w:pPr>
              <w:pStyle w:val="TableContents"/>
              <w:bidi w:val="0"/>
              <w:spacing w:before="0" w:after="283"/>
              <w:jc w:val="left"/>
              <w:rPr/>
            </w:pPr>
            <w:r>
              <w:rPr/>
              <w:t>)</w:t>
            </w:r>
            <w:bookmarkStart w:id="222" w:name="xdx_40B_eus-gaap--UnrealizedGainLossOnIn"/>
            <w:bookmarkEnd w:id="222"/>
          </w:p>
        </w:tc>
      </w:tr>
      <w:tr>
        <w:trPr/>
        <w:tc>
          <w:tcPr>
            <w:tcW w:w="7130" w:type="dxa"/>
            <w:tcBorders/>
            <w:shd w:fill="CCEEFF" w:val="clear"/>
            <w:vAlign w:val="center"/>
          </w:tcPr>
          <w:p>
            <w:pPr>
              <w:pStyle w:val="TableContents"/>
              <w:bidi w:val="0"/>
              <w:spacing w:before="0" w:after="283"/>
              <w:jc w:val="left"/>
              <w:rPr/>
            </w:pPr>
            <w:r>
              <w:rPr/>
              <w:t>Net change in unrealized (appreciation)/depreciation of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(158,325,530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(47,726,497</w:t>
            </w:r>
          </w:p>
        </w:tc>
        <w:tc>
          <w:tcPr>
            <w:tcW w:w="110" w:type="dxa"/>
            <w:tcBorders/>
            <w:shd w:fill="CCEEFF" w:val="clear"/>
            <w:vAlign w:val="center"/>
          </w:tcPr>
          <w:p>
            <w:pPr>
              <w:pStyle w:val="TableContents"/>
              <w:bidi w:val="0"/>
              <w:spacing w:before="0" w:after="283"/>
              <w:jc w:val="left"/>
              <w:rPr/>
            </w:pPr>
            <w:r>
              <w:rPr/>
              <w:t>)</w:t>
            </w:r>
            <w:bookmarkStart w:id="223" w:name="xdx_407_eus-gaap--ShareBasedCompensation"/>
            <w:bookmarkEnd w:id="223"/>
          </w:p>
        </w:tc>
      </w:tr>
      <w:tr>
        <w:trPr/>
        <w:tc>
          <w:tcPr>
            <w:tcW w:w="713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11,684,744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316,154</w:t>
            </w:r>
          </w:p>
        </w:tc>
        <w:tc>
          <w:tcPr>
            <w:tcW w:w="110" w:type="dxa"/>
            <w:tcBorders/>
            <w:shd w:fill="FFFFFF" w:val="clear"/>
            <w:vAlign w:val="center"/>
          </w:tcPr>
          <w:p>
            <w:pPr>
              <w:pStyle w:val="TableContents"/>
              <w:bidi w:val="0"/>
              <w:spacing w:before="0" w:after="283"/>
              <w:jc w:val="left"/>
              <w:rPr/>
            </w:pPr>
            <w:r>
              <w:rPr/>
              <w:t> </w:t>
            </w:r>
            <w:bookmarkStart w:id="224" w:name="xdx_408_eus-gaap--AmortizationOfDebtDisc"/>
            <w:bookmarkEnd w:id="224"/>
          </w:p>
        </w:tc>
      </w:tr>
      <w:tr>
        <w:trPr/>
        <w:tc>
          <w:tcPr>
            <w:tcW w:w="7130" w:type="dxa"/>
            <w:tcBorders/>
            <w:shd w:fill="CCEEFF" w:val="clear"/>
            <w:vAlign w:val="center"/>
          </w:tcPr>
          <w:p>
            <w:pPr>
              <w:pStyle w:val="TableContents"/>
              <w:bidi w:val="0"/>
              <w:spacing w:before="0" w:after="283"/>
              <w:jc w:val="left"/>
              <w:rPr/>
            </w:pPr>
            <w:r>
              <w:rPr/>
              <w:t xml:space="preserve">Amortization of discount on </w:t>
            </w:r>
            <w:bookmarkStart w:id="225" w:name="xdx_902_eus-gaap--DebtInstrumentInterest"/>
            <w:bookmarkStart w:id="226" w:name="xdx_907_eus-gaap--DebtInstrumentInterest"/>
            <w:bookmarkEnd w:id="225"/>
            <w:bookmarkEnd w:id="226"/>
            <w:r>
              <w:rPr/>
              <w:t xml:space="preserve">6.00% Notes </w:t>
            </w:r>
            <w:bookmarkStart w:id="227" w:name="xdx_908_eus-gaap--DebtInstrumentMaturity"/>
            <w:bookmarkStart w:id="228" w:name="xdx_909_eus-gaap--DebtInstrumentMaturity"/>
            <w:bookmarkEnd w:id="227"/>
            <w:bookmarkEnd w:id="228"/>
            <w:r>
              <w:rPr/>
              <w:t>due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109,303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121,761</w:t>
            </w:r>
          </w:p>
        </w:tc>
        <w:tc>
          <w:tcPr>
            <w:tcW w:w="110" w:type="dxa"/>
            <w:tcBorders/>
            <w:shd w:fill="CCEEFF" w:val="clear"/>
            <w:vAlign w:val="center"/>
          </w:tcPr>
          <w:p>
            <w:pPr>
              <w:pStyle w:val="TableContents"/>
              <w:bidi w:val="0"/>
              <w:spacing w:before="0" w:after="283"/>
              <w:jc w:val="left"/>
              <w:rPr/>
            </w:pPr>
            <w:r>
              <w:rPr/>
              <w:t> </w:t>
            </w:r>
            <w:bookmarkStart w:id="229" w:name="xdx_403_ecustom--AmortizationOfConvertib"/>
            <w:bookmarkEnd w:id="229"/>
          </w:p>
        </w:tc>
      </w:tr>
      <w:tr>
        <w:trPr/>
        <w:tc>
          <w:tcPr>
            <w:tcW w:w="7130" w:type="dxa"/>
            <w:tcBorders/>
            <w:shd w:fill="FFFFFF" w:val="clear"/>
            <w:vAlign w:val="center"/>
          </w:tcPr>
          <w:p>
            <w:pPr>
              <w:pStyle w:val="TableContents"/>
              <w:bidi w:val="0"/>
              <w:spacing w:before="0" w:after="283"/>
              <w:jc w:val="left"/>
              <w:rPr/>
            </w:pPr>
            <w:r>
              <w:rPr/>
              <w:t xml:space="preserve">Amortization of discount on </w:t>
            </w:r>
            <w:bookmarkStart w:id="230" w:name="xdx_906_eus-gaap--DebtInstrumentInterest"/>
            <w:bookmarkStart w:id="231" w:name="xdx_906_eus-gaap--DebtInstrumentInterest"/>
            <w:bookmarkEnd w:id="230"/>
            <w:bookmarkEnd w:id="231"/>
            <w:r>
              <w:rPr/>
              <w:t xml:space="preserve">6.50% Convertible Notes </w:t>
            </w:r>
            <w:bookmarkStart w:id="232" w:name="xdx_909_eus-gaap--DebtInstrumentMaturity"/>
            <w:bookmarkStart w:id="233" w:name="xdx_908_eus-gaap--DebtInstrumentMaturity"/>
            <w:bookmarkEnd w:id="232"/>
            <w:bookmarkEnd w:id="233"/>
            <w:r>
              <w:rPr/>
              <w:t>due 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111,618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117,387</w:t>
            </w:r>
          </w:p>
        </w:tc>
        <w:tc>
          <w:tcPr>
            <w:tcW w:w="110" w:type="dxa"/>
            <w:tcBorders/>
            <w:shd w:fill="FFFFFF" w:val="clear"/>
            <w:vAlign w:val="center"/>
          </w:tcPr>
          <w:p>
            <w:pPr>
              <w:pStyle w:val="TableContents"/>
              <w:bidi w:val="0"/>
              <w:spacing w:before="0" w:after="283"/>
              <w:jc w:val="left"/>
              <w:rPr/>
            </w:pPr>
            <w:r>
              <w:rPr/>
              <w:t> </w:t>
            </w:r>
            <w:bookmarkStart w:id="234" w:name="xdx_40C_ecustom--AdjustmentsToEscrowProc"/>
            <w:bookmarkEnd w:id="234"/>
          </w:p>
        </w:tc>
      </w:tr>
      <w:tr>
        <w:trPr/>
        <w:tc>
          <w:tcPr>
            <w:tcW w:w="7130" w:type="dxa"/>
            <w:tcBorders/>
            <w:shd w:fill="CCEEFF" w:val="clear"/>
            <w:vAlign w:val="center"/>
          </w:tcPr>
          <w:p>
            <w:pPr>
              <w:pStyle w:val="TableContents"/>
              <w:bidi w:val="0"/>
              <w:spacing w:before="0" w:after="283"/>
              <w:jc w:val="left"/>
              <w:rPr/>
            </w:pPr>
            <w:r>
              <w:rPr/>
              <w:t>Adjustments to escrow proceeds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(45,292</w:t>
            </w:r>
          </w:p>
        </w:tc>
        <w:tc>
          <w:tcPr>
            <w:tcW w:w="110" w:type="dxa"/>
            <w:tcBorders/>
            <w:shd w:fill="CCEEFF" w:val="clear"/>
            <w:vAlign w:val="center"/>
          </w:tcPr>
          <w:p>
            <w:pPr>
              <w:pStyle w:val="TableContents"/>
              <w:bidi w:val="0"/>
              <w:spacing w:before="0" w:after="283"/>
              <w:jc w:val="left"/>
              <w:rPr/>
            </w:pPr>
            <w:r>
              <w:rPr/>
              <w:t>)</w:t>
            </w:r>
            <w:bookmarkStart w:id="235" w:name="xdx_40A_ecustom--PurchasesOfInvestmentsA"/>
            <w:bookmarkEnd w:id="235"/>
          </w:p>
        </w:tc>
      </w:tr>
      <w:tr>
        <w:trPr/>
        <w:tc>
          <w:tcPr>
            <w:tcW w:w="7130" w:type="dxa"/>
            <w:tcBorders/>
            <w:shd w:fill="FFFFFF" w:val="clear"/>
            <w:vAlign w:val="center"/>
          </w:tcPr>
          <w:p>
            <w:pPr>
              <w:pStyle w:val="TableContents"/>
              <w:bidi w:val="0"/>
              <w:spacing w:before="0" w:after="283"/>
              <w:jc w:val="left"/>
              <w:rPr/>
            </w:pPr>
            <w:r>
              <w:rPr/>
              <w:t>Purchases of investments 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6" w:name="xdx_406_ecustom--PurchasesOfPortfolioInv"/>
            <w:bookmarkEnd w:id="236"/>
          </w:p>
        </w:tc>
      </w:tr>
      <w:tr>
        <w:trPr/>
        <w:tc>
          <w:tcPr>
            <w:tcW w:w="7130" w:type="dxa"/>
            <w:tcBorders/>
            <w:shd w:fill="CCEEFF" w:val="clear"/>
            <w:vAlign w:val="center"/>
          </w:tcPr>
          <w:p>
            <w:pPr>
              <w:pStyle w:val="TableContents"/>
              <w:bidi w:val="0"/>
              <w:spacing w:before="0" w:after="283"/>
              <w:jc w:val="left"/>
              <w:rPr/>
            </w:pPr>
            <w:r>
              <w:rPr/>
              <w:t>Portfolio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(29,820,798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(6,703,121</w:t>
            </w:r>
          </w:p>
        </w:tc>
        <w:tc>
          <w:tcPr>
            <w:tcW w:w="110" w:type="dxa"/>
            <w:tcBorders/>
            <w:shd w:fill="CCEEFF" w:val="clear"/>
            <w:vAlign w:val="center"/>
          </w:tcPr>
          <w:p>
            <w:pPr>
              <w:pStyle w:val="TableContents"/>
              <w:bidi w:val="0"/>
              <w:spacing w:before="0" w:after="283"/>
              <w:jc w:val="left"/>
              <w:rPr/>
            </w:pPr>
            <w:r>
              <w:rPr/>
              <w:t>)</w:t>
            </w:r>
            <w:bookmarkStart w:id="237" w:name="xdx_40C_ecustom--PurchasesOfUSTreasuryBi"/>
            <w:bookmarkEnd w:id="237"/>
          </w:p>
        </w:tc>
      </w:tr>
      <w:tr>
        <w:trPr/>
        <w:tc>
          <w:tcPr>
            <w:tcW w:w="7130" w:type="dxa"/>
            <w:tcBorders/>
            <w:shd w:fill="FFFFFF" w:val="clear"/>
            <w:vAlign w:val="center"/>
          </w:tcPr>
          <w:p>
            <w:pPr>
              <w:pStyle w:val="TableContents"/>
              <w:bidi w:val="0"/>
              <w:spacing w:before="0" w:after="283"/>
              <w:jc w:val="left"/>
              <w:rPr/>
            </w:pPr>
            <w:r>
              <w:rPr/>
              <w:t>U.S. Treasury bills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(24,995,139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38" w:name="xdx_406_ecustom--ProceedsFromSalesOrMatu"/>
            <w:bookmarkEnd w:id="238"/>
          </w:p>
        </w:tc>
      </w:tr>
      <w:tr>
        <w:trPr/>
        <w:tc>
          <w:tcPr>
            <w:tcW w:w="7130" w:type="dxa"/>
            <w:tcBorders/>
            <w:shd w:fill="CCEEFF" w:val="clear"/>
            <w:vAlign w:val="center"/>
          </w:tcPr>
          <w:p>
            <w:pPr>
              <w:pStyle w:val="TableContents"/>
              <w:bidi w:val="0"/>
              <w:spacing w:before="0" w:after="283"/>
              <w:jc w:val="left"/>
              <w:rPr/>
            </w:pPr>
            <w:r>
              <w:rPr/>
              <w:t>Proceeds from sales or maturity of investments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9" w:name="xdx_402_ecustom--ProceedsFromSalesOrMatu"/>
            <w:bookmarkEnd w:id="239"/>
          </w:p>
        </w:tc>
      </w:tr>
      <w:tr>
        <w:trPr/>
        <w:tc>
          <w:tcPr>
            <w:tcW w:w="7130" w:type="dxa"/>
            <w:tcBorders/>
            <w:shd w:fill="FFFFFF" w:val="clear"/>
            <w:vAlign w:val="center"/>
          </w:tcPr>
          <w:p>
            <w:pPr>
              <w:pStyle w:val="TableContents"/>
              <w:bidi w:val="0"/>
              <w:spacing w:before="0" w:after="283"/>
              <w:jc w:val="left"/>
              <w:rPr/>
            </w:pPr>
            <w:r>
              <w:rPr/>
              <w:t>Portfolio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13,746,166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41,251,774</w:t>
            </w:r>
          </w:p>
        </w:tc>
        <w:tc>
          <w:tcPr>
            <w:tcW w:w="110" w:type="dxa"/>
            <w:tcBorders/>
            <w:shd w:fill="FFFFFF" w:val="clear"/>
            <w:vAlign w:val="center"/>
          </w:tcPr>
          <w:p>
            <w:pPr>
              <w:pStyle w:val="TableContents"/>
              <w:bidi w:val="0"/>
              <w:spacing w:before="0" w:after="283"/>
              <w:jc w:val="left"/>
              <w:rPr/>
            </w:pPr>
            <w:r>
              <w:rPr/>
              <w:t> </w:t>
            </w:r>
            <w:bookmarkStart w:id="240" w:name="xdx_408_ecustom--ProceedsFromSalesOrMatu"/>
            <w:bookmarkEnd w:id="240"/>
          </w:p>
        </w:tc>
      </w:tr>
      <w:tr>
        <w:trPr/>
        <w:tc>
          <w:tcPr>
            <w:tcW w:w="7130" w:type="dxa"/>
            <w:tcBorders/>
            <w:shd w:fill="CCEEFF" w:val="clear"/>
            <w:vAlign w:val="center"/>
          </w:tcPr>
          <w:p>
            <w:pPr>
              <w:pStyle w:val="TableContents"/>
              <w:bidi w:val="0"/>
              <w:spacing w:before="0" w:after="283"/>
              <w:jc w:val="left"/>
              <w:rPr/>
            </w:pPr>
            <w:r>
              <w:rPr/>
              <w:t>U.S.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24,995,139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1" w:name="xdx_40C_eus-gaap--IncreaseDecreaseInOper"/>
            <w:bookmarkEnd w:id="241"/>
          </w:p>
        </w:tc>
      </w:tr>
      <w:tr>
        <w:trPr/>
        <w:tc>
          <w:tcPr>
            <w:tcW w:w="7130"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2" w:name="xdx_408_eus-gaap--IncreaseDecreaseInAcco"/>
            <w:bookmarkEnd w:id="242"/>
          </w:p>
        </w:tc>
      </w:tr>
      <w:tr>
        <w:trPr/>
        <w:tc>
          <w:tcPr>
            <w:tcW w:w="713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1,482,553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1,509,750</w:t>
            </w:r>
          </w:p>
        </w:tc>
        <w:tc>
          <w:tcPr>
            <w:tcW w:w="110" w:type="dxa"/>
            <w:tcBorders/>
            <w:shd w:fill="CCEEFF" w:val="clear"/>
            <w:vAlign w:val="center"/>
          </w:tcPr>
          <w:p>
            <w:pPr>
              <w:pStyle w:val="TableContents"/>
              <w:bidi w:val="0"/>
              <w:spacing w:before="0" w:after="283"/>
              <w:jc w:val="left"/>
              <w:rPr/>
            </w:pPr>
            <w:r>
              <w:rPr/>
              <w:t> </w:t>
            </w:r>
            <w:bookmarkStart w:id="243" w:name="xdx_409_eus-gaap--IncreaseDecreaseInInte"/>
            <w:bookmarkEnd w:id="243"/>
          </w:p>
        </w:tc>
      </w:tr>
      <w:tr>
        <w:trPr/>
        <w:tc>
          <w:tcPr>
            <w:tcW w:w="7130" w:type="dxa"/>
            <w:tcBorders/>
            <w:shd w:fill="FFFFFF" w:val="clear"/>
            <w:vAlign w:val="center"/>
          </w:tcPr>
          <w:p>
            <w:pPr>
              <w:pStyle w:val="TableContents"/>
              <w:bidi w:val="0"/>
              <w:spacing w:before="0" w:after="283"/>
              <w:jc w:val="left"/>
              <w:rPr/>
            </w:pPr>
            <w:r>
              <w:rPr/>
              <w:t>Interest and dividends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651,924</w:t>
            </w:r>
          </w:p>
        </w:tc>
        <w:tc>
          <w:tcPr>
            <w:tcW w:w="110" w:type="dxa"/>
            <w:tcBorders/>
            <w:shd w:fill="FFFFFF" w:val="clear"/>
            <w:vAlign w:val="center"/>
          </w:tcPr>
          <w:p>
            <w:pPr>
              <w:pStyle w:val="TableContents"/>
              <w:bidi w:val="0"/>
              <w:spacing w:before="0" w:after="283"/>
              <w:jc w:val="left"/>
              <w:rPr/>
            </w:pPr>
            <w:r>
              <w:rPr/>
              <w:t> </w:t>
            </w:r>
            <w:bookmarkStart w:id="244" w:name="xdx_40B_ecustom--IncreaseDecreaseInEscro"/>
            <w:bookmarkEnd w:id="244"/>
          </w:p>
        </w:tc>
      </w:tr>
      <w:tr>
        <w:trPr/>
        <w:tc>
          <w:tcPr>
            <w:tcW w:w="7130" w:type="dxa"/>
            <w:tcBorders/>
            <w:shd w:fill="CCEEFF" w:val="clear"/>
            <w:vAlign w:val="center"/>
          </w:tcPr>
          <w:p>
            <w:pPr>
              <w:pStyle w:val="TableContents"/>
              <w:bidi w:val="0"/>
              <w:spacing w:before="0" w:after="283"/>
              <w:jc w:val="left"/>
              <w:rPr/>
            </w:pPr>
            <w:r>
              <w:rPr/>
              <w:t>Escrow proceeds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45,298</w:t>
            </w:r>
          </w:p>
        </w:tc>
        <w:tc>
          <w:tcPr>
            <w:tcW w:w="110" w:type="dxa"/>
            <w:tcBorders/>
            <w:shd w:fill="CCEEFF" w:val="clear"/>
            <w:vAlign w:val="center"/>
          </w:tcPr>
          <w:p>
            <w:pPr>
              <w:pStyle w:val="TableContents"/>
              <w:bidi w:val="0"/>
              <w:spacing w:before="0" w:after="283"/>
              <w:jc w:val="left"/>
              <w:rPr/>
            </w:pPr>
            <w:r>
              <w:rPr/>
              <w:t> </w:t>
            </w:r>
            <w:bookmarkStart w:id="245" w:name="xdx_40F_eus-gaap--IncreaseDecreaseInPrep"/>
            <w:bookmarkEnd w:id="245"/>
          </w:p>
        </w:tc>
      </w:tr>
      <w:tr>
        <w:trPr/>
        <w:tc>
          <w:tcPr>
            <w:tcW w:w="713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187,433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152,281</w:t>
            </w:r>
          </w:p>
        </w:tc>
        <w:tc>
          <w:tcPr>
            <w:tcW w:w="110" w:type="dxa"/>
            <w:tcBorders/>
            <w:shd w:fill="FFFFFF" w:val="clear"/>
            <w:vAlign w:val="center"/>
          </w:tcPr>
          <w:p>
            <w:pPr>
              <w:pStyle w:val="TableContents"/>
              <w:bidi w:val="0"/>
              <w:spacing w:before="0" w:after="283"/>
              <w:jc w:val="left"/>
              <w:rPr/>
            </w:pPr>
            <w:r>
              <w:rPr/>
              <w:t> </w:t>
            </w:r>
            <w:bookmarkStart w:id="246" w:name="xdx_40C_eus-gaap--NetCashProvidedByUsedI"/>
            <w:bookmarkEnd w:id="246"/>
          </w:p>
        </w:tc>
      </w:tr>
      <w:tr>
        <w:trPr/>
        <w:tc>
          <w:tcPr>
            <w:tcW w:w="7130" w:type="dxa"/>
            <w:tcBorders/>
            <w:shd w:fill="CCEEFF" w:val="clear"/>
            <w:vAlign w:val="center"/>
          </w:tcPr>
          <w:p>
            <w:pPr>
              <w:pStyle w:val="TableContents"/>
              <w:bidi w:val="0"/>
              <w:spacing w:before="0" w:after="283"/>
              <w:jc w:val="left"/>
              <w:rPr>
                <w:b/>
              </w:rPr>
            </w:pPr>
            <w:r>
              <w:rPr>
                <w:b/>
              </w:rPr>
              <w:t>Net Cash (Used in)/Provided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(29,847,309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30,018,114</w:t>
            </w:r>
          </w:p>
        </w:tc>
        <w:tc>
          <w:tcPr>
            <w:tcW w:w="110" w:type="dxa"/>
            <w:tcBorders/>
            <w:shd w:fill="CCEEFF" w:val="clear"/>
            <w:vAlign w:val="center"/>
          </w:tcPr>
          <w:p>
            <w:pPr>
              <w:pStyle w:val="TableContents"/>
              <w:bidi w:val="0"/>
              <w:spacing w:before="0" w:after="283"/>
              <w:jc w:val="left"/>
              <w:rPr/>
            </w:pPr>
            <w:r>
              <w:rPr/>
              <w:t> </w:t>
            </w:r>
            <w:bookmarkStart w:id="247" w:name="xdx_409_eus-gaap--NetCashProvidedByUsedI"/>
            <w:bookmarkEnd w:id="247"/>
          </w:p>
        </w:tc>
      </w:tr>
      <w:tr>
        <w:trPr/>
        <w:tc>
          <w:tcPr>
            <w:tcW w:w="713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bookmarkStart w:id="248" w:name="xdx_408_eus-gaap--ProceedsFromConvertibl"/>
            <w:bookmarkEnd w:id="248"/>
          </w:p>
        </w:tc>
      </w:tr>
      <w:tr>
        <w:trPr/>
        <w:tc>
          <w:tcPr>
            <w:tcW w:w="7130" w:type="dxa"/>
            <w:tcBorders/>
            <w:shd w:fill="CCEEFF" w:val="clear"/>
            <w:vAlign w:val="center"/>
          </w:tcPr>
          <w:p>
            <w:pPr>
              <w:pStyle w:val="TableContents"/>
              <w:bidi w:val="0"/>
              <w:spacing w:before="0" w:after="283"/>
              <w:jc w:val="left"/>
              <w:rPr/>
            </w:pPr>
            <w:r>
              <w:rPr/>
              <w:t xml:space="preserve">Gross proceeds from the issuance of </w:t>
            </w:r>
            <w:bookmarkStart w:id="249" w:name="xdx_908_eus-gaap--DebtInstrumentInterest"/>
            <w:bookmarkStart w:id="250" w:name="xdx_904_eus-gaap--DebtInstrumentInterest"/>
            <w:bookmarkEnd w:id="249"/>
            <w:bookmarkEnd w:id="250"/>
            <w:r>
              <w:rPr/>
              <w:t xml:space="preserve">6.50% Convertible Notes </w:t>
            </w:r>
            <w:bookmarkStart w:id="251" w:name="xdx_908_eus-gaap--DebtInstrumentMaturity"/>
            <w:bookmarkStart w:id="252" w:name="xdx_90A_eus-gaap--DebtInstrumentMaturity"/>
            <w:bookmarkEnd w:id="251"/>
            <w:bookmarkEnd w:id="252"/>
            <w:r>
              <w:rPr/>
              <w:t>due 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5,000,000</w:t>
            </w:r>
          </w:p>
        </w:tc>
        <w:tc>
          <w:tcPr>
            <w:tcW w:w="110" w:type="dxa"/>
            <w:tcBorders/>
            <w:shd w:fill="CCEEFF" w:val="clear"/>
            <w:vAlign w:val="center"/>
          </w:tcPr>
          <w:p>
            <w:pPr>
              <w:pStyle w:val="TableContents"/>
              <w:bidi w:val="0"/>
              <w:spacing w:before="0" w:after="283"/>
              <w:jc w:val="left"/>
              <w:rPr/>
            </w:pPr>
            <w:r>
              <w:rPr/>
              <w:t> </w:t>
            </w:r>
            <w:bookmarkStart w:id="253" w:name="xdx_400_ecustom--PaymentsOfDeferredDebtI"/>
            <w:bookmarkEnd w:id="253"/>
          </w:p>
        </w:tc>
      </w:tr>
      <w:tr>
        <w:trPr/>
        <w:tc>
          <w:tcPr>
            <w:tcW w:w="7130" w:type="dxa"/>
            <w:tcBorders/>
            <w:shd w:fill="FFFFFF" w:val="clear"/>
            <w:vAlign w:val="center"/>
          </w:tcPr>
          <w:p>
            <w:pPr>
              <w:pStyle w:val="TableContents"/>
              <w:bidi w:val="0"/>
              <w:spacing w:before="0" w:after="283"/>
              <w:jc w:val="left"/>
              <w:rPr/>
            </w:pPr>
            <w:r>
              <w:rPr/>
              <w:t>Deferred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(158,157</w:t>
            </w:r>
          </w:p>
        </w:tc>
        <w:tc>
          <w:tcPr>
            <w:tcW w:w="110" w:type="dxa"/>
            <w:tcBorders/>
            <w:shd w:fill="FFFFFF" w:val="clear"/>
            <w:vAlign w:val="center"/>
          </w:tcPr>
          <w:p>
            <w:pPr>
              <w:pStyle w:val="TableContents"/>
              <w:bidi w:val="0"/>
              <w:spacing w:before="0" w:after="283"/>
              <w:jc w:val="left"/>
              <w:rPr/>
            </w:pPr>
            <w:r>
              <w:rPr/>
              <w:t>)</w:t>
            </w:r>
            <w:bookmarkStart w:id="254" w:name="xdx_401_ecustom--PaymentsForRepurchaseOf"/>
            <w:bookmarkEnd w:id="254"/>
          </w:p>
        </w:tc>
      </w:tr>
      <w:tr>
        <w:trPr/>
        <w:tc>
          <w:tcPr>
            <w:tcW w:w="7130" w:type="dxa"/>
            <w:tcBorders/>
            <w:shd w:fill="CCEEFF" w:val="clear"/>
            <w:vAlign w:val="center"/>
          </w:tcPr>
          <w:p>
            <w:pPr>
              <w:pStyle w:val="TableContents"/>
              <w:bidi w:val="0"/>
              <w:spacing w:before="0" w:after="283"/>
              <w:jc w:val="left"/>
              <w:rPr/>
            </w:pPr>
            <w:r>
              <w:rPr/>
              <w:t xml:space="preserve">Repurchases of </w:t>
            </w:r>
            <w:bookmarkStart w:id="255" w:name="xdx_902_eus-gaap--DebtInstrumentInterest"/>
            <w:bookmarkStart w:id="256" w:name="xdx_906_eus-gaap--DebtInstrumentInterest"/>
            <w:bookmarkEnd w:id="255"/>
            <w:bookmarkEnd w:id="256"/>
            <w:r>
              <w:rPr/>
              <w:t>6.00% Notes due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(4,954,950</w:t>
            </w:r>
          </w:p>
        </w:tc>
        <w:tc>
          <w:tcPr>
            <w:tcW w:w="110" w:type="dxa"/>
            <w:tcBorders/>
            <w:shd w:fill="CCEEFF" w:val="clear"/>
            <w:vAlign w:val="center"/>
          </w:tcPr>
          <w:p>
            <w:pPr>
              <w:pStyle w:val="TableContents"/>
              <w:bidi w:val="0"/>
              <w:spacing w:before="0" w:after="283"/>
              <w:jc w:val="left"/>
              <w:rPr/>
            </w:pPr>
            <w:r>
              <w:rPr/>
              <w:t>)</w:t>
            </w:r>
            <w:bookmarkStart w:id="257" w:name="xdx_402_ecustom--PaymentsForRepurchaseOn"/>
            <w:bookmarkEnd w:id="257"/>
          </w:p>
        </w:tc>
      </w:tr>
      <w:tr>
        <w:trPr/>
        <w:tc>
          <w:tcPr>
            <w:tcW w:w="7130" w:type="dxa"/>
            <w:tcBorders/>
            <w:shd w:fill="FFFFFF" w:val="clear"/>
            <w:vAlign w:val="center"/>
          </w:tcPr>
          <w:p>
            <w:pPr>
              <w:pStyle w:val="TableContents"/>
              <w:bidi w:val="0"/>
              <w:spacing w:before="0" w:after="283"/>
              <w:jc w:val="left"/>
              <w:rPr/>
            </w:pPr>
            <w:r>
              <w:rPr/>
              <w:t xml:space="preserve">Realized loss on partial repurchase of </w:t>
            </w:r>
            <w:bookmarkStart w:id="258" w:name="xdx_90B_eus-gaap--DebtInstrumentInterest"/>
            <w:bookmarkStart w:id="259" w:name="xdx_907_eus-gaap--DebtInstrumentInterest"/>
            <w:bookmarkEnd w:id="258"/>
            <w:bookmarkEnd w:id="259"/>
            <w:r>
              <w:rPr/>
              <w:t>6.00% Notes due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15,875</w:t>
            </w:r>
          </w:p>
        </w:tc>
        <w:tc>
          <w:tcPr>
            <w:tcW w:w="110" w:type="dxa"/>
            <w:tcBorders/>
            <w:shd w:fill="FFFFFF" w:val="clear"/>
            <w:vAlign w:val="center"/>
          </w:tcPr>
          <w:p>
            <w:pPr>
              <w:pStyle w:val="TableContents"/>
              <w:bidi w:val="0"/>
              <w:spacing w:before="0" w:after="283"/>
              <w:jc w:val="left"/>
              <w:rPr/>
            </w:pPr>
            <w:r>
              <w:rPr/>
              <w:t> </w:t>
            </w:r>
            <w:bookmarkStart w:id="260" w:name="xdx_40D_eus-gaap--PaymentsOfFinancingCos"/>
            <w:bookmarkEnd w:id="260"/>
          </w:p>
        </w:tc>
      </w:tr>
      <w:tr>
        <w:trPr/>
        <w:tc>
          <w:tcPr>
            <w:tcW w:w="7130" w:type="dxa"/>
            <w:tcBorders/>
            <w:shd w:fill="CCEEFF" w:val="clear"/>
            <w:vAlign w:val="center"/>
          </w:tcPr>
          <w:p>
            <w:pPr>
              <w:pStyle w:val="TableContents"/>
              <w:bidi w:val="0"/>
              <w:spacing w:before="0" w:after="283"/>
              <w:jc w:val="left"/>
              <w:rPr/>
            </w:pPr>
            <w:r>
              <w:rPr/>
              <w:t>Deferred 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(85,779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(56,113</w:t>
            </w:r>
          </w:p>
        </w:tc>
        <w:tc>
          <w:tcPr>
            <w:tcW w:w="110" w:type="dxa"/>
            <w:tcBorders/>
            <w:shd w:fill="CCEEFF" w:val="clear"/>
            <w:vAlign w:val="center"/>
          </w:tcPr>
          <w:p>
            <w:pPr>
              <w:pStyle w:val="TableContents"/>
              <w:bidi w:val="0"/>
              <w:spacing w:before="0" w:after="283"/>
              <w:jc w:val="left"/>
              <w:rPr/>
            </w:pPr>
            <w:r>
              <w:rPr/>
              <w:t>)</w:t>
            </w:r>
            <w:bookmarkStart w:id="261" w:name="xdx_40F_eus-gaap--PaymentsOfDividends_i0"/>
            <w:bookmarkEnd w:id="261"/>
          </w:p>
        </w:tc>
      </w:tr>
      <w:tr>
        <w:trPr/>
        <w:tc>
          <w:tcPr>
            <w:tcW w:w="7130" w:type="dxa"/>
            <w:tcBorders/>
            <w:shd w:fill="FFFFFF" w:val="clear"/>
            <w:vAlign w:val="center"/>
          </w:tcPr>
          <w:p>
            <w:pPr>
              <w:pStyle w:val="TableContents"/>
              <w:bidi w:val="0"/>
              <w:spacing w:before="0" w:after="283"/>
              <w:jc w:val="left"/>
              <w:rPr/>
            </w:pPr>
            <w:r>
              <w:rPr/>
              <w:t>Cash dividends paid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(301,291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(8,867</w:t>
            </w:r>
          </w:p>
        </w:tc>
        <w:tc>
          <w:tcPr>
            <w:tcW w:w="110" w:type="dxa"/>
            <w:tcBorders/>
            <w:shd w:fill="FFFFFF" w:val="clear"/>
            <w:vAlign w:val="center"/>
          </w:tcPr>
          <w:p>
            <w:pPr>
              <w:pStyle w:val="TableContents"/>
              <w:bidi w:val="0"/>
              <w:spacing w:before="0" w:after="283"/>
              <w:jc w:val="left"/>
              <w:rPr/>
            </w:pPr>
            <w:r>
              <w:rPr/>
              <w:t>)</w:t>
            </w:r>
            <w:bookmarkStart w:id="262" w:name="xdx_405_ecustom--CashPaidForFractionalSh"/>
            <w:bookmarkEnd w:id="262"/>
          </w:p>
        </w:tc>
      </w:tr>
      <w:tr>
        <w:trPr/>
        <w:tc>
          <w:tcPr>
            <w:tcW w:w="7130" w:type="dxa"/>
            <w:tcBorders/>
            <w:shd w:fill="CCEEFF" w:val="clear"/>
            <w:vAlign w:val="center"/>
          </w:tcPr>
          <w:p>
            <w:pPr>
              <w:pStyle w:val="TableContents"/>
              <w:bidi w:val="0"/>
              <w:spacing w:before="0" w:after="283"/>
              <w:jc w:val="left"/>
              <w:rPr/>
            </w:pPr>
            <w:r>
              <w:rPr/>
              <w:t>Cash paid for fractional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3" w:name="xdx_400_eus-gaap--PaymentsForRepurchaseO"/>
            <w:bookmarkEnd w:id="263"/>
          </w:p>
        </w:tc>
      </w:tr>
      <w:tr>
        <w:trPr/>
        <w:tc>
          <w:tcPr>
            <w:tcW w:w="7130" w:type="dxa"/>
            <w:tcBorders/>
            <w:shd w:fill="FFFFFF" w:val="clear"/>
            <w:vAlign w:val="center"/>
          </w:tcPr>
          <w:p>
            <w:pPr>
              <w:pStyle w:val="TableContents"/>
              <w:bidi w:val="0"/>
              <w:spacing w:before="0" w:after="283"/>
              <w:jc w:val="left"/>
              <w:rPr/>
            </w:pPr>
            <w:r>
              <w:rPr/>
              <w:t>Shares repurchased for tax withholdings on vesting of employee equity awards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(5,897,743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4" w:name="xdx_40F_eus-gaap--NetCashProvidedByUsedI"/>
            <w:bookmarkEnd w:id="264"/>
          </w:p>
        </w:tc>
      </w:tr>
      <w:tr>
        <w:trPr/>
        <w:tc>
          <w:tcPr>
            <w:tcW w:w="7130"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(6,284,846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(162,212</w:t>
            </w:r>
          </w:p>
        </w:tc>
        <w:tc>
          <w:tcPr>
            <w:tcW w:w="110" w:type="dxa"/>
            <w:tcBorders/>
            <w:shd w:fill="CCEEFF" w:val="clear"/>
            <w:vAlign w:val="center"/>
          </w:tcPr>
          <w:p>
            <w:pPr>
              <w:pStyle w:val="TableContents"/>
              <w:bidi w:val="0"/>
              <w:spacing w:before="0" w:after="283"/>
              <w:jc w:val="left"/>
              <w:rPr/>
            </w:pPr>
            <w:r>
              <w:rPr/>
              <w:t>)</w:t>
            </w:r>
            <w:bookmarkStart w:id="265" w:name="xdx_406_eus-gaap--CashCashEquivalentsRes"/>
            <w:bookmarkEnd w:id="265"/>
          </w:p>
        </w:tc>
      </w:tr>
      <w:tr>
        <w:trPr/>
        <w:tc>
          <w:tcPr>
            <w:tcW w:w="7130" w:type="dxa"/>
            <w:tcBorders/>
            <w:shd w:fill="FFFFFF" w:val="clear"/>
            <w:vAlign w:val="center"/>
          </w:tcPr>
          <w:p>
            <w:pPr>
              <w:pStyle w:val="TableContents"/>
              <w:bidi w:val="0"/>
              <w:spacing w:before="0" w:after="283"/>
              <w:jc w:val="left"/>
              <w:rPr>
                <w:b/>
              </w:rPr>
            </w:pPr>
            <w:r>
              <w:rPr>
                <w:b/>
              </w:rPr>
              <w:t>Total (Decrease)/Increase in Cash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(36,132,155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29,855,902</w:t>
            </w:r>
          </w:p>
        </w:tc>
        <w:tc>
          <w:tcPr>
            <w:tcW w:w="110" w:type="dxa"/>
            <w:tcBorders/>
            <w:shd w:fill="FFFFFF" w:val="clear"/>
            <w:vAlign w:val="center"/>
          </w:tcPr>
          <w:p>
            <w:pPr>
              <w:pStyle w:val="TableContents"/>
              <w:bidi w:val="0"/>
              <w:spacing w:before="0" w:after="283"/>
              <w:jc w:val="left"/>
              <w:rPr/>
            </w:pPr>
            <w:r>
              <w:rPr/>
              <w:t> </w:t>
            </w:r>
            <w:bookmarkStart w:id="266" w:name="xdx_404_eus-gaap--CashCashEquivalentsRes"/>
            <w:bookmarkEnd w:id="26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Restricted Cash Balance at Beginning of Year</w:t>
            </w:r>
            <w:bookmarkStart w:id="267" w:name="xdx_F4A_zVrQL0aAgLwd"/>
            <w:bookmarkEnd w:id="26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49,072,895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20,035,640</w:t>
            </w:r>
          </w:p>
        </w:tc>
        <w:tc>
          <w:tcPr>
            <w:tcW w:w="110" w:type="dxa"/>
            <w:tcBorders/>
            <w:shd w:fill="CCEEFF" w:val="clear"/>
            <w:vAlign w:val="center"/>
          </w:tcPr>
          <w:p>
            <w:pPr>
              <w:pStyle w:val="TableContents"/>
              <w:bidi w:val="0"/>
              <w:spacing w:before="0" w:after="283"/>
              <w:jc w:val="left"/>
              <w:rPr/>
            </w:pPr>
            <w:r>
              <w:rPr/>
              <w:t> </w:t>
            </w:r>
            <w:bookmarkStart w:id="268" w:name="xdx_40D_eus-gaap--CashCashEquivalentsRes"/>
            <w:bookmarkEnd w:id="26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Restricted Cash Balance at End of Period</w:t>
            </w:r>
            <w:bookmarkStart w:id="269" w:name="xdx_F49_z2Yl0FE5WRo1"/>
            <w:bookmarkEnd w:id="269"/>
            <w:r>
              <w:rPr>
                <w:rFonts w:ascii="Times New Roman;Times;Serif" w:hAnsi="Times New Roman;Times;Serif"/>
                <w:b/>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12,940,740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49,891,542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270" w:name="xdx_40A_eus-gaap--SupplementalCashFlowEl"/>
      <w:bookmarkStart w:id="271" w:name="xdx_40A_eus-gaap--SupplementalCashFlowEl"/>
      <w:bookmarkEnd w:id="271"/>
    </w:p>
    <w:tbl>
      <w:tblPr>
        <w:tblW w:w="9000" w:type="dxa"/>
        <w:jc w:val="left"/>
        <w:tblInd w:w="0" w:type="dxa"/>
        <w:tblLayout w:type="fixed"/>
        <w:tblCellMar>
          <w:top w:w="0" w:type="dxa"/>
          <w:left w:w="0" w:type="dxa"/>
          <w:bottom w:w="0" w:type="dxa"/>
          <w:right w:w="0" w:type="dxa"/>
        </w:tblCellMar>
      </w:tblPr>
      <w:tblGrid>
        <w:gridCol w:w="6470"/>
        <w:gridCol w:w="60"/>
        <w:gridCol w:w="140"/>
        <w:gridCol w:w="980"/>
        <w:gridCol w:w="60"/>
        <w:gridCol w:w="60"/>
        <w:gridCol w:w="140"/>
        <w:gridCol w:w="980"/>
        <w:gridCol w:w="110"/>
      </w:tblGrid>
      <w:tr>
        <w:trPr/>
        <w:tc>
          <w:tcPr>
            <w:tcW w:w="6470" w:type="dxa"/>
            <w:tcBorders/>
            <w:vAlign w:val="center"/>
          </w:tcPr>
          <w:p>
            <w:pPr>
              <w:pStyle w:val="TableContents"/>
              <w:bidi w:val="0"/>
              <w:spacing w:before="0" w:after="283"/>
              <w:jc w:val="left"/>
              <w:rPr>
                <w:b/>
              </w:rPr>
            </w:pPr>
            <w:r>
              <w:rPr>
                <w:b/>
              </w:rPr>
              <w:t>Supplemental Information:</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bookmarkStart w:id="272" w:name="xdx_401_eus-gaap--InterestPaidNet_i01_z5"/>
            <w:bookmarkEnd w:id="272"/>
          </w:p>
        </w:tc>
      </w:tr>
      <w:tr>
        <w:trPr/>
        <w:tc>
          <w:tcPr>
            <w:tcW w:w="6470"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2,148,680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2,313,988</w:t>
            </w:r>
          </w:p>
        </w:tc>
        <w:tc>
          <w:tcPr>
            <w:tcW w:w="110" w:type="dxa"/>
            <w:tcBorders/>
            <w:shd w:fill="CCEEFF" w:val="clear"/>
            <w:vAlign w:val="center"/>
          </w:tcPr>
          <w:p>
            <w:pPr>
              <w:pStyle w:val="TableContents"/>
              <w:bidi w:val="0"/>
              <w:spacing w:before="0" w:after="283"/>
              <w:jc w:val="left"/>
              <w:rPr/>
            </w:pPr>
            <w:r>
              <w:rPr/>
              <w:t> </w:t>
            </w:r>
            <w:bookmarkStart w:id="273" w:name="xdx_404_eus-gaap--IncomeTaxesPaidNet_i01"/>
            <w:bookmarkEnd w:id="273"/>
          </w:p>
        </w:tc>
      </w:tr>
      <w:tr>
        <w:trPr/>
        <w:tc>
          <w:tcPr>
            <w:tcW w:w="6470" w:type="dxa"/>
            <w:tcBorders/>
            <w:shd w:fill="FFFFFF" w:val="clear"/>
            <w:vAlign w:val="center"/>
          </w:tcPr>
          <w:p>
            <w:pPr>
              <w:pStyle w:val="TableContents"/>
              <w:bidi w:val="0"/>
              <w:spacing w:before="0" w:after="283"/>
              <w:jc w:val="left"/>
              <w:rPr/>
            </w:pPr>
            <w:r>
              <w:rPr/>
              <w:t>Taxes paid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(215,949</w:t>
            </w:r>
          </w:p>
        </w:tc>
        <w:tc>
          <w:tcPr>
            <w:tcW w:w="110" w:type="dxa"/>
            <w:tcBorders/>
            <w:shd w:fill="FFFFFF" w:val="clear"/>
            <w:vAlign w:val="center"/>
          </w:tcPr>
          <w:p>
            <w:pPr>
              <w:pStyle w:val="TableContents"/>
              <w:bidi w:val="0"/>
              <w:spacing w:before="0" w:after="283"/>
              <w:jc w:val="left"/>
              <w:rPr/>
            </w:pPr>
            <w:r>
              <w:rPr/>
              <w:t>)</w:t>
            </w:r>
            <w:bookmarkStart w:id="274" w:name="xdx_403_ecustom--RightOfUseAssetObtained"/>
            <w:bookmarkEnd w:id="274"/>
          </w:p>
        </w:tc>
      </w:tr>
      <w:tr>
        <w:trPr/>
        <w:tc>
          <w:tcPr>
            <w:tcW w:w="6470" w:type="dxa"/>
            <w:tcBorders/>
            <w:shd w:fill="CCEEFF" w:val="clear"/>
            <w:vAlign w:val="center"/>
          </w:tcPr>
          <w:p>
            <w:pPr>
              <w:pStyle w:val="TableContents"/>
              <w:bidi w:val="0"/>
              <w:spacing w:before="0" w:after="283"/>
              <w:jc w:val="left"/>
              <w:rPr/>
            </w:pPr>
            <w:r>
              <w:rPr/>
              <w:t>Right of use asset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(2,006</w:t>
            </w:r>
          </w:p>
        </w:tc>
        <w:tc>
          <w:tcPr>
            <w:tcW w:w="110" w:type="dxa"/>
            <w:tcBorders/>
            <w:shd w:fill="CCEEFF" w:val="clear"/>
            <w:vAlign w:val="center"/>
          </w:tcPr>
          <w:p>
            <w:pPr>
              <w:pStyle w:val="TableContents"/>
              <w:bidi w:val="0"/>
              <w:spacing w:before="0" w:after="283"/>
              <w:jc w:val="left"/>
              <w:rPr/>
            </w:pPr>
            <w:r>
              <w:rPr/>
              <w:t>)</w:t>
            </w:r>
            <w:bookmarkStart w:id="275" w:name="xdx_40A_ecustom--ConversionOfConvertible"/>
            <w:bookmarkEnd w:id="275"/>
          </w:p>
        </w:tc>
      </w:tr>
      <w:tr>
        <w:trPr/>
        <w:tc>
          <w:tcPr>
            <w:tcW w:w="6470" w:type="dxa"/>
            <w:tcBorders/>
            <w:shd w:fill="FFFFFF" w:val="clear"/>
            <w:vAlign w:val="center"/>
          </w:tcPr>
          <w:p>
            <w:pPr>
              <w:pStyle w:val="TableContents"/>
              <w:bidi w:val="0"/>
              <w:spacing w:before="0" w:after="283"/>
              <w:jc w:val="left"/>
              <w:rPr/>
            </w:pPr>
            <w:r>
              <w:rPr/>
              <w:t>Conversion of 6.50% Convertible Notes due 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7975" w:type="dxa"/>
        <w:jc w:val="left"/>
        <w:tblInd w:w="0" w:type="dxa"/>
        <w:tblLayout w:type="fixed"/>
        <w:tblCellMar>
          <w:top w:w="0" w:type="dxa"/>
          <w:left w:w="0" w:type="dxa"/>
          <w:bottom w:w="0" w:type="dxa"/>
          <w:right w:w="0" w:type="dxa"/>
        </w:tblCellMar>
      </w:tblPr>
      <w:tblGrid>
        <w:gridCol w:w="260"/>
        <w:gridCol w:w="771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6" w:name="xdx_F05_zjkXIST8iUXl"/>
            <w:bookmarkEnd w:id="276"/>
            <w:r>
              <w:rPr>
                <w:rFonts w:ascii="Times New Roman;Times;Serif" w:hAnsi="Times New Roman;Times;Serif"/>
                <w:b w:val="false"/>
                <w:i w:val="false"/>
                <w:caps w:val="false"/>
                <w:smallCaps w:val="false"/>
                <w:sz w:val="20"/>
              </w:rPr>
              <w:t>(1)</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77" w:name="xdx_F1F_zYgn133DkHQh"/>
            <w:bookmarkEnd w:id="277"/>
            <w:r>
              <w:rPr>
                <w:rFonts w:ascii="Times New Roman;Times;Serif" w:hAnsi="Times New Roman;Times;Serif"/>
                <w:b w:val="false"/>
                <w:i w:val="false"/>
                <w:caps w:val="false"/>
                <w:smallCaps w:val="false"/>
                <w:sz w:val="20"/>
              </w:rPr>
              <w:t>Refer to the Condensed Consolidated Statements of Assets and Liabilities for additional detail.</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8" w:name="ak_007"/>
      <w:bookmarkEnd w:id="278"/>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9" w:name="xdx_30E_114_zhboKDh1C9s5"/>
      <w:bookmarkStart w:id="280" w:name="xdx_30E_114_zhboKDh1C9s5"/>
      <w:bookmarkEnd w:id="280"/>
    </w:p>
    <w:tbl>
      <w:tblPr>
        <w:tblW w:w="10650" w:type="dxa"/>
        <w:jc w:val="left"/>
        <w:tblInd w:w="0" w:type="dxa"/>
        <w:tblLayout w:type="fixed"/>
        <w:tblCellMar>
          <w:top w:w="0" w:type="dxa"/>
          <w:left w:w="0" w:type="dxa"/>
          <w:bottom w:w="28" w:type="dxa"/>
          <w:right w:w="0" w:type="dxa"/>
        </w:tblCellMar>
      </w:tblPr>
      <w:tblGrid>
        <w:gridCol w:w="2450"/>
        <w:gridCol w:w="395"/>
        <w:gridCol w:w="1460"/>
        <w:gridCol w:w="60"/>
        <w:gridCol w:w="1145"/>
        <w:gridCol w:w="60"/>
        <w:gridCol w:w="140"/>
        <w:gridCol w:w="1100"/>
        <w:gridCol w:w="60"/>
        <w:gridCol w:w="60"/>
        <w:gridCol w:w="140"/>
        <w:gridCol w:w="1100"/>
        <w:gridCol w:w="60"/>
        <w:gridCol w:w="60"/>
        <w:gridCol w:w="140"/>
        <w:gridCol w:w="1220"/>
        <w:gridCol w:w="60"/>
        <w:gridCol w:w="60"/>
        <w:gridCol w:w="62"/>
        <w:gridCol w:w="588"/>
        <w:gridCol w:w="230"/>
      </w:tblGrid>
      <w:tr>
        <w:trPr/>
        <w:tc>
          <w:tcPr>
            <w:tcW w:w="2450" w:type="dxa"/>
            <w:tcBorders>
              <w:bottom w:val="single" w:sz="8" w:space="0" w:color="000000"/>
            </w:tcBorders>
            <w:vAlign w:val="center"/>
          </w:tcPr>
          <w:p>
            <w:pPr>
              <w:pStyle w:val="TableContents"/>
              <w:bidi w:val="0"/>
              <w:spacing w:before="0" w:after="283"/>
              <w:jc w:val="left"/>
              <w:rPr>
                <w:b/>
              </w:rPr>
            </w:pPr>
            <w:r>
              <w:rPr>
                <w:b/>
              </w:rPr>
              <w:t>Portfolio Investments</w:t>
            </w:r>
            <w:bookmarkStart w:id="281" w:name="xdx_F6A_zrElqviHMkE"/>
            <w:bookmarkEnd w:id="281"/>
            <w:r>
              <w:rPr>
                <w:b/>
              </w:rPr>
              <w:t>*</w:t>
            </w:r>
          </w:p>
        </w:tc>
        <w:tc>
          <w:tcPr>
            <w:tcW w:w="395" w:type="dxa"/>
            <w:tcBorders/>
            <w:tcMar>
              <w:bottom w:w="0" w:type="dxa"/>
            </w:tcMar>
            <w:vAlign w:val="center"/>
          </w:tcPr>
          <w:p>
            <w:pPr>
              <w:pStyle w:val="TableContents"/>
              <w:bidi w:val="0"/>
              <w:spacing w:before="0" w:after="283"/>
              <w:jc w:val="left"/>
              <w:rPr/>
            </w:pPr>
            <w:r>
              <w:rPr/>
              <w:t> </w:t>
            </w:r>
            <w:bookmarkStart w:id="282" w:name="xdx_482_ecustom--InvestmentIndustryDescr"/>
            <w:bookmarkEnd w:id="282"/>
          </w:p>
        </w:tc>
        <w:tc>
          <w:tcPr>
            <w:tcW w:w="146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bookmarkStart w:id="283" w:name="xdx_489_ecustom--InitialInvestmentDate_i"/>
            <w:bookmarkEnd w:id="283"/>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84" w:name="xdx_488_eus-gaap--InvestmentOwnedAtCost_"/>
            <w:bookmarkEnd w:id="284"/>
          </w:p>
        </w:tc>
        <w:tc>
          <w:tcPr>
            <w:tcW w:w="124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85" w:name="xdx_488_eus-gaap--InvestmentOwnedAtFairV"/>
            <w:bookmarkEnd w:id="285"/>
          </w:p>
        </w:tc>
        <w:tc>
          <w:tcPr>
            <w:tcW w:w="1360"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86" w:name="xdx_48C_eus-gaap--InvestmentOwnedPercent"/>
            <w:bookmarkEnd w:id="286"/>
          </w:p>
        </w:tc>
        <w:tc>
          <w:tcPr>
            <w:tcW w:w="650"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3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283"/>
              <w:jc w:val="left"/>
              <w:rPr>
                <w:b/>
              </w:rPr>
            </w:pPr>
            <w:r>
              <w:rPr>
                <w:b/>
              </w:rPr>
              <w:t>NON-CONTROLLED/NON-AFFILIATE</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Whoop, Inc.</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Boston, 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287" w:name="xdx_412_20260630__srt--ConsolidatedEntit"/>
            <w:bookmarkEnd w:id="287"/>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C</w:t>
            </w:r>
          </w:p>
        </w:tc>
        <w:tc>
          <w:tcPr>
            <w:tcW w:w="39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460" w:type="dxa"/>
            <w:tcBorders/>
            <w:shd w:fill="CCEEFF" w:val="clear"/>
            <w:tcMar>
              <w:bottom w:w="0" w:type="dxa"/>
            </w:tcMar>
            <w:vAlign w:val="center"/>
          </w:tcPr>
          <w:p>
            <w:pPr>
              <w:pStyle w:val="TableContents"/>
              <w:bidi w:val="0"/>
              <w:spacing w:before="0" w:after="283"/>
              <w:jc w:val="center"/>
              <w:rPr/>
            </w:pPr>
            <w:r>
              <w:rPr/>
              <w:t>Fitness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6/30/2022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288" w:name="xdx_982_eus-gaap--InvestmentOwnedBalance"/>
            <w:bookmarkEnd w:id="288"/>
          </w:p>
        </w:tc>
        <w:tc>
          <w:tcPr>
            <w:tcW w:w="1100" w:type="dxa"/>
            <w:tcBorders/>
            <w:shd w:fill="CCEEFF" w:val="clear"/>
            <w:tcMar>
              <w:bottom w:w="0" w:type="dxa"/>
            </w:tcMar>
            <w:vAlign w:val="center"/>
          </w:tcPr>
          <w:p>
            <w:pPr>
              <w:pStyle w:val="TableContents"/>
              <w:bidi w:val="0"/>
              <w:spacing w:before="0" w:after="283"/>
              <w:jc w:val="right"/>
              <w:rPr/>
            </w:pPr>
            <w:r>
              <w:rPr/>
              <w:t>13,293,450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10,011,460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149,338,617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41.97</w:t>
            </w:r>
          </w:p>
        </w:tc>
        <w:tc>
          <w:tcPr>
            <w:tcW w:w="230" w:type="dxa"/>
            <w:tcBorders/>
            <w:shd w:fill="CCEEFF" w:val="clear"/>
            <w:tcMar>
              <w:bottom w:w="0" w:type="dxa"/>
            </w:tcMar>
            <w:vAlign w:val="center"/>
          </w:tcPr>
          <w:p>
            <w:pPr>
              <w:pStyle w:val="TableContents"/>
              <w:bidi w:val="0"/>
              <w:spacing w:before="0" w:after="283"/>
              <w:jc w:val="left"/>
              <w:rPr/>
            </w:pPr>
            <w:r>
              <w:rPr/>
              <w:t>%</w:t>
            </w:r>
            <w:bookmarkStart w:id="289" w:name="xdx_41D_20260630__srt--ConsolidatedEntit"/>
            <w:bookmarkEnd w:id="289"/>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G-2</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Fitness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2/6/2025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290" w:name="xdx_987_eus-gaap--InvestmentOwnedBalance"/>
            <w:bookmarkEnd w:id="290"/>
          </w:p>
        </w:tc>
        <w:tc>
          <w:tcPr>
            <w:tcW w:w="1100" w:type="dxa"/>
            <w:tcBorders/>
            <w:shd w:fill="FFFFFF" w:val="clear"/>
            <w:tcMar>
              <w:bottom w:w="0" w:type="dxa"/>
            </w:tcMar>
            <w:vAlign w:val="center"/>
          </w:tcPr>
          <w:p>
            <w:pPr>
              <w:pStyle w:val="TableContents"/>
              <w:bidi w:val="0"/>
              <w:spacing w:before="0" w:after="283"/>
              <w:jc w:val="right"/>
              <w:rPr/>
            </w:pPr>
            <w:r>
              <w:rPr/>
              <w:t>127,164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1,001,628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1,428,560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0.40</w:t>
            </w:r>
          </w:p>
        </w:tc>
        <w:tc>
          <w:tcPr>
            <w:tcW w:w="230" w:type="dxa"/>
            <w:tcBorders/>
            <w:shd w:fill="FFFFFF" w:val="clear"/>
            <w:tcMar>
              <w:bottom w:w="0" w:type="dxa"/>
            </w:tcMar>
            <w:vAlign w:val="center"/>
          </w:tcPr>
          <w:p>
            <w:pPr>
              <w:pStyle w:val="TableContents"/>
              <w:bidi w:val="0"/>
              <w:spacing w:before="0" w:after="283"/>
              <w:jc w:val="left"/>
              <w:rPr/>
            </w:pPr>
            <w:r>
              <w:rPr/>
              <w:t>%</w:t>
            </w:r>
            <w:bookmarkStart w:id="291" w:name="xdx_411_20260630__srt--ConsolidatedEntit"/>
            <w:bookmarkEnd w:id="291"/>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11,013,088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150,767,177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42.37</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ARK Type One Deep Ventures Fund LLC</w:t>
            </w:r>
            <w:r>
              <w:rPr>
                <w:rFonts w:ascii="Times New Roman;Times;Serif" w:hAnsi="Times New Roman;Times;Serif"/>
                <w:b/>
                <w:position w:val="7"/>
                <w:sz w:val="16"/>
                <w:sz w:val="20"/>
                <w:u w:val="single"/>
              </w:rPr>
              <w:t>**(5)</w:t>
            </w:r>
          </w:p>
        </w:tc>
        <w:tc>
          <w:tcPr>
            <w:tcW w:w="39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460" w:type="dxa"/>
            <w:tcBorders/>
            <w:shd w:fill="FFFFFF" w:val="clear"/>
            <w:tcMar>
              <w:bottom w:w="0" w:type="dxa"/>
            </w:tcMar>
            <w:vAlign w:val="center"/>
          </w:tcPr>
          <w:p>
            <w:pPr>
              <w:pStyle w:val="TableContents"/>
              <w:bidi w:val="0"/>
              <w:spacing w:before="0" w:after="283"/>
              <w:jc w:val="center"/>
              <w:rPr/>
            </w:pPr>
            <w:r>
              <w:rPr/>
              <w:t>St. Petersburg, FL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292" w:name="xdx_412_20260630__srt--ConsolidatedEntit"/>
            <w:bookmarkEnd w:id="292"/>
          </w:p>
        </w:tc>
      </w:tr>
      <w:tr>
        <w:trPr/>
        <w:tc>
          <w:tcPr>
            <w:tcW w:w="2450" w:type="dxa"/>
            <w:tcBorders/>
            <w:shd w:fill="CCEEFF" w:val="clear"/>
            <w:tcMar>
              <w:bottom w:w="0" w:type="dxa"/>
            </w:tcMar>
            <w:vAlign w:val="center"/>
          </w:tcPr>
          <w:p>
            <w:pPr>
              <w:pStyle w:val="TableContents"/>
              <w:bidi w:val="0"/>
              <w:spacing w:before="0" w:after="283"/>
              <w:jc w:val="left"/>
              <w:rPr/>
            </w:pPr>
            <w:r>
              <w:rPr/>
              <w:t>Membership Interest, Class A</w:t>
            </w:r>
          </w:p>
        </w:tc>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293" w:name="xdx_F4A_zxNZoDuLSLyd"/>
            <w:bookmarkEnd w:id="293"/>
            <w:r>
              <w:rPr>
                <w:rFonts w:ascii="Times New Roman;Times;Serif" w:hAnsi="Times New Roman;Times;Serif"/>
                <w:sz w:val="20"/>
              </w:rPr>
              <w:t>**(5)</w:t>
            </w:r>
          </w:p>
        </w:tc>
        <w:tc>
          <w:tcPr>
            <w:tcW w:w="1460" w:type="dxa"/>
            <w:tcBorders/>
            <w:shd w:fill="CCEEFF" w:val="clear"/>
            <w:tcMar>
              <w:bottom w:w="0" w:type="dxa"/>
            </w:tcMar>
            <w:vAlign w:val="center"/>
          </w:tcPr>
          <w:p>
            <w:pPr>
              <w:pStyle w:val="TableContents"/>
              <w:bidi w:val="0"/>
              <w:spacing w:before="0" w:after="283"/>
              <w:jc w:val="center"/>
              <w:rPr/>
            </w:pPr>
            <w:r>
              <w:rPr/>
              <w:t>AI Application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9/25/2024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294" w:name="xdx_98D_eus-gaap--InvestmentOwnedBalance"/>
            <w:bookmarkEnd w:id="294"/>
          </w:p>
        </w:tc>
        <w:tc>
          <w:tcPr>
            <w:tcW w:w="1100" w:type="dxa"/>
            <w:tcBorders/>
            <w:shd w:fill="CCEEFF" w:val="clear"/>
            <w:tcMar>
              <w:bottom w:w="0" w:type="dxa"/>
            </w:tcMar>
            <w:vAlign w:val="center"/>
          </w:tcPr>
          <w:p>
            <w:pPr>
              <w:pStyle w:val="TableContents"/>
              <w:bidi w:val="0"/>
              <w:spacing w:before="0" w:after="283"/>
              <w:jc w:val="right"/>
              <w:rPr/>
            </w:pPr>
            <w:r>
              <w:rPr/>
              <w:t>17,500,000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17,696,568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59,302,645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16.66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IH10, LLC</w:t>
            </w:r>
            <w:r>
              <w:rPr>
                <w:rFonts w:ascii="Times New Roman;Times;Serif" w:hAnsi="Times New Roman;Times;Serif"/>
                <w:b/>
                <w:position w:val="7"/>
                <w:sz w:val="16"/>
                <w:sz w:val="20"/>
                <w:u w:val="single"/>
              </w:rPr>
              <w:t>**(6)</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New York, 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295" w:name="xdx_418_20260630__srt--ConsolidatedEntit"/>
            <w:bookmarkEnd w:id="295"/>
          </w:p>
        </w:tc>
      </w:tr>
      <w:tr>
        <w:trPr/>
        <w:tc>
          <w:tcPr>
            <w:tcW w:w="2450" w:type="dxa"/>
            <w:tcBorders/>
            <w:shd w:fill="CCEEFF" w:val="clear"/>
            <w:tcMar>
              <w:bottom w:w="0" w:type="dxa"/>
            </w:tcMar>
            <w:vAlign w:val="center"/>
          </w:tcPr>
          <w:p>
            <w:pPr>
              <w:pStyle w:val="TableContents"/>
              <w:bidi w:val="0"/>
              <w:spacing w:before="0" w:after="283"/>
              <w:jc w:val="left"/>
              <w:rPr/>
            </w:pPr>
            <w:r>
              <w:rPr/>
              <w:t>Membership Interest</w:t>
            </w:r>
          </w:p>
        </w:tc>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296" w:name="xdx_F42_zQeq75t4tJU3"/>
            <w:bookmarkEnd w:id="296"/>
            <w:r>
              <w:rPr>
                <w:rFonts w:ascii="Times New Roman;Times;Serif" w:hAnsi="Times New Roman;Times;Serif"/>
                <w:sz w:val="20"/>
              </w:rPr>
              <w:t>**(6)</w:t>
            </w:r>
          </w:p>
        </w:tc>
        <w:tc>
          <w:tcPr>
            <w:tcW w:w="1460" w:type="dxa"/>
            <w:tcBorders/>
            <w:shd w:fill="CCEEFF" w:val="clear"/>
            <w:tcMar>
              <w:bottom w:w="0" w:type="dxa"/>
            </w:tcMar>
            <w:vAlign w:val="center"/>
          </w:tcPr>
          <w:p>
            <w:pPr>
              <w:pStyle w:val="TableContents"/>
              <w:bidi w:val="0"/>
              <w:spacing w:before="0" w:after="283"/>
              <w:jc w:val="center"/>
              <w:rPr/>
            </w:pPr>
            <w:r>
              <w:rPr/>
              <w:t>AI Infrastructure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10/9/2024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297" w:name="xdx_988_eus-gaap--InvestmentOwnedBalance"/>
            <w:bookmarkEnd w:id="297"/>
          </w:p>
        </w:tc>
        <w:tc>
          <w:tcPr>
            <w:tcW w:w="1100" w:type="dxa"/>
            <w:tcBorders/>
            <w:shd w:fill="CCEEFF" w:val="clear"/>
            <w:tcMar>
              <w:bottom w:w="0" w:type="dxa"/>
            </w:tcMar>
            <w:vAlign w:val="center"/>
          </w:tcPr>
          <w:p>
            <w:pPr>
              <w:pStyle w:val="TableContents"/>
              <w:bidi w:val="0"/>
              <w:spacing w:before="0" w:after="283"/>
              <w:jc w:val="right"/>
              <w:rPr/>
            </w:pPr>
            <w:r>
              <w:rPr/>
              <w:t>12,000,010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12,273,784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34,001,149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9.55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Magnetar Opportunity 2025-4 LP</w:t>
            </w:r>
            <w:r>
              <w:rPr>
                <w:rFonts w:ascii="Times New Roman;Times;Serif" w:hAnsi="Times New Roman;Times;Serif"/>
                <w:b/>
                <w:position w:val="7"/>
                <w:sz w:val="16"/>
                <w:sz w:val="20"/>
                <w:u w:val="single"/>
              </w:rPr>
              <w:t>**(7)</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Evanston, 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298" w:name="xdx_415_20260630__srt--ConsolidatedEntit"/>
            <w:bookmarkEnd w:id="298"/>
          </w:p>
        </w:tc>
      </w:tr>
      <w:tr>
        <w:trPr/>
        <w:tc>
          <w:tcPr>
            <w:tcW w:w="2450" w:type="dxa"/>
            <w:tcBorders/>
            <w:shd w:fill="CCEEFF" w:val="clear"/>
            <w:tcMar>
              <w:bottom w:w="0" w:type="dxa"/>
            </w:tcMar>
            <w:vAlign w:val="center"/>
          </w:tcPr>
          <w:p>
            <w:pPr>
              <w:pStyle w:val="TableContents"/>
              <w:bidi w:val="0"/>
              <w:spacing w:before="0" w:after="283"/>
              <w:jc w:val="left"/>
              <w:rPr/>
            </w:pPr>
            <w:r>
              <w:rPr/>
              <w:t>Class A Interest</w:t>
            </w:r>
          </w:p>
        </w:tc>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299" w:name="xdx_F40_zsIJoTGSf03f"/>
            <w:bookmarkEnd w:id="299"/>
            <w:r>
              <w:rPr>
                <w:rFonts w:ascii="Times New Roman;Times;Serif" w:hAnsi="Times New Roman;Times;Serif"/>
                <w:sz w:val="20"/>
              </w:rPr>
              <w:t>**(7)</w:t>
            </w:r>
          </w:p>
        </w:tc>
        <w:tc>
          <w:tcPr>
            <w:tcW w:w="1460" w:type="dxa"/>
            <w:tcBorders/>
            <w:shd w:fill="CCEEFF" w:val="clear"/>
            <w:tcMar>
              <w:bottom w:w="0" w:type="dxa"/>
            </w:tcMar>
            <w:vAlign w:val="center"/>
          </w:tcPr>
          <w:p>
            <w:pPr>
              <w:pStyle w:val="TableContents"/>
              <w:bidi w:val="0"/>
              <w:spacing w:before="0" w:after="283"/>
              <w:jc w:val="center"/>
              <w:rPr/>
            </w:pPr>
            <w:r>
              <w:rPr/>
              <w:t>AI Infrastructure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300" w:name="xdx_988_eus-gaap--InvestmentOwnedBalance"/>
            <w:bookmarkEnd w:id="300"/>
          </w:p>
        </w:tc>
        <w:tc>
          <w:tcPr>
            <w:tcW w:w="1100" w:type="dxa"/>
            <w:tcBorders/>
            <w:shd w:fill="CCEEFF" w:val="clear"/>
            <w:tcMar>
              <w:bottom w:w="0" w:type="dxa"/>
            </w:tcMar>
            <w:vAlign w:val="center"/>
          </w:tcPr>
          <w:p>
            <w:pPr>
              <w:pStyle w:val="TableContents"/>
              <w:bidi w:val="0"/>
              <w:spacing w:before="0" w:after="283"/>
              <w:jc w:val="right"/>
              <w:rPr/>
            </w:pPr>
            <w:r>
              <w:rPr/>
              <w:t>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5,012,250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1.46</w:t>
            </w:r>
          </w:p>
        </w:tc>
        <w:tc>
          <w:tcPr>
            <w:tcW w:w="230" w:type="dxa"/>
            <w:tcBorders/>
            <w:shd w:fill="CCEEFF" w:val="clear"/>
            <w:tcMar>
              <w:bottom w:w="0" w:type="dxa"/>
            </w:tcMar>
            <w:vAlign w:val="center"/>
          </w:tcPr>
          <w:p>
            <w:pPr>
              <w:pStyle w:val="TableContents"/>
              <w:bidi w:val="0"/>
              <w:spacing w:before="0" w:after="283"/>
              <w:jc w:val="left"/>
              <w:rPr/>
            </w:pPr>
            <w:r>
              <w:rPr/>
              <w:t>%</w:t>
            </w:r>
            <w:bookmarkStart w:id="301" w:name="xdx_413_20260630__srt--ConsolidatedEntit"/>
            <w:bookmarkEnd w:id="301"/>
          </w:p>
        </w:tc>
      </w:tr>
      <w:tr>
        <w:trPr/>
        <w:tc>
          <w:tcPr>
            <w:tcW w:w="2450" w:type="dxa"/>
            <w:tcBorders/>
            <w:shd w:fill="FFFFFF" w:val="clear"/>
            <w:tcMar>
              <w:bottom w:w="0" w:type="dxa"/>
            </w:tcMar>
            <w:vAlign w:val="center"/>
          </w:tcPr>
          <w:p>
            <w:pPr>
              <w:pStyle w:val="TableContents"/>
              <w:bidi w:val="0"/>
              <w:spacing w:before="0" w:after="283"/>
              <w:jc w:val="left"/>
              <w:rPr/>
            </w:pPr>
            <w:r>
              <w:rPr/>
              <w:t>Class B Interest</w:t>
            </w:r>
          </w:p>
        </w:tc>
        <w:tc>
          <w:tcPr>
            <w:tcW w:w="3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02" w:name="xdx_F47_zqsUOYDaqrgg"/>
            <w:bookmarkEnd w:id="302"/>
            <w:r>
              <w:rPr>
                <w:rFonts w:ascii="Times New Roman;Times;Serif" w:hAnsi="Times New Roman;Times;Serif"/>
                <w:sz w:val="20"/>
              </w:rPr>
              <w:t>**(7)</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AI Infrastructure Fund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6/3/2026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303" w:name="xdx_98C_eus-gaap--InvestmentOwnedBalance"/>
            <w:bookmarkEnd w:id="303"/>
          </w:p>
        </w:tc>
        <w:tc>
          <w:tcPr>
            <w:tcW w:w="1100" w:type="dxa"/>
            <w:tcBorders/>
            <w:shd w:fill="FFFFFF" w:val="clear"/>
            <w:tcMar>
              <w:bottom w:w="0" w:type="dxa"/>
            </w:tcMar>
            <w:vAlign w:val="center"/>
          </w:tcPr>
          <w:p>
            <w:pPr>
              <w:pStyle w:val="TableContents"/>
              <w:bidi w:val="0"/>
              <w:spacing w:before="0" w:after="283"/>
              <w:jc w:val="right"/>
              <w:rPr/>
            </w:pPr>
            <w:r>
              <w:rPr/>
              <w:t>15,000,000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15,000,000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4.22</w:t>
            </w:r>
          </w:p>
        </w:tc>
        <w:tc>
          <w:tcPr>
            <w:tcW w:w="230" w:type="dxa"/>
            <w:tcBorders/>
            <w:shd w:fill="FFFFFF" w:val="clear"/>
            <w:tcMar>
              <w:bottom w:w="0" w:type="dxa"/>
            </w:tcMar>
            <w:vAlign w:val="center"/>
          </w:tcPr>
          <w:p>
            <w:pPr>
              <w:pStyle w:val="TableContents"/>
              <w:bidi w:val="0"/>
              <w:spacing w:before="0" w:after="283"/>
              <w:jc w:val="left"/>
              <w:rPr/>
            </w:pPr>
            <w:r>
              <w:rPr/>
              <w:t>%</w:t>
            </w:r>
            <w:bookmarkStart w:id="304" w:name="xdx_412_20260630__srt--ConsolidatedEntit"/>
            <w:bookmarkEnd w:id="304"/>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395" w:type="dxa"/>
            <w:tcBorders/>
            <w:shd w:fill="CCEEFF" w:val="clear"/>
            <w:tcMar>
              <w:bottom w:w="0" w:type="dxa"/>
            </w:tcMar>
            <w:vAlign w:val="center"/>
          </w:tcPr>
          <w:p>
            <w:pPr>
              <w:pStyle w:val="TableContents"/>
              <w:bidi w:val="0"/>
              <w:spacing w:before="0" w:after="283"/>
              <w:jc w:val="left"/>
              <w:rPr/>
            </w:pPr>
            <w:bookmarkStart w:id="305" w:name="xdx_F4A_zZenaVaIqLoi"/>
            <w:bookmarkEnd w:id="305"/>
            <w:r>
              <w:rPr>
                <w:rFonts w:ascii="Times New Roman;Times;Serif" w:hAnsi="Times New Roman;Times;Serif"/>
                <w:sz w:val="20"/>
              </w:rPr>
              <w:t>**(7)</w:t>
            </w:r>
            <w:r>
              <w:rPr/>
              <w:t> </w:t>
            </w:r>
          </w:p>
        </w:tc>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20,012,250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20,200,000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5.68</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Blink Health, Inc.</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New York, 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306" w:name="xdx_419_20260630__srt--ConsolidatedEntit"/>
            <w:bookmarkEnd w:id="306"/>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A</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Pharmaceutical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10/27/2020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07" w:name="xdx_98F_eus-gaap--InvestmentOwnedBalance"/>
            <w:bookmarkEnd w:id="307"/>
          </w:p>
        </w:tc>
        <w:tc>
          <w:tcPr>
            <w:tcW w:w="1100" w:type="dxa"/>
            <w:tcBorders/>
            <w:shd w:fill="CCEEFF" w:val="clear"/>
            <w:tcMar>
              <w:bottom w:w="0" w:type="dxa"/>
            </w:tcMar>
            <w:vAlign w:val="center"/>
          </w:tcPr>
          <w:p>
            <w:pPr>
              <w:pStyle w:val="TableContents"/>
              <w:bidi w:val="0"/>
              <w:spacing w:before="0" w:after="283"/>
              <w:jc w:val="right"/>
              <w:rPr/>
            </w:pPr>
            <w:r>
              <w:rPr/>
              <w:t>238,095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5,000,423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7,499,992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2.11</w:t>
            </w:r>
          </w:p>
        </w:tc>
        <w:tc>
          <w:tcPr>
            <w:tcW w:w="230" w:type="dxa"/>
            <w:tcBorders/>
            <w:shd w:fill="CCEEFF" w:val="clear"/>
            <w:tcMar>
              <w:bottom w:w="0" w:type="dxa"/>
            </w:tcMar>
            <w:vAlign w:val="center"/>
          </w:tcPr>
          <w:p>
            <w:pPr>
              <w:pStyle w:val="TableContents"/>
              <w:bidi w:val="0"/>
              <w:spacing w:before="0" w:after="283"/>
              <w:jc w:val="left"/>
              <w:rPr/>
            </w:pPr>
            <w:r>
              <w:rPr/>
              <w:t>%</w:t>
            </w:r>
            <w:bookmarkStart w:id="308" w:name="xdx_417_20260630__srt--ConsolidatedEntit"/>
            <w:bookmarkEnd w:id="308"/>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C</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Pharmaceutical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10/27/2020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09" w:name="xdx_981_eus-gaap--InvestmentOwnedBalance"/>
            <w:bookmarkEnd w:id="309"/>
          </w:p>
        </w:tc>
        <w:tc>
          <w:tcPr>
            <w:tcW w:w="1100" w:type="dxa"/>
            <w:tcBorders/>
            <w:shd w:fill="FFFFFF" w:val="clear"/>
            <w:tcMar>
              <w:bottom w:w="0" w:type="dxa"/>
            </w:tcMar>
            <w:vAlign w:val="center"/>
          </w:tcPr>
          <w:p>
            <w:pPr>
              <w:pStyle w:val="TableContents"/>
              <w:bidi w:val="0"/>
              <w:spacing w:before="0" w:after="283"/>
              <w:jc w:val="right"/>
              <w:rPr/>
            </w:pPr>
            <w:r>
              <w:rPr/>
              <w:t>261,944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10,003,917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9,613,523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2.70</w:t>
            </w:r>
          </w:p>
        </w:tc>
        <w:tc>
          <w:tcPr>
            <w:tcW w:w="230" w:type="dxa"/>
            <w:tcBorders/>
            <w:shd w:fill="FFFFFF" w:val="clear"/>
            <w:tcMar>
              <w:bottom w:w="0" w:type="dxa"/>
            </w:tcMar>
            <w:vAlign w:val="center"/>
          </w:tcPr>
          <w:p>
            <w:pPr>
              <w:pStyle w:val="TableContents"/>
              <w:bidi w:val="0"/>
              <w:spacing w:before="0" w:after="283"/>
              <w:jc w:val="left"/>
              <w:rPr/>
            </w:pPr>
            <w:r>
              <w:rPr/>
              <w:t>%</w:t>
            </w:r>
            <w:bookmarkStart w:id="310" w:name="xdx_41D_20260630__srt--ConsolidatedEntit"/>
            <w:bookmarkEnd w:id="310"/>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15,004,340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17,113,515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4.81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CW Opportunity 2 LP</w:t>
            </w:r>
            <w:r>
              <w:rPr>
                <w:rFonts w:ascii="Times New Roman;Times;Serif" w:hAnsi="Times New Roman;Times;Serif"/>
                <w:b/>
                <w:position w:val="7"/>
                <w:sz w:val="16"/>
                <w:sz w:val="20"/>
                <w:u w:val="single"/>
              </w:rPr>
              <w:t>**(8)</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Evanston, 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311" w:name="xdx_419_20260630__srt--ConsolidatedEntit"/>
            <w:bookmarkEnd w:id="311"/>
          </w:p>
        </w:tc>
      </w:tr>
      <w:tr>
        <w:trPr/>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Interest</w:t>
            </w:r>
            <w:r>
              <w:rPr>
                <w:rFonts w:ascii="Times New Roman;Times;Serif" w:hAnsi="Times New Roman;Times;Serif"/>
                <w:position w:val="7"/>
                <w:sz w:val="16"/>
                <w:sz w:val="20"/>
              </w:rPr>
              <w:t>***</w:t>
            </w:r>
          </w:p>
        </w:tc>
        <w:tc>
          <w:tcPr>
            <w:tcW w:w="395" w:type="dxa"/>
            <w:tcBorders/>
            <w:shd w:fill="CCEEFF" w:val="clear"/>
            <w:tcMar>
              <w:bottom w:w="0" w:type="dxa"/>
            </w:tcMar>
            <w:vAlign w:val="center"/>
          </w:tcPr>
          <w:p>
            <w:pPr>
              <w:pStyle w:val="TableContents"/>
              <w:bidi w:val="0"/>
              <w:jc w:val="left"/>
              <w:rPr>
                <w:rFonts w:ascii="Times New Roman;Times;Serif" w:hAnsi="Times New Roman;Times;Serif"/>
                <w:sz w:val="20"/>
              </w:rPr>
            </w:pPr>
            <w:bookmarkStart w:id="312" w:name="xdx_F4A_zZpeae0LwI61"/>
            <w:bookmarkEnd w:id="312"/>
            <w:r>
              <w:rPr>
                <w:rFonts w:ascii="Times New Roman;Times;Serif" w:hAnsi="Times New Roman;Times;Serif"/>
                <w:sz w:val="20"/>
              </w:rPr>
              <w:t>**(8)</w:t>
            </w:r>
          </w:p>
          <w:p>
            <w:pPr>
              <w:pStyle w:val="TableContents"/>
              <w:bidi w:val="0"/>
              <w:spacing w:before="0" w:after="283"/>
              <w:jc w:val="left"/>
              <w:rPr>
                <w:rFonts w:ascii="Times New Roman;Times;Serif" w:hAnsi="Times New Roman;Times;Serif"/>
                <w:sz w:val="20"/>
              </w:rPr>
            </w:pPr>
            <w:bookmarkStart w:id="313" w:name="xdx_F46_zZdc0iCkSv9"/>
            <w:bookmarkEnd w:id="313"/>
            <w:r>
              <w:rPr>
                <w:rFonts w:ascii="Times New Roman;Times;Serif" w:hAnsi="Times New Roman;Times;Serif"/>
                <w:sz w:val="20"/>
              </w:rPr>
              <w:t>***</w:t>
            </w:r>
          </w:p>
        </w:tc>
        <w:tc>
          <w:tcPr>
            <w:tcW w:w="1460" w:type="dxa"/>
            <w:tcBorders/>
            <w:shd w:fill="CCEEFF" w:val="clear"/>
            <w:tcMar>
              <w:bottom w:w="0" w:type="dxa"/>
            </w:tcMar>
            <w:vAlign w:val="center"/>
          </w:tcPr>
          <w:p>
            <w:pPr>
              <w:pStyle w:val="TableContents"/>
              <w:bidi w:val="0"/>
              <w:spacing w:before="0" w:after="283"/>
              <w:jc w:val="center"/>
              <w:rPr/>
            </w:pPr>
            <w:r>
              <w:rPr/>
              <w:t>AI Infrastructure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5/7/2024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314" w:name="xdx_982_eus-gaap--InvestmentOwnedBalance"/>
            <w:bookmarkEnd w:id="314"/>
          </w:p>
        </w:tc>
        <w:tc>
          <w:tcPr>
            <w:tcW w:w="1100" w:type="dxa"/>
            <w:tcBorders/>
            <w:shd w:fill="CCEEFF" w:val="clear"/>
            <w:tcMar>
              <w:bottom w:w="0" w:type="dxa"/>
            </w:tcMar>
            <w:vAlign w:val="center"/>
          </w:tcPr>
          <w:p>
            <w:pPr>
              <w:pStyle w:val="TableContents"/>
              <w:bidi w:val="0"/>
              <w:spacing w:before="0" w:after="283"/>
              <w:jc w:val="right"/>
              <w:rPr/>
            </w:pPr>
            <w:r>
              <w:rPr/>
              <w:t>8,377,421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8,553,863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15,367,670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4.32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Canva, Inc.</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Austin, 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315" w:name="xdx_415_20260630__srt--ConsolidatedEntit"/>
            <w:bookmarkEnd w:id="315"/>
          </w:p>
        </w:tc>
      </w:tr>
      <w:tr>
        <w:trPr/>
        <w:tc>
          <w:tcPr>
            <w:tcW w:w="2450" w:type="dxa"/>
            <w:tcBorders/>
            <w:shd w:fill="CCEEFF" w:val="clear"/>
            <w:tcMar>
              <w:bottom w:w="0" w:type="dxa"/>
            </w:tcMar>
            <w:vAlign w:val="center"/>
          </w:tcPr>
          <w:p>
            <w:pPr>
              <w:pStyle w:val="TableContents"/>
              <w:bidi w:val="0"/>
              <w:spacing w:before="0" w:after="283"/>
              <w:jc w:val="left"/>
              <w:rPr/>
            </w:pPr>
            <w:r>
              <w:rPr/>
              <w:t>Common Shares</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Productivity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4/17/2024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16" w:name="xdx_983_eus-gaap--InvestmentOwnedBalance"/>
            <w:bookmarkEnd w:id="316"/>
          </w:p>
        </w:tc>
        <w:tc>
          <w:tcPr>
            <w:tcW w:w="1100" w:type="dxa"/>
            <w:tcBorders/>
            <w:shd w:fill="CCEEFF" w:val="clear"/>
            <w:tcMar>
              <w:bottom w:w="0" w:type="dxa"/>
            </w:tcMar>
            <w:vAlign w:val="center"/>
          </w:tcPr>
          <w:p>
            <w:pPr>
              <w:pStyle w:val="TableContents"/>
              <w:bidi w:val="0"/>
              <w:spacing w:before="0" w:after="283"/>
              <w:jc w:val="right"/>
              <w:rPr/>
            </w:pPr>
            <w:r>
              <w:rPr/>
              <w:t>9,375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10,058,820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15,432,563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4.34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Learneo, Inc. (f/k/a Course Hero, Inc.)</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Menlo Park,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317" w:name="xdx_41E_20260630__srt--ConsolidatedEntit"/>
            <w:bookmarkEnd w:id="317"/>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A 8%</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Online Education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9/18/2014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18" w:name="xdx_986_eus-gaap--InvestmentOwnedBalance"/>
            <w:bookmarkEnd w:id="318"/>
          </w:p>
        </w:tc>
        <w:tc>
          <w:tcPr>
            <w:tcW w:w="1100" w:type="dxa"/>
            <w:tcBorders/>
            <w:shd w:fill="CCEEFF" w:val="clear"/>
            <w:tcMar>
              <w:bottom w:w="0" w:type="dxa"/>
            </w:tcMar>
            <w:vAlign w:val="center"/>
          </w:tcPr>
          <w:p>
            <w:pPr>
              <w:pStyle w:val="TableContents"/>
              <w:bidi w:val="0"/>
              <w:spacing w:before="0" w:after="283"/>
              <w:jc w:val="right"/>
              <w:rPr/>
            </w:pPr>
            <w:r>
              <w:rPr/>
              <w:t>2,145,509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5,369,287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1.51</w:t>
            </w:r>
          </w:p>
        </w:tc>
        <w:tc>
          <w:tcPr>
            <w:tcW w:w="230" w:type="dxa"/>
            <w:tcBorders/>
            <w:shd w:fill="CCEEFF" w:val="clear"/>
            <w:tcMar>
              <w:bottom w:w="0" w:type="dxa"/>
            </w:tcMar>
            <w:vAlign w:val="center"/>
          </w:tcPr>
          <w:p>
            <w:pPr>
              <w:pStyle w:val="TableContents"/>
              <w:bidi w:val="0"/>
              <w:spacing w:before="0" w:after="283"/>
              <w:jc w:val="left"/>
              <w:rPr/>
            </w:pPr>
            <w:r>
              <w:rPr/>
              <w:t>%</w:t>
            </w:r>
            <w:bookmarkStart w:id="319" w:name="xdx_411_20260630__srt--ConsolidatedEntit"/>
            <w:bookmarkEnd w:id="319"/>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C 8%</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Online Education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11/5/2021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20" w:name="xdx_985_eus-gaap--InvestmentOwnedBalance"/>
            <w:bookmarkEnd w:id="320"/>
          </w:p>
        </w:tc>
        <w:tc>
          <w:tcPr>
            <w:tcW w:w="1100" w:type="dxa"/>
            <w:tcBorders/>
            <w:shd w:fill="FFFFFF" w:val="clear"/>
            <w:tcMar>
              <w:bottom w:w="0" w:type="dxa"/>
            </w:tcMar>
            <w:vAlign w:val="center"/>
          </w:tcPr>
          <w:p>
            <w:pPr>
              <w:pStyle w:val="TableContents"/>
              <w:bidi w:val="0"/>
              <w:spacing w:before="0" w:after="283"/>
              <w:jc w:val="right"/>
              <w:rPr/>
            </w:pPr>
            <w:r>
              <w:rPr/>
              <w:t>275,659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9,999,971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9,999,971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2.81</w:t>
            </w:r>
          </w:p>
        </w:tc>
        <w:tc>
          <w:tcPr>
            <w:tcW w:w="230" w:type="dxa"/>
            <w:tcBorders/>
            <w:shd w:fill="FFFFFF" w:val="clear"/>
            <w:tcMar>
              <w:bottom w:w="0" w:type="dxa"/>
            </w:tcMar>
            <w:vAlign w:val="center"/>
          </w:tcPr>
          <w:p>
            <w:pPr>
              <w:pStyle w:val="TableContents"/>
              <w:bidi w:val="0"/>
              <w:spacing w:before="0" w:after="283"/>
              <w:jc w:val="left"/>
              <w:rPr/>
            </w:pPr>
            <w:r>
              <w:rPr/>
              <w:t>%</w:t>
            </w:r>
            <w:bookmarkStart w:id="321" w:name="xdx_41C_20260630__srt--ConsolidatedEntit"/>
            <w:bookmarkEnd w:id="321"/>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14,999,972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15,369,258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4.32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Locus Robotics Corp.</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Wilmington, 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322" w:name="xdx_410_20260630__srt--ConsolidatedEntit"/>
            <w:bookmarkEnd w:id="322"/>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F 6%</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Warehouse Automation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11/30/2022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23" w:name="xdx_98B_eus-gaap--InvestmentOwnedBalance"/>
            <w:bookmarkEnd w:id="323"/>
          </w:p>
        </w:tc>
        <w:tc>
          <w:tcPr>
            <w:tcW w:w="1100" w:type="dxa"/>
            <w:tcBorders/>
            <w:shd w:fill="CCEEFF" w:val="clear"/>
            <w:tcMar>
              <w:bottom w:w="0" w:type="dxa"/>
            </w:tcMar>
            <w:vAlign w:val="center"/>
          </w:tcPr>
          <w:p>
            <w:pPr>
              <w:pStyle w:val="TableContents"/>
              <w:bidi w:val="0"/>
              <w:spacing w:before="0" w:after="283"/>
              <w:jc w:val="right"/>
              <w:rPr/>
            </w:pPr>
            <w:r>
              <w:rPr/>
              <w:t>232,568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10,004,286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12,347,909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3.47</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Supplying Demand, Inc. (d/b/a Liquid Death)</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Los Angeles,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324" w:name="xdx_41D_20260630__srt--ConsolidatedEntit"/>
            <w:bookmarkEnd w:id="324"/>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F-1</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Lifestyle Beverage Brand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1/18/2024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25" w:name="xdx_988_eus-gaap--InvestmentOwnedBalance"/>
            <w:bookmarkEnd w:id="325"/>
          </w:p>
        </w:tc>
        <w:tc>
          <w:tcPr>
            <w:tcW w:w="1100" w:type="dxa"/>
            <w:tcBorders/>
            <w:shd w:fill="CCEEFF" w:val="clear"/>
            <w:tcMar>
              <w:bottom w:w="0" w:type="dxa"/>
            </w:tcMar>
            <w:vAlign w:val="center"/>
          </w:tcPr>
          <w:p>
            <w:pPr>
              <w:pStyle w:val="TableContents"/>
              <w:bidi w:val="0"/>
              <w:spacing w:before="0" w:after="283"/>
              <w:jc w:val="right"/>
              <w:rPr/>
            </w:pPr>
            <w:r>
              <w:rPr/>
              <w:t>776,747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10,003,934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9,999,996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2.81</w:t>
            </w:r>
          </w:p>
        </w:tc>
        <w:tc>
          <w:tcPr>
            <w:tcW w:w="230" w:type="dxa"/>
            <w:tcBorders/>
            <w:shd w:fill="CCEEFF" w:val="clear"/>
            <w:tcMar>
              <w:bottom w:w="0" w:type="dxa"/>
            </w:tcMar>
            <w:vAlign w:val="center"/>
          </w:tcPr>
          <w:p>
            <w:pPr>
              <w:pStyle w:val="TableContents"/>
              <w:bidi w:val="0"/>
              <w:spacing w:before="0" w:after="283"/>
              <w:jc w:val="left"/>
              <w:rPr/>
            </w:pPr>
            <w:r>
              <w:rPr/>
              <w:t>%</w:t>
            </w:r>
            <w:bookmarkStart w:id="326" w:name="xdx_41B_20260630__srt--ConsolidatedEntit"/>
            <w:bookmarkEnd w:id="326"/>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F Convertible Note 4.12%, Due 7/15/2030</w:t>
            </w:r>
            <w:bookmarkStart w:id="327" w:name="xdx_F4F_zj0mWxFNLTxh"/>
            <w:bookmarkEnd w:id="327"/>
            <w:r>
              <w:rPr>
                <w:rFonts w:ascii="Times New Roman;Times;Serif" w:hAnsi="Times New Roman;Times;Serif"/>
                <w:sz w:val="20"/>
              </w:rPr>
              <w:t>***</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Lifestyle Beverage Brand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7/29/2025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328" w:name="xdx_984_eus-gaap--InvestmentOwnedBalance"/>
            <w:bookmarkEnd w:id="328"/>
          </w:p>
        </w:tc>
        <w:tc>
          <w:tcPr>
            <w:tcW w:w="110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252,362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0.07</w:t>
            </w:r>
          </w:p>
        </w:tc>
        <w:tc>
          <w:tcPr>
            <w:tcW w:w="230" w:type="dxa"/>
            <w:tcBorders/>
            <w:shd w:fill="FFFFFF" w:val="clear"/>
            <w:tcMar>
              <w:bottom w:w="0" w:type="dxa"/>
            </w:tcMar>
            <w:vAlign w:val="center"/>
          </w:tcPr>
          <w:p>
            <w:pPr>
              <w:pStyle w:val="TableContents"/>
              <w:bidi w:val="0"/>
              <w:spacing w:before="0" w:after="283"/>
              <w:jc w:val="left"/>
              <w:rPr/>
            </w:pPr>
            <w:r>
              <w:rPr/>
              <w:t>%</w:t>
            </w:r>
            <w:bookmarkStart w:id="329" w:name="xdx_41B_20260630__srt--ConsolidatedEntit"/>
            <w:bookmarkEnd w:id="329"/>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10,256,296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10,249,996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2.88</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ClickHouse, Inc.</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San Francisco,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330" w:name="xdx_410_20260630__srt--ConsolidatedEntit"/>
            <w:bookmarkEnd w:id="330"/>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A</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Managed Database and Analytics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4/22/2026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31" w:name="xdx_980_eus-gaap--InvestmentOwnedBalance"/>
            <w:bookmarkEnd w:id="331"/>
          </w:p>
        </w:tc>
        <w:tc>
          <w:tcPr>
            <w:tcW w:w="1100" w:type="dxa"/>
            <w:tcBorders/>
            <w:shd w:fill="CCEEFF" w:val="clear"/>
            <w:tcMar>
              <w:bottom w:w="0" w:type="dxa"/>
            </w:tcMar>
            <w:vAlign w:val="center"/>
          </w:tcPr>
          <w:p>
            <w:pPr>
              <w:pStyle w:val="TableContents"/>
              <w:bidi w:val="0"/>
              <w:spacing w:before="0" w:after="283"/>
              <w:jc w:val="right"/>
              <w:rPr/>
            </w:pPr>
            <w:r>
              <w:rPr/>
              <w:t>41,179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9,579,252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9,471,170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2.66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Shogun Enterprises, Inc. (d/b/a Hearth)</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Austin, 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332" w:name="xdx_41E_20260630__srt--ConsolidatedEntit"/>
            <w:bookmarkEnd w:id="332"/>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B-1</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Home Improvement 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2/26/2021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33" w:name="xdx_98B_eus-gaap--InvestmentOwnedBalance"/>
            <w:bookmarkEnd w:id="333"/>
          </w:p>
        </w:tc>
        <w:tc>
          <w:tcPr>
            <w:tcW w:w="1100" w:type="dxa"/>
            <w:tcBorders/>
            <w:shd w:fill="CCEEFF" w:val="clear"/>
            <w:tcMar>
              <w:bottom w:w="0" w:type="dxa"/>
            </w:tcMar>
            <w:vAlign w:val="center"/>
          </w:tcPr>
          <w:p>
            <w:pPr>
              <w:pStyle w:val="TableContents"/>
              <w:bidi w:val="0"/>
              <w:spacing w:before="0" w:after="283"/>
              <w:jc w:val="right"/>
              <w:rPr/>
            </w:pPr>
            <w:r>
              <w:rPr/>
              <w:t>436,844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3,501,657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3,405,588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0.96</w:t>
            </w:r>
          </w:p>
        </w:tc>
        <w:tc>
          <w:tcPr>
            <w:tcW w:w="230" w:type="dxa"/>
            <w:tcBorders/>
            <w:shd w:fill="CCEEFF" w:val="clear"/>
            <w:tcMar>
              <w:bottom w:w="0" w:type="dxa"/>
            </w:tcMar>
            <w:vAlign w:val="center"/>
          </w:tcPr>
          <w:p>
            <w:pPr>
              <w:pStyle w:val="TableContents"/>
              <w:bidi w:val="0"/>
              <w:spacing w:before="0" w:after="283"/>
              <w:jc w:val="left"/>
              <w:rPr/>
            </w:pPr>
            <w:r>
              <w:rPr/>
              <w:t>%</w:t>
            </w:r>
            <w:bookmarkStart w:id="334" w:name="xdx_41F_20260630__srt--ConsolidatedEntit"/>
            <w:bookmarkEnd w:id="334"/>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B-2</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Home Improvement 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2/26/2021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35" w:name="xdx_98D_eus-gaap--InvestmentOwnedBalance"/>
            <w:bookmarkEnd w:id="335"/>
          </w:p>
        </w:tc>
        <w:tc>
          <w:tcPr>
            <w:tcW w:w="1100" w:type="dxa"/>
            <w:tcBorders/>
            <w:shd w:fill="FFFFFF" w:val="clear"/>
            <w:tcMar>
              <w:bottom w:w="0" w:type="dxa"/>
            </w:tcMar>
            <w:vAlign w:val="center"/>
          </w:tcPr>
          <w:p>
            <w:pPr>
              <w:pStyle w:val="TableContents"/>
              <w:bidi w:val="0"/>
              <w:spacing w:before="0" w:after="283"/>
              <w:jc w:val="right"/>
              <w:rPr/>
            </w:pPr>
            <w:r>
              <w:rPr/>
              <w:t>301,750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3,501,661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3,405,593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0.96</w:t>
            </w:r>
          </w:p>
        </w:tc>
        <w:tc>
          <w:tcPr>
            <w:tcW w:w="230" w:type="dxa"/>
            <w:tcBorders/>
            <w:shd w:fill="FFFFFF" w:val="clear"/>
            <w:tcMar>
              <w:bottom w:w="0" w:type="dxa"/>
            </w:tcMar>
            <w:vAlign w:val="center"/>
          </w:tcPr>
          <w:p>
            <w:pPr>
              <w:pStyle w:val="TableContents"/>
              <w:bidi w:val="0"/>
              <w:spacing w:before="0" w:after="283"/>
              <w:jc w:val="left"/>
              <w:rPr/>
            </w:pPr>
            <w:r>
              <w:rPr/>
              <w:t>%</w:t>
            </w:r>
            <w:bookmarkStart w:id="336" w:name="xdx_41C_20260630__srt--ConsolidatedEntit"/>
            <w:bookmarkEnd w:id="336"/>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B-3</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Home Improvement 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37" w:name="xdx_988_eus-gaap--InvestmentOwnedBalance"/>
            <w:bookmarkEnd w:id="337"/>
          </w:p>
        </w:tc>
        <w:tc>
          <w:tcPr>
            <w:tcW w:w="1100" w:type="dxa"/>
            <w:tcBorders/>
            <w:shd w:fill="CCEEFF" w:val="clear"/>
            <w:tcMar>
              <w:bottom w:w="0" w:type="dxa"/>
            </w:tcMar>
            <w:vAlign w:val="center"/>
          </w:tcPr>
          <w:p>
            <w:pPr>
              <w:pStyle w:val="TableContents"/>
              <w:bidi w:val="0"/>
              <w:spacing w:before="0" w:after="283"/>
              <w:jc w:val="right"/>
              <w:rPr/>
            </w:pPr>
            <w:r>
              <w:rPr/>
              <w:t>56,936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530,822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516,502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0.15</w:t>
            </w:r>
          </w:p>
        </w:tc>
        <w:tc>
          <w:tcPr>
            <w:tcW w:w="230" w:type="dxa"/>
            <w:tcBorders/>
            <w:shd w:fill="CCEEFF" w:val="clear"/>
            <w:tcMar>
              <w:bottom w:w="0" w:type="dxa"/>
            </w:tcMar>
            <w:vAlign w:val="center"/>
          </w:tcPr>
          <w:p>
            <w:pPr>
              <w:pStyle w:val="TableContents"/>
              <w:bidi w:val="0"/>
              <w:spacing w:before="0" w:after="283"/>
              <w:jc w:val="left"/>
              <w:rPr/>
            </w:pPr>
            <w:r>
              <w:rPr/>
              <w:t>%</w:t>
            </w:r>
            <w:bookmarkStart w:id="338" w:name="xdx_419_20260630__srt--ConsolidatedEntit"/>
            <w:bookmarkEnd w:id="338"/>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B-4</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Home Improvement 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39" w:name="xdx_98B_eus-gaap--InvestmentOwnedBalance"/>
            <w:bookmarkEnd w:id="339"/>
          </w:p>
        </w:tc>
        <w:tc>
          <w:tcPr>
            <w:tcW w:w="1100" w:type="dxa"/>
            <w:tcBorders/>
            <w:shd w:fill="FFFFFF" w:val="clear"/>
            <w:tcMar>
              <w:bottom w:w="0" w:type="dxa"/>
            </w:tcMar>
            <w:vAlign w:val="center"/>
          </w:tcPr>
          <w:p>
            <w:pPr>
              <w:pStyle w:val="TableContents"/>
              <w:bidi w:val="0"/>
              <w:spacing w:before="0" w:after="283"/>
              <w:jc w:val="right"/>
              <w:rPr/>
            </w:pPr>
            <w:r>
              <w:rPr/>
              <w:t>48,267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366,606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486,511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0.13</w:t>
            </w:r>
          </w:p>
        </w:tc>
        <w:tc>
          <w:tcPr>
            <w:tcW w:w="230" w:type="dxa"/>
            <w:tcBorders/>
            <w:shd w:fill="FFFFFF" w:val="clear"/>
            <w:tcMar>
              <w:bottom w:w="0" w:type="dxa"/>
            </w:tcMar>
            <w:vAlign w:val="center"/>
          </w:tcPr>
          <w:p>
            <w:pPr>
              <w:pStyle w:val="TableContents"/>
              <w:bidi w:val="0"/>
              <w:spacing w:before="0" w:after="283"/>
              <w:jc w:val="left"/>
              <w:rPr/>
            </w:pPr>
            <w:r>
              <w:rPr/>
              <w:t>%</w:t>
            </w:r>
            <w:bookmarkStart w:id="340" w:name="xdx_41E_20260630__srt--ConsolidatedEntit"/>
            <w:bookmarkEnd w:id="340"/>
          </w:p>
        </w:tc>
      </w:tr>
      <w:tr>
        <w:trPr/>
        <w:tc>
          <w:tcPr>
            <w:tcW w:w="2450" w:type="dxa"/>
            <w:tcBorders/>
            <w:shd w:fill="CCEEFF" w:val="clear"/>
            <w:tcMar>
              <w:bottom w:w="0" w:type="dxa"/>
            </w:tcMar>
            <w:vAlign w:val="center"/>
          </w:tcPr>
          <w:p>
            <w:pPr>
              <w:pStyle w:val="TableContents"/>
              <w:bidi w:val="0"/>
              <w:spacing w:before="0" w:after="283"/>
              <w:jc w:val="left"/>
              <w:rPr/>
            </w:pPr>
            <w:r>
              <w:rPr/>
              <w:t>Common Warrants, Strike Price $0.01, Expiration Date 7/12/2026</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Home Improvement 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7/12/2023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41" w:name="xdx_98F_eus-gaap--InvestmentOwnedBalance"/>
            <w:bookmarkEnd w:id="341"/>
          </w:p>
        </w:tc>
        <w:tc>
          <w:tcPr>
            <w:tcW w:w="1100" w:type="dxa"/>
            <w:tcBorders/>
            <w:shd w:fill="CCEEFF" w:val="clear"/>
            <w:tcMar>
              <w:bottom w:w="0" w:type="dxa"/>
            </w:tcMar>
            <w:vAlign w:val="center"/>
          </w:tcPr>
          <w:p>
            <w:pPr>
              <w:pStyle w:val="TableContents"/>
              <w:bidi w:val="0"/>
              <w:spacing w:before="0" w:after="283"/>
              <w:jc w:val="right"/>
              <w:rPr/>
            </w:pPr>
            <w:r>
              <w:rPr/>
              <w:t>86,076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140,060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w:t>
            </w:r>
            <w:bookmarkStart w:id="342" w:name="xdx_41A_20260630__srt--ConsolidatedEntit"/>
            <w:bookmarkEnd w:id="342"/>
          </w:p>
        </w:tc>
      </w:tr>
      <w:tr>
        <w:trPr/>
        <w:tc>
          <w:tcPr>
            <w:tcW w:w="2450" w:type="dxa"/>
            <w:tcBorders/>
            <w:shd w:fill="FFFFFF" w:val="clear"/>
            <w:tcMar>
              <w:bottom w:w="0" w:type="dxa"/>
            </w:tcMar>
            <w:vAlign w:val="center"/>
          </w:tcPr>
          <w:p>
            <w:pPr>
              <w:pStyle w:val="TableContents"/>
              <w:bidi w:val="0"/>
              <w:spacing w:before="0" w:after="283"/>
              <w:jc w:val="left"/>
              <w:rPr/>
            </w:pPr>
            <w:r>
              <w:rPr/>
              <w:t>Total</w:t>
            </w:r>
          </w:p>
        </w:tc>
        <w:tc>
          <w:tcPr>
            <w:tcW w:w="39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8,040,806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7,814,194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2.20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Plaid Inc.</w:t>
            </w:r>
            <w:r>
              <w:rPr>
                <w:rFonts w:ascii="Times New Roman;Times;Serif" w:hAnsi="Times New Roman;Times;Serif"/>
                <w:b/>
                <w:position w:val="7"/>
                <w:sz w:val="16"/>
                <w:sz w:val="20"/>
                <w:u w:val="single"/>
              </w:rPr>
              <w:t>(9)</w:t>
            </w:r>
          </w:p>
        </w:tc>
        <w:tc>
          <w:tcPr>
            <w:tcW w:w="39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San Francisco,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343" w:name="xdx_413_20260630__srt--ConsolidatedEntit"/>
            <w:bookmarkEnd w:id="343"/>
          </w:p>
        </w:tc>
      </w:tr>
      <w:tr>
        <w:trPr/>
        <w:tc>
          <w:tcPr>
            <w:tcW w:w="2450" w:type="dxa"/>
            <w:tcBorders/>
            <w:shd w:fill="FFFFFF" w:val="clear"/>
            <w:tcMar>
              <w:bottom w:w="0" w:type="dxa"/>
            </w:tcMar>
            <w:vAlign w:val="center"/>
          </w:tcPr>
          <w:p>
            <w:pPr>
              <w:pStyle w:val="TableContents"/>
              <w:bidi w:val="0"/>
              <w:spacing w:before="0" w:after="283"/>
              <w:jc w:val="left"/>
              <w:rPr/>
            </w:pPr>
            <w:r>
              <w:rPr/>
              <w:t>Common Shares</w:t>
            </w:r>
          </w:p>
        </w:tc>
        <w:tc>
          <w:tcPr>
            <w:tcW w:w="3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44" w:name="xdx_F4C_zEQhXndZvw7h"/>
            <w:bookmarkEnd w:id="344"/>
            <w:r>
              <w:rPr>
                <w:rFonts w:ascii="Times New Roman;Times;Serif" w:hAnsi="Times New Roman;Times;Serif"/>
                <w:sz w:val="20"/>
              </w:rPr>
              <w:t>(9)</w:t>
            </w:r>
          </w:p>
        </w:tc>
        <w:tc>
          <w:tcPr>
            <w:tcW w:w="1460" w:type="dxa"/>
            <w:tcBorders/>
            <w:shd w:fill="FFFFFF" w:val="clear"/>
            <w:tcMar>
              <w:bottom w:w="0" w:type="dxa"/>
            </w:tcMar>
            <w:vAlign w:val="center"/>
          </w:tcPr>
          <w:p>
            <w:pPr>
              <w:pStyle w:val="TableContents"/>
              <w:bidi w:val="0"/>
              <w:spacing w:before="0" w:after="283"/>
              <w:jc w:val="center"/>
              <w:rPr/>
            </w:pPr>
            <w:r>
              <w:rPr/>
              <w:t>Financial Technology Infrastructure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4/4/2025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45" w:name="xdx_984_eus-gaap--InvestmentOwnedBalance"/>
            <w:bookmarkEnd w:id="345"/>
          </w:p>
        </w:tc>
        <w:tc>
          <w:tcPr>
            <w:tcW w:w="1100" w:type="dxa"/>
            <w:tcBorders/>
            <w:shd w:fill="FFFFFF" w:val="clear"/>
            <w:tcMar>
              <w:bottom w:w="0" w:type="dxa"/>
            </w:tcMar>
            <w:vAlign w:val="center"/>
          </w:tcPr>
          <w:p>
            <w:pPr>
              <w:pStyle w:val="TableContents"/>
              <w:bidi w:val="0"/>
              <w:spacing w:before="0" w:after="283"/>
              <w:jc w:val="right"/>
              <w:rPr/>
            </w:pPr>
            <w:r>
              <w:rPr/>
              <w:t>24,512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5,395,542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6,922,679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1.95</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(UNAUDITED) -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44"/>
        <w:gridCol w:w="509"/>
        <w:gridCol w:w="1569"/>
        <w:gridCol w:w="60"/>
        <w:gridCol w:w="1145"/>
        <w:gridCol w:w="60"/>
        <w:gridCol w:w="140"/>
        <w:gridCol w:w="980"/>
        <w:gridCol w:w="60"/>
        <w:gridCol w:w="60"/>
        <w:gridCol w:w="60"/>
        <w:gridCol w:w="1100"/>
        <w:gridCol w:w="60"/>
        <w:gridCol w:w="60"/>
        <w:gridCol w:w="60"/>
        <w:gridCol w:w="991"/>
        <w:gridCol w:w="60"/>
        <w:gridCol w:w="60"/>
        <w:gridCol w:w="83"/>
        <w:gridCol w:w="611"/>
        <w:gridCol w:w="233"/>
      </w:tblGrid>
      <w:tr>
        <w:trPr/>
        <w:tc>
          <w:tcPr>
            <w:tcW w:w="2244" w:type="dxa"/>
            <w:tcBorders>
              <w:bottom w:val="single" w:sz="8" w:space="0" w:color="000000"/>
            </w:tcBorders>
            <w:vAlign w:val="center"/>
          </w:tcPr>
          <w:p>
            <w:pPr>
              <w:pStyle w:val="TableContents"/>
              <w:bidi w:val="0"/>
              <w:spacing w:before="0" w:after="283"/>
              <w:jc w:val="left"/>
              <w:rPr>
                <w:b/>
              </w:rPr>
            </w:pPr>
            <w:r>
              <w:rPr>
                <w:b/>
              </w:rPr>
              <w:t>Portfolio Investments</w:t>
            </w:r>
            <w:bookmarkStart w:id="346" w:name="xdx_F60_z2oUx0ldfIVh"/>
            <w:bookmarkEnd w:id="346"/>
            <w:r>
              <w:rPr>
                <w:b/>
              </w:rPr>
              <w:t>*</w:t>
            </w:r>
          </w:p>
        </w:tc>
        <w:tc>
          <w:tcPr>
            <w:tcW w:w="509" w:type="dxa"/>
            <w:tcBorders/>
            <w:tcMar>
              <w:bottom w:w="0" w:type="dxa"/>
            </w:tcMar>
            <w:vAlign w:val="center"/>
          </w:tcPr>
          <w:p>
            <w:pPr>
              <w:pStyle w:val="TableContents"/>
              <w:bidi w:val="0"/>
              <w:spacing w:before="0" w:after="283"/>
              <w:jc w:val="left"/>
              <w:rPr/>
            </w:pPr>
            <w:r>
              <w:rPr/>
              <w:t> </w:t>
            </w:r>
            <w:bookmarkStart w:id="347" w:name="xdx_48D_ecustom--InvestmentIndustryDescr"/>
            <w:bookmarkEnd w:id="347"/>
          </w:p>
        </w:tc>
        <w:tc>
          <w:tcPr>
            <w:tcW w:w="1569"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bookmarkStart w:id="348" w:name="xdx_482_ecustom--InitialInvestmentDate_i"/>
            <w:bookmarkEnd w:id="348"/>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49" w:name="xdx_487_eus-gaap--InvestmentOwnedAtCost_"/>
            <w:bookmarkEnd w:id="349"/>
          </w:p>
        </w:tc>
        <w:tc>
          <w:tcPr>
            <w:tcW w:w="116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50" w:name="xdx_48F_eus-gaap--InvestmentOwnedAtFairV"/>
            <w:bookmarkEnd w:id="350"/>
          </w:p>
        </w:tc>
        <w:tc>
          <w:tcPr>
            <w:tcW w:w="1051"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51" w:name="xdx_48C_eus-gaap--InvestmentOwnedPercent"/>
            <w:bookmarkEnd w:id="351"/>
          </w:p>
        </w:tc>
        <w:tc>
          <w:tcPr>
            <w:tcW w:w="694"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33" w:type="dxa"/>
            <w:tcBorders/>
            <w:tcMar>
              <w:bottom w:w="0" w:type="dxa"/>
            </w:tcMar>
            <w:vAlign w:val="center"/>
          </w:tcPr>
          <w:p>
            <w:pPr>
              <w:pStyle w:val="TableContents"/>
              <w:bidi w:val="0"/>
              <w:spacing w:before="0" w:after="283"/>
              <w:jc w:val="left"/>
              <w:rPr/>
            </w:pPr>
            <w:r>
              <w:rPr/>
              <w:t> </w:t>
            </w:r>
          </w:p>
        </w:tc>
      </w:tr>
      <w:tr>
        <w:trPr/>
        <w:tc>
          <w:tcPr>
            <w:tcW w:w="2244" w:type="dxa"/>
            <w:tcBorders>
              <w:bottom w:val="single" w:sz="8" w:space="0" w:color="000000"/>
            </w:tcBorders>
            <w:vAlign w:val="center"/>
          </w:tcPr>
          <w:p>
            <w:pPr>
              <w:pStyle w:val="TableContents"/>
              <w:bidi w:val="0"/>
              <w:spacing w:before="0" w:after="283"/>
              <w:jc w:val="left"/>
              <w:rPr>
                <w:b/>
              </w:rPr>
            </w:pPr>
            <w:r>
              <w:rPr>
                <w:b/>
              </w:rPr>
              <w:t>Portfolio Investments</w:t>
            </w:r>
            <w:r>
              <w:rPr>
                <w:b/>
                <w:position w:val="8"/>
                <w:sz w:val="19"/>
              </w:rPr>
              <w:t>*</w:t>
            </w:r>
          </w:p>
        </w:tc>
        <w:tc>
          <w:tcPr>
            <w:tcW w:w="509" w:type="dxa"/>
            <w:tcBorders/>
            <w:tcMar>
              <w:bottom w:w="0" w:type="dxa"/>
            </w:tcMar>
            <w:vAlign w:val="center"/>
          </w:tcPr>
          <w:p>
            <w:pPr>
              <w:pStyle w:val="TableContents"/>
              <w:bidi w:val="0"/>
              <w:spacing w:before="0" w:after="283"/>
              <w:jc w:val="left"/>
              <w:rPr/>
            </w:pPr>
            <w:r>
              <w:rPr/>
              <w:t> </w:t>
            </w:r>
          </w:p>
        </w:tc>
        <w:tc>
          <w:tcPr>
            <w:tcW w:w="1569"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1"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4"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33" w:type="dxa"/>
            <w:tcBorders/>
            <w:tcMar>
              <w:bottom w:w="0" w:type="dxa"/>
            </w:tcMar>
            <w:vAlign w:val="center"/>
          </w:tcPr>
          <w:p>
            <w:pPr>
              <w:pStyle w:val="TableContents"/>
              <w:bidi w:val="0"/>
              <w:spacing w:before="0" w:after="283"/>
              <w:jc w:val="left"/>
              <w:rPr/>
            </w:pPr>
            <w:r>
              <w:rPr/>
              <w:t> </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FourKites, Inc.</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Chicago, 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52" w:name="xdx_411_20260630__srt--ConsolidatedEntit"/>
            <w:bookmarkEnd w:id="352"/>
          </w:p>
        </w:tc>
      </w:tr>
      <w:tr>
        <w:trPr/>
        <w:tc>
          <w:tcPr>
            <w:tcW w:w="2244" w:type="dxa"/>
            <w:tcBorders/>
            <w:shd w:fill="FFFFFF" w:val="clear"/>
            <w:tcMar>
              <w:bottom w:w="0" w:type="dxa"/>
            </w:tcMar>
            <w:vAlign w:val="center"/>
          </w:tcPr>
          <w:p>
            <w:pPr>
              <w:pStyle w:val="TableContents"/>
              <w:bidi w:val="0"/>
              <w:spacing w:before="0" w:after="283"/>
              <w:jc w:val="left"/>
              <w:rPr/>
            </w:pPr>
            <w:r>
              <w:rPr/>
              <w:t>Common Shares</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Supply Chain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7/7/2023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53" w:name="xdx_980_eus-gaap--InvestmentOwnedBalance"/>
            <w:bookmarkEnd w:id="353"/>
          </w:p>
        </w:tc>
        <w:tc>
          <w:tcPr>
            <w:tcW w:w="980" w:type="dxa"/>
            <w:tcBorders/>
            <w:shd w:fill="FFFFFF" w:val="clear"/>
            <w:tcMar>
              <w:bottom w:w="0" w:type="dxa"/>
            </w:tcMar>
            <w:vAlign w:val="center"/>
          </w:tcPr>
          <w:p>
            <w:pPr>
              <w:pStyle w:val="TableContents"/>
              <w:bidi w:val="0"/>
              <w:spacing w:before="0" w:after="283"/>
              <w:jc w:val="right"/>
              <w:rPr/>
            </w:pPr>
            <w:r>
              <w:rPr/>
              <w:t>1,398,024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8,530,389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3,435,624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0.97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EDGE Markets, Inc.</w:t>
            </w:r>
            <w:r>
              <w:rPr>
                <w:rFonts w:ascii="Times New Roman;Times;Serif" w:hAnsi="Times New Roman;Times;Serif"/>
                <w:b/>
                <w:position w:val="7"/>
                <w:sz w:val="16"/>
                <w:sz w:val="20"/>
                <w:u w:val="single"/>
              </w:rPr>
              <w:t>(10)</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San Diego,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54" w:name="xdx_41D_20260630__srt--ConsolidatedEntit"/>
            <w:bookmarkEnd w:id="354"/>
          </w:p>
        </w:tc>
      </w:tr>
      <w:tr>
        <w:trPr/>
        <w:tc>
          <w:tcPr>
            <w:tcW w:w="2244" w:type="dxa"/>
            <w:tcBorders/>
            <w:shd w:fill="FFFFFF" w:val="clear"/>
            <w:tcMar>
              <w:bottom w:w="0" w:type="dxa"/>
            </w:tcMar>
            <w:vAlign w:val="center"/>
          </w:tcPr>
          <w:p>
            <w:pPr>
              <w:pStyle w:val="TableContents"/>
              <w:bidi w:val="0"/>
              <w:spacing w:before="0" w:after="283"/>
              <w:jc w:val="left"/>
              <w:rPr/>
            </w:pPr>
            <w:r>
              <w:rPr/>
              <w:t>Preferred Shares, Series Seed 8%</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55" w:name="xdx_F41_zdx81MWPNdT5"/>
            <w:bookmarkEnd w:id="355"/>
            <w:r>
              <w:rPr>
                <w:rFonts w:ascii="Times New Roman;Times;Serif" w:hAnsi="Times New Roman;Times;Serif"/>
                <w:sz w:val="20"/>
              </w:rPr>
              <w:t>(11)</w:t>
            </w:r>
          </w:p>
        </w:tc>
        <w:tc>
          <w:tcPr>
            <w:tcW w:w="1569" w:type="dxa"/>
            <w:tcBorders/>
            <w:shd w:fill="FFFFFF" w:val="clear"/>
            <w:tcMar>
              <w:bottom w:w="0" w:type="dxa"/>
            </w:tcMar>
            <w:vAlign w:val="center"/>
          </w:tcPr>
          <w:p>
            <w:pPr>
              <w:pStyle w:val="TableContents"/>
              <w:bidi w:val="0"/>
              <w:spacing w:before="0" w:after="283"/>
              <w:jc w:val="center"/>
              <w:rPr/>
            </w:pPr>
            <w:r>
              <w:rPr/>
              <w:t>Gaming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5/18/2022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56" w:name="xdx_98F_eus-gaap--InvestmentOwnedBalance"/>
            <w:bookmarkEnd w:id="356"/>
          </w:p>
        </w:tc>
        <w:tc>
          <w:tcPr>
            <w:tcW w:w="980" w:type="dxa"/>
            <w:tcBorders/>
            <w:shd w:fill="FFFFFF" w:val="clear"/>
            <w:tcMar>
              <w:bottom w:w="0" w:type="dxa"/>
            </w:tcMar>
            <w:vAlign w:val="center"/>
          </w:tcPr>
          <w:p>
            <w:pPr>
              <w:pStyle w:val="TableContents"/>
              <w:bidi w:val="0"/>
              <w:spacing w:before="0" w:after="283"/>
              <w:jc w:val="right"/>
              <w:rPr/>
            </w:pPr>
            <w:r>
              <w:rPr/>
              <w:t>456,704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501,330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3,201,961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0.90</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PayJoy, Inc.</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San Francisco,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57" w:name="xdx_415_20260630__srt--ConsolidatedEntit"/>
            <w:bookmarkEnd w:id="357"/>
          </w:p>
        </w:tc>
      </w:tr>
      <w:tr>
        <w:trPr/>
        <w:tc>
          <w:tcPr>
            <w:tcW w:w="2244" w:type="dxa"/>
            <w:tcBorders/>
            <w:shd w:fill="FFFFFF" w:val="clear"/>
            <w:tcMar>
              <w:bottom w:w="0" w:type="dxa"/>
            </w:tcMar>
            <w:vAlign w:val="center"/>
          </w:tcPr>
          <w:p>
            <w:pPr>
              <w:pStyle w:val="TableContents"/>
              <w:bidi w:val="0"/>
              <w:spacing w:before="0" w:after="283"/>
              <w:jc w:val="left"/>
              <w:rPr/>
            </w:pPr>
            <w:r>
              <w:rPr/>
              <w:t>Preferred Shares, Series C</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Mobile Access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7/23/2021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58" w:name="xdx_988_eus-gaap--InvestmentOwnedBalance"/>
            <w:bookmarkEnd w:id="358"/>
          </w:p>
        </w:tc>
        <w:tc>
          <w:tcPr>
            <w:tcW w:w="980" w:type="dxa"/>
            <w:tcBorders/>
            <w:shd w:fill="FFFFFF" w:val="clear"/>
            <w:tcMar>
              <w:bottom w:w="0" w:type="dxa"/>
            </w:tcMar>
            <w:vAlign w:val="center"/>
          </w:tcPr>
          <w:p>
            <w:pPr>
              <w:pStyle w:val="TableContents"/>
              <w:bidi w:val="0"/>
              <w:spacing w:before="0" w:after="283"/>
              <w:jc w:val="right"/>
              <w:rPr/>
            </w:pPr>
            <w:r>
              <w:rPr/>
              <w:t>244,117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2,501,570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2,499,758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0.70</w:t>
            </w:r>
          </w:p>
        </w:tc>
        <w:tc>
          <w:tcPr>
            <w:tcW w:w="233" w:type="dxa"/>
            <w:tcBorders/>
            <w:shd w:fill="FFFFFF" w:val="clear"/>
            <w:tcMar>
              <w:bottom w:w="0" w:type="dxa"/>
            </w:tcMar>
            <w:vAlign w:val="center"/>
          </w:tcPr>
          <w:p>
            <w:pPr>
              <w:pStyle w:val="TableContents"/>
              <w:bidi w:val="0"/>
              <w:spacing w:before="0" w:after="283"/>
              <w:jc w:val="left"/>
              <w:rPr/>
            </w:pPr>
            <w:r>
              <w:rPr/>
              <w:t>%</w:t>
            </w:r>
            <w:bookmarkStart w:id="359" w:name="xdx_415_20260630__srt--ConsolidatedEntit"/>
            <w:bookmarkEnd w:id="359"/>
          </w:p>
        </w:tc>
      </w:tr>
      <w:tr>
        <w:trPr/>
        <w:tc>
          <w:tcPr>
            <w:tcW w:w="2244" w:type="dxa"/>
            <w:tcBorders/>
            <w:shd w:fill="CCEEFF" w:val="clear"/>
            <w:tcMar>
              <w:bottom w:w="0" w:type="dxa"/>
            </w:tcMar>
            <w:vAlign w:val="center"/>
          </w:tcPr>
          <w:p>
            <w:pPr>
              <w:pStyle w:val="TableContents"/>
              <w:bidi w:val="0"/>
              <w:spacing w:before="0" w:after="283"/>
              <w:jc w:val="left"/>
              <w:rPr/>
            </w:pPr>
            <w:r>
              <w:rPr/>
              <w:t>Simple Agreement for Future Equity</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Mobile Access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5/25/2023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360" w:name="xdx_98A_eus-gaap--InvestmentOwnedBalance"/>
            <w:bookmarkEnd w:id="360"/>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501,470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1" w:type="dxa"/>
            <w:tcBorders>
              <w:bottom w:val="single" w:sz="8" w:space="0" w:color="000000"/>
            </w:tcBorders>
            <w:shd w:fill="CCEEFF" w:val="cle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1" w:type="dxa"/>
            <w:tcBorders>
              <w:bottom w:val="single" w:sz="8" w:space="0" w:color="000000"/>
            </w:tcBorders>
            <w:shd w:fill="CCEEFF" w:val="clear"/>
            <w:vAlign w:val="center"/>
          </w:tcPr>
          <w:p>
            <w:pPr>
              <w:pStyle w:val="TableContents"/>
              <w:bidi w:val="0"/>
              <w:spacing w:before="0" w:after="283"/>
              <w:jc w:val="right"/>
              <w:rPr/>
            </w:pPr>
            <w:r>
              <w:rPr/>
              <w:t>0.14</w:t>
            </w:r>
          </w:p>
        </w:tc>
        <w:tc>
          <w:tcPr>
            <w:tcW w:w="233" w:type="dxa"/>
            <w:tcBorders/>
            <w:shd w:fill="CCEEFF" w:val="clear"/>
            <w:tcMar>
              <w:bottom w:w="0" w:type="dxa"/>
            </w:tcMar>
            <w:vAlign w:val="center"/>
          </w:tcPr>
          <w:p>
            <w:pPr>
              <w:pStyle w:val="TableContents"/>
              <w:bidi w:val="0"/>
              <w:spacing w:before="0" w:after="283"/>
              <w:jc w:val="left"/>
              <w:rPr/>
            </w:pPr>
            <w:r>
              <w:rPr/>
              <w:t>%</w:t>
            </w:r>
            <w:bookmarkStart w:id="361" w:name="xdx_411_20260630__srt--ConsolidatedEntit"/>
            <w:bookmarkEnd w:id="361"/>
          </w:p>
        </w:tc>
      </w:tr>
      <w:tr>
        <w:trPr/>
        <w:tc>
          <w:tcPr>
            <w:tcW w:w="2244" w:type="dxa"/>
            <w:tcBorders/>
            <w:shd w:fill="FFFFFF" w:val="clear"/>
            <w:tcMar>
              <w:bottom w:w="0" w:type="dxa"/>
            </w:tcMar>
            <w:vAlign w:val="center"/>
          </w:tcPr>
          <w:p>
            <w:pPr>
              <w:pStyle w:val="TableContents"/>
              <w:bidi w:val="0"/>
              <w:spacing w:before="0" w:after="283"/>
              <w:jc w:val="left"/>
              <w:rPr/>
            </w:pPr>
            <w:r>
              <w:rPr/>
              <w:t>Total</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3,003,040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1" w:type="dxa"/>
            <w:tcBorders>
              <w:bottom w:val="single" w:sz="8" w:space="0" w:color="000000"/>
            </w:tcBorders>
            <w:shd w:fill="FFFFFF" w:val="clear"/>
            <w:vAlign w:val="center"/>
          </w:tcPr>
          <w:p>
            <w:pPr>
              <w:pStyle w:val="TableContents"/>
              <w:bidi w:val="0"/>
              <w:spacing w:before="0" w:after="283"/>
              <w:jc w:val="right"/>
              <w:rPr/>
            </w:pPr>
            <w:r>
              <w:rPr/>
              <w:t>2,999,758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1" w:type="dxa"/>
            <w:tcBorders>
              <w:bottom w:val="single" w:sz="8" w:space="0" w:color="000000"/>
            </w:tcBorders>
            <w:shd w:fill="FFFFFF" w:val="clear"/>
            <w:vAlign w:val="center"/>
          </w:tcPr>
          <w:p>
            <w:pPr>
              <w:pStyle w:val="TableContents"/>
              <w:bidi w:val="0"/>
              <w:spacing w:before="0" w:after="283"/>
              <w:jc w:val="right"/>
              <w:rPr/>
            </w:pPr>
            <w:r>
              <w:rPr/>
              <w:t>0.84</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True Global Ventures 4 Plus Pte Ltd</w:t>
            </w:r>
            <w:r>
              <w:rPr>
                <w:rFonts w:ascii="Times New Roman;Times;Serif" w:hAnsi="Times New Roman;Times;Serif"/>
                <w:b/>
                <w:position w:val="7"/>
                <w:sz w:val="16"/>
                <w:sz w:val="20"/>
                <w:u w:val="single"/>
              </w:rPr>
              <w:t>**(11)</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Singapore, 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62" w:name="xdx_41A_20260630__srt--ConsolidatedEntit"/>
            <w:bookmarkEnd w:id="362"/>
          </w:p>
        </w:tc>
      </w:tr>
      <w:tr>
        <w:trPr/>
        <w:tc>
          <w:tcPr>
            <w:tcW w:w="2244" w:type="dxa"/>
            <w:tcBorders/>
            <w:shd w:fill="FFFFFF" w:val="clear"/>
            <w:tcMar>
              <w:bottom w:w="0" w:type="dxa"/>
            </w:tcMar>
            <w:vAlign w:val="center"/>
          </w:tcPr>
          <w:p>
            <w:pPr>
              <w:pStyle w:val="TableContents"/>
              <w:bidi w:val="0"/>
              <w:spacing w:before="0" w:after="283"/>
              <w:jc w:val="left"/>
              <w:rPr/>
            </w:pPr>
            <w:r>
              <w:rPr/>
              <w:t>Limited Partner Fund Investment</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63" w:name="xdx_F4A_zi42d80E2l1b"/>
            <w:bookmarkEnd w:id="363"/>
            <w:r>
              <w:rPr>
                <w:rFonts w:ascii="Times New Roman;Times;Serif" w:hAnsi="Times New Roman;Times;Serif"/>
                <w:sz w:val="20"/>
              </w:rPr>
              <w:t>**(11)</w:t>
            </w:r>
          </w:p>
        </w:tc>
        <w:tc>
          <w:tcPr>
            <w:tcW w:w="1569" w:type="dxa"/>
            <w:tcBorders/>
            <w:shd w:fill="FFFFFF" w:val="clear"/>
            <w:tcMar>
              <w:bottom w:w="0" w:type="dxa"/>
            </w:tcMar>
            <w:vAlign w:val="center"/>
          </w:tcPr>
          <w:p>
            <w:pPr>
              <w:pStyle w:val="TableContents"/>
              <w:bidi w:val="0"/>
              <w:spacing w:before="0" w:after="283"/>
              <w:jc w:val="center"/>
              <w:rPr/>
            </w:pPr>
            <w:r>
              <w:rPr/>
              <w:t>Venture Investment Fund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8/27/2021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364" w:name="xdx_98A_eus-gaap--InvestmentOwnedBalance"/>
            <w:bookmarkEnd w:id="364"/>
          </w:p>
        </w:tc>
        <w:tc>
          <w:tcPr>
            <w:tcW w:w="980" w:type="dxa"/>
            <w:tcBorders/>
            <w:shd w:fill="FFFFFF" w:val="clear"/>
            <w:tcMar>
              <w:bottom w:w="0" w:type="dxa"/>
            </w:tcMar>
            <w:vAlign w:val="center"/>
          </w:tcPr>
          <w:p>
            <w:pPr>
              <w:pStyle w:val="TableContents"/>
              <w:bidi w:val="0"/>
              <w:spacing w:before="0" w:after="283"/>
              <w:jc w:val="right"/>
              <w:rPr/>
            </w:pPr>
            <w:r>
              <w:rPr/>
              <w:t>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202,378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2,884,437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0.81</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Neutron Holdings, Inc. (d/b/a Lime)</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San Francisco,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65" w:name="xdx_419_20260630__srt--ConsolidatedEntit"/>
            <w:bookmarkEnd w:id="365"/>
          </w:p>
        </w:tc>
      </w:tr>
      <w:tr>
        <w:trPr/>
        <w:tc>
          <w:tcPr>
            <w:tcW w:w="2244" w:type="dxa"/>
            <w:tcBorders/>
            <w:shd w:fill="FFFFFF" w:val="clear"/>
            <w:tcMar>
              <w:bottom w:w="0" w:type="dxa"/>
            </w:tcMar>
            <w:vAlign w:val="center"/>
          </w:tcPr>
          <w:p>
            <w:pPr>
              <w:pStyle w:val="TableContents"/>
              <w:bidi w:val="0"/>
              <w:spacing w:before="0" w:after="283"/>
              <w:jc w:val="left"/>
              <w:rPr/>
            </w:pPr>
            <w:r>
              <w:rPr/>
              <w:t>Junior Preferred Shares, Series 1-D</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Micromobility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1/25/2019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66" w:name="xdx_98A_eus-gaap--InvestmentOwnedBalance"/>
            <w:bookmarkEnd w:id="366"/>
          </w:p>
        </w:tc>
        <w:tc>
          <w:tcPr>
            <w:tcW w:w="980" w:type="dxa"/>
            <w:tcBorders/>
            <w:shd w:fill="FFFFFF" w:val="clear"/>
            <w:tcMar>
              <w:bottom w:w="0" w:type="dxa"/>
            </w:tcMar>
            <w:vAlign w:val="center"/>
          </w:tcPr>
          <w:p>
            <w:pPr>
              <w:pStyle w:val="TableContents"/>
              <w:bidi w:val="0"/>
              <w:spacing w:before="0" w:after="283"/>
              <w:jc w:val="right"/>
              <w:rPr/>
            </w:pPr>
            <w:r>
              <w:rPr/>
              <w:t>61,364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10,007,322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1,534,100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0.43</w:t>
            </w:r>
          </w:p>
        </w:tc>
        <w:tc>
          <w:tcPr>
            <w:tcW w:w="233" w:type="dxa"/>
            <w:tcBorders/>
            <w:shd w:fill="FFFFFF" w:val="clear"/>
            <w:tcMar>
              <w:bottom w:w="0" w:type="dxa"/>
            </w:tcMar>
            <w:vAlign w:val="center"/>
          </w:tcPr>
          <w:p>
            <w:pPr>
              <w:pStyle w:val="TableContents"/>
              <w:bidi w:val="0"/>
              <w:spacing w:before="0" w:after="283"/>
              <w:jc w:val="left"/>
              <w:rPr/>
            </w:pPr>
            <w:r>
              <w:rPr/>
              <w:t>%</w:t>
            </w:r>
            <w:bookmarkStart w:id="367" w:name="xdx_419_20260630__srt--ConsolidatedEntit"/>
            <w:bookmarkEnd w:id="367"/>
          </w:p>
        </w:tc>
      </w:tr>
      <w:tr>
        <w:trPr/>
        <w:tc>
          <w:tcPr>
            <w:tcW w:w="224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Junior Preferred Convertible Note 4% Due 5/11/2027</w:t>
            </w:r>
            <w:bookmarkStart w:id="368" w:name="xdx_F40_zCaCKmGuLR7b"/>
            <w:bookmarkEnd w:id="368"/>
            <w:r>
              <w:rPr>
                <w:rFonts w:ascii="Times New Roman;Times;Serif" w:hAnsi="Times New Roman;Times;Serif"/>
                <w:sz w:val="20"/>
              </w:rPr>
              <w:t>***</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Micromobility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5/11/2020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369" w:name="xdx_986_eus-gaap--InvestmentOwnedBalance"/>
            <w:bookmarkEnd w:id="369"/>
          </w:p>
        </w:tc>
        <w:tc>
          <w:tcPr>
            <w:tcW w:w="980" w:type="dxa"/>
            <w:tcBorders/>
            <w:shd w:fill="CCEEFF" w:val="clear"/>
            <w:tcMar>
              <w:bottom w:w="0" w:type="dxa"/>
            </w:tcMar>
            <w:vAlign w:val="center"/>
          </w:tcPr>
          <w:p>
            <w:pPr>
              <w:pStyle w:val="TableContents"/>
              <w:bidi w:val="0"/>
              <w:spacing w:before="0" w:after="283"/>
              <w:jc w:val="right"/>
              <w:rPr/>
            </w:pPr>
            <w:r>
              <w:rPr/>
              <w:t>506,339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506,339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942,275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0.26</w:t>
            </w:r>
          </w:p>
        </w:tc>
        <w:tc>
          <w:tcPr>
            <w:tcW w:w="233" w:type="dxa"/>
            <w:tcBorders/>
            <w:shd w:fill="CCEEFF" w:val="clear"/>
            <w:tcMar>
              <w:bottom w:w="0" w:type="dxa"/>
            </w:tcMar>
            <w:vAlign w:val="center"/>
          </w:tcPr>
          <w:p>
            <w:pPr>
              <w:pStyle w:val="TableContents"/>
              <w:bidi w:val="0"/>
              <w:spacing w:before="0" w:after="283"/>
              <w:jc w:val="left"/>
              <w:rPr/>
            </w:pPr>
            <w:r>
              <w:rPr/>
              <w:t>%</w:t>
            </w:r>
            <w:bookmarkStart w:id="370" w:name="xdx_41D_20260630__srt--ConsolidatedEntit"/>
            <w:bookmarkEnd w:id="370"/>
          </w:p>
        </w:tc>
      </w:tr>
      <w:tr>
        <w:trPr/>
        <w:tc>
          <w:tcPr>
            <w:tcW w:w="2244" w:type="dxa"/>
            <w:tcBorders/>
            <w:shd w:fill="FFFFFF" w:val="clear"/>
            <w:tcMar>
              <w:bottom w:w="0" w:type="dxa"/>
            </w:tcMar>
            <w:vAlign w:val="center"/>
          </w:tcPr>
          <w:p>
            <w:pPr>
              <w:pStyle w:val="TableContents"/>
              <w:bidi w:val="0"/>
              <w:spacing w:before="0" w:after="283"/>
              <w:jc w:val="left"/>
              <w:rPr/>
            </w:pPr>
            <w:r>
              <w:rPr/>
              <w:t>Common Warrants, Strike Price $0.01, Expiration Date 5/11/2027</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Micromobility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5/11/2020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71" w:name="xdx_98C_eus-gaap--InvestmentOwnedBalance"/>
            <w:bookmarkEnd w:id="371"/>
          </w:p>
        </w:tc>
        <w:tc>
          <w:tcPr>
            <w:tcW w:w="980" w:type="dxa"/>
            <w:tcBorders/>
            <w:shd w:fill="FFFFFF" w:val="clear"/>
            <w:tcMar>
              <w:bottom w:w="0" w:type="dxa"/>
            </w:tcMar>
            <w:vAlign w:val="center"/>
          </w:tcPr>
          <w:p>
            <w:pPr>
              <w:pStyle w:val="TableContents"/>
              <w:bidi w:val="0"/>
              <w:spacing w:before="0" w:after="283"/>
              <w:jc w:val="right"/>
              <w:rPr/>
            </w:pPr>
            <w:r>
              <w:rPr/>
              <w:t>3,025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1" w:type="dxa"/>
            <w:tcBorders>
              <w:bottom w:val="single" w:sz="8" w:space="0" w:color="000000"/>
            </w:tcBorders>
            <w:shd w:fill="FFFFFF" w:val="clear"/>
            <w:vAlign w:val="center"/>
          </w:tcPr>
          <w:p>
            <w:pPr>
              <w:pStyle w:val="TableContents"/>
              <w:bidi w:val="0"/>
              <w:spacing w:before="0" w:after="283"/>
              <w:jc w:val="right"/>
              <w:rPr/>
            </w:pPr>
            <w:r>
              <w:rPr/>
              <w:t>55,275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1" w:type="dxa"/>
            <w:tcBorders>
              <w:bottom w:val="single" w:sz="8" w:space="0" w:color="000000"/>
            </w:tcBorders>
            <w:shd w:fill="FFFFFF" w:val="clear"/>
            <w:vAlign w:val="center"/>
          </w:tcPr>
          <w:p>
            <w:pPr>
              <w:pStyle w:val="TableContents"/>
              <w:bidi w:val="0"/>
              <w:spacing w:before="0" w:after="283"/>
              <w:jc w:val="right"/>
              <w:rPr/>
            </w:pPr>
            <w:r>
              <w:rPr/>
              <w:t>0.02</w:t>
            </w:r>
          </w:p>
        </w:tc>
        <w:tc>
          <w:tcPr>
            <w:tcW w:w="233" w:type="dxa"/>
            <w:tcBorders/>
            <w:shd w:fill="FFFFFF" w:val="clear"/>
            <w:tcMar>
              <w:bottom w:w="0" w:type="dxa"/>
            </w:tcMar>
            <w:vAlign w:val="center"/>
          </w:tcPr>
          <w:p>
            <w:pPr>
              <w:pStyle w:val="TableContents"/>
              <w:bidi w:val="0"/>
              <w:spacing w:before="0" w:after="283"/>
              <w:jc w:val="left"/>
              <w:rPr/>
            </w:pPr>
            <w:r>
              <w:rPr/>
              <w:t>%</w:t>
            </w:r>
            <w:bookmarkStart w:id="372" w:name="xdx_416_20260630__srt--ConsolidatedEntit"/>
            <w:bookmarkEnd w:id="372"/>
          </w:p>
        </w:tc>
      </w:tr>
      <w:tr>
        <w:trPr/>
        <w:tc>
          <w:tcPr>
            <w:tcW w:w="2244" w:type="dxa"/>
            <w:tcBorders/>
            <w:shd w:fill="CCEEFF" w:val="clear"/>
            <w:tcMar>
              <w:bottom w:w="0" w:type="dxa"/>
            </w:tcMar>
            <w:vAlign w:val="center"/>
          </w:tcPr>
          <w:p>
            <w:pPr>
              <w:pStyle w:val="TableContents"/>
              <w:bidi w:val="0"/>
              <w:spacing w:before="0" w:after="283"/>
              <w:jc w:val="left"/>
              <w:rPr/>
            </w:pPr>
            <w:r>
              <w:rPr/>
              <w:t>Total</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10,513,661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1" w:type="dxa"/>
            <w:tcBorders>
              <w:bottom w:val="single" w:sz="8" w:space="0" w:color="000000"/>
            </w:tcBorders>
            <w:shd w:fill="CCEEFF" w:val="clear"/>
            <w:vAlign w:val="center"/>
          </w:tcPr>
          <w:p>
            <w:pPr>
              <w:pStyle w:val="TableContents"/>
              <w:bidi w:val="0"/>
              <w:spacing w:before="0" w:after="283"/>
              <w:jc w:val="right"/>
              <w:rPr/>
            </w:pPr>
            <w:r>
              <w:rPr/>
              <w:t>2,531,650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1" w:type="dxa"/>
            <w:tcBorders>
              <w:bottom w:val="single" w:sz="8" w:space="0" w:color="000000"/>
            </w:tcBorders>
            <w:shd w:fill="CCEEFF" w:val="clear"/>
            <w:vAlign w:val="center"/>
          </w:tcPr>
          <w:p>
            <w:pPr>
              <w:pStyle w:val="TableContents"/>
              <w:bidi w:val="0"/>
              <w:spacing w:before="0" w:after="283"/>
              <w:jc w:val="right"/>
              <w:rPr/>
            </w:pPr>
            <w:r>
              <w:rPr/>
              <w:t>0.71</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224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Xgroup Holdings Inc. (d/b/a Xpoint)</w:t>
            </w:r>
            <w:r>
              <w:rPr>
                <w:rFonts w:ascii="Times New Roman;Times;Serif" w:hAnsi="Times New Roman;Times;Serif"/>
                <w:b/>
                <w:position w:val="7"/>
                <w:sz w:val="16"/>
                <w:sz w:val="20"/>
                <w:u w:val="single"/>
              </w:rPr>
              <w:t>(10)</w:t>
            </w:r>
          </w:p>
        </w:tc>
        <w:tc>
          <w:tcPr>
            <w:tcW w:w="509"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569" w:type="dxa"/>
            <w:tcBorders/>
            <w:shd w:fill="FFFFFF" w:val="clear"/>
            <w:tcMar>
              <w:bottom w:w="0" w:type="dxa"/>
            </w:tcMar>
            <w:vAlign w:val="center"/>
          </w:tcPr>
          <w:p>
            <w:pPr>
              <w:pStyle w:val="TableContents"/>
              <w:bidi w:val="0"/>
              <w:spacing w:before="0" w:after="283"/>
              <w:jc w:val="center"/>
              <w:rPr/>
            </w:pPr>
            <w:r>
              <w:rPr/>
              <w:t>Miami Beach, FL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bookmarkStart w:id="373" w:name="xdx_416_20260630__srt--ConsolidatedEntit"/>
            <w:bookmarkEnd w:id="373"/>
          </w:p>
        </w:tc>
      </w:tr>
      <w:tr>
        <w:trPr/>
        <w:tc>
          <w:tcPr>
            <w:tcW w:w="2244" w:type="dxa"/>
            <w:tcBorders/>
            <w:shd w:fill="CCEEFF" w:val="clear"/>
            <w:tcMar>
              <w:bottom w:w="0" w:type="dxa"/>
            </w:tcMar>
            <w:vAlign w:val="center"/>
          </w:tcPr>
          <w:p>
            <w:pPr>
              <w:pStyle w:val="TableContents"/>
              <w:bidi w:val="0"/>
              <w:spacing w:before="0" w:after="283"/>
              <w:jc w:val="left"/>
              <w:rPr/>
            </w:pPr>
            <w:r>
              <w:rPr/>
              <w:t>Preferred Shares, Series A-1</w:t>
            </w:r>
          </w:p>
        </w:tc>
        <w:tc>
          <w:tcPr>
            <w:tcW w:w="5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374" w:name="xdx_F49_zmv1oQiQ1IVh"/>
            <w:bookmarkEnd w:id="374"/>
            <w:r>
              <w:rPr>
                <w:rFonts w:ascii="Times New Roman;Times;Serif" w:hAnsi="Times New Roman;Times;Serif"/>
                <w:sz w:val="20"/>
              </w:rPr>
              <w:t>(10)</w:t>
            </w:r>
          </w:p>
        </w:tc>
        <w:tc>
          <w:tcPr>
            <w:tcW w:w="1569" w:type="dxa"/>
            <w:tcBorders/>
            <w:shd w:fill="CCEEFF" w:val="clear"/>
            <w:tcMar>
              <w:bottom w:w="0" w:type="dxa"/>
            </w:tcMar>
            <w:vAlign w:val="center"/>
          </w:tcPr>
          <w:p>
            <w:pPr>
              <w:pStyle w:val="TableContents"/>
              <w:bidi w:val="0"/>
              <w:spacing w:before="0" w:after="283"/>
              <w:jc w:val="center"/>
              <w:rPr/>
            </w:pPr>
            <w:r>
              <w:rPr/>
              <w:t>Geolocation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8/17/2022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75" w:name="xdx_988_eus-gaap--InvestmentOwnedBalance"/>
            <w:bookmarkEnd w:id="375"/>
          </w:p>
        </w:tc>
        <w:tc>
          <w:tcPr>
            <w:tcW w:w="980" w:type="dxa"/>
            <w:tcBorders/>
            <w:shd w:fill="CCEEFF" w:val="clear"/>
            <w:tcMar>
              <w:bottom w:w="0" w:type="dxa"/>
            </w:tcMar>
            <w:vAlign w:val="center"/>
          </w:tcPr>
          <w:p>
            <w:pPr>
              <w:pStyle w:val="TableContents"/>
              <w:bidi w:val="0"/>
              <w:spacing w:before="0" w:after="283"/>
              <w:jc w:val="right"/>
              <w:rPr/>
            </w:pPr>
            <w:r>
              <w:rPr/>
              <w:t>454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136,114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220,201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0.06</w:t>
            </w:r>
          </w:p>
        </w:tc>
        <w:tc>
          <w:tcPr>
            <w:tcW w:w="233" w:type="dxa"/>
            <w:tcBorders/>
            <w:shd w:fill="CCEEFF" w:val="clear"/>
            <w:tcMar>
              <w:bottom w:w="0" w:type="dxa"/>
            </w:tcMar>
            <w:vAlign w:val="center"/>
          </w:tcPr>
          <w:p>
            <w:pPr>
              <w:pStyle w:val="TableContents"/>
              <w:bidi w:val="0"/>
              <w:spacing w:before="0" w:after="283"/>
              <w:jc w:val="left"/>
              <w:rPr/>
            </w:pPr>
            <w:r>
              <w:rPr/>
              <w:t>%</w:t>
            </w:r>
            <w:bookmarkStart w:id="376" w:name="xdx_413_20260630__srt--ConsolidatedEntit"/>
            <w:bookmarkEnd w:id="376"/>
          </w:p>
        </w:tc>
      </w:tr>
      <w:tr>
        <w:trPr/>
        <w:tc>
          <w:tcPr>
            <w:tcW w:w="2244" w:type="dxa"/>
            <w:tcBorders/>
            <w:shd w:fill="FFFFFF" w:val="clear"/>
            <w:tcMar>
              <w:bottom w:w="0" w:type="dxa"/>
            </w:tcMar>
            <w:vAlign w:val="center"/>
          </w:tcPr>
          <w:p>
            <w:pPr>
              <w:pStyle w:val="TableContents"/>
              <w:bidi w:val="0"/>
              <w:spacing w:before="0" w:after="283"/>
              <w:jc w:val="left"/>
              <w:rPr/>
            </w:pPr>
            <w:r>
              <w:rPr/>
              <w:t>Series A-1 Warrants, Strike Price $0.0001, Expiration Date 5/14/2044</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77" w:name="xdx_F45_zVgu3Mrf5Jqf"/>
            <w:bookmarkEnd w:id="377"/>
            <w:r>
              <w:rPr>
                <w:rFonts w:ascii="Times New Roman;Times;Serif" w:hAnsi="Times New Roman;Times;Serif"/>
                <w:sz w:val="20"/>
              </w:rPr>
              <w:t>(10)</w:t>
            </w:r>
          </w:p>
        </w:tc>
        <w:tc>
          <w:tcPr>
            <w:tcW w:w="156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Geolocation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8/17/2022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78" w:name="xdx_980_eus-gaap--InvestmentOwnedBalance"/>
            <w:bookmarkEnd w:id="378"/>
          </w:p>
        </w:tc>
        <w:tc>
          <w:tcPr>
            <w:tcW w:w="980" w:type="dxa"/>
            <w:tcBorders/>
            <w:shd w:fill="FFFFFF" w:val="clear"/>
            <w:tcMar>
              <w:bottom w:w="0" w:type="dxa"/>
            </w:tcMar>
            <w:vAlign w:val="center"/>
          </w:tcPr>
          <w:p>
            <w:pPr>
              <w:pStyle w:val="TableContents"/>
              <w:bidi w:val="0"/>
              <w:spacing w:before="0" w:after="283"/>
              <w:jc w:val="right"/>
              <w:rPr/>
            </w:pPr>
            <w:r>
              <w:rPr/>
              <w:t>3,286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985,180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1,593,789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0.45</w:t>
            </w:r>
          </w:p>
        </w:tc>
        <w:tc>
          <w:tcPr>
            <w:tcW w:w="233" w:type="dxa"/>
            <w:tcBorders/>
            <w:shd w:fill="FFFFFF" w:val="clear"/>
            <w:tcMar>
              <w:bottom w:w="0" w:type="dxa"/>
            </w:tcMar>
            <w:vAlign w:val="center"/>
          </w:tcPr>
          <w:p>
            <w:pPr>
              <w:pStyle w:val="TableContents"/>
              <w:bidi w:val="0"/>
              <w:spacing w:before="0" w:after="283"/>
              <w:jc w:val="left"/>
              <w:rPr/>
            </w:pPr>
            <w:r>
              <w:rPr/>
              <w:t>%</w:t>
            </w:r>
            <w:bookmarkStart w:id="379" w:name="xdx_415_20260630__srt--ConsolidatedEntit"/>
            <w:bookmarkEnd w:id="379"/>
          </w:p>
        </w:tc>
      </w:tr>
      <w:tr>
        <w:trPr/>
        <w:tc>
          <w:tcPr>
            <w:tcW w:w="2244" w:type="dxa"/>
            <w:tcBorders/>
            <w:shd w:fill="CCEEFF" w:val="clear"/>
            <w:tcMar>
              <w:bottom w:w="0" w:type="dxa"/>
            </w:tcMar>
            <w:vAlign w:val="center"/>
          </w:tcPr>
          <w:p>
            <w:pPr>
              <w:pStyle w:val="TableContents"/>
              <w:bidi w:val="0"/>
              <w:spacing w:before="0" w:after="283"/>
              <w:jc w:val="left"/>
              <w:rPr/>
            </w:pPr>
            <w:r>
              <w:rPr/>
              <w:t>Series A Warrants, Strike Price $0.0001, Expiration Date 5/14/2044</w:t>
            </w:r>
          </w:p>
        </w:tc>
        <w:tc>
          <w:tcPr>
            <w:tcW w:w="5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380" w:name="xdx_F4D_z4vzqfzAo7i9"/>
            <w:bookmarkEnd w:id="380"/>
            <w:r>
              <w:rPr>
                <w:rFonts w:ascii="Times New Roman;Times;Serif" w:hAnsi="Times New Roman;Times;Serif"/>
                <w:sz w:val="20"/>
              </w:rPr>
              <w:t>(10)</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Geolocation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8/17/2022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81" w:name="xdx_98C_eus-gaap--InvestmentOwnedBalance"/>
            <w:bookmarkEnd w:id="381"/>
          </w:p>
        </w:tc>
        <w:tc>
          <w:tcPr>
            <w:tcW w:w="980" w:type="dxa"/>
            <w:tcBorders/>
            <w:shd w:fill="CCEEFF" w:val="clear"/>
            <w:tcMar>
              <w:bottom w:w="0" w:type="dxa"/>
            </w:tcMar>
            <w:vAlign w:val="center"/>
          </w:tcPr>
          <w:p>
            <w:pPr>
              <w:pStyle w:val="TableContents"/>
              <w:bidi w:val="0"/>
              <w:spacing w:before="0" w:after="283"/>
              <w:jc w:val="right"/>
              <w:rPr/>
            </w:pPr>
            <w:r>
              <w:rPr/>
              <w:t>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261,735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1" w:type="dxa"/>
            <w:tcBorders>
              <w:bottom w:val="single" w:sz="8" w:space="0" w:color="000000"/>
            </w:tcBorders>
            <w:shd w:fill="CCEEFF" w:val="clear"/>
            <w:vAlign w:val="center"/>
          </w:tcPr>
          <w:p>
            <w:pPr>
              <w:pStyle w:val="TableContents"/>
              <w:bidi w:val="0"/>
              <w:spacing w:before="0" w:after="283"/>
              <w:jc w:val="right"/>
              <w:rPr/>
            </w:pPr>
            <w:r>
              <w:rPr/>
              <w:t>564,568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1" w:type="dxa"/>
            <w:tcBorders>
              <w:bottom w:val="single" w:sz="8" w:space="0" w:color="000000"/>
            </w:tcBorders>
            <w:shd w:fill="CCEEFF" w:val="clear"/>
            <w:vAlign w:val="center"/>
          </w:tcPr>
          <w:p>
            <w:pPr>
              <w:pStyle w:val="TableContents"/>
              <w:bidi w:val="0"/>
              <w:spacing w:before="0" w:after="283"/>
              <w:jc w:val="right"/>
              <w:rPr/>
            </w:pPr>
            <w:r>
              <w:rPr/>
              <w:t>0.16</w:t>
            </w:r>
          </w:p>
        </w:tc>
        <w:tc>
          <w:tcPr>
            <w:tcW w:w="233" w:type="dxa"/>
            <w:tcBorders/>
            <w:shd w:fill="CCEEFF" w:val="clear"/>
            <w:tcMar>
              <w:bottom w:w="0" w:type="dxa"/>
            </w:tcMar>
            <w:vAlign w:val="center"/>
          </w:tcPr>
          <w:p>
            <w:pPr>
              <w:pStyle w:val="TableContents"/>
              <w:bidi w:val="0"/>
              <w:spacing w:before="0" w:after="283"/>
              <w:jc w:val="left"/>
              <w:rPr/>
            </w:pPr>
            <w:r>
              <w:rPr/>
              <w:t>%</w:t>
            </w:r>
            <w:bookmarkStart w:id="382" w:name="xdx_418_20260630__srt--ConsolidatedEntit"/>
            <w:bookmarkEnd w:id="382"/>
          </w:p>
        </w:tc>
      </w:tr>
      <w:tr>
        <w:trPr/>
        <w:tc>
          <w:tcPr>
            <w:tcW w:w="2244" w:type="dxa"/>
            <w:tcBorders/>
            <w:shd w:fill="FFFFFF" w:val="clear"/>
            <w:tcMar>
              <w:bottom w:w="0" w:type="dxa"/>
            </w:tcMar>
            <w:vAlign w:val="center"/>
          </w:tcPr>
          <w:p>
            <w:pPr>
              <w:pStyle w:val="TableContents"/>
              <w:bidi w:val="0"/>
              <w:spacing w:before="0" w:after="283"/>
              <w:jc w:val="left"/>
              <w:rPr/>
            </w:pPr>
            <w:r>
              <w:rPr/>
              <w:t>Total</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83" w:name="xdx_F4A_zIv7pOVDEoYi"/>
            <w:bookmarkEnd w:id="383"/>
            <w:r>
              <w:rPr>
                <w:rFonts w:ascii="Times New Roman;Times;Serif" w:hAnsi="Times New Roman;Times;Serif"/>
                <w:sz w:val="20"/>
              </w:rPr>
              <w:t>(10)</w:t>
            </w:r>
          </w:p>
        </w:tc>
        <w:tc>
          <w:tcPr>
            <w:tcW w:w="15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1,383,029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1" w:type="dxa"/>
            <w:tcBorders>
              <w:bottom w:val="single" w:sz="8" w:space="0" w:color="000000"/>
            </w:tcBorders>
            <w:shd w:fill="FFFFFF" w:val="clear"/>
            <w:vAlign w:val="center"/>
          </w:tcPr>
          <w:p>
            <w:pPr>
              <w:pStyle w:val="TableContents"/>
              <w:bidi w:val="0"/>
              <w:spacing w:before="0" w:after="283"/>
              <w:jc w:val="right"/>
              <w:rPr/>
            </w:pPr>
            <w:r>
              <w:rPr/>
              <w:t>2,378,558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1" w:type="dxa"/>
            <w:tcBorders>
              <w:bottom w:val="single" w:sz="8" w:space="0" w:color="000000"/>
            </w:tcBorders>
            <w:shd w:fill="FFFFFF" w:val="clear"/>
            <w:vAlign w:val="center"/>
          </w:tcPr>
          <w:p>
            <w:pPr>
              <w:pStyle w:val="TableContents"/>
              <w:bidi w:val="0"/>
              <w:spacing w:before="0" w:after="283"/>
              <w:jc w:val="right"/>
              <w:rPr/>
            </w:pPr>
            <w:r>
              <w:rPr/>
              <w:t>0.67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Stake Trade, Inc. (d/b/a Prophet Exchange)</w:t>
            </w:r>
            <w:r>
              <w:rPr>
                <w:rFonts w:ascii="Times New Roman;Times;Serif" w:hAnsi="Times New Roman;Times;Serif"/>
                <w:b/>
                <w:position w:val="7"/>
                <w:sz w:val="16"/>
                <w:sz w:val="20"/>
                <w:u w:val="single"/>
              </w:rPr>
              <w:t>(10)</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New York, 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84" w:name="xdx_415_20260630__srt--ConsolidatedEntit"/>
            <w:bookmarkEnd w:id="384"/>
          </w:p>
        </w:tc>
      </w:tr>
      <w:tr>
        <w:trPr/>
        <w:tc>
          <w:tcPr>
            <w:tcW w:w="2244" w:type="dxa"/>
            <w:tcBorders/>
            <w:shd w:fill="FFFFFF" w:val="clear"/>
            <w:tcMar>
              <w:bottom w:w="0" w:type="dxa"/>
            </w:tcMar>
            <w:vAlign w:val="center"/>
          </w:tcPr>
          <w:p>
            <w:pPr>
              <w:pStyle w:val="TableContents"/>
              <w:bidi w:val="0"/>
              <w:spacing w:before="0" w:after="283"/>
              <w:jc w:val="left"/>
              <w:rPr/>
            </w:pPr>
            <w:r>
              <w:rPr/>
              <w:t>Preferred Shares, Series B-IV</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85" w:name="xdx_F4A_zAJNFsGbUGHj"/>
            <w:bookmarkEnd w:id="385"/>
            <w:r>
              <w:rPr>
                <w:rFonts w:ascii="Times New Roman;Times;Serif" w:hAnsi="Times New Roman;Times;Serif"/>
                <w:sz w:val="20"/>
              </w:rPr>
              <w:t>(10)</w:t>
            </w:r>
          </w:p>
        </w:tc>
        <w:tc>
          <w:tcPr>
            <w:tcW w:w="1569" w:type="dxa"/>
            <w:tcBorders/>
            <w:shd w:fill="FFFFFF" w:val="clear"/>
            <w:tcMar>
              <w:bottom w:w="0" w:type="dxa"/>
            </w:tcMar>
            <w:vAlign w:val="center"/>
          </w:tcPr>
          <w:p>
            <w:pPr>
              <w:pStyle w:val="TableContents"/>
              <w:bidi w:val="0"/>
              <w:spacing w:before="0" w:after="283"/>
              <w:jc w:val="center"/>
              <w:rPr/>
            </w:pPr>
            <w:r>
              <w:rPr/>
              <w:t>Sports Betting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7/26/2023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86" w:name="xdx_983_eus-gaap--InvestmentOwnedBalance"/>
            <w:bookmarkEnd w:id="386"/>
          </w:p>
        </w:tc>
        <w:tc>
          <w:tcPr>
            <w:tcW w:w="980" w:type="dxa"/>
            <w:tcBorders/>
            <w:shd w:fill="FFFFFF" w:val="clear"/>
            <w:tcMar>
              <w:bottom w:w="0" w:type="dxa"/>
            </w:tcMar>
            <w:vAlign w:val="center"/>
          </w:tcPr>
          <w:p>
            <w:pPr>
              <w:pStyle w:val="TableContents"/>
              <w:bidi w:val="0"/>
              <w:spacing w:before="0" w:after="283"/>
              <w:jc w:val="right"/>
              <w:rPr/>
            </w:pPr>
            <w:r>
              <w:rPr/>
              <w:t>755,041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1,002,153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2,038,422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0.57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GrabAGun Digital Holdings Inc.</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Coppell, 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87" w:name="xdx_41A_20260630__srt--ConsolidatedEntit"/>
            <w:bookmarkEnd w:id="387"/>
          </w:p>
        </w:tc>
      </w:tr>
      <w:tr>
        <w:trPr/>
        <w:tc>
          <w:tcPr>
            <w:tcW w:w="224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bookmarkStart w:id="388" w:name="xdx_F4F_zfqRg22x2Y39"/>
            <w:bookmarkEnd w:id="388"/>
            <w:r>
              <w:rPr>
                <w:rFonts w:ascii="Times New Roman;Times;Serif" w:hAnsi="Times New Roman;Times;Serif"/>
                <w:sz w:val="20"/>
              </w:rPr>
              <w:t>(4)</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E-Commerce Marketplace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11/20/2023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89" w:name="xdx_989_eus-gaap--InvestmentOwnedBalance"/>
            <w:bookmarkEnd w:id="389"/>
          </w:p>
        </w:tc>
        <w:tc>
          <w:tcPr>
            <w:tcW w:w="980" w:type="dxa"/>
            <w:tcBorders/>
            <w:shd w:fill="FFFFFF" w:val="clear"/>
            <w:tcMar>
              <w:bottom w:w="0" w:type="dxa"/>
            </w:tcMar>
            <w:vAlign w:val="center"/>
          </w:tcPr>
          <w:p>
            <w:pPr>
              <w:pStyle w:val="TableContents"/>
              <w:bidi w:val="0"/>
              <w:spacing w:before="0" w:after="283"/>
              <w:jc w:val="right"/>
              <w:rPr/>
            </w:pPr>
            <w:r>
              <w:rPr/>
              <w:t>452,619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480,350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1,031,972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0.29</w:t>
            </w:r>
          </w:p>
        </w:tc>
        <w:tc>
          <w:tcPr>
            <w:tcW w:w="233" w:type="dxa"/>
            <w:tcBorders/>
            <w:shd w:fill="FFFFFF" w:val="clear"/>
            <w:tcMar>
              <w:bottom w:w="0" w:type="dxa"/>
            </w:tcMar>
            <w:vAlign w:val="center"/>
          </w:tcPr>
          <w:p>
            <w:pPr>
              <w:pStyle w:val="TableContents"/>
              <w:bidi w:val="0"/>
              <w:spacing w:before="0" w:after="283"/>
              <w:jc w:val="left"/>
              <w:rPr/>
            </w:pPr>
            <w:r>
              <w:rPr/>
              <w:t>%</w:t>
            </w:r>
            <w:bookmarkStart w:id="390" w:name="xdx_41E_20260630__srt--ConsolidatedEntit"/>
            <w:bookmarkEnd w:id="390"/>
          </w:p>
        </w:tc>
      </w:tr>
      <w:tr>
        <w:trPr/>
        <w:tc>
          <w:tcPr>
            <w:tcW w:w="224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Warrants, Strike Price $11.50, Expiration Date 7/15/2030</w:t>
            </w:r>
            <w:bookmarkStart w:id="391" w:name="xdx_F40_zTkkujUxdOTj"/>
            <w:bookmarkEnd w:id="391"/>
            <w:r>
              <w:rPr>
                <w:rFonts w:ascii="Times New Roman;Times;Serif" w:hAnsi="Times New Roman;Times;Serif"/>
                <w:sz w:val="20"/>
              </w:rPr>
              <w:t>(4)</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E-Commerce Marketplace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11/20/2023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392" w:name="xdx_980_eus-gaap--InvestmentOwnedBalance"/>
            <w:bookmarkEnd w:id="392"/>
          </w:p>
        </w:tc>
        <w:tc>
          <w:tcPr>
            <w:tcW w:w="980" w:type="dxa"/>
            <w:tcBorders/>
            <w:shd w:fill="CCEEFF" w:val="clear"/>
            <w:tcMar>
              <w:bottom w:w="0" w:type="dxa"/>
            </w:tcMar>
            <w:vAlign w:val="center"/>
          </w:tcPr>
          <w:p>
            <w:pPr>
              <w:pStyle w:val="TableContents"/>
              <w:bidi w:val="0"/>
              <w:spacing w:before="0" w:after="283"/>
              <w:jc w:val="right"/>
              <w:rPr/>
            </w:pPr>
            <w:r>
              <w:rPr/>
              <w:t>1,204,488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375,816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1" w:type="dxa"/>
            <w:tcBorders>
              <w:bottom w:val="single" w:sz="8" w:space="0" w:color="000000"/>
            </w:tcBorders>
            <w:shd w:fill="CCEEFF" w:val="clear"/>
            <w:vAlign w:val="center"/>
          </w:tcPr>
          <w:p>
            <w:pPr>
              <w:pStyle w:val="TableContents"/>
              <w:bidi w:val="0"/>
              <w:spacing w:before="0" w:after="283"/>
              <w:jc w:val="right"/>
              <w:rPr/>
            </w:pPr>
            <w:r>
              <w:rPr/>
              <w:t>361,346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1" w:type="dxa"/>
            <w:tcBorders>
              <w:bottom w:val="single" w:sz="8" w:space="0" w:color="000000"/>
            </w:tcBorders>
            <w:shd w:fill="CCEEFF" w:val="clear"/>
            <w:vAlign w:val="center"/>
          </w:tcPr>
          <w:p>
            <w:pPr>
              <w:pStyle w:val="TableContents"/>
              <w:bidi w:val="0"/>
              <w:spacing w:before="0" w:after="283"/>
              <w:jc w:val="right"/>
              <w:rPr/>
            </w:pPr>
            <w:r>
              <w:rPr/>
              <w:t>0.10</w:t>
            </w:r>
          </w:p>
        </w:tc>
        <w:tc>
          <w:tcPr>
            <w:tcW w:w="233" w:type="dxa"/>
            <w:tcBorders/>
            <w:shd w:fill="CCEEFF" w:val="clear"/>
            <w:tcMar>
              <w:bottom w:w="0" w:type="dxa"/>
            </w:tcMar>
            <w:vAlign w:val="center"/>
          </w:tcPr>
          <w:p>
            <w:pPr>
              <w:pStyle w:val="TableContents"/>
              <w:bidi w:val="0"/>
              <w:spacing w:before="0" w:after="283"/>
              <w:jc w:val="left"/>
              <w:rPr/>
            </w:pPr>
            <w:r>
              <w:rPr/>
              <w:t>%</w:t>
            </w:r>
            <w:bookmarkStart w:id="393" w:name="xdx_415_20260630__srt--ConsolidatedEntit"/>
            <w:bookmarkEnd w:id="393"/>
          </w:p>
        </w:tc>
      </w:tr>
      <w:tr>
        <w:trPr/>
        <w:tc>
          <w:tcPr>
            <w:tcW w:w="2244" w:type="dxa"/>
            <w:tcBorders/>
            <w:shd w:fill="FFFFFF" w:val="clear"/>
            <w:tcMar>
              <w:bottom w:w="0" w:type="dxa"/>
            </w:tcMar>
            <w:vAlign w:val="center"/>
          </w:tcPr>
          <w:p>
            <w:pPr>
              <w:pStyle w:val="TableContents"/>
              <w:bidi w:val="0"/>
              <w:spacing w:before="0" w:after="283"/>
              <w:jc w:val="left"/>
              <w:rPr/>
            </w:pPr>
            <w:r>
              <w:rPr/>
              <w:t>Total</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856,166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1" w:type="dxa"/>
            <w:tcBorders>
              <w:bottom w:val="single" w:sz="8" w:space="0" w:color="000000"/>
            </w:tcBorders>
            <w:shd w:fill="FFFFFF" w:val="clear"/>
            <w:vAlign w:val="center"/>
          </w:tcPr>
          <w:p>
            <w:pPr>
              <w:pStyle w:val="TableContents"/>
              <w:bidi w:val="0"/>
              <w:spacing w:before="0" w:after="283"/>
              <w:jc w:val="right"/>
              <w:rPr/>
            </w:pPr>
            <w:r>
              <w:rPr/>
              <w:t>1,393,318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1" w:type="dxa"/>
            <w:tcBorders>
              <w:bottom w:val="single" w:sz="8" w:space="0" w:color="000000"/>
            </w:tcBorders>
            <w:shd w:fill="FFFFFF" w:val="clear"/>
            <w:vAlign w:val="center"/>
          </w:tcPr>
          <w:p>
            <w:pPr>
              <w:pStyle w:val="TableContents"/>
              <w:bidi w:val="0"/>
              <w:spacing w:before="0" w:after="283"/>
              <w:jc w:val="right"/>
              <w:rPr/>
            </w:pPr>
            <w:r>
              <w:rPr/>
              <w:t>0.39</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Varo Money, Inc.</w:t>
            </w:r>
            <w:r>
              <w:rPr>
                <w:rFonts w:ascii="Times New Roman;Times;Serif" w:hAnsi="Times New Roman;Times;Serif"/>
                <w:b/>
                <w:position w:val="7"/>
                <w:sz w:val="16"/>
                <w:sz w:val="20"/>
                <w:u w:val="single"/>
              </w:rPr>
              <w:t>**</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San Francisco,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94" w:name="xdx_41E_20260630__srt--ConsolidatedEntit"/>
            <w:bookmarkEnd w:id="394"/>
          </w:p>
        </w:tc>
      </w:tr>
      <w:tr>
        <w:trPr/>
        <w:tc>
          <w:tcPr>
            <w:tcW w:w="2244" w:type="dxa"/>
            <w:tcBorders/>
            <w:shd w:fill="FFFFFF" w:val="clear"/>
            <w:tcMar>
              <w:bottom w:w="0" w:type="dxa"/>
            </w:tcMar>
            <w:vAlign w:val="center"/>
          </w:tcPr>
          <w:p>
            <w:pPr>
              <w:pStyle w:val="TableContents"/>
              <w:bidi w:val="0"/>
              <w:spacing w:before="0" w:after="283"/>
              <w:jc w:val="left"/>
              <w:rPr/>
            </w:pPr>
            <w:r>
              <w:rPr/>
              <w:t>Common Shares</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95" w:name="xdx_F4F_zWdOo12dLBM5"/>
            <w:bookmarkEnd w:id="395"/>
            <w:r>
              <w:rPr>
                <w:rFonts w:ascii="Times New Roman;Times;Serif" w:hAnsi="Times New Roman;Times;Serif"/>
                <w:sz w:val="20"/>
              </w:rPr>
              <w:t>**</w:t>
            </w:r>
          </w:p>
        </w:tc>
        <w:tc>
          <w:tcPr>
            <w:tcW w:w="1569" w:type="dxa"/>
            <w:tcBorders/>
            <w:shd w:fill="FFFFFF" w:val="clear"/>
            <w:tcMar>
              <w:bottom w:w="0" w:type="dxa"/>
            </w:tcMar>
            <w:vAlign w:val="center"/>
          </w:tcPr>
          <w:p>
            <w:pPr>
              <w:pStyle w:val="TableContents"/>
              <w:bidi w:val="0"/>
              <w:spacing w:before="0" w:after="283"/>
              <w:jc w:val="center"/>
              <w:rPr/>
            </w:pPr>
            <w:r>
              <w:rPr/>
              <w:t>Financial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8/11/2021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96" w:name="xdx_987_eus-gaap--InvestmentOwnedBalance"/>
            <w:bookmarkEnd w:id="396"/>
          </w:p>
        </w:tc>
        <w:tc>
          <w:tcPr>
            <w:tcW w:w="980" w:type="dxa"/>
            <w:tcBorders/>
            <w:shd w:fill="FFFFFF" w:val="clear"/>
            <w:tcMar>
              <w:bottom w:w="0" w:type="dxa"/>
            </w:tcMar>
            <w:vAlign w:val="center"/>
          </w:tcPr>
          <w:p>
            <w:pPr>
              <w:pStyle w:val="TableContents"/>
              <w:bidi w:val="0"/>
              <w:spacing w:before="0" w:after="283"/>
              <w:jc w:val="right"/>
              <w:rPr/>
            </w:pPr>
            <w:r>
              <w:rPr/>
              <w:t>1,079,266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10,005,548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1,079,266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0.30</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Residential Homes for Rent, LLC (d/b/a Second Avenue)</w:t>
            </w:r>
            <w:r>
              <w:rPr>
                <w:rFonts w:ascii="Times New Roman;Times;Serif" w:hAnsi="Times New Roman;Times;Serif"/>
                <w:b/>
                <w:position w:val="7"/>
                <w:sz w:val="16"/>
                <w:sz w:val="20"/>
                <w:u w:val="single"/>
              </w:rPr>
              <w:t>(12)</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Chicago, 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397" w:name="xdx_419_20260630__srt--ConsolidatedEntit"/>
            <w:bookmarkEnd w:id="397"/>
          </w:p>
        </w:tc>
      </w:tr>
      <w:tr>
        <w:trPr/>
        <w:tc>
          <w:tcPr>
            <w:tcW w:w="2244" w:type="dxa"/>
            <w:tcBorders/>
            <w:shd w:fill="FFFFFF" w:val="clear"/>
            <w:tcMar>
              <w:bottom w:w="0" w:type="dxa"/>
            </w:tcMar>
            <w:vAlign w:val="center"/>
          </w:tcPr>
          <w:p>
            <w:pPr>
              <w:pStyle w:val="TableContents"/>
              <w:bidi w:val="0"/>
              <w:spacing w:before="0" w:after="283"/>
              <w:jc w:val="left"/>
              <w:rPr/>
            </w:pPr>
            <w:r>
              <w:rPr/>
              <w:t>Preferred Shares, Series A</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398" w:name="xdx_F4D_z3ycyB8qm9y8"/>
            <w:bookmarkEnd w:id="398"/>
            <w:r>
              <w:rPr>
                <w:rFonts w:ascii="Times New Roman;Times;Serif" w:hAnsi="Times New Roman;Times;Serif"/>
                <w:sz w:val="20"/>
              </w:rPr>
              <w:t>(12)</w:t>
            </w:r>
          </w:p>
        </w:tc>
        <w:tc>
          <w:tcPr>
            <w:tcW w:w="1569" w:type="dxa"/>
            <w:tcBorders/>
            <w:shd w:fill="FFFFFF" w:val="clear"/>
            <w:tcMar>
              <w:bottom w:w="0" w:type="dxa"/>
            </w:tcMar>
            <w:vAlign w:val="center"/>
          </w:tcPr>
          <w:p>
            <w:pPr>
              <w:pStyle w:val="TableContents"/>
              <w:bidi w:val="0"/>
              <w:spacing w:before="0" w:after="283"/>
              <w:jc w:val="center"/>
              <w:rPr/>
            </w:pPr>
            <w:r>
              <w:rPr/>
              <w:t>Real Estate Platform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12/23/2020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399" w:name="xdx_986_eus-gaap--InvestmentOwnedBalance"/>
            <w:bookmarkEnd w:id="399"/>
          </w:p>
        </w:tc>
        <w:tc>
          <w:tcPr>
            <w:tcW w:w="980" w:type="dxa"/>
            <w:tcBorders/>
            <w:shd w:fill="FFFFFF" w:val="clear"/>
            <w:tcMar>
              <w:bottom w:w="0" w:type="dxa"/>
            </w:tcMar>
            <w:vAlign w:val="center"/>
          </w:tcPr>
          <w:p>
            <w:pPr>
              <w:pStyle w:val="TableContents"/>
              <w:bidi w:val="0"/>
              <w:spacing w:before="0" w:after="283"/>
              <w:jc w:val="right"/>
              <w:rPr/>
            </w:pPr>
            <w:r>
              <w:rPr/>
              <w:t>150,000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403,890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0.11</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Skillsoft Corp.</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Nashua, NH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400" w:name="xdx_41B_20260630__srt--ConsolidatedEntit"/>
            <w:bookmarkEnd w:id="400"/>
          </w:p>
        </w:tc>
      </w:tr>
      <w:tr>
        <w:trPr/>
        <w:tc>
          <w:tcPr>
            <w:tcW w:w="224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bookmarkStart w:id="401" w:name="xdx_F4A_zHWlG2Jd7DT2"/>
            <w:bookmarkEnd w:id="401"/>
            <w:r>
              <w:rPr>
                <w:rFonts w:ascii="Times New Roman;Times;Serif" w:hAnsi="Times New Roman;Times;Serif"/>
                <w:sz w:val="20"/>
              </w:rPr>
              <w:t>(4)</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Online Education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6/8/2021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02" w:name="xdx_98A_eus-gaap--InvestmentOwnedBalance"/>
            <w:bookmarkEnd w:id="402"/>
          </w:p>
        </w:tc>
        <w:tc>
          <w:tcPr>
            <w:tcW w:w="980" w:type="dxa"/>
            <w:tcBorders/>
            <w:shd w:fill="FFFFFF" w:val="clear"/>
            <w:tcMar>
              <w:bottom w:w="0" w:type="dxa"/>
            </w:tcMar>
            <w:vAlign w:val="center"/>
          </w:tcPr>
          <w:p>
            <w:pPr>
              <w:pStyle w:val="TableContents"/>
              <w:bidi w:val="0"/>
              <w:spacing w:before="0" w:after="283"/>
              <w:jc w:val="right"/>
              <w:rPr/>
            </w:pPr>
            <w:r>
              <w:rPr/>
              <w:t>49,092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9,818,428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254,297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0.07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Huntress Labs Inc.</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Columbia,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403" w:name="xdx_41B_20260630__srt--ConsolidatedEntit"/>
            <w:bookmarkEnd w:id="403"/>
          </w:p>
        </w:tc>
      </w:tr>
      <w:tr>
        <w:trPr/>
        <w:tc>
          <w:tcPr>
            <w:tcW w:w="2244" w:type="dxa"/>
            <w:tcBorders/>
            <w:shd w:fill="FFFFFF" w:val="clear"/>
            <w:tcMar>
              <w:bottom w:w="0" w:type="dxa"/>
            </w:tcMar>
            <w:vAlign w:val="center"/>
          </w:tcPr>
          <w:p>
            <w:pPr>
              <w:pStyle w:val="TableContents"/>
              <w:bidi w:val="0"/>
              <w:spacing w:before="0" w:after="283"/>
              <w:jc w:val="left"/>
              <w:rPr/>
            </w:pPr>
            <w:r>
              <w:rPr/>
              <w:t>Common Shares</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0"/>
              <w:ind w:left="0" w:right="0" w:hanging="0"/>
              <w:jc w:val="center"/>
              <w:rPr/>
            </w:pPr>
            <w:r>
              <w:rPr/>
              <w:t>Cybersecurity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4/8/2026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04" w:name="xdx_984_eus-gaap--InvestmentOwnedBalance"/>
            <w:bookmarkEnd w:id="404"/>
          </w:p>
        </w:tc>
        <w:tc>
          <w:tcPr>
            <w:tcW w:w="980"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229,296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225,000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0.06</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Orchard Technologies, Inc.</w:t>
            </w:r>
            <w:r>
              <w:rPr>
                <w:rFonts w:ascii="Times New Roman;Times;Serif" w:hAnsi="Times New Roman;Times;Serif"/>
                <w:b/>
                <w:position w:val="7"/>
                <w:sz w:val="16"/>
                <w:sz w:val="20"/>
                <w:u w:val="single"/>
              </w:rPr>
              <w:t>(13)</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New York, 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405" w:name="xdx_415_20260630__srt--ConsolidatedEntit"/>
            <w:bookmarkEnd w:id="405"/>
          </w:p>
        </w:tc>
      </w:tr>
      <w:tr>
        <w:trPr/>
        <w:tc>
          <w:tcPr>
            <w:tcW w:w="2244" w:type="dxa"/>
            <w:tcBorders/>
            <w:shd w:fill="FFFFFF" w:val="clear"/>
            <w:tcMar>
              <w:bottom w:w="0" w:type="dxa"/>
            </w:tcMar>
            <w:vAlign w:val="center"/>
          </w:tcPr>
          <w:p>
            <w:pPr>
              <w:pStyle w:val="TableContents"/>
              <w:bidi w:val="0"/>
              <w:spacing w:before="0" w:after="283"/>
              <w:jc w:val="left"/>
              <w:rPr/>
            </w:pPr>
            <w:r>
              <w:rPr/>
              <w:t>Common Shares</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06" w:name="xdx_F43_zOCAxg3TCrcb"/>
            <w:bookmarkEnd w:id="406"/>
            <w:r>
              <w:rPr>
                <w:rFonts w:ascii="Times New Roman;Times;Serif" w:hAnsi="Times New Roman;Times;Serif"/>
                <w:sz w:val="20"/>
              </w:rPr>
              <w:t>(13)</w:t>
            </w:r>
          </w:p>
        </w:tc>
        <w:tc>
          <w:tcPr>
            <w:tcW w:w="1569" w:type="dxa"/>
            <w:tcBorders/>
            <w:shd w:fill="FFFFFF" w:val="clear"/>
            <w:tcMar>
              <w:bottom w:w="0"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New York, NY</w:t>
            </w:r>
          </w:p>
          <w:p>
            <w:pPr>
              <w:pStyle w:val="TableContents"/>
              <w:bidi w:val="0"/>
              <w:spacing w:before="0" w:after="283"/>
              <w:jc w:val="center"/>
              <w:rPr/>
            </w:pPr>
            <w:r>
              <w:rPr/>
              <w:t>Real Estate Platform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8/9/2021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07" w:name="xdx_982_eus-gaap--InvestmentOwnedBalance"/>
            <w:bookmarkEnd w:id="407"/>
          </w:p>
        </w:tc>
        <w:tc>
          <w:tcPr>
            <w:tcW w:w="980" w:type="dxa"/>
            <w:tcBorders/>
            <w:shd w:fill="FFFFFF" w:val="clear"/>
            <w:tcMar>
              <w:bottom w:w="0" w:type="dxa"/>
            </w:tcMar>
            <w:vAlign w:val="center"/>
          </w:tcPr>
          <w:p>
            <w:pPr>
              <w:pStyle w:val="TableContents"/>
              <w:bidi w:val="0"/>
              <w:spacing w:before="0" w:after="283"/>
              <w:jc w:val="right"/>
              <w:rPr/>
            </w:pPr>
            <w:r>
              <w:rPr/>
              <w:t>1,627,478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12,733,759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w:t>
            </w:r>
            <w:bookmarkStart w:id="408" w:name="xdx_419_20260630__srt--ConsolidatedEntit"/>
            <w:bookmarkEnd w:id="408"/>
          </w:p>
        </w:tc>
      </w:tr>
      <w:tr>
        <w:trPr/>
        <w:tc>
          <w:tcPr>
            <w:tcW w:w="2244" w:type="dxa"/>
            <w:tcBorders/>
            <w:shd w:fill="CCEEFF" w:val="clear"/>
            <w:tcMar>
              <w:bottom w:w="0" w:type="dxa"/>
            </w:tcMar>
            <w:vAlign w:val="center"/>
          </w:tcPr>
          <w:p>
            <w:pPr>
              <w:pStyle w:val="TableContents"/>
              <w:bidi w:val="0"/>
              <w:spacing w:before="0" w:after="283"/>
              <w:jc w:val="left"/>
              <w:rPr/>
            </w:pPr>
            <w:r>
              <w:rPr/>
              <w:t>Preferred Shares, Series E-1</w:t>
            </w:r>
          </w:p>
        </w:tc>
        <w:tc>
          <w:tcPr>
            <w:tcW w:w="5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409" w:name="xdx_F4A_z8W5mHX3xWW4"/>
            <w:bookmarkEnd w:id="409"/>
            <w:r>
              <w:rPr>
                <w:rFonts w:ascii="Times New Roman;Times;Serif" w:hAnsi="Times New Roman;Times;Serif"/>
                <w:sz w:val="20"/>
              </w:rPr>
              <w:t>(13)</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 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bookmarkStart w:id="410" w:name="xdx_98C_eus-gaap--InvestmentOwnedBalance"/>
            <w:bookmarkStart w:id="411" w:name="xdx_98C_eus-gaap--InvestmentOwnedBalance"/>
            <w:bookmarkEnd w:id="411"/>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301,380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81,584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1" w:type="dxa"/>
            <w:tcBorders>
              <w:bottom w:val="single" w:sz="8" w:space="0" w:color="000000"/>
            </w:tcBorders>
            <w:shd w:fill="CCEEFF" w:val="clear"/>
            <w:vAlign w:val="center"/>
          </w:tcPr>
          <w:p>
            <w:pPr>
              <w:pStyle w:val="TableContents"/>
              <w:bidi w:val="0"/>
              <w:spacing w:before="0" w:after="283"/>
              <w:jc w:val="right"/>
              <w:rPr/>
            </w:pPr>
            <w:r>
              <w:rPr/>
              <w:t>80,800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1" w:type="dxa"/>
            <w:tcBorders>
              <w:bottom w:val="single" w:sz="8" w:space="0" w:color="000000"/>
            </w:tcBorders>
            <w:shd w:fill="CCEEFF" w:val="clear"/>
            <w:vAlign w:val="center"/>
          </w:tcPr>
          <w:p>
            <w:pPr>
              <w:pStyle w:val="TableContents"/>
              <w:bidi w:val="0"/>
              <w:spacing w:before="0" w:after="283"/>
              <w:jc w:val="right"/>
              <w:rPr/>
            </w:pPr>
            <w:r>
              <w:rPr/>
              <w:t>0.02</w:t>
            </w:r>
          </w:p>
        </w:tc>
        <w:tc>
          <w:tcPr>
            <w:tcW w:w="233" w:type="dxa"/>
            <w:tcBorders/>
            <w:shd w:fill="CCEEFF" w:val="clear"/>
            <w:tcMar>
              <w:bottom w:w="0" w:type="dxa"/>
            </w:tcMar>
            <w:vAlign w:val="center"/>
          </w:tcPr>
          <w:p>
            <w:pPr>
              <w:pStyle w:val="TableContents"/>
              <w:bidi w:val="0"/>
              <w:spacing w:before="0" w:after="283"/>
              <w:jc w:val="left"/>
              <w:rPr/>
            </w:pPr>
            <w:r>
              <w:rPr/>
              <w:t>%</w:t>
            </w:r>
            <w:bookmarkStart w:id="412" w:name="xdx_413_20260630__srt--ConsolidatedEntit"/>
            <w:bookmarkEnd w:id="412"/>
          </w:p>
        </w:tc>
      </w:tr>
      <w:tr>
        <w:trPr/>
        <w:tc>
          <w:tcPr>
            <w:tcW w:w="2244" w:type="dxa"/>
            <w:tcBorders/>
            <w:shd w:fill="FFFFFF" w:val="clear"/>
            <w:tcMar>
              <w:bottom w:w="0" w:type="dxa"/>
            </w:tcMar>
            <w:vAlign w:val="center"/>
          </w:tcPr>
          <w:p>
            <w:pPr>
              <w:pStyle w:val="TableContents"/>
              <w:bidi w:val="0"/>
              <w:spacing w:before="0" w:after="283"/>
              <w:jc w:val="left"/>
              <w:rPr/>
            </w:pPr>
            <w:r>
              <w:rPr/>
              <w:t>Total</w:t>
            </w:r>
          </w:p>
        </w:tc>
        <w:tc>
          <w:tcPr>
            <w:tcW w:w="50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13" w:name="xdx_F44_zXHbK4xBIzJ7"/>
            <w:bookmarkEnd w:id="413"/>
            <w:r>
              <w:rPr>
                <w:rFonts w:ascii="Times New Roman;Times;Serif" w:hAnsi="Times New Roman;Times;Serif"/>
                <w:sz w:val="20"/>
              </w:rPr>
              <w:t>(13)</w:t>
            </w:r>
          </w:p>
        </w:tc>
        <w:tc>
          <w:tcPr>
            <w:tcW w:w="156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12,815,343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1" w:type="dxa"/>
            <w:tcBorders>
              <w:bottom w:val="single" w:sz="8" w:space="0" w:color="000000"/>
            </w:tcBorders>
            <w:shd w:fill="FFFFFF" w:val="clear"/>
            <w:vAlign w:val="center"/>
          </w:tcPr>
          <w:p>
            <w:pPr>
              <w:pStyle w:val="TableContents"/>
              <w:bidi w:val="0"/>
              <w:spacing w:before="0" w:after="283"/>
              <w:jc w:val="right"/>
              <w:rPr/>
            </w:pPr>
            <w:r>
              <w:rPr/>
              <w:t>80,800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1" w:type="dxa"/>
            <w:tcBorders>
              <w:bottom w:val="single" w:sz="8" w:space="0" w:color="000000"/>
            </w:tcBorders>
            <w:shd w:fill="FFFFFF" w:val="clear"/>
            <w:vAlign w:val="center"/>
          </w:tcPr>
          <w:p>
            <w:pPr>
              <w:pStyle w:val="TableContents"/>
              <w:bidi w:val="0"/>
              <w:spacing w:before="0" w:after="283"/>
              <w:jc w:val="right"/>
              <w:rPr/>
            </w:pPr>
            <w:r>
              <w:rPr/>
              <w:t>0.02</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PSQ Holdings, Inc. (d/b/a PublicSquare)</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West Palm Beach, FL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414" w:name="xdx_41B_20260630__srt--ConsolidatedEntit"/>
            <w:bookmarkEnd w:id="414"/>
          </w:p>
        </w:tc>
      </w:tr>
      <w:tr>
        <w:trPr/>
        <w:tc>
          <w:tcPr>
            <w:tcW w:w="224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Warrants, Strike Price $11.50, Expiration Date 7/19/2028</w:t>
            </w:r>
            <w:bookmarkStart w:id="415" w:name="xdx_F45_zDXds94KozUj"/>
            <w:bookmarkEnd w:id="415"/>
            <w:r>
              <w:rPr>
                <w:rFonts w:ascii="Times New Roman;Times;Serif" w:hAnsi="Times New Roman;Times;Serif"/>
                <w:sz w:val="20"/>
              </w:rPr>
              <w:t>(4)</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E-Commerce Marketplace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4/1/2021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16" w:name="xdx_980_eus-gaap--InvestmentOwnedBalance"/>
            <w:bookmarkEnd w:id="416"/>
          </w:p>
        </w:tc>
        <w:tc>
          <w:tcPr>
            <w:tcW w:w="980" w:type="dxa"/>
            <w:tcBorders/>
            <w:shd w:fill="FFFFFF" w:val="clear"/>
            <w:tcMar>
              <w:bottom w:w="0" w:type="dxa"/>
            </w:tcMar>
            <w:vAlign w:val="center"/>
          </w:tcPr>
          <w:p>
            <w:pPr>
              <w:pStyle w:val="TableContents"/>
              <w:bidi w:val="0"/>
              <w:spacing w:before="0" w:after="283"/>
              <w:jc w:val="right"/>
              <w:rPr/>
            </w:pPr>
            <w:r>
              <w:rPr/>
              <w:t>1,796,037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771,065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71,841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0.02</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Aventine Property Group, Inc.</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Chicago, 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417" w:name="xdx_410_20260630__srt--ConsolidatedEntit"/>
            <w:bookmarkEnd w:id="417"/>
          </w:p>
        </w:tc>
      </w:tr>
      <w:tr>
        <w:trPr/>
        <w:tc>
          <w:tcPr>
            <w:tcW w:w="2244" w:type="dxa"/>
            <w:tcBorders/>
            <w:shd w:fill="FFFFFF" w:val="clear"/>
            <w:tcMar>
              <w:bottom w:w="0" w:type="dxa"/>
            </w:tcMar>
            <w:vAlign w:val="center"/>
          </w:tcPr>
          <w:p>
            <w:pPr>
              <w:pStyle w:val="TableContents"/>
              <w:bidi w:val="0"/>
              <w:spacing w:before="0" w:after="283"/>
              <w:jc w:val="left"/>
              <w:rPr/>
            </w:pPr>
            <w:r>
              <w:rPr/>
              <w:t>Common Shares</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Cannabis REIT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9/11/2019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18" w:name="xdx_98F_eus-gaap--InvestmentOwnedBalance"/>
            <w:bookmarkEnd w:id="418"/>
          </w:p>
        </w:tc>
        <w:tc>
          <w:tcPr>
            <w:tcW w:w="980" w:type="dxa"/>
            <w:tcBorders/>
            <w:shd w:fill="FFFFFF" w:val="clear"/>
            <w:tcMar>
              <w:bottom w:w="0" w:type="dxa"/>
            </w:tcMar>
            <w:vAlign w:val="center"/>
          </w:tcPr>
          <w:p>
            <w:pPr>
              <w:pStyle w:val="TableContents"/>
              <w:bidi w:val="0"/>
              <w:spacing w:before="0" w:after="283"/>
              <w:jc w:val="right"/>
              <w:rPr/>
            </w:pPr>
            <w:r>
              <w:rPr/>
              <w:t>312,500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2,580,750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31,250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0.01</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244" w:type="dxa"/>
            <w:tcBorders/>
            <w:shd w:fill="CCEEFF" w:val="clear"/>
            <w:tcMar>
              <w:bottom w:w="0" w:type="dxa"/>
            </w:tcMar>
            <w:vAlign w:val="center"/>
          </w:tcPr>
          <w:p>
            <w:pPr>
              <w:pStyle w:val="TableContents"/>
              <w:bidi w:val="0"/>
              <w:spacing w:before="0" w:after="283"/>
              <w:jc w:val="left"/>
              <w:rPr>
                <w:b/>
                <w:u w:val="single"/>
              </w:rPr>
            </w:pPr>
            <w:r>
              <w:rPr>
                <w:b/>
                <w:u w:val="single"/>
              </w:rPr>
              <w:t>Kinetiq Holdings, LLC</w:t>
            </w:r>
          </w:p>
        </w:tc>
        <w:tc>
          <w:tcPr>
            <w:tcW w:w="509"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pPr>
            <w:r>
              <w:rPr/>
              <w:t>Doylestown, 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bookmarkStart w:id="419" w:name="xdx_415_20260630__srt--ConsolidatedEntit"/>
            <w:bookmarkEnd w:id="419"/>
          </w:p>
        </w:tc>
      </w:tr>
      <w:tr>
        <w:trPr/>
        <w:tc>
          <w:tcPr>
            <w:tcW w:w="2244" w:type="dxa"/>
            <w:tcBorders/>
            <w:shd w:fill="FFFFFF" w:val="clear"/>
            <w:tcMar>
              <w:bottom w:w="0" w:type="dxa"/>
            </w:tcMar>
            <w:vAlign w:val="center"/>
          </w:tcPr>
          <w:p>
            <w:pPr>
              <w:pStyle w:val="TableContents"/>
              <w:bidi w:val="0"/>
              <w:spacing w:before="0" w:after="283"/>
              <w:jc w:val="left"/>
              <w:rPr/>
            </w:pPr>
            <w:r>
              <w:rPr/>
              <w:t>Common Shares, Class A</w:t>
            </w:r>
          </w:p>
        </w:tc>
        <w:tc>
          <w:tcPr>
            <w:tcW w:w="509" w:type="dxa"/>
            <w:tcBorders/>
            <w:shd w:fill="FFFFFF" w:val="clear"/>
            <w:tcMar>
              <w:bottom w:w="0" w:type="dxa"/>
            </w:tcMar>
            <w:vAlign w:val="center"/>
          </w:tcPr>
          <w:p>
            <w:pPr>
              <w:pStyle w:val="TableContents"/>
              <w:bidi w:val="0"/>
              <w:spacing w:before="0" w:after="283"/>
              <w:jc w:val="left"/>
              <w:rPr/>
            </w:pPr>
            <w:r>
              <w:rPr/>
              <w:t> </w:t>
            </w:r>
          </w:p>
        </w:tc>
        <w:tc>
          <w:tcPr>
            <w:tcW w:w="1569" w:type="dxa"/>
            <w:tcBorders/>
            <w:shd w:fill="FFFFFF" w:val="clear"/>
            <w:tcMar>
              <w:bottom w:w="0" w:type="dxa"/>
            </w:tcMar>
            <w:vAlign w:val="center"/>
          </w:tcPr>
          <w:p>
            <w:pPr>
              <w:pStyle w:val="TableContents"/>
              <w:bidi w:val="0"/>
              <w:spacing w:before="0" w:after="283"/>
              <w:jc w:val="center"/>
              <w:rPr/>
            </w:pPr>
            <w:r>
              <w:rPr/>
              <w:t>Social Data Platform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3/30/2012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20" w:name="xdx_981_eus-gaap--InvestmentOwnedBalance"/>
            <w:bookmarkEnd w:id="420"/>
          </w:p>
        </w:tc>
        <w:tc>
          <w:tcPr>
            <w:tcW w:w="980" w:type="dxa"/>
            <w:tcBorders/>
            <w:shd w:fill="FFFFFF" w:val="clear"/>
            <w:tcMar>
              <w:bottom w:w="0" w:type="dxa"/>
            </w:tcMar>
            <w:vAlign w:val="center"/>
          </w:tcPr>
          <w:p>
            <w:pPr>
              <w:pStyle w:val="TableContents"/>
              <w:bidi w:val="0"/>
              <w:spacing w:before="0" w:after="283"/>
              <w:jc w:val="right"/>
              <w:rPr/>
            </w:pPr>
            <w:r>
              <w:rPr/>
              <w:t>112,374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11,737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0.01</w:t>
            </w:r>
          </w:p>
        </w:tc>
        <w:tc>
          <w:tcPr>
            <w:tcW w:w="23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(UNAUDITED) -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72"/>
        <w:gridCol w:w="297"/>
        <w:gridCol w:w="1230"/>
        <w:gridCol w:w="60"/>
        <w:gridCol w:w="1145"/>
        <w:gridCol w:w="60"/>
        <w:gridCol w:w="140"/>
        <w:gridCol w:w="1100"/>
        <w:gridCol w:w="60"/>
        <w:gridCol w:w="60"/>
        <w:gridCol w:w="140"/>
        <w:gridCol w:w="1220"/>
        <w:gridCol w:w="60"/>
        <w:gridCol w:w="60"/>
        <w:gridCol w:w="140"/>
        <w:gridCol w:w="1220"/>
        <w:gridCol w:w="60"/>
        <w:gridCol w:w="60"/>
        <w:gridCol w:w="60"/>
        <w:gridCol w:w="684"/>
        <w:gridCol w:w="277"/>
      </w:tblGrid>
      <w:tr>
        <w:trPr/>
        <w:tc>
          <w:tcPr>
            <w:tcW w:w="2072" w:type="dxa"/>
            <w:tcBorders>
              <w:bottom w:val="single" w:sz="8" w:space="0" w:color="000000"/>
            </w:tcBorders>
            <w:vAlign w:val="center"/>
          </w:tcPr>
          <w:p>
            <w:pPr>
              <w:pStyle w:val="TableContents"/>
              <w:bidi w:val="0"/>
              <w:spacing w:before="0" w:after="283"/>
              <w:jc w:val="left"/>
              <w:rPr>
                <w:b/>
              </w:rPr>
            </w:pPr>
            <w:r>
              <w:rPr>
                <w:b/>
              </w:rPr>
              <w:t>Portfolio Investments</w:t>
            </w:r>
            <w:bookmarkStart w:id="421" w:name="xdx_F64_zhITzffQB62d"/>
            <w:bookmarkEnd w:id="421"/>
            <w:r>
              <w:rPr>
                <w:b/>
              </w:rPr>
              <w:t>*</w:t>
            </w:r>
          </w:p>
        </w:tc>
        <w:tc>
          <w:tcPr>
            <w:tcW w:w="297" w:type="dxa"/>
            <w:tcBorders/>
            <w:tcMar>
              <w:bottom w:w="0" w:type="dxa"/>
            </w:tcMar>
            <w:vAlign w:val="center"/>
          </w:tcPr>
          <w:p>
            <w:pPr>
              <w:pStyle w:val="TableContents"/>
              <w:bidi w:val="0"/>
              <w:spacing w:before="0" w:after="283"/>
              <w:jc w:val="left"/>
              <w:rPr/>
            </w:pPr>
            <w:r>
              <w:rPr/>
              <w:t> </w:t>
            </w:r>
            <w:bookmarkStart w:id="422" w:name="xdx_48D_ecustom--InvestmentIndustryDescr"/>
            <w:bookmarkEnd w:id="422"/>
          </w:p>
        </w:tc>
        <w:tc>
          <w:tcPr>
            <w:tcW w:w="123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bookmarkStart w:id="423" w:name="xdx_487_ecustom--InitialInvestmentDate_i"/>
            <w:bookmarkEnd w:id="423"/>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424" w:name="xdx_482_eus-gaap--InvestmentOwnedAtCost_"/>
            <w:bookmarkEnd w:id="424"/>
          </w:p>
        </w:tc>
        <w:tc>
          <w:tcPr>
            <w:tcW w:w="136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425" w:name="xdx_485_eus-gaap--InvestmentOwnedAtFairV"/>
            <w:bookmarkEnd w:id="425"/>
          </w:p>
        </w:tc>
        <w:tc>
          <w:tcPr>
            <w:tcW w:w="1360"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426" w:name="xdx_483_eus-gaap--InvestmentOwnedPercent"/>
            <w:bookmarkEnd w:id="426"/>
          </w:p>
        </w:tc>
        <w:tc>
          <w:tcPr>
            <w:tcW w:w="744"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77" w:type="dxa"/>
            <w:tcBorders/>
            <w:tcMar>
              <w:bottom w:w="0" w:type="dxa"/>
            </w:tcMar>
            <w:vAlign w:val="center"/>
          </w:tcPr>
          <w:p>
            <w:pPr>
              <w:pStyle w:val="TableContents"/>
              <w:bidi w:val="0"/>
              <w:spacing w:before="0" w:after="283"/>
              <w:jc w:val="left"/>
              <w:rPr/>
            </w:pPr>
            <w:r>
              <w:rPr/>
              <w:t> </w:t>
            </w:r>
          </w:p>
        </w:tc>
      </w:tr>
      <w:tr>
        <w:trPr/>
        <w:tc>
          <w:tcPr>
            <w:tcW w:w="2072" w:type="dxa"/>
            <w:tcBorders>
              <w:bottom w:val="single" w:sz="8" w:space="0" w:color="000000"/>
            </w:tcBorders>
            <w:vAlign w:val="center"/>
          </w:tcPr>
          <w:p>
            <w:pPr>
              <w:pStyle w:val="TableContents"/>
              <w:bidi w:val="0"/>
              <w:spacing w:before="0" w:after="283"/>
              <w:jc w:val="left"/>
              <w:rPr>
                <w:b/>
              </w:rPr>
            </w:pPr>
            <w:r>
              <w:rPr>
                <w:b/>
              </w:rPr>
              <w:t>Portfolio Investments*</w:t>
            </w:r>
          </w:p>
        </w:tc>
        <w:tc>
          <w:tcPr>
            <w:tcW w:w="297" w:type="dxa"/>
            <w:tcBorders/>
            <w:tcMar>
              <w:bottom w:w="0" w:type="dxa"/>
            </w:tcMar>
            <w:vAlign w:val="center"/>
          </w:tcPr>
          <w:p>
            <w:pPr>
              <w:pStyle w:val="TableContents"/>
              <w:bidi w:val="0"/>
              <w:spacing w:before="0" w:after="283"/>
              <w:jc w:val="left"/>
              <w:rPr/>
            </w:pPr>
            <w:r>
              <w:rPr/>
              <w:t> </w:t>
            </w:r>
          </w:p>
        </w:tc>
        <w:tc>
          <w:tcPr>
            <w:tcW w:w="123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4"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77" w:type="dxa"/>
            <w:tcBorders/>
            <w:tcMar>
              <w:bottom w:w="0" w:type="dxa"/>
            </w:tcMar>
            <w:vAlign w:val="center"/>
          </w:tcPr>
          <w:p>
            <w:pPr>
              <w:pStyle w:val="TableContents"/>
              <w:bidi w:val="0"/>
              <w:spacing w:before="0" w:after="283"/>
              <w:jc w:val="left"/>
              <w:rPr/>
            </w:pPr>
            <w:r>
              <w:rPr/>
              <w:t> </w:t>
            </w:r>
          </w:p>
        </w:tc>
      </w:tr>
      <w:tr>
        <w:trPr/>
        <w:tc>
          <w:tcPr>
            <w:tcW w:w="207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Trax Ltd.</w:t>
            </w:r>
            <w:r>
              <w:rPr>
                <w:rFonts w:ascii="Times New Roman;Times;Serif" w:hAnsi="Times New Roman;Times;Serif"/>
                <w:b/>
                <w:position w:val="7"/>
                <w:sz w:val="16"/>
                <w:sz w:val="20"/>
                <w:u w:val="single"/>
              </w:rPr>
              <w:t>**</w:t>
            </w:r>
          </w:p>
        </w:tc>
        <w:tc>
          <w:tcPr>
            <w:tcW w:w="29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230" w:type="dxa"/>
            <w:tcBorders/>
            <w:shd w:fill="CCEEFF" w:val="clear"/>
            <w:tcMar>
              <w:bottom w:w="0" w:type="dxa"/>
            </w:tcMar>
            <w:vAlign w:val="center"/>
          </w:tcPr>
          <w:p>
            <w:pPr>
              <w:pStyle w:val="TableContents"/>
              <w:bidi w:val="0"/>
              <w:spacing w:before="0" w:after="283"/>
              <w:jc w:val="center"/>
              <w:rPr/>
            </w:pPr>
            <w:r>
              <w:rPr/>
              <w:t>Singapore, 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27" w:name="xdx_412_20260630__srt--ConsolidatedEntit"/>
            <w:bookmarkEnd w:id="427"/>
          </w:p>
        </w:tc>
      </w:tr>
      <w:tr>
        <w:trPr/>
        <w:tc>
          <w:tcPr>
            <w:tcW w:w="2072" w:type="dxa"/>
            <w:tcBorders/>
            <w:shd w:fill="FFFFFF" w:val="clear"/>
            <w:tcMar>
              <w:bottom w:w="0" w:type="dxa"/>
            </w:tcMar>
            <w:vAlign w:val="center"/>
          </w:tcPr>
          <w:p>
            <w:pPr>
              <w:pStyle w:val="TableContents"/>
              <w:bidi w:val="0"/>
              <w:spacing w:before="0" w:after="283"/>
              <w:jc w:val="left"/>
              <w:rPr/>
            </w:pPr>
            <w:r>
              <w:rPr/>
              <w:t>Common Shares</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28" w:name="xdx_F43_zXdz0h1oNUZb"/>
            <w:bookmarkEnd w:id="428"/>
            <w:r>
              <w:rPr>
                <w:rFonts w:ascii="Times New Roman;Times;Serif" w:hAnsi="Times New Roman;Times;Serif"/>
                <w:sz w:val="20"/>
              </w:rPr>
              <w:t>**</w:t>
            </w:r>
          </w:p>
        </w:tc>
        <w:tc>
          <w:tcPr>
            <w:tcW w:w="1230" w:type="dxa"/>
            <w:tcBorders/>
            <w:shd w:fill="FFFFFF" w:val="clear"/>
            <w:tcMar>
              <w:bottom w:w="0" w:type="dxa"/>
            </w:tcMar>
            <w:vAlign w:val="center"/>
          </w:tcPr>
          <w:p>
            <w:pPr>
              <w:pStyle w:val="TableContents"/>
              <w:bidi w:val="0"/>
              <w:spacing w:before="0" w:after="283"/>
              <w:jc w:val="center"/>
              <w:rPr/>
            </w:pPr>
            <w:r>
              <w:rPr/>
              <w:t>Retail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6/9/2021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29" w:name="xdx_983_eus-gaap--InvestmentOwnedBalance"/>
            <w:bookmarkEnd w:id="429"/>
          </w:p>
        </w:tc>
        <w:tc>
          <w:tcPr>
            <w:tcW w:w="1100" w:type="dxa"/>
            <w:tcBorders/>
            <w:shd w:fill="FFFFFF" w:val="clear"/>
            <w:tcMar>
              <w:bottom w:w="0" w:type="dxa"/>
            </w:tcMar>
            <w:vAlign w:val="center"/>
          </w:tcPr>
          <w:p>
            <w:pPr>
              <w:pStyle w:val="TableContents"/>
              <w:bidi w:val="0"/>
              <w:spacing w:before="0" w:after="283"/>
              <w:jc w:val="right"/>
              <w:rPr/>
            </w:pPr>
            <w:r>
              <w:rPr/>
              <w:t>55,591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2,781,148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bookmarkStart w:id="430" w:name="xdx_416_20260630__srt--ConsolidatedEntit"/>
            <w:bookmarkEnd w:id="430"/>
          </w:p>
        </w:tc>
      </w:tr>
      <w:tr>
        <w:trPr/>
        <w:tc>
          <w:tcPr>
            <w:tcW w:w="2072" w:type="dxa"/>
            <w:tcBorders/>
            <w:shd w:fill="CCEEFF" w:val="clear"/>
            <w:tcMar>
              <w:bottom w:w="0" w:type="dxa"/>
            </w:tcMar>
            <w:vAlign w:val="center"/>
          </w:tcPr>
          <w:p>
            <w:pPr>
              <w:pStyle w:val="TableContents"/>
              <w:bidi w:val="0"/>
              <w:spacing w:before="0" w:after="283"/>
              <w:jc w:val="left"/>
              <w:rPr/>
            </w:pPr>
            <w:r>
              <w:rPr/>
              <w:t>Preferred Shares, Investec Series</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431" w:name="xdx_F47_z9k18b9VrGN"/>
            <w:bookmarkEnd w:id="431"/>
            <w:r>
              <w:rPr>
                <w:rFonts w:ascii="Times New Roman;Times;Serif" w:hAnsi="Times New Roman;Times;Serif"/>
                <w:sz w:val="20"/>
              </w:rPr>
              <w:t>**</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Retail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6/9/2021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32" w:name="xdx_986_eus-gaap--InvestmentOwnedBalance"/>
            <w:bookmarkEnd w:id="432"/>
          </w:p>
        </w:tc>
        <w:tc>
          <w:tcPr>
            <w:tcW w:w="1100" w:type="dxa"/>
            <w:tcBorders/>
            <w:shd w:fill="CCEEFF" w:val="clear"/>
            <w:tcMar>
              <w:bottom w:w="0" w:type="dxa"/>
            </w:tcMar>
            <w:vAlign w:val="center"/>
          </w:tcPr>
          <w:p>
            <w:pPr>
              <w:pStyle w:val="TableContents"/>
              <w:bidi w:val="0"/>
              <w:spacing w:before="0" w:after="283"/>
              <w:jc w:val="right"/>
              <w:rPr/>
            </w:pPr>
            <w:r>
              <w:rPr/>
              <w:t>144,409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7,224,600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4" w:type="dxa"/>
            <w:tcBorders>
              <w:bottom w:val="single" w:sz="8" w:space="0" w:color="000000"/>
            </w:tcBorders>
            <w:shd w:fill="CCEEFF" w:val="clear"/>
            <w:vAlign w:val="center"/>
          </w:tcPr>
          <w:p>
            <w:pPr>
              <w:pStyle w:val="TableContents"/>
              <w:bidi w:val="0"/>
              <w:spacing w:before="0" w:after="283"/>
              <w:jc w:val="right"/>
              <w:rPr/>
            </w:pPr>
            <w:r>
              <w:rPr/>
              <w:t>—</w:t>
            </w:r>
          </w:p>
        </w:tc>
        <w:tc>
          <w:tcPr>
            <w:tcW w:w="277" w:type="dxa"/>
            <w:tcBorders/>
            <w:shd w:fill="CCEEFF" w:val="clear"/>
            <w:tcMar>
              <w:bottom w:w="0" w:type="dxa"/>
            </w:tcMar>
            <w:vAlign w:val="center"/>
          </w:tcPr>
          <w:p>
            <w:pPr>
              <w:pStyle w:val="TableContents"/>
              <w:bidi w:val="0"/>
              <w:spacing w:before="0" w:after="283"/>
              <w:jc w:val="left"/>
              <w:rPr/>
            </w:pPr>
            <w:r>
              <w:rPr/>
              <w:t>%</w:t>
            </w:r>
            <w:bookmarkStart w:id="433" w:name="xdx_41A_20260630__srt--ConsolidatedEntit"/>
            <w:bookmarkEnd w:id="433"/>
          </w:p>
        </w:tc>
      </w:tr>
      <w:tr>
        <w:trPr/>
        <w:tc>
          <w:tcPr>
            <w:tcW w:w="2072" w:type="dxa"/>
            <w:tcBorders/>
            <w:shd w:fill="FFFFFF" w:val="clear"/>
            <w:tcMar>
              <w:bottom w:w="0" w:type="dxa"/>
            </w:tcMar>
            <w:vAlign w:val="center"/>
          </w:tcPr>
          <w:p>
            <w:pPr>
              <w:pStyle w:val="TableContents"/>
              <w:bidi w:val="0"/>
              <w:spacing w:before="0" w:after="283"/>
              <w:jc w:val="left"/>
              <w:rPr/>
            </w:pPr>
            <w:r>
              <w:rPr/>
              <w:t>Total</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34" w:name="xdx_F4A_zmvY8vQ0c962"/>
            <w:bookmarkEnd w:id="434"/>
            <w:r>
              <w:rPr>
                <w:rFonts w:ascii="Times New Roman;Times;Serif" w:hAnsi="Times New Roman;Times;Serif"/>
                <w:sz w:val="20"/>
              </w:rPr>
              <w:t>**</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10,005,748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4" w:type="dxa"/>
            <w:tcBorders>
              <w:bottom w:val="single" w:sz="8" w:space="0" w:color="000000"/>
            </w:tcBorders>
            <w:shd w:fill="FFFFFF" w:val="cle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2072" w:type="dxa"/>
            <w:tcBorders/>
            <w:shd w:fill="CCEEFF" w:val="clear"/>
            <w:tcMar>
              <w:bottom w:w="0" w:type="dxa"/>
            </w:tcMar>
            <w:vAlign w:val="center"/>
          </w:tcPr>
          <w:p>
            <w:pPr>
              <w:pStyle w:val="TableContents"/>
              <w:bidi w:val="0"/>
              <w:spacing w:before="0" w:after="283"/>
              <w:jc w:val="left"/>
              <w:rPr>
                <w:b/>
                <w:u w:val="single"/>
              </w:rPr>
            </w:pPr>
            <w:r>
              <w:rPr>
                <w:b/>
                <w:u w:val="single"/>
              </w:rPr>
              <w:t>Fullbridge, Inc.</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Cambridge, 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35" w:name="xdx_41C_20260630__srt--ConsolidatedEntit"/>
            <w:bookmarkEnd w:id="435"/>
          </w:p>
        </w:tc>
      </w:tr>
      <w:tr>
        <w:trPr/>
        <w:tc>
          <w:tcPr>
            <w:tcW w:w="2072" w:type="dxa"/>
            <w:tcBorders/>
            <w:shd w:fill="FFFFFF" w:val="clear"/>
            <w:tcMar>
              <w:bottom w:w="0" w:type="dxa"/>
            </w:tcMar>
            <w:vAlign w:val="center"/>
          </w:tcPr>
          <w:p>
            <w:pPr>
              <w:pStyle w:val="TableContents"/>
              <w:bidi w:val="0"/>
              <w:spacing w:before="0" w:after="283"/>
              <w:jc w:val="left"/>
              <w:rPr/>
            </w:pPr>
            <w:r>
              <w:rPr/>
              <w:t>Common Shares</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Business Education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5/13/2012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36" w:name="xdx_988_eus-gaap--InvestmentOwnedBalance"/>
            <w:bookmarkEnd w:id="436"/>
          </w:p>
        </w:tc>
        <w:tc>
          <w:tcPr>
            <w:tcW w:w="1100" w:type="dxa"/>
            <w:tcBorders/>
            <w:shd w:fill="FFFFFF" w:val="clear"/>
            <w:tcMar>
              <w:bottom w:w="0" w:type="dxa"/>
            </w:tcMar>
            <w:vAlign w:val="center"/>
          </w:tcPr>
          <w:p>
            <w:pPr>
              <w:pStyle w:val="TableContents"/>
              <w:bidi w:val="0"/>
              <w:spacing w:before="0" w:after="283"/>
              <w:jc w:val="right"/>
              <w:rPr/>
            </w:pPr>
            <w:r>
              <w:rPr/>
              <w:t>517,917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6,150,506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bookmarkStart w:id="437" w:name="xdx_41D_20260630__srt--ConsolidatedEntit"/>
            <w:bookmarkEnd w:id="437"/>
          </w:p>
        </w:tc>
      </w:tr>
      <w:tr>
        <w:trPr/>
        <w:tc>
          <w:tcPr>
            <w:tcW w:w="20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1.47%, Due 11/9/2021</w:t>
            </w:r>
            <w:bookmarkStart w:id="438" w:name="xdx_F43_zaLytGJj8Hr5"/>
            <w:bookmarkEnd w:id="438"/>
            <w:r>
              <w:rPr>
                <w:rFonts w:ascii="Times New Roman;Times;Serif" w:hAnsi="Times New Roman;Times;Serif"/>
                <w:sz w:val="20"/>
              </w:rPr>
              <w:t>(3)(14)</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Business Education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3/3/2016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439" w:name="xdx_98F_eus-gaap--InvestmentOwnedBalance"/>
            <w:bookmarkEnd w:id="439"/>
          </w:p>
        </w:tc>
        <w:tc>
          <w:tcPr>
            <w:tcW w:w="1100" w:type="dxa"/>
            <w:tcBorders/>
            <w:shd w:fill="CCEEFF" w:val="clear"/>
            <w:tcMar>
              <w:bottom w:w="0" w:type="dxa"/>
            </w:tcMar>
            <w:vAlign w:val="center"/>
          </w:tcPr>
          <w:p>
            <w:pPr>
              <w:pStyle w:val="TableContents"/>
              <w:bidi w:val="0"/>
              <w:spacing w:before="0" w:after="283"/>
              <w:jc w:val="right"/>
              <w:rPr/>
            </w:pPr>
            <w:r>
              <w:rPr/>
              <w:t>2,270,458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2,270,858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4" w:type="dxa"/>
            <w:tcBorders>
              <w:bottom w:val="single" w:sz="8" w:space="0" w:color="000000"/>
            </w:tcBorders>
            <w:shd w:fill="CCEEFF" w:val="clear"/>
            <w:vAlign w:val="center"/>
          </w:tcPr>
          <w:p>
            <w:pPr>
              <w:pStyle w:val="TableContents"/>
              <w:bidi w:val="0"/>
              <w:spacing w:before="0" w:after="283"/>
              <w:jc w:val="right"/>
              <w:rPr/>
            </w:pPr>
            <w:r>
              <w:rPr/>
              <w:t>—</w:t>
            </w:r>
          </w:p>
        </w:tc>
        <w:tc>
          <w:tcPr>
            <w:tcW w:w="277" w:type="dxa"/>
            <w:tcBorders/>
            <w:shd w:fill="CCEEFF" w:val="clear"/>
            <w:tcMar>
              <w:bottom w:w="0" w:type="dxa"/>
            </w:tcMar>
            <w:vAlign w:val="center"/>
          </w:tcPr>
          <w:p>
            <w:pPr>
              <w:pStyle w:val="TableContents"/>
              <w:bidi w:val="0"/>
              <w:spacing w:before="0" w:after="283"/>
              <w:jc w:val="left"/>
              <w:rPr/>
            </w:pPr>
            <w:r>
              <w:rPr/>
              <w:t>%</w:t>
            </w:r>
            <w:bookmarkStart w:id="440" w:name="xdx_418_20260630__srt--ConsolidatedEntit"/>
            <w:bookmarkEnd w:id="440"/>
          </w:p>
        </w:tc>
      </w:tr>
      <w:tr>
        <w:trPr/>
        <w:tc>
          <w:tcPr>
            <w:tcW w:w="2072" w:type="dxa"/>
            <w:tcBorders/>
            <w:shd w:fill="FFFFFF" w:val="clear"/>
            <w:tcMar>
              <w:bottom w:w="0" w:type="dxa"/>
            </w:tcMar>
            <w:vAlign w:val="center"/>
          </w:tcPr>
          <w:p>
            <w:pPr>
              <w:pStyle w:val="TableContents"/>
              <w:bidi w:val="0"/>
              <w:spacing w:before="0" w:after="283"/>
              <w:jc w:val="left"/>
              <w:rPr/>
            </w:pPr>
            <w:r>
              <w:rPr/>
              <w:t>Total</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8,421,364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4" w:type="dxa"/>
            <w:tcBorders>
              <w:bottom w:val="single" w:sz="8" w:space="0" w:color="000000"/>
            </w:tcBorders>
            <w:shd w:fill="FFFFFF" w:val="cle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2072" w:type="dxa"/>
            <w:tcBorders/>
            <w:shd w:fill="CCEEFF" w:val="clear"/>
            <w:tcMar>
              <w:bottom w:w="0" w:type="dxa"/>
            </w:tcMar>
            <w:vAlign w:val="center"/>
          </w:tcPr>
          <w:p>
            <w:pPr>
              <w:pStyle w:val="TableContents"/>
              <w:bidi w:val="0"/>
              <w:spacing w:before="0" w:after="283"/>
              <w:jc w:val="left"/>
              <w:rPr>
                <w:b/>
                <w:u w:val="single"/>
              </w:rPr>
            </w:pPr>
            <w:r>
              <w:rPr>
                <w:b/>
                <w:u w:val="single"/>
              </w:rPr>
              <w:t>Treehouse Real Estate Investment Trust, Inc.</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Chicago, 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41" w:name="xdx_410_20260630__srt--ConsolidatedEntit"/>
            <w:bookmarkEnd w:id="441"/>
          </w:p>
        </w:tc>
      </w:tr>
      <w:tr>
        <w:trPr/>
        <w:tc>
          <w:tcPr>
            <w:tcW w:w="2072" w:type="dxa"/>
            <w:tcBorders/>
            <w:shd w:fill="FFFFFF" w:val="clear"/>
            <w:tcMar>
              <w:bottom w:w="0" w:type="dxa"/>
            </w:tcMar>
            <w:vAlign w:val="center"/>
          </w:tcPr>
          <w:p>
            <w:pPr>
              <w:pStyle w:val="TableContents"/>
              <w:bidi w:val="0"/>
              <w:spacing w:before="0" w:after="283"/>
              <w:jc w:val="left"/>
              <w:rPr/>
            </w:pPr>
            <w:r>
              <w:rPr/>
              <w:t>Common Shares</w:t>
            </w:r>
            <w:r>
              <w:rPr>
                <w:position w:val="8"/>
                <w:sz w:val="19"/>
              </w:rPr>
              <w:t>***</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bookmarkStart w:id="442" w:name="xdx_F40_zmxoSzxcMRnk"/>
            <w:bookmarkEnd w:id="442"/>
            <w:r>
              <w:rPr>
                <w:rFonts w:ascii="Times New Roman;Times;Serif" w:hAnsi="Times New Roman;Times;Serif"/>
                <w:sz w:val="18"/>
              </w:rPr>
              <w:t>***</w:t>
            </w:r>
          </w:p>
        </w:tc>
        <w:tc>
          <w:tcPr>
            <w:tcW w:w="1230" w:type="dxa"/>
            <w:tcBorders/>
            <w:shd w:fill="FFFFFF" w:val="clear"/>
            <w:tcMar>
              <w:bottom w:w="0" w:type="dxa"/>
            </w:tcMar>
            <w:vAlign w:val="center"/>
          </w:tcPr>
          <w:p>
            <w:pPr>
              <w:pStyle w:val="TableContents"/>
              <w:bidi w:val="0"/>
              <w:spacing w:before="0" w:after="283"/>
              <w:jc w:val="center"/>
              <w:rPr/>
            </w:pPr>
            <w:r>
              <w:rPr/>
              <w:t>Cannabis REIT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9/11/2019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43" w:name="xdx_985_eus-gaap--InvestmentOwnedBalance"/>
            <w:bookmarkEnd w:id="443"/>
          </w:p>
        </w:tc>
        <w:tc>
          <w:tcPr>
            <w:tcW w:w="1100" w:type="dxa"/>
            <w:tcBorders/>
            <w:shd w:fill="FFFFFF" w:val="clear"/>
            <w:tcMar>
              <w:bottom w:w="0" w:type="dxa"/>
            </w:tcMar>
            <w:vAlign w:val="center"/>
          </w:tcPr>
          <w:p>
            <w:pPr>
              <w:pStyle w:val="TableContents"/>
              <w:bidi w:val="0"/>
              <w:spacing w:before="0" w:after="283"/>
              <w:jc w:val="right"/>
              <w:rPr/>
            </w:pPr>
            <w:r>
              <w:rPr/>
              <w:t>312,500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4,919,250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207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CTN Holdings, Inc. (d/b/a Catona Climate, f/k/a Aspiration Partners, Inc.)</w:t>
            </w:r>
            <w:r>
              <w:rPr>
                <w:rFonts w:ascii="Times New Roman;Times;Serif" w:hAnsi="Times New Roman;Times;Serif"/>
                <w:b/>
                <w:position w:val="7"/>
                <w:sz w:val="16"/>
                <w:sz w:val="20"/>
                <w:u w:val="single"/>
              </w:rPr>
              <w:t>(15)</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Marina Del Rey,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44" w:name="xdx_410_20260630__srt--ConsolidatedEntit"/>
            <w:bookmarkEnd w:id="444"/>
          </w:p>
        </w:tc>
      </w:tr>
      <w:tr>
        <w:trPr/>
        <w:tc>
          <w:tcPr>
            <w:tcW w:w="2072" w:type="dxa"/>
            <w:tcBorders/>
            <w:shd w:fill="FFFFFF" w:val="clear"/>
            <w:tcMar>
              <w:bottom w:w="0" w:type="dxa"/>
            </w:tcMar>
            <w:vAlign w:val="center"/>
          </w:tcPr>
          <w:p>
            <w:pPr>
              <w:pStyle w:val="TableContents"/>
              <w:bidi w:val="0"/>
              <w:spacing w:before="0" w:after="283"/>
              <w:jc w:val="left"/>
              <w:rPr/>
            </w:pPr>
            <w:r>
              <w:rPr/>
              <w:t>Preferred Shares, Series A</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45" w:name="xdx_F48_zZ1XVxfCPUSf"/>
            <w:bookmarkEnd w:id="445"/>
            <w:r>
              <w:rPr>
                <w:rFonts w:ascii="Times New Roman;Times;Serif" w:hAnsi="Times New Roman;Times;Serif"/>
                <w:sz w:val="20"/>
              </w:rPr>
              <w:t>(15)</w:t>
            </w:r>
          </w:p>
        </w:tc>
        <w:tc>
          <w:tcPr>
            <w:tcW w:w="1230" w:type="dxa"/>
            <w:tcBorders/>
            <w:shd w:fill="FFFFFF" w:val="clear"/>
            <w:tcMar>
              <w:bottom w:w="0" w:type="dxa"/>
            </w:tcMar>
            <w:vAlign w:val="center"/>
          </w:tcPr>
          <w:p>
            <w:pPr>
              <w:pStyle w:val="TableContents"/>
              <w:bidi w:val="0"/>
              <w:spacing w:before="0" w:after="283"/>
              <w:jc w:val="center"/>
              <w:rPr/>
            </w:pPr>
            <w:r>
              <w:rPr/>
              <w:t>Carbon Credit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8/11/2015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46" w:name="xdx_982_eus-gaap--InvestmentOwnedBalance"/>
            <w:bookmarkEnd w:id="446"/>
          </w:p>
        </w:tc>
        <w:tc>
          <w:tcPr>
            <w:tcW w:w="1100" w:type="dxa"/>
            <w:tcBorders/>
            <w:shd w:fill="FFFFFF" w:val="clear"/>
            <w:tcMar>
              <w:bottom w:w="0" w:type="dxa"/>
            </w:tcMar>
            <w:vAlign w:val="center"/>
          </w:tcPr>
          <w:p>
            <w:pPr>
              <w:pStyle w:val="TableContents"/>
              <w:bidi w:val="0"/>
              <w:spacing w:before="0" w:after="283"/>
              <w:jc w:val="right"/>
              <w:rPr/>
            </w:pPr>
            <w:r>
              <w:rPr/>
              <w:t>540,270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1,001,815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bookmarkStart w:id="447" w:name="xdx_41F_20260630__srt--ConsolidatedEntit"/>
            <w:bookmarkEnd w:id="447"/>
          </w:p>
        </w:tc>
      </w:tr>
      <w:tr>
        <w:trPr/>
        <w:tc>
          <w:tcPr>
            <w:tcW w:w="2072" w:type="dxa"/>
            <w:tcBorders/>
            <w:shd w:fill="CCEEFF" w:val="clear"/>
            <w:tcMar>
              <w:bottom w:w="0" w:type="dxa"/>
            </w:tcMar>
            <w:vAlign w:val="center"/>
          </w:tcPr>
          <w:p>
            <w:pPr>
              <w:pStyle w:val="TableContents"/>
              <w:bidi w:val="0"/>
              <w:spacing w:before="0" w:after="283"/>
              <w:jc w:val="left"/>
              <w:rPr/>
            </w:pPr>
            <w:r>
              <w:rPr/>
              <w:t>Preferred Shares, Series C-3</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448" w:name="xdx_F48_zteRwevwkNm4"/>
            <w:bookmarkEnd w:id="448"/>
            <w:r>
              <w:rPr>
                <w:rFonts w:ascii="Times New Roman;Times;Serif" w:hAnsi="Times New Roman;Times;Serif"/>
                <w:sz w:val="20"/>
              </w:rPr>
              <w:t>(15)</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Carbon Credit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8/12/2019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49" w:name="xdx_982_eus-gaap--InvestmentOwnedBalance"/>
            <w:bookmarkEnd w:id="449"/>
          </w:p>
        </w:tc>
        <w:tc>
          <w:tcPr>
            <w:tcW w:w="1100" w:type="dxa"/>
            <w:tcBorders/>
            <w:shd w:fill="CCEEFF" w:val="clear"/>
            <w:tcMar>
              <w:bottom w:w="0" w:type="dxa"/>
            </w:tcMar>
            <w:vAlign w:val="center"/>
          </w:tcPr>
          <w:p>
            <w:pPr>
              <w:pStyle w:val="TableContents"/>
              <w:bidi w:val="0"/>
              <w:spacing w:before="0" w:after="283"/>
              <w:jc w:val="right"/>
              <w:rPr/>
            </w:pPr>
            <w:r>
              <w:rPr/>
              <w:t>24,912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281,190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4" w:type="dxa"/>
            <w:tcBorders>
              <w:bottom w:val="single" w:sz="8" w:space="0" w:color="000000"/>
            </w:tcBorders>
            <w:shd w:fill="CCEEFF" w:val="clear"/>
            <w:vAlign w:val="center"/>
          </w:tcPr>
          <w:p>
            <w:pPr>
              <w:pStyle w:val="TableContents"/>
              <w:bidi w:val="0"/>
              <w:spacing w:before="0" w:after="283"/>
              <w:jc w:val="right"/>
              <w:rPr/>
            </w:pPr>
            <w:r>
              <w:rPr/>
              <w:t>—</w:t>
            </w:r>
          </w:p>
        </w:tc>
        <w:tc>
          <w:tcPr>
            <w:tcW w:w="277" w:type="dxa"/>
            <w:tcBorders/>
            <w:shd w:fill="CCEEFF" w:val="clear"/>
            <w:tcMar>
              <w:bottom w:w="0" w:type="dxa"/>
            </w:tcMar>
            <w:vAlign w:val="center"/>
          </w:tcPr>
          <w:p>
            <w:pPr>
              <w:pStyle w:val="TableContents"/>
              <w:bidi w:val="0"/>
              <w:spacing w:before="0" w:after="283"/>
              <w:jc w:val="left"/>
              <w:rPr/>
            </w:pPr>
            <w:r>
              <w:rPr/>
              <w:t>%</w:t>
            </w:r>
            <w:bookmarkStart w:id="450" w:name="xdx_41A_20260630__srt--ConsolidatedEntit"/>
            <w:bookmarkEnd w:id="450"/>
          </w:p>
        </w:tc>
      </w:tr>
      <w:tr>
        <w:trPr/>
        <w:tc>
          <w:tcPr>
            <w:tcW w:w="2072" w:type="dxa"/>
            <w:tcBorders/>
            <w:shd w:fill="FFFFFF" w:val="clear"/>
            <w:tcMar>
              <w:bottom w:w="0" w:type="dxa"/>
            </w:tcMar>
            <w:vAlign w:val="center"/>
          </w:tcPr>
          <w:p>
            <w:pPr>
              <w:pStyle w:val="TableContents"/>
              <w:bidi w:val="0"/>
              <w:spacing w:before="0" w:after="283"/>
              <w:jc w:val="left"/>
              <w:rPr/>
            </w:pPr>
            <w:r>
              <w:rPr/>
              <w:t>Total</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1,283,005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4" w:type="dxa"/>
            <w:tcBorders>
              <w:bottom w:val="single" w:sz="8" w:space="0" w:color="000000"/>
            </w:tcBorders>
            <w:shd w:fill="FFFFFF" w:val="cle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2072"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r>
      <w:tr>
        <w:trPr/>
        <w:tc>
          <w:tcPr>
            <w:tcW w:w="2072" w:type="dxa"/>
            <w:tcBorders/>
            <w:shd w:fill="FFFFFF" w:val="clear"/>
            <w:tcMar>
              <w:bottom w:w="0" w:type="dxa"/>
            </w:tcMar>
            <w:vAlign w:val="center"/>
          </w:tcPr>
          <w:p>
            <w:pPr>
              <w:pStyle w:val="TableContents"/>
              <w:bidi w:val="0"/>
              <w:spacing w:before="0" w:after="283"/>
              <w:jc w:val="left"/>
              <w:rPr>
                <w:b/>
              </w:rPr>
            </w:pPr>
            <w:r>
              <w:rPr>
                <w:b/>
              </w:rPr>
              <w:t>Total Non-Controlled/Non-Affiliate</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451" w:name="xdx_98B_eus-gaap--InvestmentOwnedAtCost_"/>
            <w:bookmarkEnd w:id="451"/>
          </w:p>
        </w:tc>
        <w:tc>
          <w:tcPr>
            <w:tcW w:w="1220" w:type="dxa"/>
            <w:tcBorders/>
            <w:shd w:fill="FFFFFF" w:val="clear"/>
            <w:tcMar>
              <w:bottom w:w="0" w:type="dxa"/>
            </w:tcMar>
            <w:vAlign w:val="center"/>
          </w:tcPr>
          <w:p>
            <w:pPr>
              <w:pStyle w:val="TableContents"/>
              <w:bidi w:val="0"/>
              <w:spacing w:before="0" w:after="283"/>
              <w:jc w:val="right"/>
              <w:rPr>
                <w:b/>
              </w:rPr>
            </w:pPr>
            <w:r>
              <w:rPr>
                <w:b/>
              </w:rPr>
              <w:t>241,230,810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452" w:name="xdx_981_eus-gaap--InvestmentOwnedAtFairV"/>
            <w:bookmarkEnd w:id="452"/>
          </w:p>
        </w:tc>
        <w:tc>
          <w:tcPr>
            <w:tcW w:w="1220" w:type="dxa"/>
            <w:tcBorders/>
            <w:shd w:fill="FFFFFF" w:val="clear"/>
            <w:tcMar>
              <w:bottom w:w="0" w:type="dxa"/>
            </w:tcMar>
            <w:vAlign w:val="center"/>
          </w:tcPr>
          <w:p>
            <w:pPr>
              <w:pStyle w:val="TableContents"/>
              <w:bidi w:val="0"/>
              <w:spacing w:before="0" w:after="283"/>
              <w:jc w:val="right"/>
              <w:rPr>
                <w:b/>
              </w:rPr>
            </w:pPr>
            <w:r>
              <w:rPr>
                <w:b/>
              </w:rPr>
              <w:t>397,381,734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453" w:name="xdx_98E_eus-gaap--InvestmentOwnedPercent"/>
            <w:bookmarkEnd w:id="453"/>
          </w:p>
        </w:tc>
        <w:tc>
          <w:tcPr>
            <w:tcW w:w="684" w:type="dxa"/>
            <w:tcBorders/>
            <w:shd w:fill="FFFFFF" w:val="clear"/>
            <w:tcMar>
              <w:bottom w:w="0" w:type="dxa"/>
            </w:tcMar>
            <w:vAlign w:val="center"/>
          </w:tcPr>
          <w:p>
            <w:pPr>
              <w:pStyle w:val="TableContents"/>
              <w:bidi w:val="0"/>
              <w:spacing w:before="0" w:after="283"/>
              <w:jc w:val="right"/>
              <w:rPr>
                <w:b/>
              </w:rPr>
            </w:pPr>
            <w:r>
              <w:rPr>
                <w:b/>
              </w:rPr>
              <w:t>111.67</w:t>
            </w:r>
          </w:p>
        </w:tc>
        <w:tc>
          <w:tcPr>
            <w:tcW w:w="277" w:type="dxa"/>
            <w:tcBorders/>
            <w:shd w:fill="FFFFFF" w:val="clear"/>
            <w:tcMar>
              <w:bottom w:w="0" w:type="dxa"/>
            </w:tcMar>
            <w:vAlign w:val="center"/>
          </w:tcPr>
          <w:p>
            <w:pPr>
              <w:pStyle w:val="TableContents"/>
              <w:bidi w:val="0"/>
              <w:spacing w:before="0" w:after="283"/>
              <w:jc w:val="left"/>
              <w:rPr>
                <w:b/>
              </w:rPr>
            </w:pPr>
            <w:r>
              <w:rPr>
                <w:b/>
              </w:rPr>
              <w:t>%</w:t>
            </w:r>
          </w:p>
        </w:tc>
      </w:tr>
      <w:tr>
        <w:trPr/>
        <w:tc>
          <w:tcPr>
            <w:tcW w:w="2072"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r>
      <w:tr>
        <w:trPr/>
        <w:tc>
          <w:tcPr>
            <w:tcW w:w="2072"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NON-CONTROLLED/AFFILIATE</w:t>
            </w:r>
            <w:r>
              <w:rPr>
                <w:rFonts w:ascii="Times New Roman;Times;Serif" w:hAnsi="Times New Roman;Times;Serif"/>
                <w:b/>
                <w:position w:val="7"/>
                <w:sz w:val="16"/>
                <w:sz w:val="20"/>
              </w:rPr>
              <w:t>(1)</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207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StormWind, LLC</w:t>
            </w:r>
            <w:r>
              <w:rPr>
                <w:rFonts w:ascii="Times New Roman;Times;Serif" w:hAnsi="Times New Roman;Times;Serif"/>
                <w:b/>
                <w:position w:val="7"/>
                <w:sz w:val="16"/>
                <w:sz w:val="20"/>
                <w:u w:val="single"/>
              </w:rPr>
              <w:t>(16)</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Scottsdale, AZ</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54" w:name="xdx_41B_20260630__srt--ConsolidatedEntit"/>
            <w:bookmarkEnd w:id="454"/>
          </w:p>
        </w:tc>
      </w:tr>
      <w:tr>
        <w:trPr/>
        <w:tc>
          <w:tcPr>
            <w:tcW w:w="2072" w:type="dxa"/>
            <w:tcBorders/>
            <w:shd w:fill="FFFFFF" w:val="clear"/>
            <w:tcMar>
              <w:bottom w:w="0" w:type="dxa"/>
            </w:tcMar>
            <w:vAlign w:val="center"/>
          </w:tcPr>
          <w:p>
            <w:pPr>
              <w:pStyle w:val="TableContents"/>
              <w:bidi w:val="0"/>
              <w:spacing w:before="0" w:after="283"/>
              <w:jc w:val="left"/>
              <w:rPr/>
            </w:pPr>
            <w:r>
              <w:rPr/>
              <w:t>Preferred Shares, Series D 8%</w:t>
            </w:r>
            <w:bookmarkStart w:id="455" w:name="xdx_F41_zUAl56ejeE88"/>
            <w:bookmarkEnd w:id="455"/>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1230" w:type="dxa"/>
            <w:tcBorders/>
            <w:shd w:fill="FFFFFF" w:val="clear"/>
            <w:tcMar>
              <w:bottom w:w="0" w:type="dxa"/>
            </w:tcMar>
            <w:vAlign w:val="center"/>
          </w:tcPr>
          <w:p>
            <w:pPr>
              <w:pStyle w:val="TableContents"/>
              <w:bidi w:val="0"/>
              <w:spacing w:before="0" w:after="283"/>
              <w:jc w:val="center"/>
              <w:rPr/>
            </w:pPr>
            <w:r>
              <w:rPr/>
              <w:t>Interactive Learning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11/26/2019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56" w:name="xdx_980_eus-gaap--InvestmentOwnedBalance"/>
            <w:bookmarkEnd w:id="456"/>
          </w:p>
        </w:tc>
        <w:tc>
          <w:tcPr>
            <w:tcW w:w="1100" w:type="dxa"/>
            <w:tcBorders/>
            <w:shd w:fill="FFFFFF" w:val="clear"/>
            <w:tcMar>
              <w:bottom w:w="0" w:type="dxa"/>
            </w:tcMar>
            <w:vAlign w:val="center"/>
          </w:tcPr>
          <w:p>
            <w:pPr>
              <w:pStyle w:val="TableContents"/>
              <w:bidi w:val="0"/>
              <w:spacing w:before="0" w:after="283"/>
              <w:jc w:val="right"/>
              <w:rPr/>
            </w:pPr>
            <w:r>
              <w:rPr/>
              <w:t>329,337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257,267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470,135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0.13</w:t>
            </w:r>
          </w:p>
        </w:tc>
        <w:tc>
          <w:tcPr>
            <w:tcW w:w="277" w:type="dxa"/>
            <w:tcBorders/>
            <w:shd w:fill="FFFFFF" w:val="clear"/>
            <w:tcMar>
              <w:bottom w:w="0" w:type="dxa"/>
            </w:tcMar>
            <w:vAlign w:val="center"/>
          </w:tcPr>
          <w:p>
            <w:pPr>
              <w:pStyle w:val="TableContents"/>
              <w:bidi w:val="0"/>
              <w:spacing w:before="0" w:after="283"/>
              <w:jc w:val="left"/>
              <w:rPr/>
            </w:pPr>
            <w:r>
              <w:rPr/>
              <w:t>%</w:t>
            </w:r>
            <w:bookmarkStart w:id="457" w:name="xdx_415_20260630__srt--ConsolidatedEntit"/>
            <w:bookmarkEnd w:id="457"/>
          </w:p>
        </w:tc>
      </w:tr>
      <w:tr>
        <w:trPr/>
        <w:tc>
          <w:tcPr>
            <w:tcW w:w="2072" w:type="dxa"/>
            <w:tcBorders/>
            <w:shd w:fill="CCEEFF" w:val="clear"/>
            <w:tcMar>
              <w:bottom w:w="0" w:type="dxa"/>
            </w:tcMar>
            <w:vAlign w:val="center"/>
          </w:tcPr>
          <w:p>
            <w:pPr>
              <w:pStyle w:val="TableContents"/>
              <w:bidi w:val="0"/>
              <w:spacing w:before="0" w:after="283"/>
              <w:jc w:val="left"/>
              <w:rPr/>
            </w:pPr>
            <w:r>
              <w:rPr/>
              <w:t>Preferred Shares, Series C 8%</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458" w:name="xdx_F45_ztd4oJhfWB88"/>
            <w:bookmarkEnd w:id="458"/>
            <w:r>
              <w:rPr>
                <w:rFonts w:ascii="Times New Roman;Times;Serif" w:hAnsi="Times New Roman;Times;Serif"/>
                <w:sz w:val="20"/>
              </w:rPr>
              <w:t>(1)(16)</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Interactive Learning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1/7/2014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59" w:name="xdx_983_eus-gaap--InvestmentOwnedBalance"/>
            <w:bookmarkEnd w:id="459"/>
          </w:p>
        </w:tc>
        <w:tc>
          <w:tcPr>
            <w:tcW w:w="1100" w:type="dxa"/>
            <w:tcBorders/>
            <w:shd w:fill="CCEEFF" w:val="clear"/>
            <w:tcMar>
              <w:bottom w:w="0" w:type="dxa"/>
            </w:tcMar>
            <w:vAlign w:val="center"/>
          </w:tcPr>
          <w:p>
            <w:pPr>
              <w:pStyle w:val="TableContents"/>
              <w:bidi w:val="0"/>
              <w:spacing w:before="0" w:after="283"/>
              <w:jc w:val="right"/>
              <w:rPr/>
            </w:pPr>
            <w:r>
              <w:rPr/>
              <w:t>2,779,134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4,000,787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5,011,521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1.41</w:t>
            </w:r>
          </w:p>
        </w:tc>
        <w:tc>
          <w:tcPr>
            <w:tcW w:w="277" w:type="dxa"/>
            <w:tcBorders/>
            <w:shd w:fill="CCEEFF" w:val="clear"/>
            <w:tcMar>
              <w:bottom w:w="0" w:type="dxa"/>
            </w:tcMar>
            <w:vAlign w:val="center"/>
          </w:tcPr>
          <w:p>
            <w:pPr>
              <w:pStyle w:val="TableContents"/>
              <w:bidi w:val="0"/>
              <w:spacing w:before="0" w:after="283"/>
              <w:jc w:val="left"/>
              <w:rPr/>
            </w:pPr>
            <w:r>
              <w:rPr/>
              <w:t>%</w:t>
            </w:r>
            <w:bookmarkStart w:id="460" w:name="xdx_412_20260630__srt--ConsolidatedEntit"/>
            <w:bookmarkEnd w:id="460"/>
          </w:p>
        </w:tc>
      </w:tr>
      <w:tr>
        <w:trPr/>
        <w:tc>
          <w:tcPr>
            <w:tcW w:w="2072" w:type="dxa"/>
            <w:tcBorders/>
            <w:shd w:fill="FFFFFF" w:val="clear"/>
            <w:tcMar>
              <w:bottom w:w="0" w:type="dxa"/>
            </w:tcMar>
            <w:vAlign w:val="center"/>
          </w:tcPr>
          <w:p>
            <w:pPr>
              <w:pStyle w:val="TableContents"/>
              <w:bidi w:val="0"/>
              <w:spacing w:before="0" w:after="283"/>
              <w:jc w:val="left"/>
              <w:rPr/>
            </w:pPr>
            <w:r>
              <w:rPr/>
              <w:t>Preferred Shares, Series B 8%</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61" w:name="xdx_F4A_zv09zmj7ZPba"/>
            <w:bookmarkEnd w:id="461"/>
            <w:r>
              <w:rPr>
                <w:rFonts w:ascii="Times New Roman;Times;Serif" w:hAnsi="Times New Roman;Times;Serif"/>
                <w:sz w:val="20"/>
              </w:rPr>
              <w:t>(1)(16)</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Interactive Learning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12/16/2011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62" w:name="xdx_98A_eus-gaap--InvestmentOwnedBalance"/>
            <w:bookmarkEnd w:id="462"/>
          </w:p>
        </w:tc>
        <w:tc>
          <w:tcPr>
            <w:tcW w:w="1100" w:type="dxa"/>
            <w:tcBorders/>
            <w:shd w:fill="FFFFFF" w:val="clear"/>
            <w:tcMar>
              <w:bottom w:w="0" w:type="dxa"/>
            </w:tcMar>
            <w:vAlign w:val="center"/>
          </w:tcPr>
          <w:p>
            <w:pPr>
              <w:pStyle w:val="TableContents"/>
              <w:bidi w:val="0"/>
              <w:spacing w:before="0" w:after="283"/>
              <w:jc w:val="right"/>
              <w:rPr/>
            </w:pPr>
            <w:r>
              <w:rPr/>
              <w:t>3,279,629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2,019,687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2,864,058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0.80</w:t>
            </w:r>
          </w:p>
        </w:tc>
        <w:tc>
          <w:tcPr>
            <w:tcW w:w="277" w:type="dxa"/>
            <w:tcBorders/>
            <w:shd w:fill="FFFFFF" w:val="clear"/>
            <w:tcMar>
              <w:bottom w:w="0" w:type="dxa"/>
            </w:tcMar>
            <w:vAlign w:val="center"/>
          </w:tcPr>
          <w:p>
            <w:pPr>
              <w:pStyle w:val="TableContents"/>
              <w:bidi w:val="0"/>
              <w:spacing w:before="0" w:after="283"/>
              <w:jc w:val="left"/>
              <w:rPr/>
            </w:pPr>
            <w:r>
              <w:rPr/>
              <w:t>%</w:t>
            </w:r>
            <w:bookmarkStart w:id="463" w:name="xdx_41F_20260630__srt--ConsolidatedEntit"/>
            <w:bookmarkEnd w:id="463"/>
          </w:p>
        </w:tc>
      </w:tr>
      <w:tr>
        <w:trPr/>
        <w:tc>
          <w:tcPr>
            <w:tcW w:w="2072" w:type="dxa"/>
            <w:tcBorders/>
            <w:shd w:fill="CCEEFF" w:val="clear"/>
            <w:tcMar>
              <w:bottom w:w="0" w:type="dxa"/>
            </w:tcMar>
            <w:vAlign w:val="center"/>
          </w:tcPr>
          <w:p>
            <w:pPr>
              <w:pStyle w:val="TableContents"/>
              <w:bidi w:val="0"/>
              <w:spacing w:before="0" w:after="283"/>
              <w:jc w:val="left"/>
              <w:rPr/>
            </w:pPr>
            <w:r>
              <w:rPr/>
              <w:t>Preferred Shares, Series A 8%</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464" w:name="xdx_F43_z1xBdISJDrUb"/>
            <w:bookmarkEnd w:id="464"/>
            <w:r>
              <w:rPr>
                <w:rFonts w:ascii="Times New Roman;Times;Serif" w:hAnsi="Times New Roman;Times;Serif"/>
                <w:sz w:val="20"/>
              </w:rPr>
              <w:t>(1)(16)</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Interactive Learning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2/25/2014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65" w:name="xdx_980_eus-gaap--InvestmentOwnedBalance"/>
            <w:bookmarkEnd w:id="465"/>
          </w:p>
        </w:tc>
        <w:tc>
          <w:tcPr>
            <w:tcW w:w="1100" w:type="dxa"/>
            <w:tcBorders/>
            <w:shd w:fill="CCEEFF" w:val="clear"/>
            <w:tcMar>
              <w:bottom w:w="0" w:type="dxa"/>
            </w:tcMar>
            <w:vAlign w:val="center"/>
          </w:tcPr>
          <w:p>
            <w:pPr>
              <w:pStyle w:val="TableContents"/>
              <w:bidi w:val="0"/>
              <w:spacing w:before="0" w:after="283"/>
              <w:jc w:val="right"/>
              <w:rPr/>
            </w:pPr>
            <w:r>
              <w:rPr/>
              <w:t>366,666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124,253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4" w:type="dxa"/>
            <w:tcBorders>
              <w:bottom w:val="single" w:sz="8" w:space="0" w:color="000000"/>
            </w:tcBorders>
            <w:shd w:fill="CCEEFF" w:val="clear"/>
            <w:vAlign w:val="center"/>
          </w:tcPr>
          <w:p>
            <w:pPr>
              <w:pStyle w:val="TableContents"/>
              <w:bidi w:val="0"/>
              <w:spacing w:before="0" w:after="283"/>
              <w:jc w:val="right"/>
              <w:rPr/>
            </w:pPr>
            <w:r>
              <w:rPr/>
              <w:t>0.03</w:t>
            </w:r>
          </w:p>
        </w:tc>
        <w:tc>
          <w:tcPr>
            <w:tcW w:w="277" w:type="dxa"/>
            <w:tcBorders/>
            <w:shd w:fill="CCEEFF" w:val="clear"/>
            <w:tcMar>
              <w:bottom w:w="0" w:type="dxa"/>
            </w:tcMar>
            <w:vAlign w:val="center"/>
          </w:tcPr>
          <w:p>
            <w:pPr>
              <w:pStyle w:val="TableContents"/>
              <w:bidi w:val="0"/>
              <w:spacing w:before="0" w:after="283"/>
              <w:jc w:val="left"/>
              <w:rPr/>
            </w:pPr>
            <w:r>
              <w:rPr/>
              <w:t>%</w:t>
            </w:r>
            <w:bookmarkStart w:id="466" w:name="xdx_413_20260630__srt--ConsolidatedEntit"/>
            <w:bookmarkEnd w:id="466"/>
          </w:p>
        </w:tc>
      </w:tr>
      <w:tr>
        <w:trPr/>
        <w:tc>
          <w:tcPr>
            <w:tcW w:w="2072" w:type="dxa"/>
            <w:tcBorders/>
            <w:shd w:fill="FFFFFF" w:val="clear"/>
            <w:tcMar>
              <w:bottom w:w="0" w:type="dxa"/>
            </w:tcMar>
            <w:vAlign w:val="center"/>
          </w:tcPr>
          <w:p>
            <w:pPr>
              <w:pStyle w:val="TableContents"/>
              <w:bidi w:val="0"/>
              <w:spacing w:before="0" w:after="283"/>
              <w:jc w:val="left"/>
              <w:rPr/>
            </w:pPr>
            <w:r>
              <w:rPr/>
              <w:t>Total</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67" w:name="xdx_F42_zjWR5ANsrcCj"/>
            <w:bookmarkEnd w:id="467"/>
            <w:r>
              <w:rPr>
                <w:rFonts w:ascii="Times New Roman;Times;Serif" w:hAnsi="Times New Roman;Times;Serif"/>
                <w:sz w:val="20"/>
              </w:rPr>
              <w:t>(1)(16)</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6,387,741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8,469,967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4" w:type="dxa"/>
            <w:tcBorders>
              <w:bottom w:val="single" w:sz="8" w:space="0" w:color="000000"/>
            </w:tcBorders>
            <w:shd w:fill="FFFFFF" w:val="clear"/>
            <w:vAlign w:val="center"/>
          </w:tcPr>
          <w:p>
            <w:pPr>
              <w:pStyle w:val="TableContents"/>
              <w:bidi w:val="0"/>
              <w:spacing w:before="0" w:after="283"/>
              <w:jc w:val="right"/>
              <w:rPr/>
            </w:pPr>
            <w:r>
              <w:rPr/>
              <w:t>2.38</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207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Commercial Streaming Solutions Inc. (d/b/a BettorView)</w:t>
            </w:r>
            <w:r>
              <w:rPr>
                <w:rFonts w:ascii="Times New Roman;Times;Serif" w:hAnsi="Times New Roman;Times;Serif"/>
                <w:b/>
                <w:position w:val="7"/>
                <w:sz w:val="16"/>
                <w:sz w:val="20"/>
                <w:u w:val="single"/>
              </w:rPr>
              <w:t>(10)</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Las Vegas, NV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68" w:name="xdx_41A_20260630__srt--ConsolidatedEntit"/>
            <w:bookmarkEnd w:id="468"/>
          </w:p>
        </w:tc>
      </w:tr>
      <w:tr>
        <w:trPr/>
        <w:tc>
          <w:tcPr>
            <w:tcW w:w="2072" w:type="dxa"/>
            <w:tcBorders/>
            <w:shd w:fill="FFFFFF" w:val="clear"/>
            <w:tcMar>
              <w:bottom w:w="0" w:type="dxa"/>
            </w:tcMar>
            <w:vAlign w:val="center"/>
          </w:tcPr>
          <w:p>
            <w:pPr>
              <w:pStyle w:val="TableContents"/>
              <w:bidi w:val="0"/>
              <w:spacing w:before="0" w:after="283"/>
              <w:jc w:val="left"/>
              <w:rPr/>
            </w:pPr>
            <w:r>
              <w:rPr/>
              <w:t>Preferred Shares, Series A-1</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69" w:name="xdx_F4F_zRuFme3PnULh"/>
            <w:bookmarkEnd w:id="469"/>
            <w:r>
              <w:rPr>
                <w:rFonts w:ascii="Times New Roman;Times;Serif" w:hAnsi="Times New Roman;Times;Serif"/>
                <w:sz w:val="20"/>
              </w:rPr>
              <w:t>(1)(10)</w:t>
            </w:r>
          </w:p>
        </w:tc>
        <w:tc>
          <w:tcPr>
            <w:tcW w:w="1230" w:type="dxa"/>
            <w:tcBorders/>
            <w:shd w:fill="FFFFFF" w:val="clear"/>
            <w:tcMar>
              <w:bottom w:w="0" w:type="dxa"/>
            </w:tcMar>
            <w:vAlign w:val="center"/>
          </w:tcPr>
          <w:p>
            <w:pPr>
              <w:pStyle w:val="TableContents"/>
              <w:bidi w:val="0"/>
              <w:spacing w:before="0" w:after="283"/>
              <w:jc w:val="center"/>
              <w:rPr/>
            </w:pPr>
            <w:r>
              <w:rPr/>
              <w:t>Interactive Media &amp;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3/26/2021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70" w:name="xdx_984_eus-gaap--InvestmentOwnedBalance"/>
            <w:bookmarkEnd w:id="470"/>
          </w:p>
        </w:tc>
        <w:tc>
          <w:tcPr>
            <w:tcW w:w="1100" w:type="dxa"/>
            <w:tcBorders/>
            <w:shd w:fill="FFFFFF" w:val="clear"/>
            <w:tcMar>
              <w:bottom w:w="0" w:type="dxa"/>
            </w:tcMar>
            <w:vAlign w:val="center"/>
          </w:tcPr>
          <w:p>
            <w:pPr>
              <w:pStyle w:val="TableContents"/>
              <w:bidi w:val="0"/>
              <w:spacing w:before="0" w:after="283"/>
              <w:jc w:val="right"/>
              <w:rPr/>
            </w:pPr>
            <w:r>
              <w:rPr/>
              <w:t>10,548,522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1,004,240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2072" w:type="dxa"/>
            <w:tcBorders/>
            <w:shd w:fill="CCEEFF" w:val="clear"/>
            <w:tcMar>
              <w:bottom w:w="0" w:type="dxa"/>
            </w:tcMar>
            <w:vAlign w:val="center"/>
          </w:tcPr>
          <w:p>
            <w:pPr>
              <w:pStyle w:val="TableContents"/>
              <w:bidi w:val="0"/>
              <w:spacing w:before="0" w:after="283"/>
              <w:jc w:val="left"/>
              <w:rPr>
                <w:b/>
                <w:u w:val="single"/>
              </w:rPr>
            </w:pPr>
            <w:r>
              <w:rPr>
                <w:b/>
                <w:u w:val="single"/>
              </w:rPr>
              <w:t>Maven Research, Inc.</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San Francisco,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71" w:name="xdx_41F_20260630__srt--ConsolidatedEntit"/>
            <w:bookmarkEnd w:id="471"/>
          </w:p>
        </w:tc>
      </w:tr>
      <w:tr>
        <w:trPr/>
        <w:tc>
          <w:tcPr>
            <w:tcW w:w="2072" w:type="dxa"/>
            <w:tcBorders/>
            <w:shd w:fill="FFFFFF" w:val="clear"/>
            <w:tcMar>
              <w:bottom w:w="0" w:type="dxa"/>
            </w:tcMar>
            <w:vAlign w:val="center"/>
          </w:tcPr>
          <w:p>
            <w:pPr>
              <w:pStyle w:val="TableContents"/>
              <w:bidi w:val="0"/>
              <w:spacing w:before="0" w:after="283"/>
              <w:jc w:val="left"/>
              <w:rPr/>
            </w:pPr>
            <w:r>
              <w:rPr/>
              <w:t>Preferred Shares, Series C</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72" w:name="xdx_F49_zrYQoMwmNO4h"/>
            <w:bookmarkEnd w:id="472"/>
            <w:r>
              <w:rPr>
                <w:rFonts w:ascii="Times New Roman;Times;Serif" w:hAnsi="Times New Roman;Times;Serif"/>
                <w:sz w:val="20"/>
              </w:rPr>
              <w:t>(1)</w:t>
            </w:r>
          </w:p>
        </w:tc>
        <w:tc>
          <w:tcPr>
            <w:tcW w:w="1230" w:type="dxa"/>
            <w:tcBorders/>
            <w:shd w:fill="FFFFFF" w:val="clear"/>
            <w:tcMar>
              <w:bottom w:w="0" w:type="dxa"/>
            </w:tcMar>
            <w:vAlign w:val="center"/>
          </w:tcPr>
          <w:p>
            <w:pPr>
              <w:pStyle w:val="TableContents"/>
              <w:bidi w:val="0"/>
              <w:spacing w:before="0" w:after="283"/>
              <w:jc w:val="center"/>
              <w:rPr/>
            </w:pPr>
            <w:r>
              <w:rPr/>
              <w:t>Knowledge Networks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7/2/2012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73" w:name="xdx_985_eus-gaap--InvestmentOwnedBalance"/>
            <w:bookmarkEnd w:id="473"/>
          </w:p>
        </w:tc>
        <w:tc>
          <w:tcPr>
            <w:tcW w:w="1100" w:type="dxa"/>
            <w:tcBorders/>
            <w:shd w:fill="FFFFFF" w:val="clear"/>
            <w:tcMar>
              <w:bottom w:w="0" w:type="dxa"/>
            </w:tcMar>
            <w:vAlign w:val="center"/>
          </w:tcPr>
          <w:p>
            <w:pPr>
              <w:pStyle w:val="TableContents"/>
              <w:bidi w:val="0"/>
              <w:spacing w:before="0" w:after="283"/>
              <w:jc w:val="right"/>
              <w:rPr/>
            </w:pPr>
            <w:r>
              <w:rPr/>
              <w:t>318,979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2,000,447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bookmarkStart w:id="474" w:name="xdx_41E_20260630__srt--ConsolidatedEntit"/>
            <w:bookmarkEnd w:id="474"/>
          </w:p>
        </w:tc>
      </w:tr>
      <w:tr>
        <w:trPr/>
        <w:tc>
          <w:tcPr>
            <w:tcW w:w="2072" w:type="dxa"/>
            <w:tcBorders/>
            <w:shd w:fill="CCEEFF" w:val="clear"/>
            <w:tcMar>
              <w:bottom w:w="0" w:type="dxa"/>
            </w:tcMar>
            <w:vAlign w:val="center"/>
          </w:tcPr>
          <w:p>
            <w:pPr>
              <w:pStyle w:val="TableContents"/>
              <w:bidi w:val="0"/>
              <w:spacing w:before="0" w:after="283"/>
              <w:jc w:val="left"/>
              <w:rPr/>
            </w:pPr>
            <w:r>
              <w:rPr/>
              <w:t>Preferred Shares, Series B</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475" w:name="xdx_F40_zL2M0fwCl6Se"/>
            <w:bookmarkEnd w:id="475"/>
            <w:r>
              <w:rPr>
                <w:rFonts w:ascii="Times New Roman;Times;Serif" w:hAnsi="Times New Roman;Times;Serif"/>
                <w:sz w:val="20"/>
              </w:rPr>
              <w:t>(1)</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Knowledge Networks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2/28/2012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76" w:name="xdx_98B_eus-gaap--InvestmentOwnedBalance"/>
            <w:bookmarkEnd w:id="476"/>
          </w:p>
        </w:tc>
        <w:tc>
          <w:tcPr>
            <w:tcW w:w="1100" w:type="dxa"/>
            <w:tcBorders/>
            <w:shd w:fill="CCEEFF" w:val="clear"/>
            <w:tcMar>
              <w:bottom w:w="0" w:type="dxa"/>
            </w:tcMar>
            <w:vAlign w:val="center"/>
          </w:tcPr>
          <w:p>
            <w:pPr>
              <w:pStyle w:val="TableContents"/>
              <w:bidi w:val="0"/>
              <w:spacing w:before="0" w:after="283"/>
              <w:jc w:val="right"/>
              <w:rPr/>
            </w:pPr>
            <w:r>
              <w:rPr/>
              <w:t>49,505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217,206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4" w:type="dxa"/>
            <w:tcBorders>
              <w:bottom w:val="single" w:sz="8" w:space="0" w:color="000000"/>
            </w:tcBorders>
            <w:shd w:fill="CCEEFF" w:val="clear"/>
            <w:vAlign w:val="center"/>
          </w:tcPr>
          <w:p>
            <w:pPr>
              <w:pStyle w:val="TableContents"/>
              <w:bidi w:val="0"/>
              <w:spacing w:before="0" w:after="283"/>
              <w:jc w:val="right"/>
              <w:rPr/>
            </w:pPr>
            <w:r>
              <w:rPr/>
              <w:t>—</w:t>
            </w:r>
          </w:p>
        </w:tc>
        <w:tc>
          <w:tcPr>
            <w:tcW w:w="277" w:type="dxa"/>
            <w:tcBorders/>
            <w:shd w:fill="CCEEFF" w:val="clear"/>
            <w:tcMar>
              <w:bottom w:w="0" w:type="dxa"/>
            </w:tcMar>
            <w:vAlign w:val="center"/>
          </w:tcPr>
          <w:p>
            <w:pPr>
              <w:pStyle w:val="TableContents"/>
              <w:bidi w:val="0"/>
              <w:spacing w:before="0" w:after="283"/>
              <w:jc w:val="left"/>
              <w:rPr/>
            </w:pPr>
            <w:r>
              <w:rPr/>
              <w:t>%</w:t>
            </w:r>
            <w:bookmarkStart w:id="477" w:name="xdx_410_20260630__srt--ConsolidatedEntit"/>
            <w:bookmarkEnd w:id="477"/>
          </w:p>
        </w:tc>
      </w:tr>
      <w:tr>
        <w:trPr/>
        <w:tc>
          <w:tcPr>
            <w:tcW w:w="2072" w:type="dxa"/>
            <w:tcBorders/>
            <w:shd w:fill="FFFFFF" w:val="clear"/>
            <w:tcMar>
              <w:bottom w:w="0" w:type="dxa"/>
            </w:tcMar>
            <w:vAlign w:val="center"/>
          </w:tcPr>
          <w:p>
            <w:pPr>
              <w:pStyle w:val="TableContents"/>
              <w:bidi w:val="0"/>
              <w:spacing w:before="0" w:after="283"/>
              <w:jc w:val="left"/>
              <w:rPr/>
            </w:pPr>
            <w:r>
              <w:rPr/>
              <w:t>Total</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78" w:name="xdx_F40_zzHbednkhBub"/>
            <w:bookmarkEnd w:id="478"/>
            <w:r>
              <w:rPr>
                <w:rFonts w:ascii="Times New Roman;Times;Serif" w:hAnsi="Times New Roman;Times;Serif"/>
                <w:sz w:val="20"/>
              </w:rPr>
              <w:t>(1)</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2,217,653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4" w:type="dxa"/>
            <w:tcBorders>
              <w:bottom w:val="single" w:sz="8" w:space="0" w:color="000000"/>
            </w:tcBorders>
            <w:shd w:fill="FFFFFF" w:val="cle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2072" w:type="dxa"/>
            <w:tcBorders/>
            <w:shd w:fill="CCEEFF" w:val="clear"/>
            <w:tcMar>
              <w:bottom w:w="0" w:type="dxa"/>
            </w:tcMar>
            <w:vAlign w:val="center"/>
          </w:tcPr>
          <w:p>
            <w:pPr>
              <w:pStyle w:val="TableContents"/>
              <w:bidi w:val="0"/>
              <w:spacing w:before="0" w:after="283"/>
              <w:jc w:val="left"/>
              <w:rPr>
                <w:b/>
                <w:u w:val="single"/>
              </w:rPr>
            </w:pPr>
            <w:r>
              <w:rPr>
                <w:b/>
                <w:u w:val="single"/>
              </w:rPr>
              <w:t>Curious.com, Inc.</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Menlo Park,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79" w:name="xdx_41F_20260630__srt--ConsolidatedEntit"/>
            <w:bookmarkEnd w:id="479"/>
          </w:p>
        </w:tc>
      </w:tr>
      <w:tr>
        <w:trPr/>
        <w:tc>
          <w:tcPr>
            <w:tcW w:w="2072" w:type="dxa"/>
            <w:tcBorders/>
            <w:shd w:fill="FFFFFF" w:val="clear"/>
            <w:tcMar>
              <w:bottom w:w="0" w:type="dxa"/>
            </w:tcMar>
            <w:vAlign w:val="center"/>
          </w:tcPr>
          <w:p>
            <w:pPr>
              <w:pStyle w:val="TableContents"/>
              <w:bidi w:val="0"/>
              <w:spacing w:before="0" w:after="283"/>
              <w:jc w:val="left"/>
              <w:rPr/>
            </w:pPr>
            <w:r>
              <w:rPr/>
              <w:t>Common Shares</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480" w:name="xdx_F47_zOhcznADf1ng"/>
            <w:bookmarkEnd w:id="480"/>
            <w:r>
              <w:rPr>
                <w:rFonts w:ascii="Times New Roman;Times;Serif" w:hAnsi="Times New Roman;Times;Serif"/>
                <w:sz w:val="20"/>
              </w:rPr>
              <w:t>(1)</w:t>
            </w:r>
          </w:p>
        </w:tc>
        <w:tc>
          <w:tcPr>
            <w:tcW w:w="1230" w:type="dxa"/>
            <w:tcBorders/>
            <w:shd w:fill="FFFFFF" w:val="clear"/>
            <w:tcMar>
              <w:bottom w:w="0" w:type="dxa"/>
            </w:tcMar>
            <w:vAlign w:val="center"/>
          </w:tcPr>
          <w:p>
            <w:pPr>
              <w:pStyle w:val="TableContents"/>
              <w:bidi w:val="0"/>
              <w:spacing w:before="0" w:after="283"/>
              <w:jc w:val="center"/>
              <w:rPr/>
            </w:pPr>
            <w:r>
              <w:rPr/>
              <w:t>Online Education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11/22/2013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81" w:name="xdx_98E_eus-gaap--InvestmentOwnedBalance"/>
            <w:bookmarkEnd w:id="481"/>
          </w:p>
        </w:tc>
        <w:tc>
          <w:tcPr>
            <w:tcW w:w="1100" w:type="dxa"/>
            <w:tcBorders/>
            <w:shd w:fill="FFFFFF" w:val="clear"/>
            <w:tcMar>
              <w:bottom w:w="0" w:type="dxa"/>
            </w:tcMar>
            <w:vAlign w:val="center"/>
          </w:tcPr>
          <w:p>
            <w:pPr>
              <w:pStyle w:val="TableContents"/>
              <w:bidi w:val="0"/>
              <w:spacing w:before="0" w:after="283"/>
              <w:jc w:val="right"/>
              <w:rPr/>
            </w:pPr>
            <w:r>
              <w:rPr/>
              <w:t>1,135,944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12,000,006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4"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2072"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r>
      <w:tr>
        <w:trPr/>
        <w:tc>
          <w:tcPr>
            <w:tcW w:w="2072" w:type="dxa"/>
            <w:tcBorders/>
            <w:shd w:fill="FFFFFF" w:val="clear"/>
            <w:tcMar>
              <w:bottom w:w="0" w:type="dxa"/>
            </w:tcMar>
            <w:vAlign w:val="center"/>
          </w:tcPr>
          <w:p>
            <w:pPr>
              <w:pStyle w:val="TableContents"/>
              <w:bidi w:val="0"/>
              <w:spacing w:before="0" w:after="283"/>
              <w:jc w:val="left"/>
              <w:rPr>
                <w:b/>
              </w:rPr>
            </w:pPr>
            <w:r>
              <w:rPr>
                <w:b/>
              </w:rPr>
              <w:t>Total Non-Controlled/Affiliate</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482" w:name="xdx_98A_eus-gaap--InvestmentOwnedAtCost_"/>
            <w:bookmarkEnd w:id="482"/>
          </w:p>
        </w:tc>
        <w:tc>
          <w:tcPr>
            <w:tcW w:w="1220" w:type="dxa"/>
            <w:tcBorders/>
            <w:shd w:fill="FFFFFF" w:val="clear"/>
            <w:tcMar>
              <w:bottom w:w="0" w:type="dxa"/>
            </w:tcMar>
            <w:vAlign w:val="center"/>
          </w:tcPr>
          <w:p>
            <w:pPr>
              <w:pStyle w:val="TableContents"/>
              <w:bidi w:val="0"/>
              <w:spacing w:before="0" w:after="283"/>
              <w:jc w:val="right"/>
              <w:rPr>
                <w:b/>
              </w:rPr>
            </w:pPr>
            <w:r>
              <w:rPr>
                <w:b/>
              </w:rPr>
              <w:t>21,609,640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483" w:name="xdx_985_eus-gaap--InvestmentOwnedAtFairV"/>
            <w:bookmarkEnd w:id="483"/>
          </w:p>
        </w:tc>
        <w:tc>
          <w:tcPr>
            <w:tcW w:w="1220" w:type="dxa"/>
            <w:tcBorders/>
            <w:shd w:fill="FFFFFF" w:val="clear"/>
            <w:tcMar>
              <w:bottom w:w="0" w:type="dxa"/>
            </w:tcMar>
            <w:vAlign w:val="center"/>
          </w:tcPr>
          <w:p>
            <w:pPr>
              <w:pStyle w:val="TableContents"/>
              <w:bidi w:val="0"/>
              <w:spacing w:before="0" w:after="283"/>
              <w:jc w:val="right"/>
              <w:rPr>
                <w:b/>
              </w:rPr>
            </w:pPr>
            <w:r>
              <w:rPr>
                <w:b/>
              </w:rPr>
              <w:t>8,469,967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484" w:name="xdx_989_eus-gaap--InvestmentOwnedPercent"/>
            <w:bookmarkEnd w:id="484"/>
          </w:p>
        </w:tc>
        <w:tc>
          <w:tcPr>
            <w:tcW w:w="684" w:type="dxa"/>
            <w:tcBorders/>
            <w:shd w:fill="FFFFFF" w:val="clear"/>
            <w:tcMar>
              <w:bottom w:w="0" w:type="dxa"/>
            </w:tcMar>
            <w:vAlign w:val="center"/>
          </w:tcPr>
          <w:p>
            <w:pPr>
              <w:pStyle w:val="TableContents"/>
              <w:bidi w:val="0"/>
              <w:spacing w:before="0" w:after="283"/>
              <w:jc w:val="right"/>
              <w:rPr>
                <w:b/>
              </w:rPr>
            </w:pPr>
            <w:r>
              <w:rPr>
                <w:b/>
              </w:rPr>
              <w:t>2.38</w:t>
            </w:r>
          </w:p>
        </w:tc>
        <w:tc>
          <w:tcPr>
            <w:tcW w:w="277" w:type="dxa"/>
            <w:tcBorders/>
            <w:shd w:fill="FFFFFF" w:val="clear"/>
            <w:tcMar>
              <w:bottom w:w="0" w:type="dxa"/>
            </w:tcMar>
            <w:vAlign w:val="center"/>
          </w:tcPr>
          <w:p>
            <w:pPr>
              <w:pStyle w:val="TableContents"/>
              <w:bidi w:val="0"/>
              <w:spacing w:before="0" w:after="283"/>
              <w:jc w:val="left"/>
              <w:rPr>
                <w:b/>
              </w:rPr>
            </w:pPr>
            <w:r>
              <w:rPr>
                <w:b/>
              </w:rPr>
              <w:t>%</w:t>
            </w:r>
          </w:p>
        </w:tc>
      </w:tr>
      <w:tr>
        <w:trPr/>
        <w:tc>
          <w:tcPr>
            <w:tcW w:w="2072"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485" w:name="xdx_416_20260630__srt--ConsolidatedEntit"/>
            <w:bookmarkEnd w:id="485"/>
          </w:p>
        </w:tc>
      </w:tr>
      <w:tr>
        <w:trPr/>
        <w:tc>
          <w:tcPr>
            <w:tcW w:w="2072" w:type="dxa"/>
            <w:tcBorders/>
            <w:shd w:fill="FFFFFF" w:val="clear"/>
            <w:tcMar>
              <w:bottom w:w="0" w:type="dxa"/>
            </w:tcMar>
            <w:vAlign w:val="center"/>
          </w:tcPr>
          <w:p>
            <w:pPr>
              <w:pStyle w:val="TableContents"/>
              <w:bidi w:val="0"/>
              <w:spacing w:before="0" w:after="283"/>
              <w:jc w:val="left"/>
              <w:rPr>
                <w:b/>
              </w:rPr>
            </w:pPr>
            <w:r>
              <w:rPr>
                <w:b/>
              </w:rPr>
              <w:t>Total Portfolio Investments</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vAlign w:val="center"/>
          </w:tcPr>
          <w:p>
            <w:pPr>
              <w:pStyle w:val="TableContents"/>
              <w:bidi w:val="0"/>
              <w:spacing w:before="0" w:after="283"/>
              <w:jc w:val="right"/>
              <w:rPr>
                <w:b/>
              </w:rPr>
            </w:pPr>
            <w:r>
              <w:rPr>
                <w:b/>
              </w:rPr>
              <w:t>262,840,450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vAlign w:val="center"/>
          </w:tcPr>
          <w:p>
            <w:pPr>
              <w:pStyle w:val="TableContents"/>
              <w:bidi w:val="0"/>
              <w:spacing w:before="0" w:after="283"/>
              <w:jc w:val="right"/>
              <w:rPr>
                <w:b/>
              </w:rPr>
            </w:pPr>
            <w:r>
              <w:rPr>
                <w:b/>
              </w:rPr>
              <w:t>405,851,701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84" w:type="dxa"/>
            <w:tcBorders>
              <w:bottom w:val="double" w:sz="6" w:space="0" w:color="000000"/>
            </w:tcBorders>
            <w:shd w:fill="FFFFFF" w:val="clear"/>
            <w:vAlign w:val="center"/>
          </w:tcPr>
          <w:p>
            <w:pPr>
              <w:pStyle w:val="TableContents"/>
              <w:bidi w:val="0"/>
              <w:spacing w:before="0" w:after="283"/>
              <w:jc w:val="right"/>
              <w:rPr>
                <w:b/>
              </w:rPr>
            </w:pPr>
            <w:r>
              <w:rPr>
                <w:b/>
              </w:rPr>
              <w:t>114.05</w:t>
            </w:r>
          </w:p>
        </w:tc>
        <w:tc>
          <w:tcPr>
            <w:tcW w:w="277"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(UNAUDITED) -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86" w:name="xdx_F0B_zJ6JrY4orydc"/>
            <w:bookmarkEnd w:id="486"/>
            <w:r>
              <w:rPr>
                <w:rFonts w:ascii="Times New Roman;Times;Serif" w:hAnsi="Times New Roman;Times;Serif"/>
                <w:b w:val="false"/>
                <w:i w:val="false"/>
                <w:caps w:val="false"/>
                <w:smallCaps w:val="false"/>
                <w:sz w:val="20"/>
              </w:rPr>
              <w:t>*</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7" w:name="xdx_F1B_zjEZxOZROGDh"/>
            <w:bookmarkEnd w:id="487"/>
            <w:r>
              <w:rPr>
                <w:rFonts w:ascii="Times New Roman;Times;Serif" w:hAnsi="Times New Roman;Times;Serif"/>
                <w:b w:val="false"/>
                <w:i w:val="false"/>
                <w:caps w:val="false"/>
                <w:smallCaps w:val="false"/>
                <w:sz w:val="20"/>
              </w:rPr>
              <w:t>All portfolio investments are non-control/non-affiliated and non-income-producing, unless otherwise identified. As of June 30, 2026, all of the Company’s investments were non-controlled. Equity investments may be subject to lock-up restrictions upon their initial public offering (“IPO”). Preferred dividends are generally only payable when declared and paid by the portfolio company’s board of directors. Neostellar Capital Corp.’s (the “Company’s”, or “Neostellar Capital’s”)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w:t>
            </w:r>
          </w:p>
        </w:tc>
      </w:tr>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88" w:name="xdx_F06_zZH3UDsF8eV2"/>
            <w:bookmarkEnd w:id="488"/>
            <w:r>
              <w:rPr>
                <w:rFonts w:ascii="Times New Roman;Times;Serif" w:hAnsi="Times New Roman;Times;Serif"/>
                <w:b w:val="false"/>
                <w:i w:val="false"/>
                <w:caps w:val="false"/>
                <w:smallCaps w:val="false"/>
                <w:sz w:val="20"/>
              </w:rPr>
              <w:t>**</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9" w:name="xdx_F15_z5q1UG0FNA0b"/>
            <w:bookmarkEnd w:id="489"/>
            <w:r>
              <w:rPr>
                <w:rFonts w:ascii="Times New Roman;Times;Serif" w:hAnsi="Times New Roman;Times;Serif"/>
                <w:b w:val="false"/>
                <w:i w:val="false"/>
                <w:caps w:val="false"/>
                <w:smallCaps w:val="false"/>
                <w:sz w:val="20"/>
              </w:rPr>
              <w:t xml:space="preserve">Indicates assets that Neostellar Capital Corp. believes do not represent “qualifying assets” under Section 55(a) of the Investment Company Act of 1940, as amended (the “1940 Act”). Of the Company’s total investments as of June 30, 2026, </w:t>
            </w:r>
            <w:bookmarkStart w:id="490" w:name="xdx_90D_eus-gaap--InvestmentOwnedPercent"/>
            <w:bookmarkEnd w:id="490"/>
            <w:r>
              <w:rPr>
                <w:rFonts w:ascii="Times New Roman;Times;Serif" w:hAnsi="Times New Roman;Times;Serif"/>
                <w:b w:val="false"/>
                <w:i w:val="false"/>
                <w:caps w:val="false"/>
                <w:smallCaps w:val="false"/>
                <w:sz w:val="20"/>
              </w:rPr>
              <w:t>32.73% of its total investments are non-qualifying assets, excluding cash and short-term US treasuries.</w:t>
            </w:r>
          </w:p>
        </w:tc>
      </w:tr>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91" w:name="xdx_F00_zGBpKWQcfAla"/>
            <w:bookmarkEnd w:id="491"/>
            <w:r>
              <w:rPr>
                <w:rFonts w:ascii="Times New Roman;Times;Serif" w:hAnsi="Times New Roman;Times;Serif"/>
                <w:b w:val="false"/>
                <w:i w:val="false"/>
                <w:caps w:val="false"/>
                <w:smallCaps w:val="false"/>
                <w:sz w:val="20"/>
              </w:rPr>
              <w:t>***</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92" w:name="xdx_F19_zw0s07kZF9s7"/>
            <w:bookmarkEnd w:id="492"/>
            <w:r>
              <w:rPr>
                <w:rFonts w:ascii="Times New Roman;Times;Serif" w:hAnsi="Times New Roman;Times;Serif"/>
                <w:b w:val="false"/>
                <w:i w:val="false"/>
                <w:caps w:val="false"/>
                <w:smallCaps w:val="false"/>
                <w:sz w:val="20"/>
              </w:rPr>
              <w:t>Investment is income-producing.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93" w:name="xdx_F09_zFC6jNFphSpe"/>
            <w:bookmarkEnd w:id="493"/>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caps w:val="false"/>
                <w:smallCaps w:val="false"/>
              </w:rPr>
            </w:pPr>
            <w:bookmarkStart w:id="494" w:name="xdx_F1D_zSNYKjuv6eak"/>
            <w:bookmarkEnd w:id="494"/>
            <w:r>
              <w:rPr>
                <w:caps w:val="false"/>
                <w:smallCaps w:val="false"/>
              </w:rPr>
              <w:t>“</w:t>
            </w:r>
            <w:r>
              <w:rPr>
                <w:rFonts w:ascii="Times New Roman;Times;Serif" w:hAnsi="Times New Roman;Times;Serif"/>
                <w:b w:val="false"/>
                <w:i w:val="false"/>
                <w:caps w:val="false"/>
                <w:smallCaps w:val="false"/>
                <w:sz w:val="20"/>
              </w:rPr>
              <w:t>Affiliate Investments” are investments in those companies that are “Affiliated Companies” of Neostellar Capital, as defined in the 1940 Act. In general, a company is deemed to be an “Affiliate” of Neostellar Capital if Neostellar Capital beneficially owns, directly or indirectly, between 5% and 25% of the voting securities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securities with the right to elect directors) of such company. For the Schedule of Investments In, and Advances To, Affiliates, as required by SEC Regulation S-X, Rule 12-14, refer to “Note 4—Investments at Fair Value”.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95" w:name="xdx_F02_zviNMwcEZFf1"/>
            <w:bookmarkEnd w:id="495"/>
            <w:r>
              <w:rPr>
                <w:rFonts w:ascii="Times New Roman;Times;Serif" w:hAnsi="Times New Roman;Times;Serif"/>
                <w:b w:val="false"/>
                <w:i w:val="false"/>
                <w:caps w:val="false"/>
                <w:smallCaps w:val="false"/>
                <w:sz w:val="20"/>
              </w:rPr>
              <w:t>(2)</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96" w:name="xdx_F16_zXpQ8dWhpb92"/>
            <w:bookmarkEnd w:id="496"/>
            <w:r>
              <w:rPr>
                <w:rFonts w:ascii="Times New Roman;Times;Serif" w:hAnsi="Times New Roman;Times;Serif"/>
                <w:b w:val="false"/>
                <w:i w:val="false"/>
                <w:caps w:val="false"/>
                <w:smallCaps w:val="false"/>
                <w:sz w:val="20"/>
              </w:rPr>
              <w:t>Represents the respective number of shares, principal amount, initial or remaining fund investment, or membership interest as of June 30, 2026. For fund investments, the initial committed amount may be reduced by distributions classified as Return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60"/>
        <w:gridCol w:w="66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97" w:name="xdx_F0E_zpsGyBm0jIEb"/>
            <w:bookmarkEnd w:id="497"/>
            <w:r>
              <w:rPr>
                <w:rFonts w:ascii="Times New Roman;Times;Serif" w:hAnsi="Times New Roman;Times;Serif"/>
                <w:b w:val="false"/>
                <w:i w:val="false"/>
                <w:caps w:val="false"/>
                <w:smallCaps w:val="false"/>
                <w:sz w:val="20"/>
              </w:rPr>
              <w:t>(3)</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98" w:name="xdx_F16_zIyrv7IOvEn1"/>
            <w:bookmarkEnd w:id="498"/>
            <w:r>
              <w:rPr>
                <w:rFonts w:ascii="Times New Roman;Times;Serif" w:hAnsi="Times New Roman;Times;Serif"/>
                <w:b w:val="false"/>
                <w:i w:val="false"/>
                <w:caps w:val="false"/>
                <w:smallCaps w:val="false"/>
                <w:sz w:val="20"/>
              </w:rPr>
              <w:t>As of June 30, 2026, the investments noted had been placed on non-accrual status.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99" w:name="xdx_F02_zW4ne7p7WeEj"/>
            <w:bookmarkEnd w:id="499"/>
            <w:r>
              <w:rPr>
                <w:rFonts w:ascii="Times New Roman;Times;Serif" w:hAnsi="Times New Roman;Times;Serif"/>
                <w:b w:val="false"/>
                <w:i w:val="false"/>
                <w:caps w:val="false"/>
                <w:smallCaps w:val="false"/>
                <w:sz w:val="20"/>
              </w:rPr>
              <w:t>(4)</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0" w:name="xdx_F14_zByWoMWtem28"/>
            <w:bookmarkEnd w:id="500"/>
            <w:r>
              <w:rPr>
                <w:rFonts w:ascii="Times New Roman;Times;Serif" w:hAnsi="Times New Roman;Times;Serif"/>
                <w:b w:val="false"/>
                <w:i w:val="false"/>
                <w:caps w:val="false"/>
                <w:smallCaps w:val="false"/>
                <w:sz w:val="20"/>
              </w:rPr>
              <w:t>Denotes an investment considered Level 1 or Level 2 and valued using observable inputs. Refer to “Note 4—Investments at Fair Value”.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01" w:name="xdx_F00_zIOKla2HS2Jb"/>
            <w:bookmarkEnd w:id="501"/>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2" w:name="xdx_F1E_zmFYiDoCXZyj"/>
            <w:bookmarkEnd w:id="502"/>
            <w:r>
              <w:rPr>
                <w:rFonts w:ascii="Times New Roman;Times;Serif" w:hAnsi="Times New Roman;Times;Serif"/>
                <w:b w:val="false"/>
                <w:i w:val="false"/>
                <w:caps w:val="false"/>
                <w:smallCaps w:val="false"/>
                <w:sz w:val="20"/>
              </w:rPr>
              <w:t xml:space="preserve">ARK Type One Deep Ventures Fund LLC is an investment fund for which the Class A Interest is solely invested in the Series A-2 Preferred Shares of OpenAI Global, LLC. Neostellar Capital Corp. is invested in the Series A-2 Preferred Shares of OpenAI Global, LLC through its investment in the Class A Interest of ARK Type One Deep Ventures Fund LLC. ARK Type One Deep Ventures Fund LLC charges a </w:t>
            </w:r>
            <w:bookmarkStart w:id="503" w:name="xdx_906_ecustom--ManagementFeePercentage"/>
            <w:bookmarkEnd w:id="503"/>
            <w:r>
              <w:rPr>
                <w:rFonts w:ascii="Times New Roman;Times;Serif" w:hAnsi="Times New Roman;Times;Serif"/>
                <w:b w:val="false"/>
                <w:i w:val="false"/>
                <w:caps w:val="false"/>
                <w:smallCaps w:val="false"/>
                <w:sz w:val="20"/>
              </w:rPr>
              <w:t>1% management fee per year, and an incentive fee of 10%, not subject to a hurdle rate. The management fees will adjust the cost of Neostellar Capital’s investment in the fund.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04" w:name="xdx_F0D_zKi0YZZYPhT"/>
            <w:bookmarkEnd w:id="504"/>
            <w:r>
              <w:rPr>
                <w:rFonts w:ascii="Times New Roman;Times;Serif" w:hAnsi="Times New Roman;Times;Serif"/>
                <w:b w:val="false"/>
                <w:i w:val="false"/>
                <w:caps w:val="false"/>
                <w:smallCaps w:val="false"/>
                <w:sz w:val="20"/>
              </w:rPr>
              <w:t>(6)</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5" w:name="xdx_F14_zm66R2GyAFv"/>
            <w:bookmarkEnd w:id="505"/>
            <w:r>
              <w:rPr>
                <w:rFonts w:ascii="Times New Roman;Times;Serif" w:hAnsi="Times New Roman;Times;Serif"/>
                <w:b w:val="false"/>
                <w:i w:val="false"/>
                <w:caps w:val="false"/>
                <w:smallCaps w:val="false"/>
                <w:sz w:val="20"/>
              </w:rPr>
              <w:t>IH10, LLC’s sole portfolio asset is interest in the Series B Preferred Shares of VAST Data, Ltd. through a special purpose vehicle (“SPV”). Neostellar Capital is invested in the Series B Preferred Shares of VAST Data, Ltd. through its investment in the Membership Interest of IH10, LLC. IH10, LLC does not charge a management fee or an incentive fee; however, Neostellar Capital has prepaid operating expenses.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06" w:name="xdx_F03_zYL4JNzwadN1"/>
            <w:bookmarkEnd w:id="506"/>
            <w:r>
              <w:rPr>
                <w:rFonts w:ascii="Times New Roman;Times;Serif" w:hAnsi="Times New Roman;Times;Serif"/>
                <w:b w:val="false"/>
                <w:i w:val="false"/>
                <w:caps w:val="false"/>
                <w:smallCaps w:val="false"/>
                <w:sz w:val="20"/>
              </w:rPr>
              <w:t>(7)</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7" w:name="xdx_F1C_zUWpvZXl8Ki2"/>
            <w:bookmarkEnd w:id="507"/>
            <w:r>
              <w:rPr>
                <w:rFonts w:ascii="Times New Roman;Times;Serif" w:hAnsi="Times New Roman;Times;Serif"/>
                <w:b w:val="false"/>
                <w:i w:val="false"/>
                <w:caps w:val="false"/>
                <w:smallCaps w:val="false"/>
                <w:sz w:val="20"/>
              </w:rPr>
              <w:t xml:space="preserve">Magnetar Opportunity 2025-4 LP is an SPV for which the Class A Interest and Class B Interest are invested in the Class B Preferred Shares of TensorWave Inc. Magnetar Opportunity 2025-4 LP does not charge a management fee but does charge an incentive fee of </w:t>
            </w:r>
            <w:bookmarkStart w:id="508" w:name="xdx_902_ecustom--IncentiveFeePercentage_"/>
            <w:bookmarkEnd w:id="508"/>
            <w:r>
              <w:rPr>
                <w:rFonts w:ascii="Times New Roman;Times;Serif" w:hAnsi="Times New Roman;Times;Serif"/>
                <w:b w:val="false"/>
                <w:i w:val="false"/>
                <w:caps w:val="false"/>
                <w:smallCaps w:val="false"/>
                <w:sz w:val="20"/>
              </w:rPr>
              <w:t xml:space="preserve">20%, subject to an annual </w:t>
            </w:r>
            <w:bookmarkStart w:id="509" w:name="xdx_901_ecustom--HurdleRatePercentage_pi"/>
            <w:bookmarkEnd w:id="509"/>
            <w:r>
              <w:rPr>
                <w:rFonts w:ascii="Times New Roman;Times;Serif" w:hAnsi="Times New Roman;Times;Serif"/>
                <w:b w:val="false"/>
                <w:i w:val="false"/>
                <w:caps w:val="false"/>
                <w:smallCaps w:val="false"/>
                <w:sz w:val="20"/>
              </w:rPr>
              <w:t>15% IRR hurdle rate.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10" w:name="xdx_F0A_zbTwVcXqMim3"/>
            <w:bookmarkEnd w:id="510"/>
            <w:r>
              <w:rPr>
                <w:rFonts w:ascii="Times New Roman;Times;Serif" w:hAnsi="Times New Roman;Times;Serif"/>
                <w:b w:val="false"/>
                <w:i w:val="false"/>
                <w:caps w:val="false"/>
                <w:smallCaps w:val="false"/>
                <w:sz w:val="20"/>
              </w:rPr>
              <w:t>(8)</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11" w:name="xdx_F10_zWyaUcZS9oH"/>
            <w:bookmarkEnd w:id="511"/>
            <w:r>
              <w:rPr>
                <w:rFonts w:ascii="Times New Roman;Times;Serif" w:hAnsi="Times New Roman;Times;Serif"/>
                <w:b w:val="false"/>
                <w:i w:val="false"/>
                <w:caps w:val="false"/>
                <w:smallCaps w:val="false"/>
                <w:sz w:val="20"/>
              </w:rPr>
              <w:t xml:space="preserve">CW Opportunity 2 LP is an SPV for which the Class A Interest is solely invested in the Class A Common Shares of CoreWeave, Inc. Neostellar Capital is invested in the Class A Common Shares of CoreWeave, Inc. through its investment in the Class A Interest of CW Opportunity 2 LP. CW Opportunity 2 LP does not charge a management fee but does charge an incentive fee of </w:t>
            </w:r>
            <w:bookmarkStart w:id="512" w:name="xdx_905_ecustom--IncentiveFeePercentage_"/>
            <w:bookmarkEnd w:id="512"/>
            <w:r>
              <w:rPr>
                <w:rFonts w:ascii="Times New Roman;Times;Serif" w:hAnsi="Times New Roman;Times;Serif"/>
                <w:b w:val="false"/>
                <w:i w:val="false"/>
                <w:caps w:val="false"/>
                <w:smallCaps w:val="false"/>
                <w:sz w:val="20"/>
              </w:rPr>
              <w:t xml:space="preserve">20%, subject to an annual </w:t>
            </w:r>
            <w:bookmarkStart w:id="513" w:name="xdx_904_ecustom--HurdleRatePercentage_pi"/>
            <w:bookmarkEnd w:id="513"/>
            <w:r>
              <w:rPr>
                <w:rFonts w:ascii="Times New Roman;Times;Serif" w:hAnsi="Times New Roman;Times;Serif"/>
                <w:b w:val="false"/>
                <w:i w:val="false"/>
                <w:caps w:val="false"/>
                <w:smallCaps w:val="false"/>
                <w:sz w:val="20"/>
              </w:rPr>
              <w:t xml:space="preserve">15% IRR hurdle rate. During the quarter ended June 30, 2026, Neostellar Capital received distributions as part of its investment in CW Opportunity 2 LP. The distributions represented approximately </w:t>
            </w:r>
            <w:bookmarkStart w:id="514" w:name="xdx_908_ecustom--RetainsInvestmentPercen"/>
            <w:bookmarkEnd w:id="514"/>
            <w:r>
              <w:rPr>
                <w:rFonts w:ascii="Times New Roman;Times;Serif" w:hAnsi="Times New Roman;Times;Serif"/>
                <w:b w:val="false"/>
                <w:i w:val="false"/>
                <w:caps w:val="false"/>
                <w:smallCaps w:val="false"/>
                <w:sz w:val="20"/>
              </w:rPr>
              <w:t xml:space="preserve">12.2% of the initial investment in CW Opportunity 2 LP. As of June 30, 2026, Neostellar Capital retains approximately </w:t>
            </w:r>
            <w:bookmarkStart w:id="515" w:name="xdx_90A_ecustom--RetainsInvestmentPercen"/>
            <w:bookmarkEnd w:id="515"/>
            <w:r>
              <w:rPr>
                <w:rFonts w:ascii="Times New Roman;Times;Serif" w:hAnsi="Times New Roman;Times;Serif"/>
                <w:b w:val="false"/>
                <w:i w:val="false"/>
                <w:caps w:val="false"/>
                <w:smallCaps w:val="false"/>
                <w:sz w:val="20"/>
              </w:rPr>
              <w:t>55.9% of its investment in CW Opportunity 2 LP.</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(UNAUDITED) -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bookmarkStart w:id="516" w:name="xdx_F06_zqni15PKMLVk"/>
            <w:bookmarkEnd w:id="516"/>
            <w:r>
              <w:rPr>
                <w:rFonts w:ascii="Times New Roman;Times;Serif" w:hAnsi="Times New Roman;Times;Serif"/>
                <w:sz w:val="20"/>
              </w:rPr>
              <w:t>(9)</w:t>
            </w:r>
          </w:p>
        </w:tc>
        <w:tc>
          <w:tcPr>
            <w:tcW w:w="9883" w:type="dxa"/>
            <w:tcBorders/>
            <w:vAlign w:val="center"/>
          </w:tcPr>
          <w:p>
            <w:pPr>
              <w:pStyle w:val="TableContents"/>
              <w:bidi w:val="0"/>
              <w:spacing w:before="0" w:after="283"/>
              <w:jc w:val="both"/>
              <w:rPr>
                <w:rFonts w:ascii="Times New Roman;Times;Serif" w:hAnsi="Times New Roman;Times;Serif"/>
                <w:sz w:val="20"/>
              </w:rPr>
            </w:pPr>
            <w:bookmarkStart w:id="517" w:name="xdx_F17_zFmjgz2vDzQc"/>
            <w:bookmarkEnd w:id="517"/>
            <w:r>
              <w:rPr>
                <w:rFonts w:ascii="Times New Roman;Times;Serif" w:hAnsi="Times New Roman;Times;Serif"/>
                <w:sz w:val="20"/>
              </w:rPr>
              <w:t xml:space="preserve">Neostellar Capital’s investment in the Class A Common Shares of Plaid Inc. was made through 1789 Capital Nirvana II LP, an SPV in which Neostellar Capital is the Sole Limited Partner. 1789 Capital Nirvana II LP is a wholly owned subsidiary of Neostellar Capital. Neostellar Capital paid a </w:t>
            </w:r>
            <w:bookmarkStart w:id="518" w:name="xdx_90E_ecustom--OriginationFeePercentag"/>
            <w:bookmarkEnd w:id="518"/>
            <w:r>
              <w:rPr>
                <w:rFonts w:ascii="Times New Roman;Times;Serif" w:hAnsi="Times New Roman;Times;Serif"/>
                <w:sz w:val="20"/>
              </w:rPr>
              <w:t>7% origination fee at the time of investment.</w:t>
            </w:r>
          </w:p>
        </w:tc>
      </w:tr>
      <w:tr>
        <w:trPr/>
        <w:tc>
          <w:tcPr>
            <w:tcW w:w="322" w:type="dxa"/>
            <w:tcBorders/>
            <w:vAlign w:val="center"/>
          </w:tcPr>
          <w:p>
            <w:pPr>
              <w:pStyle w:val="TableContents"/>
              <w:bidi w:val="0"/>
              <w:spacing w:before="0" w:after="283"/>
              <w:jc w:val="left"/>
              <w:rPr/>
            </w:pPr>
            <w:r>
              <w:rPr/>
              <w:t> </w:t>
            </w:r>
          </w:p>
        </w:tc>
        <w:tc>
          <w:tcPr>
            <w:tcW w:w="9883" w:type="dxa"/>
            <w:tcBorders/>
            <w:vAlign w:val="center"/>
          </w:tcPr>
          <w:p>
            <w:pPr>
              <w:pStyle w:val="TableContents"/>
              <w:bidi w:val="0"/>
              <w:spacing w:before="0" w:after="283"/>
              <w:jc w:val="both"/>
              <w:rPr/>
            </w:pPr>
            <w:r>
              <w:rPr/>
              <w:t> </w:t>
            </w:r>
          </w:p>
        </w:tc>
      </w:tr>
      <w:tr>
        <w:trPr/>
        <w:tc>
          <w:tcPr>
            <w:tcW w:w="322" w:type="dxa"/>
            <w:tcBorders/>
            <w:vAlign w:val="center"/>
          </w:tcPr>
          <w:p>
            <w:pPr>
              <w:pStyle w:val="TableContents"/>
              <w:bidi w:val="0"/>
              <w:spacing w:before="0" w:after="283"/>
              <w:jc w:val="left"/>
              <w:rPr>
                <w:rFonts w:ascii="Times New Roman;Times;Serif" w:hAnsi="Times New Roman;Times;Serif"/>
                <w:sz w:val="20"/>
              </w:rPr>
            </w:pPr>
            <w:bookmarkStart w:id="519" w:name="xdx_F01_ziHRUIPIcJSj"/>
            <w:bookmarkEnd w:id="519"/>
            <w:r>
              <w:rPr>
                <w:rFonts w:ascii="Times New Roman;Times;Serif" w:hAnsi="Times New Roman;Times;Serif"/>
                <w:sz w:val="20"/>
              </w:rPr>
              <w:t>(10)</w:t>
            </w:r>
          </w:p>
        </w:tc>
        <w:tc>
          <w:tcPr>
            <w:tcW w:w="9883" w:type="dxa"/>
            <w:tcBorders/>
            <w:vAlign w:val="center"/>
          </w:tcPr>
          <w:p>
            <w:pPr>
              <w:pStyle w:val="TableContents"/>
              <w:bidi w:val="0"/>
              <w:spacing w:before="0" w:after="283"/>
              <w:jc w:val="both"/>
              <w:rPr>
                <w:rFonts w:ascii="Times New Roman;Times;Serif" w:hAnsi="Times New Roman;Times;Serif"/>
                <w:sz w:val="20"/>
              </w:rPr>
            </w:pPr>
            <w:bookmarkStart w:id="520" w:name="xdx_F12_zZ7aXXPpjNs3"/>
            <w:bookmarkEnd w:id="520"/>
            <w:r>
              <w:rPr>
                <w:rFonts w:ascii="Times New Roman;Times;Serif" w:hAnsi="Times New Roman;Times;Serif"/>
                <w:sz w:val="20"/>
              </w:rPr>
              <w:t>Neostellar Capital’s investments in Commercial Streaming Solutions Inc. (d/b/a BettorView), EDGE Markets, Inc., Xgroup Holdings Inc. (d/b/a Xpoint), and Stake Trade, Inc. (d/b/a Prophet Exchange) are held through Neostellar Capital’s wholly owned subsidiary, SuRo Capital Sports, LLC (“SuRo Capital Sports”).</w:t>
            </w:r>
          </w:p>
        </w:tc>
      </w:tr>
      <w:tr>
        <w:trPr/>
        <w:tc>
          <w:tcPr>
            <w:tcW w:w="322" w:type="dxa"/>
            <w:tcBorders/>
            <w:vAlign w:val="center"/>
          </w:tcPr>
          <w:p>
            <w:pPr>
              <w:pStyle w:val="TableContents"/>
              <w:bidi w:val="0"/>
              <w:spacing w:before="0" w:after="283"/>
              <w:jc w:val="left"/>
              <w:rPr/>
            </w:pPr>
            <w:r>
              <w:rPr/>
              <w:t> </w:t>
            </w:r>
          </w:p>
        </w:tc>
        <w:tc>
          <w:tcPr>
            <w:tcW w:w="9883" w:type="dxa"/>
            <w:tcBorders/>
            <w:vAlign w:val="center"/>
          </w:tcPr>
          <w:p>
            <w:pPr>
              <w:pStyle w:val="TableContents"/>
              <w:bidi w:val="0"/>
              <w:spacing w:before="0" w:after="283"/>
              <w:jc w:val="both"/>
              <w:rPr/>
            </w:pPr>
            <w:r>
              <w:rPr/>
              <w:t> </w:t>
            </w:r>
            <w:bookmarkStart w:id="521" w:name="xdx_F09_zI2hYFlrfdMd"/>
            <w:bookmarkEnd w:id="521"/>
          </w:p>
        </w:tc>
      </w:tr>
      <w:tr>
        <w:trPr/>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2" w:name="xdx_F12_zFroCy0RYLg5"/>
            <w:bookmarkEnd w:id="522"/>
            <w:r>
              <w:rPr>
                <w:rFonts w:ascii="Times New Roman;Times;Serif" w:hAnsi="Times New Roman;Times;Serif"/>
                <w:b w:val="false"/>
                <w:i w:val="false"/>
                <w:caps w:val="false"/>
                <w:smallCaps w:val="false"/>
                <w:sz w:val="20"/>
              </w:rPr>
              <w:t xml:space="preserve">Neostellar Capital’s investments in True Global Ventures 4 Plus Pte Ltd are held through Neostellar Capital’s wholly owned subsidiary, GSVC SVDS Holdings, Inc. True Global Ventures 4 Plus Pte Ltd charges a </w:t>
            </w:r>
            <w:bookmarkStart w:id="523" w:name="xdx_904_ecustom--ManagementFeePercentage"/>
            <w:bookmarkEnd w:id="523"/>
            <w:r>
              <w:rPr>
                <w:rFonts w:ascii="Times New Roman;Times;Serif" w:hAnsi="Times New Roman;Times;Serif"/>
                <w:b w:val="false"/>
                <w:i w:val="false"/>
                <w:caps w:val="false"/>
                <w:smallCaps w:val="false"/>
                <w:sz w:val="20"/>
              </w:rPr>
              <w:t xml:space="preserve">1.8% management fee and a </w:t>
            </w:r>
            <w:bookmarkStart w:id="524" w:name="xdx_906_ecustom--IncentiveFeePercentage_"/>
            <w:bookmarkEnd w:id="524"/>
            <w:r>
              <w:rPr>
                <w:rFonts w:ascii="Times New Roman;Times;Serif" w:hAnsi="Times New Roman;Times;Serif"/>
                <w:b w:val="false"/>
                <w:i w:val="false"/>
                <w:caps w:val="false"/>
                <w:smallCaps w:val="false"/>
                <w:sz w:val="20"/>
              </w:rPr>
              <w:t xml:space="preserve">22.5% incentive fee, subject to an annual </w:t>
            </w:r>
            <w:bookmarkStart w:id="525" w:name="xdx_900_ecustom--HurdleRatePercentage_pi"/>
            <w:bookmarkEnd w:id="525"/>
            <w:r>
              <w:rPr>
                <w:rFonts w:ascii="Times New Roman;Times;Serif" w:hAnsi="Times New Roman;Times;Serif"/>
                <w:b w:val="false"/>
                <w:i w:val="false"/>
                <w:caps w:val="false"/>
                <w:smallCaps w:val="false"/>
                <w:sz w:val="20"/>
              </w:rPr>
              <w:t>5% IRR hurdle rate. The management fees may adjust the cost of Neostellar Capital’s investment in the fund.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26" w:name="xdx_F05_zmbI9PPU1p2i"/>
            <w:bookmarkEnd w:id="526"/>
            <w:r>
              <w:rPr>
                <w:rFonts w:ascii="Times New Roman;Times;Serif" w:hAnsi="Times New Roman;Times;Serif"/>
                <w:b w:val="false"/>
                <w:i w:val="false"/>
                <w:caps w:val="false"/>
                <w:smallCaps w:val="false"/>
                <w:sz w:val="20"/>
              </w:rPr>
              <w:t>(12)</w:t>
            </w:r>
          </w:p>
        </w:tc>
        <w:tc>
          <w:tcPr>
            <w:tcW w:w="98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7" w:name="xdx_F12_z3RW2kuqmGt9"/>
            <w:bookmarkEnd w:id="527"/>
            <w:r>
              <w:rPr>
                <w:rFonts w:ascii="Times New Roman;Times;Serif" w:hAnsi="Times New Roman;Times;Serif"/>
                <w:b w:val="false"/>
                <w:i w:val="false"/>
                <w:caps w:val="false"/>
                <w:smallCaps w:val="false"/>
                <w:sz w:val="20"/>
              </w:rPr>
              <w:t>Neostellar Capital’s investment in Residential Homes for Rent, LLC (d/b/a Second Avenue) is held through Neostellar Capital’s wholly owned subsidiary, GSVC AV Holdings,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28" w:name="xdx_F01_zpC8XuzpRDtb"/>
            <w:bookmarkEnd w:id="528"/>
            <w:r>
              <w:rPr>
                <w:rFonts w:ascii="Times New Roman;Times;Serif" w:hAnsi="Times New Roman;Times;Serif"/>
                <w:b w:val="false"/>
                <w:i w:val="false"/>
                <w:caps w:val="false"/>
                <w:smallCaps w:val="false"/>
                <w:sz w:val="20"/>
              </w:rPr>
              <w:t>(13)</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9" w:name="xdx_F14_zpa6HLSFjxX2"/>
            <w:bookmarkEnd w:id="529"/>
            <w:r>
              <w:rPr>
                <w:rFonts w:ascii="Times New Roman;Times;Serif" w:hAnsi="Times New Roman;Times;Serif"/>
                <w:b w:val="false"/>
                <w:i w:val="false"/>
                <w:caps w:val="false"/>
                <w:smallCaps w:val="false"/>
                <w:sz w:val="20"/>
              </w:rPr>
              <w:t>On January 27, 2026, the Simple Agreement for Future Equity (“SAFE”) Note previously held by the Company in Orchard Technologies, Inc. converted into Series E-1 Preferred Shares. In connection with the same transaction, the Company’s previously held Series D Preferred Shares, Series 1 Senior Preferred Shares, and Series 2 Senior Preferred Shares were converted into Common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30" w:name="xdx_F0E_zjs21HEBouL8"/>
            <w:bookmarkEnd w:id="530"/>
            <w:r>
              <w:rPr>
                <w:rFonts w:ascii="Times New Roman;Times;Serif" w:hAnsi="Times New Roman;Times;Serif"/>
                <w:b w:val="false"/>
                <w:i w:val="false"/>
                <w:caps w:val="false"/>
                <w:smallCaps w:val="false"/>
                <w:sz w:val="20"/>
              </w:rPr>
              <w:t>(14)</w:t>
            </w:r>
          </w:p>
        </w:tc>
        <w:tc>
          <w:tcPr>
            <w:tcW w:w="98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1" w:name="xdx_F11_z7Imygc9BB66"/>
            <w:bookmarkEnd w:id="531"/>
            <w:r>
              <w:rPr>
                <w:rFonts w:ascii="Times New Roman;Times;Serif" w:hAnsi="Times New Roman;Times;Serif"/>
                <w:b w:val="false"/>
                <w:i w:val="false"/>
                <w:caps w:val="false"/>
                <w:smallCaps w:val="false"/>
                <w:sz w:val="20"/>
              </w:rPr>
              <w:t>On November 9, 2021, Fullbridge, Inc.’s obligations under its financing arrangements with the Company became past due.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32" w:name="xdx_F07_zujzhyp2NzNk"/>
            <w:bookmarkEnd w:id="532"/>
            <w:r>
              <w:rPr>
                <w:rFonts w:ascii="Times New Roman;Times;Serif" w:hAnsi="Times New Roman;Times;Serif"/>
                <w:b w:val="false"/>
                <w:i w:val="false"/>
                <w:caps w:val="false"/>
                <w:smallCaps w:val="false"/>
                <w:sz w:val="20"/>
              </w:rPr>
              <w:t>(15)</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3" w:name="xdx_F1A_zIBgeCqOp8Q9"/>
            <w:bookmarkEnd w:id="533"/>
            <w:r>
              <w:rPr>
                <w:rFonts w:ascii="Times New Roman;Times;Serif" w:hAnsi="Times New Roman;Times;Serif"/>
                <w:b w:val="false"/>
                <w:i w:val="false"/>
                <w:caps w:val="false"/>
                <w:smallCaps w:val="false"/>
                <w:sz w:val="20"/>
              </w:rPr>
              <w:t>On March 30, 2025, CTN Holdings, Inc. (d/b/a Catona Climate) filed for Chapter 11 protection in the U.S. Bankruptcy Court for the District of Delaware. On June 5, 2025, the US Bankruptcy Court for the District of Delaware approved the sale of the remaining assets of CTN Holdings, Inc. On August 7, 2025, CTN Holdings, Inc. (d/b/a Catona Climate) converted its bankruptcy filing from Chapter 11 reorganization to Chapter 7 liquidation.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34" w:name="xdx_F02_ztBSwk0EclRb"/>
            <w:bookmarkEnd w:id="534"/>
            <w:r>
              <w:rPr>
                <w:rFonts w:ascii="Times New Roman;Times;Serif" w:hAnsi="Times New Roman;Times;Serif"/>
                <w:b w:val="false"/>
                <w:i w:val="false"/>
                <w:caps w:val="false"/>
                <w:smallCaps w:val="false"/>
                <w:sz w:val="20"/>
              </w:rPr>
              <w:t>(16)</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5" w:name="xdx_F17_zgC6FRtKCJr8"/>
            <w:bookmarkEnd w:id="535"/>
            <w:r>
              <w:rPr>
                <w:rFonts w:ascii="Times New Roman;Times;Serif" w:hAnsi="Times New Roman;Times;Serif"/>
                <w:b w:val="false"/>
                <w:i w:val="false"/>
                <w:caps w:val="false"/>
                <w:smallCaps w:val="false"/>
                <w:sz w:val="20"/>
              </w:rPr>
              <w:t>Neostellar Capital’s investments in StormWind, LLC are held through Neostellar Capital’s wholly owned subsidiary, GSVC SW Holdings, Inc.</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6" w:name="ak_008"/>
      <w:bookmarkEnd w:id="536"/>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37" w:name="xdx_304_114_z14DM8hQIyt9"/>
      <w:bookmarkStart w:id="538" w:name="xdx_304_114_z14DM8hQIyt9"/>
      <w:bookmarkEnd w:id="538"/>
    </w:p>
    <w:tbl>
      <w:tblPr>
        <w:tblW w:w="10590" w:type="dxa"/>
        <w:jc w:val="left"/>
        <w:tblInd w:w="0" w:type="dxa"/>
        <w:tblLayout w:type="fixed"/>
        <w:tblCellMar>
          <w:top w:w="0" w:type="dxa"/>
          <w:left w:w="0" w:type="dxa"/>
          <w:bottom w:w="28" w:type="dxa"/>
          <w:right w:w="0" w:type="dxa"/>
        </w:tblCellMar>
      </w:tblPr>
      <w:tblGrid>
        <w:gridCol w:w="2450"/>
        <w:gridCol w:w="455"/>
        <w:gridCol w:w="1460"/>
        <w:gridCol w:w="60"/>
        <w:gridCol w:w="1145"/>
        <w:gridCol w:w="60"/>
        <w:gridCol w:w="140"/>
        <w:gridCol w:w="1100"/>
        <w:gridCol w:w="60"/>
        <w:gridCol w:w="60"/>
        <w:gridCol w:w="140"/>
        <w:gridCol w:w="1100"/>
        <w:gridCol w:w="60"/>
        <w:gridCol w:w="60"/>
        <w:gridCol w:w="140"/>
        <w:gridCol w:w="1100"/>
        <w:gridCol w:w="60"/>
        <w:gridCol w:w="60"/>
        <w:gridCol w:w="62"/>
        <w:gridCol w:w="588"/>
        <w:gridCol w:w="230"/>
      </w:tblGrid>
      <w:tr>
        <w:trPr/>
        <w:tc>
          <w:tcPr>
            <w:tcW w:w="2450" w:type="dxa"/>
            <w:tcBorders>
              <w:bottom w:val="single" w:sz="8" w:space="0" w:color="000000"/>
            </w:tcBorders>
            <w:vAlign w:val="center"/>
          </w:tcPr>
          <w:p>
            <w:pPr>
              <w:pStyle w:val="TableContents"/>
              <w:bidi w:val="0"/>
              <w:spacing w:before="0" w:after="283"/>
              <w:jc w:val="left"/>
              <w:rPr>
                <w:b/>
              </w:rPr>
            </w:pPr>
            <w:r>
              <w:rPr>
                <w:b/>
              </w:rPr>
              <w:t>Portfolio Investments</w:t>
            </w:r>
            <w:bookmarkStart w:id="539" w:name="xdx_F60_zPA8ZUmldLxb"/>
            <w:bookmarkEnd w:id="539"/>
            <w:r>
              <w:rPr>
                <w:rFonts w:ascii="Times New Roman;Times;Serif" w:hAnsi="Times New Roman;Times;Serif"/>
                <w:b/>
              </w:rPr>
              <w:t>*</w:t>
            </w:r>
          </w:p>
        </w:tc>
        <w:tc>
          <w:tcPr>
            <w:tcW w:w="455" w:type="dxa"/>
            <w:tcBorders/>
            <w:tcMar>
              <w:bottom w:w="0" w:type="dxa"/>
            </w:tcMar>
            <w:vAlign w:val="center"/>
          </w:tcPr>
          <w:p>
            <w:pPr>
              <w:pStyle w:val="TableContents"/>
              <w:bidi w:val="0"/>
              <w:spacing w:before="0" w:after="283"/>
              <w:jc w:val="left"/>
              <w:rPr/>
            </w:pPr>
            <w:r>
              <w:rPr/>
              <w:t> </w:t>
            </w:r>
            <w:bookmarkStart w:id="540" w:name="xdx_480_ecustom--InvestmentIndustryDescr"/>
            <w:bookmarkEnd w:id="540"/>
          </w:p>
        </w:tc>
        <w:tc>
          <w:tcPr>
            <w:tcW w:w="14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bookmarkStart w:id="541" w:name="xdx_48A_ecustom--InitialInvestmentDate_i"/>
            <w:bookmarkEnd w:id="541"/>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bookmarkStart w:id="542" w:name="xdx_F5D_zwOgVZdmj8Ce"/>
            <w:bookmarkEnd w:id="542"/>
            <w:r>
              <w:rPr>
                <w:rFonts w:ascii="Times New Roman;Times;Serif" w:hAnsi="Times New Roman;Times;Serif"/>
                <w:b/>
                <w:i w:val="false"/>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43" w:name="xdx_488_eus-gaap--InvestmentOwnedAtCost_"/>
            <w:bookmarkEnd w:id="543"/>
          </w:p>
        </w:tc>
        <w:tc>
          <w:tcPr>
            <w:tcW w:w="124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44" w:name="xdx_488_eus-gaap--InvestmentOwnedAtFairV"/>
            <w:bookmarkEnd w:id="544"/>
          </w:p>
        </w:tc>
        <w:tc>
          <w:tcPr>
            <w:tcW w:w="1240"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45" w:name="xdx_48C_eus-gaap--InvestmentOwnedPercent"/>
            <w:bookmarkEnd w:id="545"/>
          </w:p>
        </w:tc>
        <w:tc>
          <w:tcPr>
            <w:tcW w:w="650"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30" w:type="dxa"/>
            <w:tcBorders/>
            <w:tcMar>
              <w:bottom w:w="0" w:type="dxa"/>
            </w:tcMar>
            <w:vAlign w:val="center"/>
          </w:tcPr>
          <w:p>
            <w:pPr>
              <w:pStyle w:val="TableContents"/>
              <w:bidi w:val="0"/>
              <w:spacing w:before="0" w:after="283"/>
              <w:jc w:val="left"/>
              <w:rPr/>
            </w:pPr>
            <w:r>
              <w:rPr/>
              <w:t> </w:t>
            </w:r>
          </w:p>
        </w:tc>
      </w:tr>
      <w:tr>
        <w:trPr/>
        <w:tc>
          <w:tcPr>
            <w:tcW w:w="2450" w:type="dxa"/>
            <w:tcBorders>
              <w:bottom w:val="single" w:sz="8" w:space="0" w:color="000000"/>
            </w:tcBorders>
            <w:vAlign w:val="center"/>
          </w:tcPr>
          <w:p>
            <w:pPr>
              <w:pStyle w:val="TableContents"/>
              <w:bidi w:val="0"/>
              <w:spacing w:before="0" w:after="283"/>
              <w:jc w:val="left"/>
              <w:rPr>
                <w:b/>
              </w:rPr>
            </w:pPr>
            <w:r>
              <w:rPr>
                <w:b/>
              </w:rPr>
              <w:t>Portfolio Investments*</w:t>
            </w:r>
          </w:p>
        </w:tc>
        <w:tc>
          <w:tcPr>
            <w:tcW w:w="455" w:type="dxa"/>
            <w:tcBorders/>
            <w:tcMar>
              <w:bottom w:w="0" w:type="dxa"/>
            </w:tcMar>
            <w:vAlign w:val="center"/>
          </w:tcPr>
          <w:p>
            <w:pPr>
              <w:pStyle w:val="TableContents"/>
              <w:bidi w:val="0"/>
              <w:spacing w:before="0" w:after="283"/>
              <w:jc w:val="left"/>
              <w:rPr/>
            </w:pPr>
            <w:r>
              <w:rPr/>
              <w:t> </w:t>
            </w:r>
          </w:p>
        </w:tc>
        <w:tc>
          <w:tcPr>
            <w:tcW w:w="14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3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283"/>
              <w:jc w:val="left"/>
              <w:rPr>
                <w:b/>
              </w:rPr>
            </w:pPr>
            <w:r>
              <w:rPr>
                <w:b/>
              </w:rPr>
              <w:t>NON-CONTROLLED/NON-AFFILIATE</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ARK Type One Deep Ventures Fund LLC</w:t>
            </w:r>
            <w:r>
              <w:rPr>
                <w:rFonts w:ascii="Times New Roman;Times;Serif" w:hAnsi="Times New Roman;Times;Serif"/>
                <w:b/>
                <w:position w:val="7"/>
                <w:sz w:val="16"/>
                <w:sz w:val="20"/>
                <w:u w:val="single"/>
              </w:rPr>
              <w:t>**(5)</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St. Petersburg, FL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46" w:name="xdx_41C_20251231__srt--ConsolidatedEntit"/>
            <w:bookmarkEnd w:id="546"/>
          </w:p>
        </w:tc>
      </w:tr>
      <w:tr>
        <w:trPr/>
        <w:tc>
          <w:tcPr>
            <w:tcW w:w="2450" w:type="dxa"/>
            <w:tcBorders/>
            <w:shd w:fill="CCEEFF" w:val="clear"/>
            <w:tcMar>
              <w:bottom w:w="0" w:type="dxa"/>
            </w:tcMar>
            <w:vAlign w:val="center"/>
          </w:tcPr>
          <w:p>
            <w:pPr>
              <w:pStyle w:val="TableContents"/>
              <w:bidi w:val="0"/>
              <w:spacing w:before="0" w:after="283"/>
              <w:jc w:val="left"/>
              <w:rPr/>
            </w:pPr>
            <w:r>
              <w:rPr/>
              <w:t>Membership Interest, Class A</w:t>
            </w:r>
          </w:p>
        </w:tc>
        <w:tc>
          <w:tcPr>
            <w:tcW w:w="4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bookmarkStart w:id="547" w:name="xdx_F4A_zfFZVDydB3d3"/>
            <w:bookmarkEnd w:id="547"/>
            <w:r>
              <w:rPr>
                <w:rFonts w:ascii="Times New Roman;Times;Serif" w:hAnsi="Times New Roman;Times;Serif"/>
              </w:rPr>
              <w:t>**(5)</w:t>
            </w:r>
          </w:p>
        </w:tc>
        <w:tc>
          <w:tcPr>
            <w:tcW w:w="1460" w:type="dxa"/>
            <w:tcBorders/>
            <w:shd w:fill="CCEEFF" w:val="clear"/>
            <w:tcMar>
              <w:bottom w:w="0" w:type="dxa"/>
            </w:tcMar>
            <w:vAlign w:val="center"/>
          </w:tcPr>
          <w:p>
            <w:pPr>
              <w:pStyle w:val="TableContents"/>
              <w:bidi w:val="0"/>
              <w:spacing w:before="0" w:after="283"/>
              <w:jc w:val="center"/>
              <w:rPr/>
            </w:pPr>
            <w:r>
              <w:rPr/>
              <w:t>AI Application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9/25/2024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548" w:name="xdx_98B_eus-gaap--InvestmentOwnedBalance"/>
            <w:bookmarkEnd w:id="548"/>
          </w:p>
        </w:tc>
        <w:tc>
          <w:tcPr>
            <w:tcW w:w="1100" w:type="dxa"/>
            <w:tcBorders/>
            <w:shd w:fill="CCEEFF" w:val="clear"/>
            <w:tcMar>
              <w:bottom w:w="0" w:type="dxa"/>
            </w:tcMar>
            <w:vAlign w:val="center"/>
          </w:tcPr>
          <w:p>
            <w:pPr>
              <w:pStyle w:val="TableContents"/>
              <w:bidi w:val="0"/>
              <w:spacing w:before="0" w:after="283"/>
              <w:jc w:val="right"/>
              <w:rPr/>
            </w:pPr>
            <w:r>
              <w:rPr/>
              <w:t>17,500,000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17,696,568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42,212,173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20.56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Whoop, Inc.</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Boston, 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49" w:name="xdx_412_20251231__srt--ConsolidatedEntit"/>
            <w:bookmarkEnd w:id="549"/>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C</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Fitness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6/30/2022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50" w:name="xdx_985_eus-gaap--InvestmentOwnedBalance"/>
            <w:bookmarkEnd w:id="550"/>
          </w:p>
        </w:tc>
        <w:tc>
          <w:tcPr>
            <w:tcW w:w="1100" w:type="dxa"/>
            <w:tcBorders/>
            <w:shd w:fill="CCEEFF" w:val="clear"/>
            <w:tcMar>
              <w:bottom w:w="0" w:type="dxa"/>
            </w:tcMar>
            <w:vAlign w:val="center"/>
          </w:tcPr>
          <w:p>
            <w:pPr>
              <w:pStyle w:val="TableContents"/>
              <w:bidi w:val="0"/>
              <w:spacing w:before="0" w:after="283"/>
              <w:jc w:val="right"/>
              <w:rPr/>
            </w:pPr>
            <w:r>
              <w:rPr/>
              <w:t>13,293,450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10,011,460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27,357,435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13.32</w:t>
            </w:r>
          </w:p>
        </w:tc>
        <w:tc>
          <w:tcPr>
            <w:tcW w:w="230" w:type="dxa"/>
            <w:tcBorders/>
            <w:shd w:fill="CCEEFF" w:val="clear"/>
            <w:tcMar>
              <w:bottom w:w="0" w:type="dxa"/>
            </w:tcMar>
            <w:vAlign w:val="center"/>
          </w:tcPr>
          <w:p>
            <w:pPr>
              <w:pStyle w:val="TableContents"/>
              <w:bidi w:val="0"/>
              <w:spacing w:before="0" w:after="283"/>
              <w:jc w:val="left"/>
              <w:rPr/>
            </w:pPr>
            <w:r>
              <w:rPr/>
              <w:t>%</w:t>
            </w:r>
            <w:bookmarkStart w:id="551" w:name="xdx_414_20251231__srt--ConsolidatedEntit"/>
            <w:bookmarkEnd w:id="551"/>
          </w:p>
        </w:tc>
      </w:tr>
      <w:tr>
        <w:trPr/>
        <w:tc>
          <w:tcPr>
            <w:tcW w:w="2450" w:type="dxa"/>
            <w:tcBorders/>
            <w:shd w:fill="FFFFFF" w:val="clear"/>
            <w:tcMar>
              <w:bottom w:w="0" w:type="dxa"/>
            </w:tcMar>
            <w:vAlign w:val="center"/>
          </w:tcPr>
          <w:p>
            <w:pPr>
              <w:pStyle w:val="TableContents"/>
              <w:bidi w:val="0"/>
              <w:spacing w:before="0" w:after="283"/>
              <w:jc w:val="left"/>
              <w:rPr/>
            </w:pPr>
            <w:r>
              <w:rPr/>
              <w:t>Simple Agreement for Future Equity</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Fitness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2/6/2025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552" w:name="xdx_989_eus-gaap--InvestmentOwnedBalance"/>
            <w:bookmarkEnd w:id="552"/>
          </w:p>
        </w:tc>
        <w:tc>
          <w:tcPr>
            <w:tcW w:w="1100"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1,001,628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0.49</w:t>
            </w:r>
          </w:p>
        </w:tc>
        <w:tc>
          <w:tcPr>
            <w:tcW w:w="230" w:type="dxa"/>
            <w:tcBorders/>
            <w:shd w:fill="FFFFFF" w:val="clear"/>
            <w:tcMar>
              <w:bottom w:w="0" w:type="dxa"/>
            </w:tcMar>
            <w:vAlign w:val="center"/>
          </w:tcPr>
          <w:p>
            <w:pPr>
              <w:pStyle w:val="TableContents"/>
              <w:bidi w:val="0"/>
              <w:spacing w:before="0" w:after="283"/>
              <w:jc w:val="left"/>
              <w:rPr/>
            </w:pPr>
            <w:r>
              <w:rPr/>
              <w:t>%</w:t>
            </w:r>
            <w:bookmarkStart w:id="553" w:name="xdx_419_20251231__srt--ConsolidatedEntit"/>
            <w:bookmarkEnd w:id="553"/>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11,013,088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28,357,435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13.81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Blink Health, Inc.</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New York, 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54" w:name="xdx_416_20251231__srt--ConsolidatedEntit"/>
            <w:bookmarkEnd w:id="554"/>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A</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Pharmaceutical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10/27/2020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55" w:name="xdx_981_eus-gaap--InvestmentOwnedBalance"/>
            <w:bookmarkEnd w:id="555"/>
          </w:p>
        </w:tc>
        <w:tc>
          <w:tcPr>
            <w:tcW w:w="1100" w:type="dxa"/>
            <w:tcBorders/>
            <w:shd w:fill="CCEEFF" w:val="clear"/>
            <w:tcMar>
              <w:bottom w:w="0" w:type="dxa"/>
            </w:tcMar>
            <w:vAlign w:val="center"/>
          </w:tcPr>
          <w:p>
            <w:pPr>
              <w:pStyle w:val="TableContents"/>
              <w:bidi w:val="0"/>
              <w:spacing w:before="0" w:after="283"/>
              <w:jc w:val="right"/>
              <w:rPr/>
            </w:pPr>
            <w:r>
              <w:rPr/>
              <w:t>238,095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5,000,423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9,999,990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4.87</w:t>
            </w:r>
          </w:p>
        </w:tc>
        <w:tc>
          <w:tcPr>
            <w:tcW w:w="230" w:type="dxa"/>
            <w:tcBorders/>
            <w:shd w:fill="CCEEFF" w:val="clear"/>
            <w:tcMar>
              <w:bottom w:w="0" w:type="dxa"/>
            </w:tcMar>
            <w:vAlign w:val="center"/>
          </w:tcPr>
          <w:p>
            <w:pPr>
              <w:pStyle w:val="TableContents"/>
              <w:bidi w:val="0"/>
              <w:spacing w:before="0" w:after="283"/>
              <w:jc w:val="left"/>
              <w:rPr/>
            </w:pPr>
            <w:r>
              <w:rPr/>
              <w:t>%</w:t>
            </w:r>
            <w:bookmarkStart w:id="556" w:name="xdx_417_20251231__srt--ConsolidatedEntit"/>
            <w:bookmarkEnd w:id="556"/>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C</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Pharmaceutical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10/27/2020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557" w:name="xdx_983_eus-gaap--InvestmentOwnedBalance"/>
            <w:bookmarkEnd w:id="557"/>
          </w:p>
        </w:tc>
        <w:tc>
          <w:tcPr>
            <w:tcW w:w="1100" w:type="dxa"/>
            <w:tcBorders/>
            <w:shd w:fill="FFFFFF" w:val="clear"/>
            <w:tcMar>
              <w:bottom w:w="0" w:type="dxa"/>
            </w:tcMar>
            <w:vAlign w:val="center"/>
          </w:tcPr>
          <w:p>
            <w:pPr>
              <w:pStyle w:val="TableContents"/>
              <w:bidi w:val="0"/>
              <w:spacing w:before="0" w:after="283"/>
              <w:jc w:val="right"/>
              <w:rPr/>
            </w:pPr>
            <w:r>
              <w:rPr/>
              <w:t>261,944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10,003,917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11,001,648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5.36</w:t>
            </w:r>
          </w:p>
        </w:tc>
        <w:tc>
          <w:tcPr>
            <w:tcW w:w="230" w:type="dxa"/>
            <w:tcBorders/>
            <w:shd w:fill="FFFFFF" w:val="clear"/>
            <w:tcMar>
              <w:bottom w:w="0" w:type="dxa"/>
            </w:tcMar>
            <w:vAlign w:val="center"/>
          </w:tcPr>
          <w:p>
            <w:pPr>
              <w:pStyle w:val="TableContents"/>
              <w:bidi w:val="0"/>
              <w:spacing w:before="0" w:after="283"/>
              <w:jc w:val="left"/>
              <w:rPr/>
            </w:pPr>
            <w:r>
              <w:rPr/>
              <w:t>%</w:t>
            </w:r>
            <w:bookmarkStart w:id="558" w:name="xdx_414_20251231__srt--ConsolidatedEntit"/>
            <w:bookmarkEnd w:id="558"/>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15,004,340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21,001,638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10.23</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Canva, Inc.</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Austin, 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59" w:name="xdx_410_20251231__srt--ConsolidatedEntit"/>
            <w:bookmarkEnd w:id="559"/>
          </w:p>
        </w:tc>
      </w:tr>
      <w:tr>
        <w:trPr/>
        <w:tc>
          <w:tcPr>
            <w:tcW w:w="2450" w:type="dxa"/>
            <w:tcBorders/>
            <w:shd w:fill="CCEEFF" w:val="clear"/>
            <w:tcMar>
              <w:bottom w:w="0" w:type="dxa"/>
            </w:tcMar>
            <w:vAlign w:val="center"/>
          </w:tcPr>
          <w:p>
            <w:pPr>
              <w:pStyle w:val="TableContents"/>
              <w:bidi w:val="0"/>
              <w:spacing w:before="0" w:after="283"/>
              <w:jc w:val="left"/>
              <w:rPr/>
            </w:pPr>
            <w:r>
              <w:rPr/>
              <w:t>Common Shares</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Productivity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4/17/2024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60" w:name="xdx_98B_eus-gaap--InvestmentOwnedBalance"/>
            <w:bookmarkEnd w:id="560"/>
          </w:p>
        </w:tc>
        <w:tc>
          <w:tcPr>
            <w:tcW w:w="1100" w:type="dxa"/>
            <w:tcBorders/>
            <w:shd w:fill="CCEEFF" w:val="clear"/>
            <w:tcMar>
              <w:bottom w:w="0" w:type="dxa"/>
            </w:tcMar>
            <w:vAlign w:val="center"/>
          </w:tcPr>
          <w:p>
            <w:pPr>
              <w:pStyle w:val="TableContents"/>
              <w:bidi w:val="0"/>
              <w:spacing w:before="0" w:after="283"/>
              <w:jc w:val="right"/>
              <w:rPr/>
            </w:pPr>
            <w:r>
              <w:rPr/>
              <w:t>9,375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10,058,820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15,432,563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7.52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Learneo, Inc. (f/k/a Course Hero, Inc.)</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Menlo Park,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61" w:name="xdx_411_20251231__srt--ConsolidatedEntit"/>
            <w:bookmarkEnd w:id="561"/>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A 8%</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Online Education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9/18/2014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62" w:name="xdx_985_eus-gaap--InvestmentOwnedBalance"/>
            <w:bookmarkEnd w:id="562"/>
          </w:p>
        </w:tc>
        <w:tc>
          <w:tcPr>
            <w:tcW w:w="1100" w:type="dxa"/>
            <w:tcBorders/>
            <w:shd w:fill="CCEEFF" w:val="clear"/>
            <w:tcMar>
              <w:bottom w:w="0" w:type="dxa"/>
            </w:tcMar>
            <w:vAlign w:val="center"/>
          </w:tcPr>
          <w:p>
            <w:pPr>
              <w:pStyle w:val="TableContents"/>
              <w:bidi w:val="0"/>
              <w:spacing w:before="0" w:after="283"/>
              <w:jc w:val="right"/>
              <w:rPr/>
            </w:pPr>
            <w:r>
              <w:rPr/>
              <w:t>2,145,509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5,369,377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2.62</w:t>
            </w:r>
          </w:p>
        </w:tc>
        <w:tc>
          <w:tcPr>
            <w:tcW w:w="230" w:type="dxa"/>
            <w:tcBorders/>
            <w:shd w:fill="CCEEFF" w:val="clear"/>
            <w:tcMar>
              <w:bottom w:w="0" w:type="dxa"/>
            </w:tcMar>
            <w:vAlign w:val="center"/>
          </w:tcPr>
          <w:p>
            <w:pPr>
              <w:pStyle w:val="TableContents"/>
              <w:bidi w:val="0"/>
              <w:spacing w:before="0" w:after="283"/>
              <w:jc w:val="left"/>
              <w:rPr/>
            </w:pPr>
            <w:r>
              <w:rPr/>
              <w:t>%</w:t>
            </w:r>
            <w:bookmarkStart w:id="563" w:name="xdx_41F_20251231__srt--ConsolidatedEntit"/>
            <w:bookmarkEnd w:id="563"/>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C 8%</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Online Education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11/5/2021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564" w:name="xdx_982_eus-gaap--InvestmentOwnedBalance"/>
            <w:bookmarkEnd w:id="564"/>
          </w:p>
        </w:tc>
        <w:tc>
          <w:tcPr>
            <w:tcW w:w="1100" w:type="dxa"/>
            <w:tcBorders/>
            <w:shd w:fill="FFFFFF" w:val="clear"/>
            <w:tcMar>
              <w:bottom w:w="0" w:type="dxa"/>
            </w:tcMar>
            <w:vAlign w:val="center"/>
          </w:tcPr>
          <w:p>
            <w:pPr>
              <w:pStyle w:val="TableContents"/>
              <w:bidi w:val="0"/>
              <w:spacing w:before="0" w:after="283"/>
              <w:jc w:val="right"/>
              <w:rPr/>
            </w:pPr>
            <w:r>
              <w:rPr/>
              <w:t>275,659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9,999,971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9,999,971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4.87</w:t>
            </w:r>
          </w:p>
        </w:tc>
        <w:tc>
          <w:tcPr>
            <w:tcW w:w="230" w:type="dxa"/>
            <w:tcBorders/>
            <w:shd w:fill="FFFFFF" w:val="clear"/>
            <w:tcMar>
              <w:bottom w:w="0" w:type="dxa"/>
            </w:tcMar>
            <w:vAlign w:val="center"/>
          </w:tcPr>
          <w:p>
            <w:pPr>
              <w:pStyle w:val="TableContents"/>
              <w:bidi w:val="0"/>
              <w:spacing w:before="0" w:after="283"/>
              <w:jc w:val="left"/>
              <w:rPr/>
            </w:pPr>
            <w:r>
              <w:rPr/>
              <w:t>%</w:t>
            </w:r>
            <w:bookmarkStart w:id="565" w:name="xdx_414_20251231__srt--ConsolidatedEntit"/>
            <w:bookmarkEnd w:id="565"/>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14,999,972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15,369,348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7.49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CW Opportunity 2 LP</w:t>
            </w:r>
            <w:r>
              <w:rPr>
                <w:rFonts w:ascii="Times New Roman;Times;Serif" w:hAnsi="Times New Roman;Times;Serif"/>
                <w:b/>
                <w:position w:val="7"/>
                <w:sz w:val="16"/>
                <w:sz w:val="20"/>
                <w:u w:val="single"/>
              </w:rPr>
              <w:t>**(6)</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Evanston, 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66" w:name="xdx_418_20251231__srt--ConsolidatedEntit"/>
            <w:bookmarkEnd w:id="566"/>
          </w:p>
        </w:tc>
      </w:tr>
      <w:tr>
        <w:trPr/>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Interest</w:t>
            </w:r>
            <w:r>
              <w:rPr>
                <w:rFonts w:ascii="Times New Roman;Times;Serif" w:hAnsi="Times New Roman;Times;Serif"/>
                <w:position w:val="7"/>
                <w:sz w:val="16"/>
                <w:sz w:val="20"/>
              </w:rPr>
              <w:t>***</w:t>
            </w:r>
          </w:p>
        </w:tc>
        <w:tc>
          <w:tcPr>
            <w:tcW w:w="455" w:type="dxa"/>
            <w:tcBorders/>
            <w:shd w:fill="CCEEFF" w:val="clear"/>
            <w:tcMar>
              <w:bottom w:w="0" w:type="dxa"/>
            </w:tcMar>
            <w:vAlign w:val="center"/>
          </w:tcPr>
          <w:p>
            <w:pPr>
              <w:pStyle w:val="TableContents"/>
              <w:bidi w:val="0"/>
              <w:spacing w:before="0" w:after="283"/>
              <w:jc w:val="left"/>
              <w:rPr/>
            </w:pPr>
            <w:bookmarkStart w:id="567" w:name="xdx_F46_z2c69YyKBas3"/>
            <w:bookmarkEnd w:id="567"/>
            <w:r>
              <w:rPr>
                <w:rFonts w:ascii="Times New Roman;Times;Serif" w:hAnsi="Times New Roman;Times;Serif"/>
              </w:rPr>
              <w:t>**(6)</w:t>
            </w:r>
            <w:r>
              <w:rPr/>
              <w:br/>
            </w:r>
            <w:bookmarkStart w:id="568" w:name="xdx_F4D_zDMynraDPvvb"/>
            <w:bookmarkEnd w:id="568"/>
            <w:r>
              <w:rPr>
                <w:rFonts w:ascii="Times New Roman;Times;Serif" w:hAnsi="Times New Roman;Times;Serif"/>
              </w:rPr>
              <w:t>***</w:t>
            </w:r>
          </w:p>
        </w:tc>
        <w:tc>
          <w:tcPr>
            <w:tcW w:w="1460" w:type="dxa"/>
            <w:tcBorders/>
            <w:shd w:fill="CCEEFF" w:val="clear"/>
            <w:tcMar>
              <w:bottom w:w="0" w:type="dxa"/>
            </w:tcMar>
            <w:vAlign w:val="center"/>
          </w:tcPr>
          <w:p>
            <w:pPr>
              <w:pStyle w:val="TableContents"/>
              <w:bidi w:val="0"/>
              <w:spacing w:before="0" w:after="283"/>
              <w:jc w:val="center"/>
              <w:rPr/>
            </w:pPr>
            <w:r>
              <w:rPr/>
              <w:t>AI Infrastructure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5/7/2024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569" w:name="xdx_984_eus-gaap--InvestmentOwnedBalance"/>
            <w:bookmarkEnd w:id="569"/>
          </w:p>
        </w:tc>
        <w:tc>
          <w:tcPr>
            <w:tcW w:w="1100" w:type="dxa"/>
            <w:tcBorders/>
            <w:shd w:fill="CCEEFF" w:val="clear"/>
            <w:tcMar>
              <w:bottom w:w="0" w:type="dxa"/>
            </w:tcMar>
            <w:vAlign w:val="center"/>
          </w:tcPr>
          <w:p>
            <w:pPr>
              <w:pStyle w:val="TableContents"/>
              <w:bidi w:val="0"/>
              <w:spacing w:before="0" w:after="283"/>
              <w:jc w:val="right"/>
              <w:rPr/>
            </w:pPr>
            <w:r>
              <w:rPr/>
              <w:t>10,208,114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10,384,558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14,659,078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7.14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IH10, LLC</w:t>
            </w:r>
            <w:r>
              <w:rPr>
                <w:rFonts w:ascii="Times New Roman;Times;Serif" w:hAnsi="Times New Roman;Times;Serif"/>
                <w:b/>
                <w:position w:val="7"/>
                <w:sz w:val="16"/>
                <w:sz w:val="20"/>
                <w:u w:val="single"/>
              </w:rPr>
              <w:t>**(7)</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New York, 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70" w:name="xdx_410_20251231__srt--ConsolidatedEntit"/>
            <w:bookmarkEnd w:id="570"/>
          </w:p>
        </w:tc>
      </w:tr>
      <w:tr>
        <w:trPr/>
        <w:tc>
          <w:tcPr>
            <w:tcW w:w="2450" w:type="dxa"/>
            <w:tcBorders/>
            <w:shd w:fill="CCEEFF" w:val="clear"/>
            <w:tcMar>
              <w:bottom w:w="0" w:type="dxa"/>
            </w:tcMar>
            <w:vAlign w:val="center"/>
          </w:tcPr>
          <w:p>
            <w:pPr>
              <w:pStyle w:val="TableContents"/>
              <w:bidi w:val="0"/>
              <w:spacing w:before="0" w:after="283"/>
              <w:jc w:val="left"/>
              <w:rPr/>
            </w:pPr>
            <w:r>
              <w:rPr/>
              <w:t>Membership Interest</w:t>
            </w:r>
          </w:p>
        </w:tc>
        <w:tc>
          <w:tcPr>
            <w:tcW w:w="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571" w:name="xdx_F4D_znxJY4wqi7Nk"/>
            <w:bookmarkEnd w:id="571"/>
            <w:r>
              <w:rPr>
                <w:rFonts w:ascii="Times New Roman;Times;Serif" w:hAnsi="Times New Roman;Times;Serif"/>
                <w:sz w:val="20"/>
              </w:rPr>
              <w:t>**(7)</w:t>
            </w:r>
          </w:p>
        </w:tc>
        <w:tc>
          <w:tcPr>
            <w:tcW w:w="1460" w:type="dxa"/>
            <w:tcBorders/>
            <w:shd w:fill="CCEEFF" w:val="clear"/>
            <w:tcMar>
              <w:bottom w:w="0" w:type="dxa"/>
            </w:tcMar>
            <w:vAlign w:val="center"/>
          </w:tcPr>
          <w:p>
            <w:pPr>
              <w:pStyle w:val="TableContents"/>
              <w:bidi w:val="0"/>
              <w:spacing w:before="0" w:after="283"/>
              <w:jc w:val="center"/>
              <w:rPr/>
            </w:pPr>
            <w:r>
              <w:rPr/>
              <w:t>AI Infrastructure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10/9/2024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572" w:name="xdx_985_eus-gaap--InvestmentOwnedBalance"/>
            <w:bookmarkEnd w:id="572"/>
          </w:p>
        </w:tc>
        <w:tc>
          <w:tcPr>
            <w:tcW w:w="1100" w:type="dxa"/>
            <w:tcBorders/>
            <w:shd w:fill="CCEEFF" w:val="clear"/>
            <w:tcMar>
              <w:bottom w:w="0" w:type="dxa"/>
            </w:tcMar>
            <w:vAlign w:val="center"/>
          </w:tcPr>
          <w:p>
            <w:pPr>
              <w:pStyle w:val="TableContents"/>
              <w:bidi w:val="0"/>
              <w:spacing w:before="0" w:after="283"/>
              <w:jc w:val="right"/>
              <w:rPr/>
            </w:pPr>
            <w:r>
              <w:rPr/>
              <w:t>12,000,010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12,273,784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12,132,897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5.91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Locus Robotics Corp.</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Wilmington, 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73" w:name="xdx_41E_20251231__srt--ConsolidatedEntit"/>
            <w:bookmarkEnd w:id="573"/>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F 6%</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Warehouse Automation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11/30/2022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74" w:name="xdx_989_eus-gaap--InvestmentOwnedBalance"/>
            <w:bookmarkEnd w:id="574"/>
          </w:p>
        </w:tc>
        <w:tc>
          <w:tcPr>
            <w:tcW w:w="1100" w:type="dxa"/>
            <w:tcBorders/>
            <w:shd w:fill="CCEEFF" w:val="clear"/>
            <w:tcMar>
              <w:bottom w:w="0" w:type="dxa"/>
            </w:tcMar>
            <w:vAlign w:val="center"/>
          </w:tcPr>
          <w:p>
            <w:pPr>
              <w:pStyle w:val="TableContents"/>
              <w:bidi w:val="0"/>
              <w:spacing w:before="0" w:after="283"/>
              <w:jc w:val="right"/>
              <w:rPr/>
            </w:pPr>
            <w:r>
              <w:rPr/>
              <w:t>232,568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10,004,286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11,995,290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5.84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Supplying Demand, Inc. (d/b/a Liquid Death)</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Los Angeles,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75" w:name="xdx_413_20251231__srt--ConsolidatedEntit"/>
            <w:bookmarkEnd w:id="575"/>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F-1</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Lifestyle Beverage Brand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1/18/2024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76" w:name="xdx_98F_eus-gaap--InvestmentOwnedBalance"/>
            <w:bookmarkEnd w:id="576"/>
          </w:p>
        </w:tc>
        <w:tc>
          <w:tcPr>
            <w:tcW w:w="1100" w:type="dxa"/>
            <w:tcBorders/>
            <w:shd w:fill="CCEEFF" w:val="clear"/>
            <w:tcMar>
              <w:bottom w:w="0" w:type="dxa"/>
            </w:tcMar>
            <w:vAlign w:val="center"/>
          </w:tcPr>
          <w:p>
            <w:pPr>
              <w:pStyle w:val="TableContents"/>
              <w:bidi w:val="0"/>
              <w:spacing w:before="0" w:after="283"/>
              <w:jc w:val="right"/>
              <w:rPr/>
            </w:pPr>
            <w:r>
              <w:rPr/>
              <w:t>776,747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10,003,934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9,999,996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4.87</w:t>
            </w:r>
          </w:p>
        </w:tc>
        <w:tc>
          <w:tcPr>
            <w:tcW w:w="230" w:type="dxa"/>
            <w:tcBorders/>
            <w:shd w:fill="CCEEFF" w:val="clear"/>
            <w:tcMar>
              <w:bottom w:w="0" w:type="dxa"/>
            </w:tcMar>
            <w:vAlign w:val="center"/>
          </w:tcPr>
          <w:p>
            <w:pPr>
              <w:pStyle w:val="TableContents"/>
              <w:bidi w:val="0"/>
              <w:spacing w:before="0" w:after="283"/>
              <w:jc w:val="left"/>
              <w:rPr/>
            </w:pPr>
            <w:r>
              <w:rPr/>
              <w:t>%</w:t>
            </w:r>
            <w:bookmarkStart w:id="577" w:name="xdx_41D_20251231__srt--ConsolidatedEntit"/>
            <w:bookmarkEnd w:id="577"/>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F Convertible Note 4.12%, Due 7/15/2030</w:t>
            </w:r>
            <w:bookmarkStart w:id="578" w:name="xdx_F48_zu593ZqFgbce"/>
            <w:bookmarkEnd w:id="578"/>
            <w:r>
              <w:rPr>
                <w:rFonts w:ascii="Times New Roman;Times;Serif" w:hAnsi="Times New Roman;Times;Serif"/>
                <w:sz w:val="20"/>
              </w:rPr>
              <w:t>***</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Lifestyle Beverage Brand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7/29/2025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579" w:name="xdx_98A_eus-gaap--InvestmentOwnedBalance"/>
            <w:bookmarkEnd w:id="579"/>
          </w:p>
        </w:tc>
        <w:tc>
          <w:tcPr>
            <w:tcW w:w="110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252,362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0.12</w:t>
            </w:r>
          </w:p>
        </w:tc>
        <w:tc>
          <w:tcPr>
            <w:tcW w:w="230" w:type="dxa"/>
            <w:tcBorders/>
            <w:shd w:fill="FFFFFF" w:val="clear"/>
            <w:tcMar>
              <w:bottom w:w="0" w:type="dxa"/>
            </w:tcMar>
            <w:vAlign w:val="center"/>
          </w:tcPr>
          <w:p>
            <w:pPr>
              <w:pStyle w:val="TableContents"/>
              <w:bidi w:val="0"/>
              <w:spacing w:before="0" w:after="283"/>
              <w:jc w:val="left"/>
              <w:rPr/>
            </w:pPr>
            <w:r>
              <w:rPr/>
              <w:t>%</w:t>
            </w:r>
            <w:bookmarkStart w:id="580" w:name="xdx_41A_20251231__srt--ConsolidatedEntit"/>
            <w:bookmarkEnd w:id="580"/>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10,256,296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10,249,996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4.99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b/>
                <w:u w:val="single"/>
              </w:rPr>
            </w:pPr>
            <w:r>
              <w:rPr>
                <w:b/>
                <w:u w:val="single"/>
              </w:rPr>
              <w:t>Shogun Enterprises, Inc. (d/b/a Hearth)</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Austin, 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581" w:name="xdx_41F_20251231__srt--ConsolidatedEntit"/>
            <w:bookmarkEnd w:id="581"/>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B-1</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Home Improvement 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2/26/2021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82" w:name="xdx_988_eus-gaap--InvestmentOwnedBalance"/>
            <w:bookmarkEnd w:id="582"/>
          </w:p>
        </w:tc>
        <w:tc>
          <w:tcPr>
            <w:tcW w:w="1100" w:type="dxa"/>
            <w:tcBorders/>
            <w:shd w:fill="CCEEFF" w:val="clear"/>
            <w:tcMar>
              <w:bottom w:w="0" w:type="dxa"/>
            </w:tcMar>
            <w:vAlign w:val="center"/>
          </w:tcPr>
          <w:p>
            <w:pPr>
              <w:pStyle w:val="TableContents"/>
              <w:bidi w:val="0"/>
              <w:spacing w:before="0" w:after="283"/>
              <w:jc w:val="right"/>
              <w:rPr/>
            </w:pPr>
            <w:r>
              <w:rPr/>
              <w:t>436,844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3,501,657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3,499,994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1.70</w:t>
            </w:r>
          </w:p>
        </w:tc>
        <w:tc>
          <w:tcPr>
            <w:tcW w:w="230" w:type="dxa"/>
            <w:tcBorders/>
            <w:shd w:fill="CCEEFF" w:val="clear"/>
            <w:tcMar>
              <w:bottom w:w="0" w:type="dxa"/>
            </w:tcMar>
            <w:vAlign w:val="center"/>
          </w:tcPr>
          <w:p>
            <w:pPr>
              <w:pStyle w:val="TableContents"/>
              <w:bidi w:val="0"/>
              <w:spacing w:before="0" w:after="283"/>
              <w:jc w:val="left"/>
              <w:rPr/>
            </w:pPr>
            <w:r>
              <w:rPr/>
              <w:t>%</w:t>
            </w:r>
            <w:bookmarkStart w:id="583" w:name="xdx_416_20251231__srt--ConsolidatedEntit"/>
            <w:bookmarkEnd w:id="583"/>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B-2</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Home Improvement 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2/26/2021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584" w:name="xdx_983_eus-gaap--InvestmentOwnedBalance"/>
            <w:bookmarkEnd w:id="584"/>
          </w:p>
        </w:tc>
        <w:tc>
          <w:tcPr>
            <w:tcW w:w="1100" w:type="dxa"/>
            <w:tcBorders/>
            <w:shd w:fill="FFFFFF" w:val="clear"/>
            <w:tcMar>
              <w:bottom w:w="0" w:type="dxa"/>
            </w:tcMar>
            <w:vAlign w:val="center"/>
          </w:tcPr>
          <w:p>
            <w:pPr>
              <w:pStyle w:val="TableContents"/>
              <w:bidi w:val="0"/>
              <w:spacing w:before="0" w:after="283"/>
              <w:jc w:val="right"/>
              <w:rPr/>
            </w:pPr>
            <w:r>
              <w:rPr/>
              <w:t>301,750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3,501,661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3,499,998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1.70</w:t>
            </w:r>
          </w:p>
        </w:tc>
        <w:tc>
          <w:tcPr>
            <w:tcW w:w="230" w:type="dxa"/>
            <w:tcBorders/>
            <w:shd w:fill="FFFFFF" w:val="clear"/>
            <w:tcMar>
              <w:bottom w:w="0" w:type="dxa"/>
            </w:tcMar>
            <w:vAlign w:val="center"/>
          </w:tcPr>
          <w:p>
            <w:pPr>
              <w:pStyle w:val="TableContents"/>
              <w:bidi w:val="0"/>
              <w:spacing w:before="0" w:after="283"/>
              <w:jc w:val="left"/>
              <w:rPr/>
            </w:pPr>
            <w:r>
              <w:rPr/>
              <w:t>%</w:t>
            </w:r>
            <w:bookmarkStart w:id="585" w:name="xdx_413_20251231__srt--ConsolidatedEntit"/>
            <w:bookmarkEnd w:id="585"/>
          </w:p>
        </w:tc>
      </w:tr>
      <w:tr>
        <w:trPr/>
        <w:tc>
          <w:tcPr>
            <w:tcW w:w="2450" w:type="dxa"/>
            <w:tcBorders/>
            <w:shd w:fill="CCEEFF" w:val="clear"/>
            <w:tcMar>
              <w:bottom w:w="0" w:type="dxa"/>
            </w:tcMar>
            <w:vAlign w:val="center"/>
          </w:tcPr>
          <w:p>
            <w:pPr>
              <w:pStyle w:val="TableContents"/>
              <w:bidi w:val="0"/>
              <w:spacing w:before="0" w:after="283"/>
              <w:jc w:val="left"/>
              <w:rPr/>
            </w:pPr>
            <w:r>
              <w:rPr/>
              <w:t>Preferred Shares, Series B-3</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Home Improvement 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86" w:name="xdx_982_eus-gaap--InvestmentOwnedBalance"/>
            <w:bookmarkEnd w:id="586"/>
          </w:p>
        </w:tc>
        <w:tc>
          <w:tcPr>
            <w:tcW w:w="1100" w:type="dxa"/>
            <w:tcBorders/>
            <w:shd w:fill="CCEEFF" w:val="clear"/>
            <w:tcMar>
              <w:bottom w:w="0" w:type="dxa"/>
            </w:tcMar>
            <w:vAlign w:val="center"/>
          </w:tcPr>
          <w:p>
            <w:pPr>
              <w:pStyle w:val="TableContents"/>
              <w:bidi w:val="0"/>
              <w:spacing w:before="0" w:after="283"/>
              <w:jc w:val="right"/>
              <w:rPr/>
            </w:pPr>
            <w:r>
              <w:rPr/>
              <w:t>56,936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530,822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530,820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0.26</w:t>
            </w:r>
          </w:p>
        </w:tc>
        <w:tc>
          <w:tcPr>
            <w:tcW w:w="230" w:type="dxa"/>
            <w:tcBorders/>
            <w:shd w:fill="CCEEFF" w:val="clear"/>
            <w:tcMar>
              <w:bottom w:w="0" w:type="dxa"/>
            </w:tcMar>
            <w:vAlign w:val="center"/>
          </w:tcPr>
          <w:p>
            <w:pPr>
              <w:pStyle w:val="TableContents"/>
              <w:bidi w:val="0"/>
              <w:spacing w:before="0" w:after="283"/>
              <w:jc w:val="left"/>
              <w:rPr/>
            </w:pPr>
            <w:r>
              <w:rPr/>
              <w:t>%</w:t>
            </w:r>
            <w:bookmarkStart w:id="587" w:name="xdx_41A_20251231__srt--ConsolidatedEntit"/>
            <w:bookmarkEnd w:id="587"/>
          </w:p>
        </w:tc>
      </w:tr>
      <w:tr>
        <w:trPr/>
        <w:tc>
          <w:tcPr>
            <w:tcW w:w="2450" w:type="dxa"/>
            <w:tcBorders/>
            <w:shd w:fill="FFFFFF" w:val="clear"/>
            <w:tcMar>
              <w:bottom w:w="0" w:type="dxa"/>
            </w:tcMar>
            <w:vAlign w:val="center"/>
          </w:tcPr>
          <w:p>
            <w:pPr>
              <w:pStyle w:val="TableContents"/>
              <w:bidi w:val="0"/>
              <w:spacing w:before="0" w:after="283"/>
              <w:jc w:val="left"/>
              <w:rPr/>
            </w:pPr>
            <w:r>
              <w:rPr/>
              <w:t>Preferred Shares, Series B-4</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Home Improvement 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588" w:name="xdx_98D_eus-gaap--InvestmentOwnedBalance"/>
            <w:bookmarkEnd w:id="588"/>
          </w:p>
        </w:tc>
        <w:tc>
          <w:tcPr>
            <w:tcW w:w="1100" w:type="dxa"/>
            <w:tcBorders/>
            <w:shd w:fill="FFFFFF" w:val="clear"/>
            <w:tcMar>
              <w:bottom w:w="0" w:type="dxa"/>
            </w:tcMar>
            <w:vAlign w:val="center"/>
          </w:tcPr>
          <w:p>
            <w:pPr>
              <w:pStyle w:val="TableContents"/>
              <w:bidi w:val="0"/>
              <w:spacing w:before="0" w:after="283"/>
              <w:jc w:val="right"/>
              <w:rPr/>
            </w:pPr>
            <w:r>
              <w:rPr/>
              <w:t>48,267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366,606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499,998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0.24</w:t>
            </w:r>
          </w:p>
        </w:tc>
        <w:tc>
          <w:tcPr>
            <w:tcW w:w="230" w:type="dxa"/>
            <w:tcBorders/>
            <w:shd w:fill="FFFFFF" w:val="clear"/>
            <w:tcMar>
              <w:bottom w:w="0" w:type="dxa"/>
            </w:tcMar>
            <w:vAlign w:val="center"/>
          </w:tcPr>
          <w:p>
            <w:pPr>
              <w:pStyle w:val="TableContents"/>
              <w:bidi w:val="0"/>
              <w:spacing w:before="0" w:after="283"/>
              <w:jc w:val="left"/>
              <w:rPr/>
            </w:pPr>
            <w:r>
              <w:rPr/>
              <w:t>%</w:t>
            </w:r>
            <w:bookmarkStart w:id="589" w:name="xdx_41F_20251231__srt--ConsolidatedEntit"/>
            <w:bookmarkEnd w:id="589"/>
          </w:p>
        </w:tc>
      </w:tr>
      <w:tr>
        <w:trPr/>
        <w:tc>
          <w:tcPr>
            <w:tcW w:w="2450" w:type="dxa"/>
            <w:tcBorders/>
            <w:shd w:fill="CCEEFF" w:val="clear"/>
            <w:tcMar>
              <w:bottom w:w="0" w:type="dxa"/>
            </w:tcMar>
            <w:vAlign w:val="center"/>
          </w:tcPr>
          <w:p>
            <w:pPr>
              <w:pStyle w:val="TableContents"/>
              <w:bidi w:val="0"/>
              <w:spacing w:before="0" w:after="283"/>
              <w:jc w:val="left"/>
              <w:rPr/>
            </w:pPr>
            <w:r>
              <w:rPr/>
              <w:t>Common Warrants, Strike Price $0.01, Expiration Date 7/12/2026</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Home Improvement 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7/12/2023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590" w:name="xdx_981_eus-gaap--InvestmentOwnedBalance"/>
            <w:bookmarkEnd w:id="590"/>
          </w:p>
        </w:tc>
        <w:tc>
          <w:tcPr>
            <w:tcW w:w="1100" w:type="dxa"/>
            <w:tcBorders/>
            <w:shd w:fill="CCEEFF" w:val="clear"/>
            <w:tcMar>
              <w:bottom w:w="0" w:type="dxa"/>
            </w:tcMar>
            <w:vAlign w:val="center"/>
          </w:tcPr>
          <w:p>
            <w:pPr>
              <w:pStyle w:val="TableContents"/>
              <w:bidi w:val="0"/>
              <w:spacing w:before="0" w:after="283"/>
              <w:jc w:val="right"/>
              <w:rPr/>
            </w:pPr>
            <w:r>
              <w:rPr/>
              <w:t>86,076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140,060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259,089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0.13</w:t>
            </w:r>
          </w:p>
        </w:tc>
        <w:tc>
          <w:tcPr>
            <w:tcW w:w="230" w:type="dxa"/>
            <w:tcBorders/>
            <w:shd w:fill="CCEEFF" w:val="clear"/>
            <w:tcMar>
              <w:bottom w:w="0" w:type="dxa"/>
            </w:tcMar>
            <w:vAlign w:val="center"/>
          </w:tcPr>
          <w:p>
            <w:pPr>
              <w:pStyle w:val="TableContents"/>
              <w:bidi w:val="0"/>
              <w:spacing w:before="0" w:after="283"/>
              <w:jc w:val="left"/>
              <w:rPr/>
            </w:pPr>
            <w:r>
              <w:rPr/>
              <w:t>%</w:t>
            </w:r>
            <w:bookmarkStart w:id="591" w:name="xdx_417_20251231__srt--ConsolidatedEntit"/>
            <w:bookmarkEnd w:id="591"/>
          </w:p>
        </w:tc>
      </w:tr>
      <w:tr>
        <w:trPr/>
        <w:tc>
          <w:tcPr>
            <w:tcW w:w="2450" w:type="dxa"/>
            <w:tcBorders/>
            <w:shd w:fill="FFFFFF" w:val="clear"/>
            <w:tcMar>
              <w:bottom w:w="0" w:type="dxa"/>
            </w:tcMar>
            <w:vAlign w:val="center"/>
          </w:tcPr>
          <w:p>
            <w:pPr>
              <w:pStyle w:val="TableContents"/>
              <w:bidi w:val="0"/>
              <w:spacing w:before="0" w:after="283"/>
              <w:jc w:val="left"/>
              <w:rPr/>
            </w:pPr>
            <w:r>
              <w:rPr/>
              <w:t>Total</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8,040,806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8,289,899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4.04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450" w:type="dxa"/>
            <w:tcBorders/>
            <w:shd w:fill="CCEEFF" w:val="clear"/>
            <w:tcMar>
              <w:bottom w:w="0" w:type="dxa"/>
            </w:tcMar>
            <w:vAlign w:val="center"/>
          </w:tcPr>
          <w:p>
            <w:pPr>
              <w:pStyle w:val="TableContents"/>
              <w:bidi w:val="0"/>
              <w:spacing w:before="0" w:after="283"/>
              <w:jc w:val="left"/>
              <w:rPr>
                <w:b/>
                <w:u w:val="single"/>
              </w:rPr>
            </w:pPr>
            <w:r>
              <w:rPr>
                <w:b/>
                <w:u w:val="single"/>
              </w:rPr>
              <w:t>FourKites, Inc.</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Chicago, 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592" w:name="xdx_417_20251231__srt--ConsolidatedEntit"/>
            <w:bookmarkEnd w:id="592"/>
          </w:p>
        </w:tc>
      </w:tr>
      <w:tr>
        <w:trPr/>
        <w:tc>
          <w:tcPr>
            <w:tcW w:w="2450" w:type="dxa"/>
            <w:tcBorders/>
            <w:shd w:fill="FFFFFF" w:val="clear"/>
            <w:tcMar>
              <w:bottom w:w="0" w:type="dxa"/>
            </w:tcMar>
            <w:vAlign w:val="center"/>
          </w:tcPr>
          <w:p>
            <w:pPr>
              <w:pStyle w:val="TableContents"/>
              <w:bidi w:val="0"/>
              <w:spacing w:before="0" w:after="283"/>
              <w:jc w:val="left"/>
              <w:rPr/>
            </w:pPr>
            <w:r>
              <w:rPr/>
              <w:t>Common Shares</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Supply Chain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7/7/2023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593" w:name="xdx_98B_eus-gaap--InvestmentOwnedBalance"/>
            <w:bookmarkEnd w:id="593"/>
          </w:p>
        </w:tc>
        <w:tc>
          <w:tcPr>
            <w:tcW w:w="1100" w:type="dxa"/>
            <w:tcBorders/>
            <w:shd w:fill="FFFFFF" w:val="clear"/>
            <w:tcMar>
              <w:bottom w:w="0" w:type="dxa"/>
            </w:tcMar>
            <w:vAlign w:val="center"/>
          </w:tcPr>
          <w:p>
            <w:pPr>
              <w:pStyle w:val="TableContents"/>
              <w:bidi w:val="0"/>
              <w:spacing w:before="0" w:after="283"/>
              <w:jc w:val="right"/>
              <w:rPr/>
            </w:pPr>
            <w:r>
              <w:rPr/>
              <w:t>1,398,024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8,530,389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5,682,945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2.77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450" w:type="dxa"/>
            <w:tcBorders/>
            <w:shd w:fill="CCEEFF" w:val="clear"/>
            <w:tcMar>
              <w:bottom w:w="0" w:type="dxa"/>
            </w:tcMar>
            <w:vAlign w:val="center"/>
          </w:tcPr>
          <w:p>
            <w:pPr>
              <w:pStyle w:val="TableContents"/>
              <w:bidi w:val="0"/>
              <w:spacing w:before="0" w:after="283"/>
              <w:jc w:val="left"/>
              <w:rPr>
                <w:b/>
                <w:u w:val="single"/>
              </w:rPr>
            </w:pPr>
            <w:r>
              <w:rPr>
                <w:b/>
                <w:u w:val="single"/>
              </w:rPr>
              <w:t>Neutron Holdings, Inc. (d/b/a Lime)</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San Francisco,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594" w:name="xdx_41B_20251231__srt--ConsolidatedEntit"/>
            <w:bookmarkEnd w:id="594"/>
          </w:p>
        </w:tc>
      </w:tr>
      <w:tr>
        <w:trPr/>
        <w:tc>
          <w:tcPr>
            <w:tcW w:w="2450" w:type="dxa"/>
            <w:tcBorders/>
            <w:shd w:fill="FFFFFF" w:val="clear"/>
            <w:tcMar>
              <w:bottom w:w="0" w:type="dxa"/>
            </w:tcMar>
            <w:vAlign w:val="center"/>
          </w:tcPr>
          <w:p>
            <w:pPr>
              <w:pStyle w:val="TableContents"/>
              <w:bidi w:val="0"/>
              <w:spacing w:before="0" w:after="283"/>
              <w:jc w:val="left"/>
              <w:rPr/>
            </w:pPr>
            <w:r>
              <w:rPr/>
              <w:t>Junior Preferred Shares, Series 1-D</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Micromobility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1/25/2019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595" w:name="xdx_982_eus-gaap--InvestmentOwnedBalance"/>
            <w:bookmarkEnd w:id="595"/>
          </w:p>
        </w:tc>
        <w:tc>
          <w:tcPr>
            <w:tcW w:w="1100" w:type="dxa"/>
            <w:tcBorders/>
            <w:shd w:fill="FFFFFF" w:val="clear"/>
            <w:tcMar>
              <w:bottom w:w="0" w:type="dxa"/>
            </w:tcMar>
            <w:vAlign w:val="center"/>
          </w:tcPr>
          <w:p>
            <w:pPr>
              <w:pStyle w:val="TableContents"/>
              <w:bidi w:val="0"/>
              <w:spacing w:before="0" w:after="283"/>
              <w:jc w:val="right"/>
              <w:rPr/>
            </w:pPr>
            <w:r>
              <w:rPr/>
              <w:t>41,237,113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10,007,322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4,703,189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2.29</w:t>
            </w:r>
          </w:p>
        </w:tc>
        <w:tc>
          <w:tcPr>
            <w:tcW w:w="230" w:type="dxa"/>
            <w:tcBorders/>
            <w:shd w:fill="FFFFFF" w:val="clear"/>
            <w:tcMar>
              <w:bottom w:w="0" w:type="dxa"/>
            </w:tcMar>
            <w:vAlign w:val="center"/>
          </w:tcPr>
          <w:p>
            <w:pPr>
              <w:pStyle w:val="TableContents"/>
              <w:bidi w:val="0"/>
              <w:spacing w:before="0" w:after="283"/>
              <w:jc w:val="left"/>
              <w:rPr/>
            </w:pPr>
            <w:r>
              <w:rPr/>
              <w:t>%</w:t>
            </w:r>
            <w:bookmarkStart w:id="596" w:name="xdx_41C_20251231__srt--ConsolidatedEntit"/>
            <w:bookmarkEnd w:id="596"/>
          </w:p>
        </w:tc>
      </w:tr>
      <w:tr>
        <w:trPr/>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Junior Preferred Convertible Note 4% Due 5/11/2027</w:t>
            </w:r>
            <w:bookmarkStart w:id="597" w:name="xdx_F45_z0maZXC5o8ui"/>
            <w:bookmarkEnd w:id="597"/>
            <w:r>
              <w:rPr>
                <w:rFonts w:ascii="Times New Roman;Times;Serif" w:hAnsi="Times New Roman;Times;Serif"/>
                <w:sz w:val="20"/>
              </w:rPr>
              <w:t>***</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Micromobility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5/11/2020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598" w:name="xdx_989_eus-gaap--InvestmentOwnedBalance"/>
            <w:bookmarkEnd w:id="598"/>
          </w:p>
        </w:tc>
        <w:tc>
          <w:tcPr>
            <w:tcW w:w="1100" w:type="dxa"/>
            <w:tcBorders/>
            <w:shd w:fill="CCEEFF" w:val="clear"/>
            <w:tcMar>
              <w:bottom w:w="0" w:type="dxa"/>
            </w:tcMar>
            <w:vAlign w:val="center"/>
          </w:tcPr>
          <w:p>
            <w:pPr>
              <w:pStyle w:val="TableContents"/>
              <w:bidi w:val="0"/>
              <w:spacing w:before="0" w:after="283"/>
              <w:jc w:val="right"/>
              <w:rPr/>
            </w:pPr>
            <w:r>
              <w:rPr/>
              <w:t>506,339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506,339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506,339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0.25</w:t>
            </w:r>
          </w:p>
        </w:tc>
        <w:tc>
          <w:tcPr>
            <w:tcW w:w="230" w:type="dxa"/>
            <w:tcBorders/>
            <w:shd w:fill="CCEEFF" w:val="clear"/>
            <w:tcMar>
              <w:bottom w:w="0" w:type="dxa"/>
            </w:tcMar>
            <w:vAlign w:val="center"/>
          </w:tcPr>
          <w:p>
            <w:pPr>
              <w:pStyle w:val="TableContents"/>
              <w:bidi w:val="0"/>
              <w:spacing w:before="0" w:after="283"/>
              <w:jc w:val="left"/>
              <w:rPr/>
            </w:pPr>
            <w:r>
              <w:rPr/>
              <w:t>%</w:t>
            </w:r>
            <w:bookmarkStart w:id="599" w:name="xdx_419_20251231__srt--ConsolidatedEntit"/>
            <w:bookmarkEnd w:id="599"/>
          </w:p>
        </w:tc>
      </w:tr>
      <w:tr>
        <w:trPr/>
        <w:tc>
          <w:tcPr>
            <w:tcW w:w="2450" w:type="dxa"/>
            <w:tcBorders/>
            <w:shd w:fill="FFFFFF" w:val="clear"/>
            <w:tcMar>
              <w:bottom w:w="0" w:type="dxa"/>
            </w:tcMar>
            <w:vAlign w:val="center"/>
          </w:tcPr>
          <w:p>
            <w:pPr>
              <w:pStyle w:val="TableContents"/>
              <w:bidi w:val="0"/>
              <w:spacing w:before="0" w:after="283"/>
              <w:jc w:val="left"/>
              <w:rPr/>
            </w:pPr>
            <w:r>
              <w:rPr/>
              <w:t>Common Warrants, Strike Price $0.01, Expiration Date 5/11/2027</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Micromobility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5/11/2020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00" w:name="xdx_985_eus-gaap--InvestmentOwnedBalance"/>
            <w:bookmarkEnd w:id="600"/>
          </w:p>
        </w:tc>
        <w:tc>
          <w:tcPr>
            <w:tcW w:w="1100" w:type="dxa"/>
            <w:tcBorders/>
            <w:shd w:fill="FFFFFF" w:val="clear"/>
            <w:tcMar>
              <w:bottom w:w="0" w:type="dxa"/>
            </w:tcMar>
            <w:vAlign w:val="center"/>
          </w:tcPr>
          <w:p>
            <w:pPr>
              <w:pStyle w:val="TableContents"/>
              <w:bidi w:val="0"/>
              <w:spacing w:before="0" w:after="283"/>
              <w:jc w:val="right"/>
              <w:rPr/>
            </w:pPr>
            <w:r>
              <w:rPr/>
              <w:t>2,032,967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203,297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0.10</w:t>
            </w:r>
          </w:p>
        </w:tc>
        <w:tc>
          <w:tcPr>
            <w:tcW w:w="230" w:type="dxa"/>
            <w:tcBorders/>
            <w:shd w:fill="FFFFFF" w:val="clear"/>
            <w:tcMar>
              <w:bottom w:w="0" w:type="dxa"/>
            </w:tcMar>
            <w:vAlign w:val="center"/>
          </w:tcPr>
          <w:p>
            <w:pPr>
              <w:pStyle w:val="TableContents"/>
              <w:bidi w:val="0"/>
              <w:spacing w:before="0" w:after="283"/>
              <w:jc w:val="left"/>
              <w:rPr/>
            </w:pPr>
            <w:r>
              <w:rPr/>
              <w:t>%</w:t>
            </w:r>
            <w:bookmarkStart w:id="601" w:name="xdx_41F_20251231__srt--ConsolidatedEntit"/>
            <w:bookmarkEnd w:id="601"/>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10,513,661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5,412,825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2.64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Plaid Inc.</w:t>
            </w:r>
            <w:r>
              <w:rPr>
                <w:rFonts w:ascii="Times New Roman;Times;Serif" w:hAnsi="Times New Roman;Times;Serif"/>
                <w:b/>
                <w:position w:val="7"/>
                <w:sz w:val="16"/>
                <w:sz w:val="20"/>
                <w:u w:val="single"/>
              </w:rPr>
              <w:t>(8)</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San Francisco,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602" w:name="xdx_419_20251231__srt--ConsolidatedEntit"/>
            <w:bookmarkEnd w:id="602"/>
          </w:p>
        </w:tc>
      </w:tr>
      <w:tr>
        <w:trPr/>
        <w:tc>
          <w:tcPr>
            <w:tcW w:w="2450" w:type="dxa"/>
            <w:tcBorders/>
            <w:shd w:fill="CCEEFF" w:val="clear"/>
            <w:tcMar>
              <w:bottom w:w="0" w:type="dxa"/>
            </w:tcMar>
            <w:vAlign w:val="center"/>
          </w:tcPr>
          <w:p>
            <w:pPr>
              <w:pStyle w:val="TableContents"/>
              <w:bidi w:val="0"/>
              <w:spacing w:before="0" w:after="283"/>
              <w:jc w:val="left"/>
              <w:rPr/>
            </w:pPr>
            <w:r>
              <w:rPr/>
              <w:t>Common Shares</w:t>
            </w:r>
          </w:p>
        </w:tc>
        <w:tc>
          <w:tcPr>
            <w:tcW w:w="4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bookmarkStart w:id="603" w:name="xdx_F43_zf9fN6carJ1h"/>
            <w:bookmarkEnd w:id="603"/>
            <w:r>
              <w:rPr>
                <w:rFonts w:ascii="Times New Roman;Times;Serif" w:hAnsi="Times New Roman;Times;Serif"/>
              </w:rPr>
              <w:t>(8)</w:t>
            </w:r>
          </w:p>
        </w:tc>
        <w:tc>
          <w:tcPr>
            <w:tcW w:w="1460" w:type="dxa"/>
            <w:tcBorders/>
            <w:shd w:fill="CCEEFF" w:val="clear"/>
            <w:tcMar>
              <w:bottom w:w="0" w:type="dxa"/>
            </w:tcMar>
            <w:vAlign w:val="center"/>
          </w:tcPr>
          <w:p>
            <w:pPr>
              <w:pStyle w:val="TableContents"/>
              <w:bidi w:val="0"/>
              <w:spacing w:before="0" w:after="283"/>
              <w:jc w:val="center"/>
              <w:rPr/>
            </w:pPr>
            <w:r>
              <w:rPr/>
              <w:t>Financial Technology Infrastructure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4/4/2025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04" w:name="xdx_981_eus-gaap--InvestmentOwnedBalance"/>
            <w:bookmarkEnd w:id="604"/>
          </w:p>
        </w:tc>
        <w:tc>
          <w:tcPr>
            <w:tcW w:w="1100" w:type="dxa"/>
            <w:tcBorders/>
            <w:shd w:fill="CCEEFF" w:val="clear"/>
            <w:tcMar>
              <w:bottom w:w="0" w:type="dxa"/>
            </w:tcMar>
            <w:vAlign w:val="center"/>
          </w:tcPr>
          <w:p>
            <w:pPr>
              <w:pStyle w:val="TableContents"/>
              <w:bidi w:val="0"/>
              <w:spacing w:before="0" w:after="283"/>
              <w:jc w:val="right"/>
              <w:rPr/>
            </w:pPr>
            <w:r>
              <w:rPr/>
              <w:t>24,512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5,395,542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4,999,874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2.44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GrabAGun Digital Holdings Inc.</w:t>
            </w:r>
            <w:r>
              <w:rPr>
                <w:rFonts w:ascii="Times New Roman;Times;Serif" w:hAnsi="Times New Roman;Times;Serif"/>
                <w:b/>
                <w:position w:val="7"/>
                <w:sz w:val="16"/>
                <w:sz w:val="20"/>
                <w:u w:val="single"/>
              </w:rPr>
              <w:t>(9)</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Coppell, 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605" w:name="xdx_410_20251231__srt--ConsolidatedEntit"/>
            <w:bookmarkEnd w:id="605"/>
          </w:p>
        </w:tc>
      </w:tr>
      <w:tr>
        <w:trPr/>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r>
              <w:rPr>
                <w:rFonts w:ascii="Times New Roman;Times;Serif" w:hAnsi="Times New Roman;Times;Serif"/>
                <w:position w:val="7"/>
                <w:sz w:val="16"/>
                <w:sz w:val="20"/>
              </w:rPr>
              <w:t>(4)</w:t>
            </w:r>
          </w:p>
        </w:tc>
        <w:tc>
          <w:tcPr>
            <w:tcW w:w="4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bookmarkStart w:id="606" w:name="xdx_F45_z3rsDSyf6oji"/>
            <w:bookmarkEnd w:id="606"/>
            <w:r>
              <w:rPr>
                <w:rFonts w:ascii="Times New Roman;Times;Serif" w:hAnsi="Times New Roman;Times;Serif"/>
              </w:rPr>
              <w:t>(4)(9) </w:t>
            </w:r>
          </w:p>
        </w:tc>
        <w:tc>
          <w:tcPr>
            <w:tcW w:w="1460" w:type="dxa"/>
            <w:tcBorders/>
            <w:shd w:fill="CCEEFF" w:val="clear"/>
            <w:tcMar>
              <w:bottom w:w="0" w:type="dxa"/>
            </w:tcMar>
            <w:vAlign w:val="center"/>
          </w:tcPr>
          <w:p>
            <w:pPr>
              <w:pStyle w:val="TableContents"/>
              <w:bidi w:val="0"/>
              <w:spacing w:before="0" w:after="283"/>
              <w:jc w:val="center"/>
              <w:rPr/>
            </w:pPr>
            <w:r>
              <w:rPr/>
              <w:t>E-Commerce Marketplace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11/20/2023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07" w:name="xdx_98F_eus-gaap--InvestmentOwnedBalance"/>
            <w:bookmarkEnd w:id="607"/>
          </w:p>
        </w:tc>
        <w:tc>
          <w:tcPr>
            <w:tcW w:w="1100" w:type="dxa"/>
            <w:tcBorders/>
            <w:shd w:fill="CCEEFF" w:val="clear"/>
            <w:tcMar>
              <w:bottom w:w="0" w:type="dxa"/>
            </w:tcMar>
            <w:vAlign w:val="center"/>
          </w:tcPr>
          <w:p>
            <w:pPr>
              <w:pStyle w:val="TableContents"/>
              <w:bidi w:val="0"/>
              <w:spacing w:before="0" w:after="283"/>
              <w:jc w:val="right"/>
              <w:rPr/>
            </w:pPr>
            <w:r>
              <w:rPr/>
              <w:t>1,040,000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1,103,719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3,130,400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1.52</w:t>
            </w:r>
          </w:p>
        </w:tc>
        <w:tc>
          <w:tcPr>
            <w:tcW w:w="230" w:type="dxa"/>
            <w:tcBorders/>
            <w:shd w:fill="CCEEFF" w:val="clear"/>
            <w:tcMar>
              <w:bottom w:w="0" w:type="dxa"/>
            </w:tcMar>
            <w:vAlign w:val="center"/>
          </w:tcPr>
          <w:p>
            <w:pPr>
              <w:pStyle w:val="TableContents"/>
              <w:bidi w:val="0"/>
              <w:spacing w:before="0" w:after="283"/>
              <w:jc w:val="left"/>
              <w:rPr/>
            </w:pPr>
            <w:r>
              <w:rPr/>
              <w:t>%</w:t>
            </w:r>
            <w:bookmarkStart w:id="608" w:name="xdx_416_20251231__srt--ConsolidatedEntit"/>
            <w:bookmarkEnd w:id="608"/>
          </w:p>
        </w:tc>
      </w:tr>
      <w:tr>
        <w:trPr/>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Warrants, Strike Price $11.50, Expiration Date 7/15/2030</w:t>
            </w:r>
            <w:bookmarkStart w:id="609" w:name="xdx_F42_zjBNoIuyoB75"/>
            <w:bookmarkEnd w:id="609"/>
            <w:r>
              <w:rPr>
                <w:rFonts w:ascii="Times New Roman;Times;Serif" w:hAnsi="Times New Roman;Times;Serif"/>
                <w:sz w:val="20"/>
              </w:rPr>
              <w:t>(4)</w:t>
            </w:r>
          </w:p>
        </w:tc>
        <w:tc>
          <w:tcPr>
            <w:tcW w:w="45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E-Commerce Marketplace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11/20/2023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10" w:name="xdx_987_eus-gaap--InvestmentOwnedBalance"/>
            <w:bookmarkEnd w:id="610"/>
          </w:p>
        </w:tc>
        <w:tc>
          <w:tcPr>
            <w:tcW w:w="1100" w:type="dxa"/>
            <w:tcBorders/>
            <w:shd w:fill="FFFFFF" w:val="clear"/>
            <w:tcMar>
              <w:bottom w:w="0" w:type="dxa"/>
            </w:tcMar>
            <w:vAlign w:val="center"/>
          </w:tcPr>
          <w:p>
            <w:pPr>
              <w:pStyle w:val="TableContents"/>
              <w:bidi w:val="0"/>
              <w:spacing w:before="0" w:after="283"/>
              <w:jc w:val="right"/>
              <w:rPr/>
            </w:pPr>
            <w:r>
              <w:rPr/>
              <w:t>1,204,488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375,816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451,683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88" w:type="dxa"/>
            <w:tcBorders>
              <w:bottom w:val="single" w:sz="8" w:space="0" w:color="000000"/>
            </w:tcBorders>
            <w:shd w:fill="FFFFFF" w:val="clear"/>
            <w:vAlign w:val="center"/>
          </w:tcPr>
          <w:p>
            <w:pPr>
              <w:pStyle w:val="TableContents"/>
              <w:bidi w:val="0"/>
              <w:spacing w:before="0" w:after="283"/>
              <w:jc w:val="right"/>
              <w:rPr/>
            </w:pPr>
            <w:r>
              <w:rPr/>
              <w:t>0.22</w:t>
            </w:r>
          </w:p>
        </w:tc>
        <w:tc>
          <w:tcPr>
            <w:tcW w:w="230" w:type="dxa"/>
            <w:tcBorders/>
            <w:shd w:fill="FFFFFF" w:val="clear"/>
            <w:tcMar>
              <w:bottom w:w="0" w:type="dxa"/>
            </w:tcMar>
            <w:vAlign w:val="center"/>
          </w:tcPr>
          <w:p>
            <w:pPr>
              <w:pStyle w:val="TableContents"/>
              <w:bidi w:val="0"/>
              <w:spacing w:before="0" w:after="283"/>
              <w:jc w:val="left"/>
              <w:rPr/>
            </w:pPr>
            <w:r>
              <w:rPr/>
              <w:t>%</w:t>
            </w:r>
            <w:bookmarkStart w:id="611" w:name="xdx_418_20251231__srt--ConsolidatedEntit"/>
            <w:bookmarkEnd w:id="611"/>
          </w:p>
        </w:tc>
      </w:tr>
      <w:tr>
        <w:trPr/>
        <w:tc>
          <w:tcPr>
            <w:tcW w:w="2450" w:type="dxa"/>
            <w:tcBorders/>
            <w:shd w:fill="CCEEFF" w:val="clear"/>
            <w:tcMar>
              <w:bottom w:w="0" w:type="dxa"/>
            </w:tcMar>
            <w:vAlign w:val="center"/>
          </w:tcPr>
          <w:p>
            <w:pPr>
              <w:pStyle w:val="TableContents"/>
              <w:bidi w:val="0"/>
              <w:spacing w:before="0" w:after="283"/>
              <w:jc w:val="left"/>
              <w:rPr/>
            </w:pPr>
            <w:r>
              <w:rPr/>
              <w:t>Total</w:t>
            </w:r>
          </w:p>
        </w:tc>
        <w:tc>
          <w:tcPr>
            <w:tcW w:w="45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1,479,535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3,582,083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88" w:type="dxa"/>
            <w:tcBorders>
              <w:bottom w:val="single" w:sz="8" w:space="0" w:color="000000"/>
            </w:tcBorders>
            <w:shd w:fill="CCEEFF" w:val="clear"/>
            <w:vAlign w:val="center"/>
          </w:tcPr>
          <w:p>
            <w:pPr>
              <w:pStyle w:val="TableContents"/>
              <w:bidi w:val="0"/>
              <w:spacing w:before="0" w:after="283"/>
              <w:jc w:val="right"/>
              <w:rPr/>
            </w:pPr>
            <w:r>
              <w:rPr/>
              <w:t>1.74</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21"/>
        <w:gridCol w:w="555"/>
        <w:gridCol w:w="60"/>
        <w:gridCol w:w="1487"/>
        <w:gridCol w:w="60"/>
        <w:gridCol w:w="1145"/>
        <w:gridCol w:w="60"/>
        <w:gridCol w:w="140"/>
        <w:gridCol w:w="980"/>
        <w:gridCol w:w="60"/>
        <w:gridCol w:w="60"/>
        <w:gridCol w:w="60"/>
        <w:gridCol w:w="1100"/>
        <w:gridCol w:w="60"/>
        <w:gridCol w:w="60"/>
        <w:gridCol w:w="60"/>
        <w:gridCol w:w="990"/>
        <w:gridCol w:w="60"/>
        <w:gridCol w:w="60"/>
        <w:gridCol w:w="83"/>
        <w:gridCol w:w="610"/>
        <w:gridCol w:w="234"/>
      </w:tblGrid>
      <w:tr>
        <w:trPr/>
        <w:tc>
          <w:tcPr>
            <w:tcW w:w="2221" w:type="dxa"/>
            <w:tcBorders>
              <w:bottom w:val="single" w:sz="8" w:space="0" w:color="000000"/>
            </w:tcBorders>
            <w:vAlign w:val="center"/>
          </w:tcPr>
          <w:p>
            <w:pPr>
              <w:pStyle w:val="TableContents"/>
              <w:bidi w:val="0"/>
              <w:spacing w:before="0" w:after="283"/>
              <w:jc w:val="left"/>
              <w:rPr/>
            </w:pPr>
            <w:r>
              <w:rPr/>
              <w:t> </w:t>
            </w:r>
          </w:p>
        </w:tc>
        <w:tc>
          <w:tcPr>
            <w:tcW w:w="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12" w:name="xdx_488_ecustom--InvestmentIndustryDescr"/>
            <w:bookmarkEnd w:id="612"/>
          </w:p>
        </w:tc>
        <w:tc>
          <w:tcPr>
            <w:tcW w:w="1487"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bookmarkStart w:id="613" w:name="xdx_487_ecustom--InitialInvestmentDate_i"/>
            <w:bookmarkEnd w:id="613"/>
          </w:p>
        </w:tc>
        <w:tc>
          <w:tcPr>
            <w:tcW w:w="1145"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14" w:name="xdx_483_eus-gaap--InvestmentOwnedAtCost_"/>
            <w:bookmarkEnd w:id="614"/>
          </w:p>
        </w:tc>
        <w:tc>
          <w:tcPr>
            <w:tcW w:w="1160"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15" w:name="xdx_488_eus-gaap--InvestmentOwnedAtFairV"/>
            <w:bookmarkEnd w:id="615"/>
          </w:p>
        </w:tc>
        <w:tc>
          <w:tcPr>
            <w:tcW w:w="1050"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16" w:name="xdx_485_eus-gaap--InvestmentOwnedPercent"/>
            <w:bookmarkEnd w:id="616"/>
          </w:p>
        </w:tc>
        <w:tc>
          <w:tcPr>
            <w:tcW w:w="693" w:type="dxa"/>
            <w:gridSpan w:val="2"/>
            <w:tcBorders>
              <w:bottom w:val="single" w:sz="8" w:space="0" w:color="000000"/>
            </w:tcBorders>
            <w:vAlign w:val="center"/>
          </w:tcPr>
          <w:p>
            <w:pPr>
              <w:pStyle w:val="TableContents"/>
              <w:bidi w:val="0"/>
              <w:spacing w:before="0" w:after="283"/>
              <w:jc w:val="center"/>
              <w:rPr/>
            </w:pPr>
            <w:r>
              <w:rPr/>
              <w:t> </w:t>
            </w:r>
          </w:p>
        </w:tc>
        <w:tc>
          <w:tcPr>
            <w:tcW w:w="234" w:type="dxa"/>
            <w:tcBorders/>
            <w:tcMar>
              <w:bottom w:w="0" w:type="dxa"/>
            </w:tcMar>
            <w:vAlign w:val="center"/>
          </w:tcPr>
          <w:p>
            <w:pPr>
              <w:pStyle w:val="TableContents"/>
              <w:bidi w:val="0"/>
              <w:spacing w:before="0" w:after="283"/>
              <w:jc w:val="left"/>
              <w:rPr/>
            </w:pPr>
            <w:r>
              <w:rPr/>
              <w:t> </w:t>
            </w:r>
          </w:p>
        </w:tc>
      </w:tr>
      <w:tr>
        <w:trPr/>
        <w:tc>
          <w:tcPr>
            <w:tcW w:w="2221" w:type="dxa"/>
            <w:tcBorders>
              <w:bottom w:val="single" w:sz="8" w:space="0" w:color="000000"/>
            </w:tcBorders>
            <w:vAlign w:val="center"/>
          </w:tcPr>
          <w:p>
            <w:pPr>
              <w:pStyle w:val="TableContents"/>
              <w:bidi w:val="0"/>
              <w:spacing w:before="0" w:after="283"/>
              <w:jc w:val="left"/>
              <w:rPr>
                <w:b/>
              </w:rPr>
            </w:pPr>
            <w:r>
              <w:rPr>
                <w:b/>
              </w:rPr>
              <w:t>Portfolio Investments*</w:t>
            </w:r>
          </w:p>
        </w:tc>
        <w:tc>
          <w:tcPr>
            <w:tcW w:w="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0"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3"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34" w:type="dxa"/>
            <w:tcBorders/>
            <w:tcMar>
              <w:bottom w:w="0" w:type="dxa"/>
            </w:tcMar>
            <w:vAlign w:val="center"/>
          </w:tcPr>
          <w:p>
            <w:pPr>
              <w:pStyle w:val="TableContents"/>
              <w:bidi w:val="0"/>
              <w:spacing w:before="0" w:after="283"/>
              <w:jc w:val="left"/>
              <w:rPr/>
            </w:pPr>
            <w:r>
              <w:rPr/>
              <w:t> </w:t>
            </w:r>
          </w:p>
        </w:tc>
      </w:tr>
      <w:tr>
        <w:trPr/>
        <w:tc>
          <w:tcPr>
            <w:tcW w:w="2221" w:type="dxa"/>
            <w:tcBorders/>
            <w:shd w:fill="CCEEFF" w:val="clear"/>
            <w:tcMar>
              <w:bottom w:w="0" w:type="dxa"/>
            </w:tcMar>
            <w:vAlign w:val="center"/>
          </w:tcPr>
          <w:p>
            <w:pPr>
              <w:pStyle w:val="TableContents"/>
              <w:bidi w:val="0"/>
              <w:spacing w:before="0" w:after="283"/>
              <w:jc w:val="left"/>
              <w:rPr>
                <w:b/>
                <w:u w:val="single"/>
              </w:rPr>
            </w:pPr>
            <w:r>
              <w:rPr>
                <w:b/>
                <w:u w:val="single"/>
              </w:rPr>
              <w:t>PayJoy, Inc.</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San Francisco,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17" w:name="xdx_417_20251231__srt--ConsolidatedEntit"/>
            <w:bookmarkEnd w:id="617"/>
          </w:p>
        </w:tc>
      </w:tr>
      <w:tr>
        <w:trPr/>
        <w:tc>
          <w:tcPr>
            <w:tcW w:w="2221" w:type="dxa"/>
            <w:tcBorders/>
            <w:shd w:fill="FFFFFF" w:val="clear"/>
            <w:tcMar>
              <w:bottom w:w="0" w:type="dxa"/>
            </w:tcMar>
            <w:vAlign w:val="center"/>
          </w:tcPr>
          <w:p>
            <w:pPr>
              <w:pStyle w:val="TableContents"/>
              <w:bidi w:val="0"/>
              <w:spacing w:before="0" w:after="283"/>
              <w:jc w:val="left"/>
              <w:rPr/>
            </w:pPr>
            <w:r>
              <w:rPr/>
              <w:t>Preferred Shares, Series C</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Mobile Access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7/23/2021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18" w:name="xdx_98A_eus-gaap--InvestmentOwnedBalance"/>
            <w:bookmarkEnd w:id="618"/>
          </w:p>
        </w:tc>
        <w:tc>
          <w:tcPr>
            <w:tcW w:w="980" w:type="dxa"/>
            <w:tcBorders/>
            <w:shd w:fill="FFFFFF" w:val="clear"/>
            <w:tcMar>
              <w:bottom w:w="0" w:type="dxa"/>
            </w:tcMar>
            <w:vAlign w:val="center"/>
          </w:tcPr>
          <w:p>
            <w:pPr>
              <w:pStyle w:val="TableContents"/>
              <w:bidi w:val="0"/>
              <w:spacing w:before="0" w:after="283"/>
              <w:jc w:val="right"/>
              <w:rPr/>
            </w:pPr>
            <w:r>
              <w:rPr/>
              <w:t>244,117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2,501,570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2,707,718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1.32</w:t>
            </w:r>
          </w:p>
        </w:tc>
        <w:tc>
          <w:tcPr>
            <w:tcW w:w="234" w:type="dxa"/>
            <w:tcBorders/>
            <w:shd w:fill="FFFFFF" w:val="clear"/>
            <w:tcMar>
              <w:bottom w:w="0" w:type="dxa"/>
            </w:tcMar>
            <w:vAlign w:val="center"/>
          </w:tcPr>
          <w:p>
            <w:pPr>
              <w:pStyle w:val="TableContents"/>
              <w:bidi w:val="0"/>
              <w:spacing w:before="0" w:after="283"/>
              <w:jc w:val="left"/>
              <w:rPr/>
            </w:pPr>
            <w:r>
              <w:rPr/>
              <w:t>%</w:t>
            </w:r>
            <w:bookmarkStart w:id="619" w:name="xdx_410_20251231__srt--ConsolidatedEntit"/>
            <w:bookmarkEnd w:id="619"/>
          </w:p>
        </w:tc>
      </w:tr>
      <w:tr>
        <w:trPr/>
        <w:tc>
          <w:tcPr>
            <w:tcW w:w="2221" w:type="dxa"/>
            <w:tcBorders/>
            <w:shd w:fill="CCEEFF" w:val="clear"/>
            <w:tcMar>
              <w:bottom w:w="0" w:type="dxa"/>
            </w:tcMar>
            <w:vAlign w:val="center"/>
          </w:tcPr>
          <w:p>
            <w:pPr>
              <w:pStyle w:val="TableContents"/>
              <w:bidi w:val="0"/>
              <w:spacing w:before="0" w:after="283"/>
              <w:jc w:val="left"/>
              <w:rPr/>
            </w:pPr>
            <w:r>
              <w:rPr/>
              <w:t>Simple Agreement for Future Equity</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 Access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5/25/2023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620" w:name="xdx_988_eus-gaap--InvestmentOwnedBalance"/>
            <w:bookmarkEnd w:id="620"/>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501,470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0" w:type="dxa"/>
            <w:tcBorders>
              <w:bottom w:val="single" w:sz="8" w:space="0" w:color="000000"/>
            </w:tcBorders>
            <w:shd w:fill="CCEEFF" w:val="cle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vAlign w:val="center"/>
          </w:tcPr>
          <w:p>
            <w:pPr>
              <w:pStyle w:val="TableContents"/>
              <w:bidi w:val="0"/>
              <w:spacing w:before="0" w:after="283"/>
              <w:jc w:val="right"/>
              <w:rPr/>
            </w:pPr>
            <w:r>
              <w:rPr/>
              <w:t>0.24</w:t>
            </w:r>
          </w:p>
        </w:tc>
        <w:tc>
          <w:tcPr>
            <w:tcW w:w="234" w:type="dxa"/>
            <w:tcBorders/>
            <w:shd w:fill="CCEEFF" w:val="clear"/>
            <w:tcMar>
              <w:bottom w:w="0" w:type="dxa"/>
            </w:tcMar>
            <w:vAlign w:val="center"/>
          </w:tcPr>
          <w:p>
            <w:pPr>
              <w:pStyle w:val="TableContents"/>
              <w:bidi w:val="0"/>
              <w:spacing w:before="0" w:after="283"/>
              <w:jc w:val="left"/>
              <w:rPr/>
            </w:pPr>
            <w:r>
              <w:rPr/>
              <w:t>%</w:t>
            </w:r>
            <w:bookmarkStart w:id="621" w:name="xdx_419_20251231__srt--ConsolidatedEntit"/>
            <w:bookmarkEnd w:id="621"/>
          </w:p>
        </w:tc>
      </w:tr>
      <w:tr>
        <w:trPr/>
        <w:tc>
          <w:tcPr>
            <w:tcW w:w="2221" w:type="dxa"/>
            <w:tcBorders/>
            <w:shd w:fill="FFFFFF" w:val="clear"/>
            <w:tcMar>
              <w:bottom w:w="0" w:type="dxa"/>
            </w:tcMar>
            <w:vAlign w:val="center"/>
          </w:tcPr>
          <w:p>
            <w:pPr>
              <w:pStyle w:val="TableContents"/>
              <w:bidi w:val="0"/>
              <w:spacing w:before="0" w:after="283"/>
              <w:jc w:val="left"/>
              <w:rPr/>
            </w:pPr>
            <w:r>
              <w:rPr/>
              <w:t>Total</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3,003,040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0" w:type="dxa"/>
            <w:tcBorders>
              <w:bottom w:val="single" w:sz="8" w:space="0" w:color="000000"/>
            </w:tcBorders>
            <w:shd w:fill="FFFFFF" w:val="clear"/>
            <w:vAlign w:val="center"/>
          </w:tcPr>
          <w:p>
            <w:pPr>
              <w:pStyle w:val="TableContents"/>
              <w:bidi w:val="0"/>
              <w:spacing w:before="0" w:after="283"/>
              <w:jc w:val="right"/>
              <w:rPr/>
            </w:pPr>
            <w:r>
              <w:rPr/>
              <w:t>3,207,718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0" w:type="dxa"/>
            <w:tcBorders>
              <w:bottom w:val="single" w:sz="8" w:space="0" w:color="000000"/>
            </w:tcBorders>
            <w:shd w:fill="FFFFFF" w:val="clear"/>
            <w:vAlign w:val="center"/>
          </w:tcPr>
          <w:p>
            <w:pPr>
              <w:pStyle w:val="TableContents"/>
              <w:bidi w:val="0"/>
              <w:spacing w:before="0" w:after="283"/>
              <w:jc w:val="right"/>
              <w:rPr/>
            </w:pPr>
            <w:r>
              <w:rPr/>
              <w:t>1.56</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True Global Ventures 4 Plus Pte Ltd</w:t>
            </w:r>
            <w:r>
              <w:rPr>
                <w:rFonts w:ascii="Times New Roman;Times;Serif" w:hAnsi="Times New Roman;Times;Serif"/>
                <w:b/>
                <w:position w:val="7"/>
                <w:sz w:val="16"/>
                <w:sz w:val="20"/>
                <w:u w:val="single"/>
              </w:rPr>
              <w:t>**(10)</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Singapore, 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22" w:name="xdx_414_20251231__srt--ConsolidatedEntit"/>
            <w:bookmarkEnd w:id="622"/>
          </w:p>
        </w:tc>
      </w:tr>
      <w:tr>
        <w:trPr/>
        <w:tc>
          <w:tcPr>
            <w:tcW w:w="2221" w:type="dxa"/>
            <w:tcBorders/>
            <w:shd w:fill="FFFFFF" w:val="clear"/>
            <w:tcMar>
              <w:bottom w:w="0" w:type="dxa"/>
            </w:tcMar>
            <w:vAlign w:val="center"/>
          </w:tcPr>
          <w:p>
            <w:pPr>
              <w:pStyle w:val="TableContents"/>
              <w:bidi w:val="0"/>
              <w:spacing w:before="0" w:after="283"/>
              <w:jc w:val="left"/>
              <w:rPr/>
            </w:pPr>
            <w:r>
              <w:rPr/>
              <w:t>Limited Partner Fund Investment</w:t>
            </w:r>
          </w:p>
        </w:tc>
        <w:tc>
          <w:tcPr>
            <w:tcW w:w="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623" w:name="xdx_F41_zeIUVwiLypvb"/>
            <w:bookmarkEnd w:id="623"/>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Venture Investment Fund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8/27/2021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624" w:name="xdx_98A_eus-gaap--InvestmentOwnedBalance"/>
            <w:bookmarkEnd w:id="624"/>
          </w:p>
        </w:tc>
        <w:tc>
          <w:tcPr>
            <w:tcW w:w="980" w:type="dxa"/>
            <w:tcBorders/>
            <w:shd w:fill="FFFFFF" w:val="clear"/>
            <w:tcMar>
              <w:bottom w:w="0" w:type="dxa"/>
            </w:tcMar>
            <w:vAlign w:val="center"/>
          </w:tcPr>
          <w:p>
            <w:pPr>
              <w:pStyle w:val="TableContents"/>
              <w:bidi w:val="0"/>
              <w:spacing w:before="0" w:after="283"/>
              <w:jc w:val="right"/>
              <w:rPr/>
            </w:pPr>
            <w:r>
              <w:rPr/>
              <w:t>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448,304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3,130,363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1.52</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b/>
                <w:u w:val="single"/>
              </w:rPr>
            </w:pPr>
            <w:r>
              <w:rPr>
                <w:b/>
                <w:u w:val="single"/>
              </w:rPr>
              <w:t>HL Digital Assets Inc.</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New York, 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25" w:name="xdx_411_20251231__srt--ConsolidatedEntit"/>
            <w:bookmarkEnd w:id="625"/>
          </w:p>
        </w:tc>
      </w:tr>
      <w:tr>
        <w:trPr/>
        <w:tc>
          <w:tcPr>
            <w:tcW w:w="2221" w:type="dxa"/>
            <w:tcBorders/>
            <w:shd w:fill="FFFFFF" w:val="clear"/>
            <w:tcMar>
              <w:bottom w:w="0" w:type="dxa"/>
            </w:tcMar>
            <w:vAlign w:val="center"/>
          </w:tcPr>
          <w:p>
            <w:pPr>
              <w:pStyle w:val="TableContents"/>
              <w:bidi w:val="0"/>
              <w:spacing w:before="0" w:after="283"/>
              <w:jc w:val="left"/>
              <w:rPr/>
            </w:pPr>
            <w:r>
              <w:rPr/>
              <w:t>Preferred Shares</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Digital Asset Infrastructure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9/18/2025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26" w:name="xdx_986_eus-gaap--InvestmentOwnedBalance"/>
            <w:bookmarkEnd w:id="626"/>
          </w:p>
        </w:tc>
        <w:tc>
          <w:tcPr>
            <w:tcW w:w="980" w:type="dxa"/>
            <w:tcBorders/>
            <w:shd w:fill="FFFFFF" w:val="clear"/>
            <w:tcMar>
              <w:bottom w:w="0" w:type="dxa"/>
            </w:tcMar>
            <w:vAlign w:val="center"/>
          </w:tcPr>
          <w:p>
            <w:pPr>
              <w:pStyle w:val="TableContents"/>
              <w:bidi w:val="0"/>
              <w:spacing w:before="0" w:after="283"/>
              <w:jc w:val="right"/>
              <w:rPr/>
            </w:pPr>
            <w:r>
              <w:rPr/>
              <w:t>8,000,000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5,106,143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2,825,085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1.38</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Xgroup Holdings Inc. (d/b/a Xpoint)</w:t>
            </w:r>
            <w:r>
              <w:rPr>
                <w:rFonts w:ascii="Times New Roman;Times;Serif" w:hAnsi="Times New Roman;Times;Serif"/>
                <w:b/>
                <w:position w:val="7"/>
                <w:sz w:val="16"/>
                <w:sz w:val="20"/>
                <w:u w:val="single"/>
              </w:rPr>
              <w:t>(11)</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Miami Beach, FL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27" w:name="xdx_413_20251231__srt--ConsolidatedEntit"/>
            <w:bookmarkEnd w:id="627"/>
          </w:p>
        </w:tc>
      </w:tr>
      <w:tr>
        <w:trPr/>
        <w:tc>
          <w:tcPr>
            <w:tcW w:w="2221" w:type="dxa"/>
            <w:tcBorders/>
            <w:shd w:fill="FFFFFF" w:val="clear"/>
            <w:tcMar>
              <w:bottom w:w="0" w:type="dxa"/>
            </w:tcMar>
            <w:vAlign w:val="center"/>
          </w:tcPr>
          <w:p>
            <w:pPr>
              <w:pStyle w:val="TableContents"/>
              <w:bidi w:val="0"/>
              <w:spacing w:before="0" w:after="283"/>
              <w:jc w:val="left"/>
              <w:rPr/>
            </w:pPr>
            <w:r>
              <w:rPr/>
              <w:t>Preferred Shares, Series A-1</w:t>
            </w:r>
          </w:p>
        </w:tc>
        <w:tc>
          <w:tcPr>
            <w:tcW w:w="555" w:type="dxa"/>
            <w:tcBorders/>
            <w:shd w:fill="FFFFFF" w:val="clear"/>
            <w:tcMar>
              <w:bottom w:w="0" w:type="dxa"/>
            </w:tcMar>
            <w:vAlign w:val="center"/>
          </w:tcPr>
          <w:p>
            <w:pPr>
              <w:pStyle w:val="TableContents"/>
              <w:bidi w:val="0"/>
              <w:spacing w:before="0" w:after="283"/>
              <w:jc w:val="left"/>
              <w:rPr/>
            </w:pPr>
            <w:r>
              <w:rPr/>
              <w:t> </w:t>
            </w:r>
            <w:bookmarkStart w:id="628" w:name="xdx_F4A_znpKHwJLcfh8"/>
            <w:bookmarkEnd w:id="628"/>
            <w:r>
              <w:rPr>
                <w:rFonts w:ascii="Times New Roman;Times;Serif" w:hAnsi="Times New Roman;Times;Serif"/>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Geolocation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8/17/2022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29" w:name="xdx_987_eus-gaap--InvestmentOwnedBalance"/>
            <w:bookmarkEnd w:id="629"/>
          </w:p>
        </w:tc>
        <w:tc>
          <w:tcPr>
            <w:tcW w:w="980" w:type="dxa"/>
            <w:tcBorders/>
            <w:shd w:fill="FFFFFF" w:val="clear"/>
            <w:tcMar>
              <w:bottom w:w="0" w:type="dxa"/>
            </w:tcMar>
            <w:vAlign w:val="center"/>
          </w:tcPr>
          <w:p>
            <w:pPr>
              <w:pStyle w:val="TableContents"/>
              <w:bidi w:val="0"/>
              <w:spacing w:before="0" w:after="283"/>
              <w:jc w:val="right"/>
              <w:rPr/>
            </w:pPr>
            <w:r>
              <w:rPr/>
              <w:t>454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136,114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220,201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0.11</w:t>
            </w:r>
          </w:p>
        </w:tc>
        <w:tc>
          <w:tcPr>
            <w:tcW w:w="234" w:type="dxa"/>
            <w:tcBorders/>
            <w:shd w:fill="FFFFFF" w:val="clear"/>
            <w:tcMar>
              <w:bottom w:w="0" w:type="dxa"/>
            </w:tcMar>
            <w:vAlign w:val="center"/>
          </w:tcPr>
          <w:p>
            <w:pPr>
              <w:pStyle w:val="TableContents"/>
              <w:bidi w:val="0"/>
              <w:spacing w:before="0" w:after="283"/>
              <w:jc w:val="left"/>
              <w:rPr/>
            </w:pPr>
            <w:r>
              <w:rPr/>
              <w:t>%</w:t>
            </w:r>
            <w:bookmarkStart w:id="630" w:name="xdx_413_20251231__srt--ConsolidatedEntit"/>
            <w:bookmarkEnd w:id="630"/>
          </w:p>
        </w:tc>
      </w:tr>
      <w:tr>
        <w:trPr/>
        <w:tc>
          <w:tcPr>
            <w:tcW w:w="2221" w:type="dxa"/>
            <w:tcBorders/>
            <w:shd w:fill="CCEEFF" w:val="clear"/>
            <w:tcMar>
              <w:bottom w:w="0" w:type="dxa"/>
            </w:tcMar>
            <w:vAlign w:val="center"/>
          </w:tcPr>
          <w:p>
            <w:pPr>
              <w:pStyle w:val="TableContents"/>
              <w:bidi w:val="0"/>
              <w:spacing w:before="0" w:after="283"/>
              <w:jc w:val="left"/>
              <w:rPr/>
            </w:pPr>
            <w:r>
              <w:rPr/>
              <w:t>Series A-1 Warrants, Strike Price $0.0001, Expiration Date 5/14/2044</w:t>
            </w:r>
          </w:p>
        </w:tc>
        <w:tc>
          <w:tcPr>
            <w:tcW w:w="555" w:type="dxa"/>
            <w:tcBorders/>
            <w:shd w:fill="CCEEFF" w:val="clear"/>
            <w:tcMar>
              <w:bottom w:w="0" w:type="dxa"/>
            </w:tcMar>
            <w:vAlign w:val="center"/>
          </w:tcPr>
          <w:p>
            <w:pPr>
              <w:pStyle w:val="TableContents"/>
              <w:bidi w:val="0"/>
              <w:spacing w:before="0" w:after="283"/>
              <w:jc w:val="left"/>
              <w:rPr/>
            </w:pPr>
            <w:r>
              <w:rPr/>
              <w:t> </w:t>
            </w:r>
            <w:bookmarkStart w:id="631" w:name="xdx_F47_zJ3BBsQ9grO2"/>
            <w:bookmarkEnd w:id="631"/>
            <w:r>
              <w:rPr>
                <w:rFonts w:ascii="Times New Roman;Times;Serif" w:hAnsi="Times New Roman;Times;Serif"/>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Geolocation Technology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8/17/2022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32" w:name="xdx_98E_eus-gaap--InvestmentOwnedBalance"/>
            <w:bookmarkEnd w:id="632"/>
          </w:p>
        </w:tc>
        <w:tc>
          <w:tcPr>
            <w:tcW w:w="980" w:type="dxa"/>
            <w:tcBorders/>
            <w:shd w:fill="CCEEFF" w:val="clear"/>
            <w:tcMar>
              <w:bottom w:w="0" w:type="dxa"/>
            </w:tcMar>
            <w:vAlign w:val="center"/>
          </w:tcPr>
          <w:p>
            <w:pPr>
              <w:pStyle w:val="TableContents"/>
              <w:bidi w:val="0"/>
              <w:spacing w:before="0" w:after="283"/>
              <w:jc w:val="right"/>
              <w:rPr/>
            </w:pPr>
            <w:r>
              <w:rPr/>
              <w:t>3,286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985,180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1,593,789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0.78</w:t>
            </w:r>
          </w:p>
        </w:tc>
        <w:tc>
          <w:tcPr>
            <w:tcW w:w="234" w:type="dxa"/>
            <w:tcBorders/>
            <w:shd w:fill="CCEEFF" w:val="clear"/>
            <w:tcMar>
              <w:bottom w:w="0" w:type="dxa"/>
            </w:tcMar>
            <w:vAlign w:val="center"/>
          </w:tcPr>
          <w:p>
            <w:pPr>
              <w:pStyle w:val="TableContents"/>
              <w:bidi w:val="0"/>
              <w:spacing w:before="0" w:after="283"/>
              <w:jc w:val="left"/>
              <w:rPr/>
            </w:pPr>
            <w:r>
              <w:rPr/>
              <w:t>%</w:t>
            </w:r>
            <w:bookmarkStart w:id="633" w:name="xdx_41C_20251231__srt--ConsolidatedEntit"/>
            <w:bookmarkEnd w:id="633"/>
          </w:p>
        </w:tc>
      </w:tr>
      <w:tr>
        <w:trPr/>
        <w:tc>
          <w:tcPr>
            <w:tcW w:w="2221" w:type="dxa"/>
            <w:tcBorders/>
            <w:shd w:fill="FFFFFF" w:val="clear"/>
            <w:tcMar>
              <w:bottom w:w="0" w:type="dxa"/>
            </w:tcMar>
            <w:vAlign w:val="center"/>
          </w:tcPr>
          <w:p>
            <w:pPr>
              <w:pStyle w:val="TableContents"/>
              <w:bidi w:val="0"/>
              <w:spacing w:before="0" w:after="283"/>
              <w:jc w:val="left"/>
              <w:rPr/>
            </w:pPr>
            <w:r>
              <w:rPr/>
              <w:t>Series A Warrants, Strike Price $0.0001, Expiration Date 5/14/2044</w:t>
            </w:r>
          </w:p>
        </w:tc>
        <w:tc>
          <w:tcPr>
            <w:tcW w:w="555" w:type="dxa"/>
            <w:tcBorders/>
            <w:shd w:fill="FFFFFF" w:val="clear"/>
            <w:tcMar>
              <w:bottom w:w="0" w:type="dxa"/>
            </w:tcMar>
            <w:vAlign w:val="center"/>
          </w:tcPr>
          <w:p>
            <w:pPr>
              <w:pStyle w:val="TableContents"/>
              <w:bidi w:val="0"/>
              <w:spacing w:before="0" w:after="283"/>
              <w:jc w:val="left"/>
              <w:rPr/>
            </w:pPr>
            <w:r>
              <w:rPr/>
              <w:t> </w:t>
            </w:r>
            <w:bookmarkStart w:id="634" w:name="xdx_F4C_zbPRJrfFhtKl"/>
            <w:bookmarkEnd w:id="634"/>
            <w:r>
              <w:rPr>
                <w:rFonts w:ascii="Times New Roman;Times;Serif" w:hAnsi="Times New Roman;Times;Serif"/>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Geolocation Technology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8/17/2022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35" w:name="xdx_984_eus-gaap--InvestmentOwnedBalance"/>
            <w:bookmarkEnd w:id="635"/>
          </w:p>
        </w:tc>
        <w:tc>
          <w:tcPr>
            <w:tcW w:w="980" w:type="dxa"/>
            <w:tcBorders/>
            <w:shd w:fill="FFFFFF" w:val="clear"/>
            <w:tcMar>
              <w:bottom w:w="0" w:type="dxa"/>
            </w:tcMar>
            <w:vAlign w:val="center"/>
          </w:tcPr>
          <w:p>
            <w:pPr>
              <w:pStyle w:val="TableContents"/>
              <w:bidi w:val="0"/>
              <w:spacing w:before="0" w:after="283"/>
              <w:jc w:val="right"/>
              <w:rPr/>
            </w:pPr>
            <w:r>
              <w:rPr/>
              <w:t>873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261,735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0" w:type="dxa"/>
            <w:tcBorders>
              <w:bottom w:val="single" w:sz="8" w:space="0" w:color="000000"/>
            </w:tcBorders>
            <w:shd w:fill="FFFFFF" w:val="clear"/>
            <w:vAlign w:val="center"/>
          </w:tcPr>
          <w:p>
            <w:pPr>
              <w:pStyle w:val="TableContents"/>
              <w:bidi w:val="0"/>
              <w:spacing w:before="0" w:after="283"/>
              <w:jc w:val="right"/>
              <w:rPr/>
            </w:pPr>
            <w:r>
              <w:rPr/>
              <w:t>564,568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0" w:type="dxa"/>
            <w:tcBorders>
              <w:bottom w:val="single" w:sz="8" w:space="0" w:color="000000"/>
            </w:tcBorders>
            <w:shd w:fill="FFFFFF" w:val="clear"/>
            <w:vAlign w:val="center"/>
          </w:tcPr>
          <w:p>
            <w:pPr>
              <w:pStyle w:val="TableContents"/>
              <w:bidi w:val="0"/>
              <w:spacing w:before="0" w:after="283"/>
              <w:jc w:val="right"/>
              <w:rPr/>
            </w:pPr>
            <w:r>
              <w:rPr/>
              <w:t>0.27</w:t>
            </w:r>
          </w:p>
        </w:tc>
        <w:tc>
          <w:tcPr>
            <w:tcW w:w="234" w:type="dxa"/>
            <w:tcBorders/>
            <w:shd w:fill="FFFFFF" w:val="clear"/>
            <w:tcMar>
              <w:bottom w:w="0" w:type="dxa"/>
            </w:tcMar>
            <w:vAlign w:val="center"/>
          </w:tcPr>
          <w:p>
            <w:pPr>
              <w:pStyle w:val="TableContents"/>
              <w:bidi w:val="0"/>
              <w:spacing w:before="0" w:after="283"/>
              <w:jc w:val="left"/>
              <w:rPr/>
            </w:pPr>
            <w:r>
              <w:rPr/>
              <w:t>%</w:t>
            </w:r>
            <w:bookmarkStart w:id="636" w:name="xdx_415_20251231__srt--ConsolidatedEntit"/>
            <w:bookmarkEnd w:id="636"/>
          </w:p>
        </w:tc>
      </w:tr>
      <w:tr>
        <w:trPr/>
        <w:tc>
          <w:tcPr>
            <w:tcW w:w="2221" w:type="dxa"/>
            <w:tcBorders/>
            <w:shd w:fill="CCEEFF" w:val="clear"/>
            <w:tcMar>
              <w:bottom w:w="0" w:type="dxa"/>
            </w:tcMar>
            <w:vAlign w:val="center"/>
          </w:tcPr>
          <w:p>
            <w:pPr>
              <w:pStyle w:val="TableContents"/>
              <w:bidi w:val="0"/>
              <w:spacing w:before="0" w:after="283"/>
              <w:jc w:val="left"/>
              <w:rPr/>
            </w:pPr>
            <w:r>
              <w:rPr/>
              <w:t>Total</w:t>
            </w:r>
          </w:p>
        </w:tc>
        <w:tc>
          <w:tcPr>
            <w:tcW w:w="555" w:type="dxa"/>
            <w:tcBorders/>
            <w:shd w:fill="CCEEFF" w:val="clear"/>
            <w:tcMar>
              <w:bottom w:w="0" w:type="dxa"/>
            </w:tcMar>
            <w:vAlign w:val="center"/>
          </w:tcPr>
          <w:p>
            <w:pPr>
              <w:pStyle w:val="TableContents"/>
              <w:bidi w:val="0"/>
              <w:spacing w:before="0" w:after="283"/>
              <w:jc w:val="left"/>
              <w:rPr/>
            </w:pPr>
            <w:r>
              <w:rPr/>
              <w:t> </w:t>
            </w:r>
            <w:bookmarkStart w:id="637" w:name="xdx_F45_zEi0XP3Ecsq3"/>
            <w:bookmarkEnd w:id="637"/>
            <w:r>
              <w:rPr>
                <w:rFonts w:ascii="Times New Roman;Times;Serif" w:hAnsi="Times New Roman;Times;Serif"/>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1,383,029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0" w:type="dxa"/>
            <w:tcBorders>
              <w:bottom w:val="single" w:sz="8" w:space="0" w:color="000000"/>
            </w:tcBorders>
            <w:shd w:fill="CCEEFF" w:val="clear"/>
            <w:vAlign w:val="center"/>
          </w:tcPr>
          <w:p>
            <w:pPr>
              <w:pStyle w:val="TableContents"/>
              <w:bidi w:val="0"/>
              <w:spacing w:before="0" w:after="283"/>
              <w:jc w:val="right"/>
              <w:rPr/>
            </w:pPr>
            <w:r>
              <w:rPr/>
              <w:t>2,378,558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vAlign w:val="center"/>
          </w:tcPr>
          <w:p>
            <w:pPr>
              <w:pStyle w:val="TableContents"/>
              <w:bidi w:val="0"/>
              <w:spacing w:before="0" w:after="283"/>
              <w:jc w:val="right"/>
              <w:rPr/>
            </w:pPr>
            <w:r>
              <w:rPr/>
              <w:t>1.16</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221"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Varo Money, Inc.</w:t>
            </w:r>
            <w:r>
              <w:rPr>
                <w:rFonts w:ascii="Times New Roman;Times;Serif" w:hAnsi="Times New Roman;Times;Serif"/>
                <w:b/>
                <w:position w:val="7"/>
                <w:sz w:val="16"/>
                <w:sz w:val="20"/>
                <w:u w:val="single"/>
              </w:rPr>
              <w:t>**</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San Francisco,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bookmarkStart w:id="638" w:name="xdx_412_20251231__srt--ConsolidatedEntit"/>
            <w:bookmarkEnd w:id="638"/>
          </w:p>
        </w:tc>
      </w:tr>
      <w:tr>
        <w:trPr/>
        <w:tc>
          <w:tcPr>
            <w:tcW w:w="2221" w:type="dxa"/>
            <w:tcBorders/>
            <w:shd w:fill="CCEEFF" w:val="clear"/>
            <w:tcMar>
              <w:bottom w:w="0" w:type="dxa"/>
            </w:tcMar>
            <w:vAlign w:val="center"/>
          </w:tcPr>
          <w:p>
            <w:pPr>
              <w:pStyle w:val="TableContents"/>
              <w:bidi w:val="0"/>
              <w:spacing w:before="0" w:after="283"/>
              <w:jc w:val="left"/>
              <w:rPr/>
            </w:pPr>
            <w:r>
              <w:rPr/>
              <w:t>Common Shares</w:t>
            </w:r>
          </w:p>
        </w:tc>
        <w:tc>
          <w:tcPr>
            <w:tcW w:w="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639" w:name="xdx_F46_zKCdxxGrrKlc"/>
            <w:bookmarkEnd w:id="639"/>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Financial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8/11/2021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40" w:name="xdx_987_eus-gaap--InvestmentOwnedBalance"/>
            <w:bookmarkEnd w:id="640"/>
          </w:p>
        </w:tc>
        <w:tc>
          <w:tcPr>
            <w:tcW w:w="980" w:type="dxa"/>
            <w:tcBorders/>
            <w:shd w:fill="CCEEFF" w:val="clear"/>
            <w:tcMar>
              <w:bottom w:w="0" w:type="dxa"/>
            </w:tcMar>
            <w:vAlign w:val="center"/>
          </w:tcPr>
          <w:p>
            <w:pPr>
              <w:pStyle w:val="TableContents"/>
              <w:bidi w:val="0"/>
              <w:spacing w:before="0" w:after="283"/>
              <w:jc w:val="right"/>
              <w:rPr/>
            </w:pPr>
            <w:r>
              <w:rPr/>
              <w:t>1,079,266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10,005,548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1,618,899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0.79</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221"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Stake Trade, Inc. (d/b/a Prophet Exchange)</w:t>
            </w:r>
            <w:r>
              <w:rPr>
                <w:rFonts w:ascii="Times New Roman;Times;Serif" w:hAnsi="Times New Roman;Times;Serif"/>
                <w:b/>
                <w:position w:val="7"/>
                <w:sz w:val="16"/>
                <w:sz w:val="20"/>
                <w:u w:val="single"/>
              </w:rPr>
              <w:t>(11)(12)</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New York, 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bookmarkStart w:id="641" w:name="xdx_418_20251231__srt--ConsolidatedEntit"/>
            <w:bookmarkEnd w:id="641"/>
          </w:p>
        </w:tc>
      </w:tr>
      <w:tr>
        <w:trPr/>
        <w:tc>
          <w:tcPr>
            <w:tcW w:w="2221" w:type="dxa"/>
            <w:tcBorders/>
            <w:shd w:fill="CCEEFF" w:val="clear"/>
            <w:tcMar>
              <w:bottom w:w="0" w:type="dxa"/>
            </w:tcMar>
            <w:vAlign w:val="center"/>
          </w:tcPr>
          <w:p>
            <w:pPr>
              <w:pStyle w:val="TableContents"/>
              <w:bidi w:val="0"/>
              <w:spacing w:before="0" w:after="283"/>
              <w:jc w:val="left"/>
              <w:rPr/>
            </w:pPr>
            <w:r>
              <w:rPr/>
              <w:t>Preferred Shares, Series B-IV</w:t>
            </w:r>
          </w:p>
        </w:tc>
        <w:tc>
          <w:tcPr>
            <w:tcW w:w="555" w:type="dxa"/>
            <w:tcBorders/>
            <w:shd w:fill="CCEEFF" w:val="clear"/>
            <w:tcMar>
              <w:bottom w:w="0" w:type="dxa"/>
            </w:tcMar>
            <w:vAlign w:val="center"/>
          </w:tcPr>
          <w:p>
            <w:pPr>
              <w:pStyle w:val="TableContents"/>
              <w:bidi w:val="0"/>
              <w:spacing w:before="0" w:after="283"/>
              <w:jc w:val="left"/>
              <w:rPr/>
            </w:pPr>
            <w:r>
              <w:rPr/>
              <w:t> </w:t>
            </w:r>
            <w:bookmarkStart w:id="642" w:name="xdx_F4F_zLJBPXu68knj"/>
            <w:bookmarkEnd w:id="642"/>
            <w:r>
              <w:rPr>
                <w:rFonts w:ascii="Times New Roman;Times;Serif" w:hAnsi="Times New Roman;Times;Serif"/>
              </w:rPr>
              <w:t>(11)(12)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Sports Betting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7/26/2023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43" w:name="xdx_98F_eus-gaap--InvestmentOwnedBalance"/>
            <w:bookmarkEnd w:id="643"/>
          </w:p>
        </w:tc>
        <w:tc>
          <w:tcPr>
            <w:tcW w:w="980" w:type="dxa"/>
            <w:tcBorders/>
            <w:shd w:fill="CCEEFF" w:val="clear"/>
            <w:tcMar>
              <w:bottom w:w="0" w:type="dxa"/>
            </w:tcMar>
            <w:vAlign w:val="center"/>
          </w:tcPr>
          <w:p>
            <w:pPr>
              <w:pStyle w:val="TableContents"/>
              <w:bidi w:val="0"/>
              <w:spacing w:before="0" w:after="283"/>
              <w:jc w:val="right"/>
              <w:rPr/>
            </w:pPr>
            <w:r>
              <w:rPr/>
              <w:t>755,041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1,002,153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1,249,993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0.61</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221" w:type="dxa"/>
            <w:tcBorders/>
            <w:shd w:fill="FFFFFF" w:val="clear"/>
            <w:tcMar>
              <w:bottom w:w="0" w:type="dxa"/>
            </w:tcMar>
            <w:vAlign w:val="center"/>
          </w:tcPr>
          <w:p>
            <w:pPr>
              <w:pStyle w:val="TableContents"/>
              <w:bidi w:val="0"/>
              <w:spacing w:before="0" w:after="283"/>
              <w:jc w:val="left"/>
              <w:rPr>
                <w:b/>
                <w:u w:val="single"/>
              </w:rPr>
            </w:pPr>
            <w:r>
              <w:rPr>
                <w:b/>
                <w:u w:val="single"/>
              </w:rPr>
              <w:t>Aventine Property Group, Inc.</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Chicago, 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bookmarkStart w:id="644" w:name="xdx_416_20251231__srt--ConsolidatedEntit"/>
            <w:bookmarkEnd w:id="644"/>
          </w:p>
        </w:tc>
      </w:tr>
      <w:tr>
        <w:trPr/>
        <w:tc>
          <w:tcPr>
            <w:tcW w:w="2221" w:type="dxa"/>
            <w:tcBorders/>
            <w:shd w:fill="CCEEFF" w:val="clear"/>
            <w:tcMar>
              <w:bottom w:w="0" w:type="dxa"/>
            </w:tcMar>
            <w:vAlign w:val="center"/>
          </w:tcPr>
          <w:p>
            <w:pPr>
              <w:pStyle w:val="TableContents"/>
              <w:bidi w:val="0"/>
              <w:spacing w:before="0" w:after="283"/>
              <w:jc w:val="left"/>
              <w:rPr/>
            </w:pPr>
            <w:r>
              <w:rPr/>
              <w:t>Common Shares</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Cannabis REIT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9/11/2019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45" w:name="xdx_985_eus-gaap--InvestmentOwnedBalance"/>
            <w:bookmarkEnd w:id="645"/>
          </w:p>
        </w:tc>
        <w:tc>
          <w:tcPr>
            <w:tcW w:w="980" w:type="dxa"/>
            <w:tcBorders/>
            <w:shd w:fill="CCEEFF" w:val="clear"/>
            <w:tcMar>
              <w:bottom w:w="0" w:type="dxa"/>
            </w:tcMar>
            <w:vAlign w:val="center"/>
          </w:tcPr>
          <w:p>
            <w:pPr>
              <w:pStyle w:val="TableContents"/>
              <w:bidi w:val="0"/>
              <w:spacing w:before="0" w:after="283"/>
              <w:jc w:val="right"/>
              <w:rPr/>
            </w:pPr>
            <w:r>
              <w:rPr/>
              <w:t>312,500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2,580,750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1,187,532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0.58</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221"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Residential Homes for Rent, LLC (d/b/a Second Avenue)</w:t>
            </w:r>
            <w:r>
              <w:rPr>
                <w:rFonts w:ascii="Times New Roman;Times;Serif" w:hAnsi="Times New Roman;Times;Serif"/>
                <w:b/>
                <w:position w:val="7"/>
                <w:sz w:val="16"/>
                <w:sz w:val="20"/>
                <w:u w:val="single"/>
              </w:rPr>
              <w:t>(13)</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Chicago, 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bookmarkStart w:id="646" w:name="xdx_41A_20251231__srt--ConsolidatedEntit"/>
            <w:bookmarkEnd w:id="646"/>
          </w:p>
        </w:tc>
      </w:tr>
      <w:tr>
        <w:trPr/>
        <w:tc>
          <w:tcPr>
            <w:tcW w:w="2221" w:type="dxa"/>
            <w:tcBorders/>
            <w:shd w:fill="CCEEFF" w:val="clear"/>
            <w:tcMar>
              <w:bottom w:w="0" w:type="dxa"/>
            </w:tcMar>
            <w:vAlign w:val="center"/>
          </w:tcPr>
          <w:p>
            <w:pPr>
              <w:pStyle w:val="TableContents"/>
              <w:bidi w:val="0"/>
              <w:spacing w:before="0" w:after="283"/>
              <w:jc w:val="left"/>
              <w:rPr/>
            </w:pPr>
            <w:r>
              <w:rPr/>
              <w:t>Preferred Shares, Series A</w:t>
            </w:r>
          </w:p>
        </w:tc>
        <w:tc>
          <w:tcPr>
            <w:tcW w:w="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647" w:name="xdx_F4F_zAzuJH5jZIo3"/>
            <w:bookmarkEnd w:id="647"/>
            <w:r>
              <w:rPr>
                <w:rFonts w:ascii="Times New Roman;Times;Serif" w:hAnsi="Times New Roman;Times;Serif"/>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Real Estate Platform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12/23/2020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48" w:name="xdx_984_eus-gaap--InvestmentOwnedBalance"/>
            <w:bookmarkEnd w:id="648"/>
          </w:p>
        </w:tc>
        <w:tc>
          <w:tcPr>
            <w:tcW w:w="980"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654,642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0.32</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221" w:type="dxa"/>
            <w:tcBorders/>
            <w:shd w:fill="FFFFFF" w:val="clear"/>
            <w:tcMar>
              <w:bottom w:w="0" w:type="dxa"/>
            </w:tcMar>
            <w:vAlign w:val="center"/>
          </w:tcPr>
          <w:p>
            <w:pPr>
              <w:pStyle w:val="TableContents"/>
              <w:bidi w:val="0"/>
              <w:spacing w:before="0" w:after="283"/>
              <w:jc w:val="left"/>
              <w:rPr>
                <w:b/>
                <w:u w:val="single"/>
              </w:rPr>
            </w:pPr>
            <w:r>
              <w:rPr>
                <w:b/>
                <w:u w:val="single"/>
              </w:rPr>
              <w:t>Orchard Technologies, Inc.</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New York, 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bookmarkStart w:id="649" w:name="xdx_411_20251231__srt--ConsolidatedEntit"/>
            <w:bookmarkEnd w:id="649"/>
          </w:p>
        </w:tc>
      </w:tr>
      <w:tr>
        <w:trPr/>
        <w:tc>
          <w:tcPr>
            <w:tcW w:w="2221" w:type="dxa"/>
            <w:tcBorders/>
            <w:shd w:fill="CCEEFF" w:val="clear"/>
            <w:tcMar>
              <w:bottom w:w="0" w:type="dxa"/>
            </w:tcMar>
            <w:vAlign w:val="center"/>
          </w:tcPr>
          <w:p>
            <w:pPr>
              <w:pStyle w:val="TableContents"/>
              <w:bidi w:val="0"/>
              <w:spacing w:before="0" w:after="283"/>
              <w:jc w:val="left"/>
              <w:rPr/>
            </w:pPr>
            <w:r>
              <w:rPr/>
              <w:t>Preferred Shares, Series D 8%</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Real Estate Platform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8/9/2021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50" w:name="xdx_98E_eus-gaap--InvestmentOwnedBalance"/>
            <w:bookmarkEnd w:id="650"/>
          </w:p>
        </w:tc>
        <w:tc>
          <w:tcPr>
            <w:tcW w:w="980" w:type="dxa"/>
            <w:tcBorders/>
            <w:shd w:fill="CCEEFF" w:val="clear"/>
            <w:tcMar>
              <w:bottom w:w="0" w:type="dxa"/>
            </w:tcMar>
            <w:vAlign w:val="center"/>
          </w:tcPr>
          <w:p>
            <w:pPr>
              <w:pStyle w:val="TableContents"/>
              <w:bidi w:val="0"/>
              <w:spacing w:before="0" w:after="283"/>
              <w:jc w:val="right"/>
              <w:rPr/>
            </w:pPr>
            <w:r>
              <w:rPr/>
              <w:t>524,985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3,751,518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bookmarkStart w:id="651" w:name="xdx_412_20251231__srt--ConsolidatedEntit"/>
            <w:bookmarkEnd w:id="651"/>
          </w:p>
        </w:tc>
      </w:tr>
      <w:tr>
        <w:trPr/>
        <w:tc>
          <w:tcPr>
            <w:tcW w:w="2221" w:type="dxa"/>
            <w:tcBorders/>
            <w:shd w:fill="FFFFFF" w:val="clear"/>
            <w:tcMar>
              <w:bottom w:w="0" w:type="dxa"/>
            </w:tcMar>
            <w:vAlign w:val="center"/>
          </w:tcPr>
          <w:p>
            <w:pPr>
              <w:pStyle w:val="TableContents"/>
              <w:bidi w:val="0"/>
              <w:spacing w:before="0" w:after="283"/>
              <w:jc w:val="left"/>
              <w:rPr/>
            </w:pPr>
            <w:r>
              <w:rPr/>
              <w:t>Senior Preferred Shares, Series 2 8%</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Real Estate Platform</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8/9/2021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52" w:name="xdx_98A_eus-gaap--InvestmentOwnedBalance"/>
            <w:bookmarkEnd w:id="652"/>
          </w:p>
        </w:tc>
        <w:tc>
          <w:tcPr>
            <w:tcW w:w="980" w:type="dxa"/>
            <w:tcBorders/>
            <w:shd w:fill="FFFFFF" w:val="clear"/>
            <w:tcMar>
              <w:bottom w:w="0" w:type="dxa"/>
            </w:tcMar>
            <w:vAlign w:val="center"/>
          </w:tcPr>
          <w:p>
            <w:pPr>
              <w:pStyle w:val="TableContents"/>
              <w:bidi w:val="0"/>
              <w:spacing w:before="0" w:after="283"/>
              <w:jc w:val="right"/>
              <w:rPr/>
            </w:pPr>
            <w:r>
              <w:rPr/>
              <w:t>80,991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587,951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bookmarkStart w:id="653" w:name="xdx_41B_20251231__srt--ConsolidatedEntit"/>
            <w:bookmarkEnd w:id="653"/>
          </w:p>
        </w:tc>
      </w:tr>
      <w:tr>
        <w:trPr/>
        <w:tc>
          <w:tcPr>
            <w:tcW w:w="2221" w:type="dxa"/>
            <w:tcBorders/>
            <w:shd w:fill="CCEEFF" w:val="clear"/>
            <w:tcMar>
              <w:bottom w:w="0" w:type="dxa"/>
            </w:tcMar>
            <w:vAlign w:val="center"/>
          </w:tcPr>
          <w:p>
            <w:pPr>
              <w:pStyle w:val="TableContents"/>
              <w:bidi w:val="0"/>
              <w:spacing w:before="0" w:after="283"/>
              <w:jc w:val="left"/>
              <w:rPr/>
            </w:pPr>
            <w:r>
              <w:rPr/>
              <w:t>Senior Preferred Shares, Series 1 7%</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Real Estate Platform</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1/13/2023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54" w:name="xdx_987_eus-gaap--InvestmentOwnedBalance"/>
            <w:bookmarkEnd w:id="654"/>
          </w:p>
        </w:tc>
        <w:tc>
          <w:tcPr>
            <w:tcW w:w="980" w:type="dxa"/>
            <w:tcBorders/>
            <w:shd w:fill="CCEEFF" w:val="clear"/>
            <w:tcMar>
              <w:bottom w:w="0" w:type="dxa"/>
            </w:tcMar>
            <w:vAlign w:val="center"/>
          </w:tcPr>
          <w:p>
            <w:pPr>
              <w:pStyle w:val="TableContents"/>
              <w:bidi w:val="0"/>
              <w:spacing w:before="0" w:after="283"/>
              <w:jc w:val="right"/>
              <w:rPr/>
            </w:pPr>
            <w:r>
              <w:rPr/>
              <w:t>463,449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4,642,772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463,449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0.23</w:t>
            </w:r>
          </w:p>
        </w:tc>
        <w:tc>
          <w:tcPr>
            <w:tcW w:w="234" w:type="dxa"/>
            <w:tcBorders/>
            <w:shd w:fill="CCEEFF" w:val="clear"/>
            <w:tcMar>
              <w:bottom w:w="0" w:type="dxa"/>
            </w:tcMar>
            <w:vAlign w:val="center"/>
          </w:tcPr>
          <w:p>
            <w:pPr>
              <w:pStyle w:val="TableContents"/>
              <w:bidi w:val="0"/>
              <w:spacing w:before="0" w:after="283"/>
              <w:jc w:val="left"/>
              <w:rPr/>
            </w:pPr>
            <w:r>
              <w:rPr/>
              <w:t>%</w:t>
            </w:r>
            <w:bookmarkStart w:id="655" w:name="xdx_41C_20251231__srt--ConsolidatedEntit"/>
            <w:bookmarkEnd w:id="655"/>
          </w:p>
        </w:tc>
      </w:tr>
      <w:tr>
        <w:trPr/>
        <w:tc>
          <w:tcPr>
            <w:tcW w:w="2221" w:type="dxa"/>
            <w:tcBorders/>
            <w:shd w:fill="FFFFFF" w:val="clear"/>
            <w:tcMar>
              <w:bottom w:w="0" w:type="dxa"/>
            </w:tcMar>
            <w:vAlign w:val="center"/>
          </w:tcPr>
          <w:p>
            <w:pPr>
              <w:pStyle w:val="TableContents"/>
              <w:bidi w:val="0"/>
              <w:spacing w:before="0" w:after="283"/>
              <w:jc w:val="left"/>
              <w:rPr/>
            </w:pPr>
            <w:r>
              <w:rPr/>
              <w:t>Common Shares</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Real Estate Platform</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8/9/2021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56" w:name="xdx_98D_eus-gaap--InvestmentOwnedBalance"/>
            <w:bookmarkEnd w:id="656"/>
          </w:p>
        </w:tc>
        <w:tc>
          <w:tcPr>
            <w:tcW w:w="980" w:type="dxa"/>
            <w:tcBorders/>
            <w:shd w:fill="FFFFFF" w:val="clear"/>
            <w:tcMar>
              <w:bottom w:w="0" w:type="dxa"/>
            </w:tcMar>
            <w:vAlign w:val="center"/>
          </w:tcPr>
          <w:p>
            <w:pPr>
              <w:pStyle w:val="TableContents"/>
              <w:bidi w:val="0"/>
              <w:spacing w:before="0" w:after="283"/>
              <w:jc w:val="right"/>
              <w:rPr/>
            </w:pPr>
            <w:r>
              <w:rPr/>
              <w:t>558,053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3,751,518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bookmarkStart w:id="657" w:name="xdx_413_20251231__srt--ConsolidatedEntit"/>
            <w:bookmarkEnd w:id="657"/>
          </w:p>
        </w:tc>
      </w:tr>
      <w:tr>
        <w:trPr/>
        <w:tc>
          <w:tcPr>
            <w:tcW w:w="2221" w:type="dxa"/>
            <w:tcBorders/>
            <w:shd w:fill="CCEEFF" w:val="clear"/>
            <w:tcMar>
              <w:bottom w:w="0" w:type="dxa"/>
            </w:tcMar>
            <w:vAlign w:val="center"/>
          </w:tcPr>
          <w:p>
            <w:pPr>
              <w:pStyle w:val="TableContents"/>
              <w:bidi w:val="0"/>
              <w:spacing w:before="0" w:after="283"/>
              <w:jc w:val="left"/>
              <w:rPr/>
            </w:pPr>
            <w:r>
              <w:rPr/>
              <w:t>Simple Agreement for Future Equity</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Real Estate Platform</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658" w:name="xdx_980_eus-gaap--InvestmentOwnedBalance"/>
            <w:bookmarkEnd w:id="658"/>
          </w:p>
        </w:tc>
        <w:tc>
          <w:tcPr>
            <w:tcW w:w="980" w:type="dxa"/>
            <w:tcBorders/>
            <w:shd w:fill="CCEEFF" w:val="clear"/>
            <w:tcMar>
              <w:bottom w:w="0" w:type="dxa"/>
            </w:tcMar>
            <w:vAlign w:val="center"/>
          </w:tcPr>
          <w:p>
            <w:pPr>
              <w:pStyle w:val="TableContents"/>
              <w:bidi w:val="0"/>
              <w:spacing w:before="0" w:after="283"/>
              <w:jc w:val="right"/>
              <w:rPr/>
            </w:pPr>
            <w:r>
              <w:rPr/>
              <w:t>80,800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81,584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0" w:type="dxa"/>
            <w:tcBorders>
              <w:bottom w:val="single" w:sz="8" w:space="0" w:color="000000"/>
            </w:tcBorders>
            <w:shd w:fill="CCEEFF" w:val="clear"/>
            <w:vAlign w:val="center"/>
          </w:tcPr>
          <w:p>
            <w:pPr>
              <w:pStyle w:val="TableContents"/>
              <w:bidi w:val="0"/>
              <w:spacing w:before="0" w:after="283"/>
              <w:jc w:val="right"/>
              <w:rPr/>
            </w:pPr>
            <w:r>
              <w:rPr/>
              <w:t>80,800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vAlign w:val="center"/>
          </w:tcPr>
          <w:p>
            <w:pPr>
              <w:pStyle w:val="TableContents"/>
              <w:bidi w:val="0"/>
              <w:spacing w:before="0" w:after="283"/>
              <w:jc w:val="right"/>
              <w:rPr/>
            </w:pPr>
            <w:r>
              <w:rPr/>
              <w:t>0.04</w:t>
            </w:r>
          </w:p>
        </w:tc>
        <w:tc>
          <w:tcPr>
            <w:tcW w:w="234" w:type="dxa"/>
            <w:tcBorders/>
            <w:shd w:fill="CCEEFF" w:val="clear"/>
            <w:tcMar>
              <w:bottom w:w="0" w:type="dxa"/>
            </w:tcMar>
            <w:vAlign w:val="center"/>
          </w:tcPr>
          <w:p>
            <w:pPr>
              <w:pStyle w:val="TableContents"/>
              <w:bidi w:val="0"/>
              <w:spacing w:before="0" w:after="283"/>
              <w:jc w:val="left"/>
              <w:rPr/>
            </w:pPr>
            <w:r>
              <w:rPr/>
              <w:t>%</w:t>
            </w:r>
            <w:bookmarkStart w:id="659" w:name="xdx_41C_20251231__srt--ConsolidatedEntit"/>
            <w:bookmarkEnd w:id="659"/>
          </w:p>
        </w:tc>
      </w:tr>
      <w:tr>
        <w:trPr/>
        <w:tc>
          <w:tcPr>
            <w:tcW w:w="2221" w:type="dxa"/>
            <w:tcBorders/>
            <w:shd w:fill="FFFFFF" w:val="clear"/>
            <w:tcMar>
              <w:bottom w:w="0" w:type="dxa"/>
            </w:tcMar>
            <w:vAlign w:val="center"/>
          </w:tcPr>
          <w:p>
            <w:pPr>
              <w:pStyle w:val="TableContents"/>
              <w:bidi w:val="0"/>
              <w:spacing w:before="0" w:after="283"/>
              <w:jc w:val="left"/>
              <w:rPr/>
            </w:pPr>
            <w:r>
              <w:rPr/>
              <w:t>Total</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12,815,343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0" w:type="dxa"/>
            <w:tcBorders>
              <w:bottom w:val="single" w:sz="8" w:space="0" w:color="000000"/>
            </w:tcBorders>
            <w:shd w:fill="FFFFFF" w:val="clear"/>
            <w:vAlign w:val="center"/>
          </w:tcPr>
          <w:p>
            <w:pPr>
              <w:pStyle w:val="TableContents"/>
              <w:bidi w:val="0"/>
              <w:spacing w:before="0" w:after="283"/>
              <w:jc w:val="right"/>
              <w:rPr/>
            </w:pPr>
            <w:r>
              <w:rPr/>
              <w:t>544,249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0" w:type="dxa"/>
            <w:tcBorders>
              <w:bottom w:val="single" w:sz="8" w:space="0" w:color="000000"/>
            </w:tcBorders>
            <w:shd w:fill="FFFFFF" w:val="clear"/>
            <w:vAlign w:val="center"/>
          </w:tcPr>
          <w:p>
            <w:pPr>
              <w:pStyle w:val="TableContents"/>
              <w:bidi w:val="0"/>
              <w:spacing w:before="0" w:after="283"/>
              <w:jc w:val="right"/>
              <w:rPr/>
            </w:pPr>
            <w:r>
              <w:rPr/>
              <w:t>0.27</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EDGE Markets, Inc.</w:t>
            </w:r>
            <w:r>
              <w:rPr>
                <w:rFonts w:ascii="Times New Roman;Times;Serif" w:hAnsi="Times New Roman;Times;Serif"/>
                <w:b/>
                <w:position w:val="7"/>
                <w:sz w:val="16"/>
                <w:sz w:val="20"/>
                <w:u w:val="single"/>
              </w:rPr>
              <w:t>(11)</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San Diego,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60" w:name="xdx_41E_20251231__srt--ConsolidatedEntit"/>
            <w:bookmarkEnd w:id="660"/>
          </w:p>
        </w:tc>
      </w:tr>
      <w:tr>
        <w:trPr/>
        <w:tc>
          <w:tcPr>
            <w:tcW w:w="2221" w:type="dxa"/>
            <w:tcBorders/>
            <w:shd w:fill="FFFFFF" w:val="clear"/>
            <w:tcMar>
              <w:bottom w:w="0" w:type="dxa"/>
            </w:tcMar>
            <w:vAlign w:val="center"/>
          </w:tcPr>
          <w:p>
            <w:pPr>
              <w:pStyle w:val="TableContents"/>
              <w:bidi w:val="0"/>
              <w:spacing w:before="0" w:after="283"/>
              <w:jc w:val="left"/>
              <w:rPr/>
            </w:pPr>
            <w:r>
              <w:rPr/>
              <w:t>Preferred Shares, Series Seed 8%</w:t>
            </w:r>
          </w:p>
        </w:tc>
        <w:tc>
          <w:tcPr>
            <w:tcW w:w="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661" w:name="xdx_F4B_zUlk9xckyKC4"/>
            <w:bookmarkEnd w:id="661"/>
            <w:r>
              <w:rPr>
                <w:rFonts w:ascii="Times New Roman;Times;Serif" w:hAnsi="Times New Roman;Times;Serif"/>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Gaming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5/18/2022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62" w:name="xdx_984_eus-gaap--InvestmentOwnedBalance"/>
            <w:bookmarkEnd w:id="662"/>
          </w:p>
        </w:tc>
        <w:tc>
          <w:tcPr>
            <w:tcW w:w="980" w:type="dxa"/>
            <w:tcBorders/>
            <w:shd w:fill="FFFFFF" w:val="clear"/>
            <w:tcMar>
              <w:bottom w:w="0" w:type="dxa"/>
            </w:tcMar>
            <w:vAlign w:val="center"/>
          </w:tcPr>
          <w:p>
            <w:pPr>
              <w:pStyle w:val="TableContents"/>
              <w:bidi w:val="0"/>
              <w:spacing w:before="0" w:after="283"/>
              <w:jc w:val="right"/>
              <w:rPr/>
            </w:pPr>
            <w:r>
              <w:rPr/>
              <w:t>456,704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501,330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0.24</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b/>
                <w:u w:val="single"/>
              </w:rPr>
            </w:pPr>
            <w:r>
              <w:rPr>
                <w:b/>
                <w:u w:val="single"/>
              </w:rPr>
              <w:t>Skillsoft Corp.</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Nashua, NH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63" w:name="xdx_41E_20251231__srt--ConsolidatedEntit"/>
            <w:bookmarkEnd w:id="663"/>
          </w:p>
        </w:tc>
      </w:tr>
      <w:tr>
        <w:trPr/>
        <w:tc>
          <w:tcPr>
            <w:tcW w:w="222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bookmarkStart w:id="664" w:name="xdx_F45_zDkKtuqA9m7a"/>
            <w:bookmarkEnd w:id="664"/>
            <w:r>
              <w:rPr>
                <w:rFonts w:ascii="Times New Roman;Times;Serif" w:hAnsi="Times New Roman;Times;Serif"/>
                <w:sz w:val="20"/>
              </w:rPr>
              <w:t>(4)</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Online Education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6/8/2021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65" w:name="xdx_985_eus-gaap--InvestmentOwnedBalance"/>
            <w:bookmarkEnd w:id="665"/>
          </w:p>
        </w:tc>
        <w:tc>
          <w:tcPr>
            <w:tcW w:w="980" w:type="dxa"/>
            <w:tcBorders/>
            <w:shd w:fill="FFFFFF" w:val="clear"/>
            <w:tcMar>
              <w:bottom w:w="0" w:type="dxa"/>
            </w:tcMar>
            <w:vAlign w:val="center"/>
          </w:tcPr>
          <w:p>
            <w:pPr>
              <w:pStyle w:val="TableContents"/>
              <w:bidi w:val="0"/>
              <w:spacing w:before="0" w:after="283"/>
              <w:jc w:val="right"/>
              <w:rPr/>
            </w:pPr>
            <w:r>
              <w:rPr/>
              <w:t>49,092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9,818,428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456,556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0.22</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b/>
                <w:u w:val="single"/>
              </w:rPr>
            </w:pPr>
            <w:r>
              <w:rPr>
                <w:b/>
                <w:u w:val="single"/>
              </w:rPr>
              <w:t>PSQ Holdings, Inc. (d/b/a PublicSquare)</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West Palm Beach, FL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66" w:name="xdx_416_20251231__srt--ConsolidatedEntit"/>
            <w:bookmarkEnd w:id="666"/>
          </w:p>
        </w:tc>
      </w:tr>
      <w:tr>
        <w:trPr/>
        <w:tc>
          <w:tcPr>
            <w:tcW w:w="222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Warrants, Strike Price $11.50, Expiration Date 7/19/2028</w:t>
            </w:r>
            <w:bookmarkStart w:id="667" w:name="xdx_F42_zSZA8vM7PNo9"/>
            <w:bookmarkEnd w:id="667"/>
            <w:r>
              <w:rPr>
                <w:rFonts w:ascii="Times New Roman;Times;Serif" w:hAnsi="Times New Roman;Times;Serif"/>
                <w:sz w:val="20"/>
              </w:rPr>
              <w:t>(4)</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E-Commerce Marketplace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4/1/2021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68" w:name="xdx_984_eus-gaap--InvestmentOwnedBalance"/>
            <w:bookmarkEnd w:id="668"/>
          </w:p>
        </w:tc>
        <w:tc>
          <w:tcPr>
            <w:tcW w:w="980" w:type="dxa"/>
            <w:tcBorders/>
            <w:shd w:fill="FFFFFF" w:val="clear"/>
            <w:tcMar>
              <w:bottom w:w="0" w:type="dxa"/>
            </w:tcMar>
            <w:vAlign w:val="center"/>
          </w:tcPr>
          <w:p>
            <w:pPr>
              <w:pStyle w:val="TableContents"/>
              <w:bidi w:val="0"/>
              <w:spacing w:before="0" w:after="283"/>
              <w:jc w:val="right"/>
              <w:rPr/>
            </w:pPr>
            <w:r>
              <w:rPr/>
              <w:t>1,796,037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771,065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170,624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0.08</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b/>
                <w:u w:val="single"/>
              </w:rPr>
            </w:pPr>
            <w:r>
              <w:rPr>
                <w:b/>
                <w:u w:val="single"/>
              </w:rPr>
              <w:t>Kinetiq Holdings, LLC</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Doylestown, 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69" w:name="xdx_419_20251231__srt--ConsolidatedEntit"/>
            <w:bookmarkEnd w:id="669"/>
          </w:p>
        </w:tc>
      </w:tr>
      <w:tr>
        <w:trPr/>
        <w:tc>
          <w:tcPr>
            <w:tcW w:w="2221" w:type="dxa"/>
            <w:tcBorders/>
            <w:shd w:fill="FFFFFF" w:val="clear"/>
            <w:tcMar>
              <w:bottom w:w="0" w:type="dxa"/>
            </w:tcMar>
            <w:vAlign w:val="center"/>
          </w:tcPr>
          <w:p>
            <w:pPr>
              <w:pStyle w:val="TableContents"/>
              <w:bidi w:val="0"/>
              <w:spacing w:before="0" w:after="283"/>
              <w:jc w:val="left"/>
              <w:rPr/>
            </w:pPr>
            <w:r>
              <w:rPr/>
              <w:t>Common Shares, Class A</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Social Data Platform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3/30/2012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70" w:name="xdx_988_eus-gaap--InvestmentOwnedBalance"/>
            <w:bookmarkEnd w:id="670"/>
          </w:p>
        </w:tc>
        <w:tc>
          <w:tcPr>
            <w:tcW w:w="980" w:type="dxa"/>
            <w:tcBorders/>
            <w:shd w:fill="FFFFFF" w:val="clear"/>
            <w:tcMar>
              <w:bottom w:w="0" w:type="dxa"/>
            </w:tcMar>
            <w:vAlign w:val="center"/>
          </w:tcPr>
          <w:p>
            <w:pPr>
              <w:pStyle w:val="TableContents"/>
              <w:bidi w:val="0"/>
              <w:spacing w:before="0" w:after="283"/>
              <w:jc w:val="right"/>
              <w:rPr/>
            </w:pPr>
            <w:r>
              <w:rPr/>
              <w:t>112,374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1,875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0.01</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Trax Ltd.</w:t>
            </w:r>
            <w:r>
              <w:rPr>
                <w:rFonts w:ascii="Times New Roman;Times;Serif" w:hAnsi="Times New Roman;Times;Serif"/>
                <w:b/>
                <w:position w:val="7"/>
                <w:sz w:val="16"/>
                <w:sz w:val="20"/>
                <w:u w:val="single"/>
              </w:rPr>
              <w:t>**</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Singapore, 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71" w:name="xdx_415_20251231__srt--ConsolidatedEntit"/>
            <w:bookmarkEnd w:id="671"/>
          </w:p>
        </w:tc>
      </w:tr>
      <w:tr>
        <w:trPr/>
        <w:tc>
          <w:tcPr>
            <w:tcW w:w="2221" w:type="dxa"/>
            <w:tcBorders/>
            <w:shd w:fill="FFFFFF" w:val="clear"/>
            <w:tcMar>
              <w:bottom w:w="0" w:type="dxa"/>
            </w:tcMar>
            <w:vAlign w:val="center"/>
          </w:tcPr>
          <w:p>
            <w:pPr>
              <w:pStyle w:val="TableContents"/>
              <w:bidi w:val="0"/>
              <w:spacing w:before="0" w:after="283"/>
              <w:jc w:val="left"/>
              <w:rPr/>
            </w:pPr>
            <w:r>
              <w:rPr/>
              <w:t>Common Shares</w:t>
            </w:r>
          </w:p>
        </w:tc>
        <w:tc>
          <w:tcPr>
            <w:tcW w:w="555" w:type="dxa"/>
            <w:tcBorders/>
            <w:shd w:fill="FFFFFF" w:val="clear"/>
            <w:tcMar>
              <w:bottom w:w="0" w:type="dxa"/>
            </w:tcMar>
            <w:vAlign w:val="center"/>
          </w:tcPr>
          <w:p>
            <w:pPr>
              <w:pStyle w:val="TableContents"/>
              <w:bidi w:val="0"/>
              <w:spacing w:before="0" w:after="283"/>
              <w:jc w:val="left"/>
              <w:rPr/>
            </w:pPr>
            <w:r>
              <w:rPr/>
              <w:t> </w:t>
            </w:r>
            <w:bookmarkStart w:id="672" w:name="xdx_F44_zJVs4CoSabM2"/>
            <w:bookmarkEnd w:id="672"/>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Retail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6/9/2021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73" w:name="xdx_986_eus-gaap--InvestmentOwnedBalance"/>
            <w:bookmarkEnd w:id="673"/>
          </w:p>
        </w:tc>
        <w:tc>
          <w:tcPr>
            <w:tcW w:w="980" w:type="dxa"/>
            <w:tcBorders/>
            <w:shd w:fill="FFFFFF" w:val="clear"/>
            <w:tcMar>
              <w:bottom w:w="0" w:type="dxa"/>
            </w:tcMar>
            <w:vAlign w:val="center"/>
          </w:tcPr>
          <w:p>
            <w:pPr>
              <w:pStyle w:val="TableContents"/>
              <w:bidi w:val="0"/>
              <w:spacing w:before="0" w:after="283"/>
              <w:jc w:val="right"/>
              <w:rPr/>
            </w:pPr>
            <w:r>
              <w:rPr/>
              <w:t>55,591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2,781,148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bookmarkStart w:id="674" w:name="xdx_41E_20251231__srt--ConsolidatedEntit"/>
            <w:bookmarkEnd w:id="674"/>
          </w:p>
        </w:tc>
      </w:tr>
      <w:tr>
        <w:trPr/>
        <w:tc>
          <w:tcPr>
            <w:tcW w:w="2221" w:type="dxa"/>
            <w:tcBorders/>
            <w:shd w:fill="CCEEFF" w:val="clear"/>
            <w:tcMar>
              <w:bottom w:w="0" w:type="dxa"/>
            </w:tcMar>
            <w:vAlign w:val="center"/>
          </w:tcPr>
          <w:p>
            <w:pPr>
              <w:pStyle w:val="TableContents"/>
              <w:bidi w:val="0"/>
              <w:spacing w:before="0" w:after="283"/>
              <w:jc w:val="left"/>
              <w:rPr/>
            </w:pPr>
            <w:r>
              <w:rPr/>
              <w:t>Preferred Shares, Investec Series</w:t>
            </w:r>
          </w:p>
        </w:tc>
        <w:tc>
          <w:tcPr>
            <w:tcW w:w="5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bookmarkStart w:id="675" w:name="xdx_F40_zMnEFLFITdFd"/>
            <w:bookmarkEnd w:id="675"/>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Retail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6/9/2021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76" w:name="xdx_981_eus-gaap--InvestmentOwnedBalance"/>
            <w:bookmarkEnd w:id="676"/>
          </w:p>
        </w:tc>
        <w:tc>
          <w:tcPr>
            <w:tcW w:w="980" w:type="dxa"/>
            <w:tcBorders/>
            <w:shd w:fill="CCEEFF" w:val="clear"/>
            <w:tcMar>
              <w:bottom w:w="0" w:type="dxa"/>
            </w:tcMar>
            <w:vAlign w:val="center"/>
          </w:tcPr>
          <w:p>
            <w:pPr>
              <w:pStyle w:val="TableContents"/>
              <w:bidi w:val="0"/>
              <w:spacing w:before="0" w:after="283"/>
              <w:jc w:val="right"/>
              <w:rPr/>
            </w:pPr>
            <w:r>
              <w:rPr/>
              <w:t>144,409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7,224,600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bookmarkStart w:id="677" w:name="xdx_418_20251231__srt--ConsolidatedEntit"/>
            <w:bookmarkEnd w:id="677"/>
          </w:p>
        </w:tc>
      </w:tr>
      <w:tr>
        <w:trPr/>
        <w:tc>
          <w:tcPr>
            <w:tcW w:w="2221" w:type="dxa"/>
            <w:tcBorders/>
            <w:shd w:fill="FFFFFF" w:val="clear"/>
            <w:tcMar>
              <w:bottom w:w="0" w:type="dxa"/>
            </w:tcMar>
            <w:vAlign w:val="center"/>
          </w:tcPr>
          <w:p>
            <w:pPr>
              <w:pStyle w:val="TableContents"/>
              <w:bidi w:val="0"/>
              <w:spacing w:before="0" w:after="283"/>
              <w:jc w:val="left"/>
              <w:rPr/>
            </w:pPr>
            <w:r>
              <w:rPr/>
              <w:t>Total</w:t>
            </w:r>
          </w:p>
        </w:tc>
        <w:tc>
          <w:tcPr>
            <w:tcW w:w="5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bookmarkStart w:id="678" w:name="xdx_F40_zqE6cxReqcS8"/>
            <w:bookmarkEnd w:id="678"/>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10,005,748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0" w:type="dxa"/>
            <w:tcBorders>
              <w:bottom w:val="single" w:sz="8" w:space="0" w:color="000000"/>
            </w:tcBorders>
            <w:shd w:fill="FFFFFF" w:val="cle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21"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CTN Holdings, Inc. (d/b/a Catona Climate, f/k/a Aspiration Partners, Inc.)</w:t>
            </w:r>
            <w:r>
              <w:rPr>
                <w:rFonts w:ascii="Times New Roman;Times;Serif" w:hAnsi="Times New Roman;Times;Serif"/>
                <w:b/>
                <w:position w:val="7"/>
                <w:sz w:val="16"/>
                <w:sz w:val="20"/>
                <w:u w:val="single"/>
              </w:rPr>
              <w:t>(14)</w:t>
            </w:r>
          </w:p>
        </w:tc>
        <w:tc>
          <w:tcPr>
            <w:tcW w:w="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center"/>
              <w:rPr/>
            </w:pPr>
            <w:r>
              <w:rPr/>
              <w:t>Marina Del Rey,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bookmarkStart w:id="679" w:name="xdx_416_20251231__srt--ConsolidatedEntit"/>
            <w:bookmarkEnd w:id="679"/>
          </w:p>
        </w:tc>
      </w:tr>
      <w:tr>
        <w:trPr/>
        <w:tc>
          <w:tcPr>
            <w:tcW w:w="2221" w:type="dxa"/>
            <w:tcBorders/>
            <w:shd w:fill="FFFFFF" w:val="clear"/>
            <w:tcMar>
              <w:bottom w:w="0" w:type="dxa"/>
            </w:tcMar>
            <w:vAlign w:val="center"/>
          </w:tcPr>
          <w:p>
            <w:pPr>
              <w:pStyle w:val="TableContents"/>
              <w:bidi w:val="0"/>
              <w:spacing w:before="0" w:after="283"/>
              <w:jc w:val="left"/>
              <w:rPr/>
            </w:pPr>
            <w:r>
              <w:rPr/>
              <w:t>Preferred Shares, Series A</w:t>
            </w:r>
          </w:p>
        </w:tc>
        <w:tc>
          <w:tcPr>
            <w:tcW w:w="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680" w:name="xdx_F4D_z5WtSEgBnBLg"/>
            <w:bookmarkEnd w:id="680"/>
            <w:r>
              <w:rPr>
                <w:rFonts w:ascii="Times New Roman;Times;Serif" w:hAnsi="Times New Roman;Times;Serif"/>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center"/>
              <w:rPr/>
            </w:pPr>
            <w:r>
              <w:rPr/>
              <w:t>Carbon Credit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8/11/2015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81" w:name="xdx_98D_eus-gaap--InvestmentOwnedBalance"/>
            <w:bookmarkEnd w:id="681"/>
          </w:p>
        </w:tc>
        <w:tc>
          <w:tcPr>
            <w:tcW w:w="980" w:type="dxa"/>
            <w:tcBorders/>
            <w:shd w:fill="FFFFFF" w:val="clear"/>
            <w:tcMar>
              <w:bottom w:w="0" w:type="dxa"/>
            </w:tcMar>
            <w:vAlign w:val="center"/>
          </w:tcPr>
          <w:p>
            <w:pPr>
              <w:pStyle w:val="TableContents"/>
              <w:bidi w:val="0"/>
              <w:spacing w:before="0" w:after="283"/>
              <w:jc w:val="right"/>
              <w:rPr/>
            </w:pPr>
            <w:r>
              <w:rPr/>
              <w:t>540,270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1,001,815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bookmarkStart w:id="682" w:name="xdx_413_20251231__srt--ConsolidatedEntit"/>
            <w:bookmarkEnd w:id="682"/>
          </w:p>
        </w:tc>
      </w:tr>
      <w:tr>
        <w:trPr/>
        <w:tc>
          <w:tcPr>
            <w:tcW w:w="2221" w:type="dxa"/>
            <w:tcBorders/>
            <w:shd w:fill="CCEEFF" w:val="clear"/>
            <w:tcMar>
              <w:bottom w:w="0" w:type="dxa"/>
            </w:tcMar>
            <w:vAlign w:val="center"/>
          </w:tcPr>
          <w:p>
            <w:pPr>
              <w:pStyle w:val="TableContents"/>
              <w:bidi w:val="0"/>
              <w:spacing w:before="0" w:after="283"/>
              <w:jc w:val="left"/>
              <w:rPr/>
            </w:pPr>
            <w:r>
              <w:rPr/>
              <w:t>Preferred Shares, Series C-3</w:t>
            </w:r>
          </w:p>
        </w:tc>
        <w:tc>
          <w:tcPr>
            <w:tcW w:w="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683" w:name="xdx_F4B_zKpd2Hikgmfj"/>
            <w:bookmarkEnd w:id="683"/>
            <w:r>
              <w:rPr>
                <w:rFonts w:ascii="Times New Roman;Times;Serif" w:hAnsi="Times New Roman;Times;Serif"/>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Carbon Credit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8/12/2019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684" w:name="xdx_985_eus-gaap--InvestmentOwnedBalance"/>
            <w:bookmarkEnd w:id="684"/>
          </w:p>
        </w:tc>
        <w:tc>
          <w:tcPr>
            <w:tcW w:w="980" w:type="dxa"/>
            <w:tcBorders/>
            <w:shd w:fill="CCEEFF" w:val="clear"/>
            <w:tcMar>
              <w:bottom w:w="0" w:type="dxa"/>
            </w:tcMar>
            <w:vAlign w:val="center"/>
          </w:tcPr>
          <w:p>
            <w:pPr>
              <w:pStyle w:val="TableContents"/>
              <w:bidi w:val="0"/>
              <w:spacing w:before="0" w:after="283"/>
              <w:jc w:val="right"/>
              <w:rPr/>
            </w:pPr>
            <w:r>
              <w:rPr/>
              <w:t>24,912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281,190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9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bookmarkStart w:id="685" w:name="xdx_410_20251231__srt--ConsolidatedEntit"/>
            <w:bookmarkEnd w:id="685"/>
          </w:p>
        </w:tc>
      </w:tr>
      <w:tr>
        <w:trPr/>
        <w:tc>
          <w:tcPr>
            <w:tcW w:w="2221" w:type="dxa"/>
            <w:tcBorders/>
            <w:shd w:fill="FFFFFF" w:val="clear"/>
            <w:tcMar>
              <w:bottom w:w="0" w:type="dxa"/>
            </w:tcMar>
            <w:vAlign w:val="center"/>
          </w:tcPr>
          <w:p>
            <w:pPr>
              <w:pStyle w:val="TableContents"/>
              <w:bidi w:val="0"/>
              <w:spacing w:before="0" w:after="283"/>
              <w:jc w:val="left"/>
              <w:rPr/>
            </w:pPr>
            <w:r>
              <w:rPr/>
              <w:t>Total</w:t>
            </w:r>
          </w:p>
        </w:tc>
        <w:tc>
          <w:tcPr>
            <w:tcW w:w="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1,283,005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9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610" w:type="dxa"/>
            <w:tcBorders>
              <w:bottom w:val="single" w:sz="8" w:space="0" w:color="000000"/>
            </w:tcBorders>
            <w:shd w:fill="FFFFFF" w:val="cle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85"/>
        <w:gridCol w:w="353"/>
        <w:gridCol w:w="60"/>
        <w:gridCol w:w="1204"/>
        <w:gridCol w:w="60"/>
        <w:gridCol w:w="1145"/>
        <w:gridCol w:w="60"/>
        <w:gridCol w:w="140"/>
        <w:gridCol w:w="1100"/>
        <w:gridCol w:w="60"/>
        <w:gridCol w:w="60"/>
        <w:gridCol w:w="140"/>
        <w:gridCol w:w="1220"/>
        <w:gridCol w:w="60"/>
        <w:gridCol w:w="60"/>
        <w:gridCol w:w="140"/>
        <w:gridCol w:w="1220"/>
        <w:gridCol w:w="60"/>
        <w:gridCol w:w="60"/>
        <w:gridCol w:w="60"/>
        <w:gridCol w:w="681"/>
        <w:gridCol w:w="277"/>
      </w:tblGrid>
      <w:tr>
        <w:trPr/>
        <w:tc>
          <w:tcPr>
            <w:tcW w:w="1985" w:type="dxa"/>
            <w:tcBorders>
              <w:bottom w:val="single" w:sz="8" w:space="0" w:color="000000"/>
            </w:tcBorders>
            <w:vAlign w:val="center"/>
          </w:tcPr>
          <w:p>
            <w:pPr>
              <w:pStyle w:val="TableContents"/>
              <w:bidi w:val="0"/>
              <w:spacing w:before="0" w:after="283"/>
              <w:jc w:val="left"/>
              <w:rPr/>
            </w:pPr>
            <w:r>
              <w:rPr/>
              <w:t> </w:t>
            </w:r>
          </w:p>
        </w:tc>
        <w:tc>
          <w:tcPr>
            <w:tcW w:w="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86" w:name="xdx_488_ecustom--InvestmentIndustryDescr"/>
            <w:bookmarkEnd w:id="686"/>
          </w:p>
        </w:tc>
        <w:tc>
          <w:tcPr>
            <w:tcW w:w="1204"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bookmarkStart w:id="687" w:name="xdx_487_ecustom--InitialInvestmentDate_i"/>
            <w:bookmarkEnd w:id="687"/>
          </w:p>
        </w:tc>
        <w:tc>
          <w:tcPr>
            <w:tcW w:w="1145"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88" w:name="xdx_483_eus-gaap--InvestmentOwnedAtCost_"/>
            <w:bookmarkEnd w:id="688"/>
          </w:p>
        </w:tc>
        <w:tc>
          <w:tcPr>
            <w:tcW w:w="1360"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89" w:name="xdx_488_eus-gaap--InvestmentOwnedAtFairV"/>
            <w:bookmarkEnd w:id="689"/>
          </w:p>
        </w:tc>
        <w:tc>
          <w:tcPr>
            <w:tcW w:w="1360"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90" w:name="xdx_48E_eus-gaap--InvestmentOwnedPercent"/>
            <w:bookmarkEnd w:id="690"/>
          </w:p>
        </w:tc>
        <w:tc>
          <w:tcPr>
            <w:tcW w:w="741" w:type="dxa"/>
            <w:gridSpan w:val="2"/>
            <w:tcBorders>
              <w:bottom w:val="single" w:sz="8" w:space="0" w:color="000000"/>
            </w:tcBorders>
            <w:vAlign w:val="center"/>
          </w:tcPr>
          <w:p>
            <w:pPr>
              <w:pStyle w:val="TableContents"/>
              <w:bidi w:val="0"/>
              <w:spacing w:before="0" w:after="283"/>
              <w:jc w:val="center"/>
              <w:rPr/>
            </w:pPr>
            <w:r>
              <w:rPr/>
              <w:t> </w:t>
            </w:r>
          </w:p>
        </w:tc>
        <w:tc>
          <w:tcPr>
            <w:tcW w:w="277"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8" w:space="0" w:color="000000"/>
            </w:tcBorders>
            <w:vAlign w:val="center"/>
          </w:tcPr>
          <w:p>
            <w:pPr>
              <w:pStyle w:val="TableContents"/>
              <w:bidi w:val="0"/>
              <w:spacing w:before="0" w:after="283"/>
              <w:jc w:val="left"/>
              <w:rPr>
                <w:b/>
              </w:rPr>
            </w:pPr>
            <w:r>
              <w:rPr>
                <w:b/>
              </w:rPr>
              <w:t>Portfolio Investments*</w:t>
            </w:r>
          </w:p>
        </w:tc>
        <w:tc>
          <w:tcPr>
            <w:tcW w:w="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jc w:val="center"/>
              <w:rPr>
                <w:b/>
              </w:rPr>
            </w:pPr>
            <w:r>
              <w:rPr>
                <w:b/>
              </w:rPr>
              <w:t>Date of</w:t>
            </w:r>
          </w:p>
          <w:p>
            <w:pPr>
              <w:pStyle w:val="TableContents"/>
              <w:bidi w:val="0"/>
              <w:jc w:val="center"/>
              <w:rPr>
                <w:b/>
              </w:rPr>
            </w:pPr>
            <w:r>
              <w:rPr>
                <w:b/>
              </w:rPr>
              <w:t>Initial</w:t>
            </w:r>
          </w:p>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1" w:type="dxa"/>
            <w:gridSpan w:val="2"/>
            <w:tcBorders>
              <w:bottom w:val="single" w:sz="8" w:space="0" w:color="000000"/>
            </w:tcBorders>
            <w:vAlign w:val="center"/>
          </w:tcPr>
          <w:p>
            <w:pPr>
              <w:pStyle w:val="TableContents"/>
              <w:bidi w:val="0"/>
              <w:jc w:val="center"/>
              <w:rPr>
                <w:b/>
              </w:rPr>
            </w:pPr>
            <w:r>
              <w:rPr>
                <w:b/>
              </w:rPr>
              <w:t>% of Net</w:t>
            </w:r>
          </w:p>
          <w:p>
            <w:pPr>
              <w:pStyle w:val="TableContents"/>
              <w:bidi w:val="0"/>
              <w:spacing w:before="0" w:after="283"/>
              <w:jc w:val="center"/>
              <w:rPr>
                <w:b/>
              </w:rPr>
            </w:pPr>
            <w:r>
              <w:rPr>
                <w:b/>
              </w:rPr>
              <w:t>Assets</w:t>
            </w:r>
          </w:p>
        </w:tc>
        <w:tc>
          <w:tcPr>
            <w:tcW w:w="277" w:type="dxa"/>
            <w:tcBorders/>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b/>
                <w:u w:val="single"/>
              </w:rPr>
            </w:pPr>
            <w:r>
              <w:rPr>
                <w:b/>
                <w:u w:val="single"/>
              </w:rPr>
              <w:t>Fullbridge, Inc.</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Cambridge, 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691" w:name="xdx_410_20251231__srt--ConsolidatedEntit"/>
            <w:bookmarkEnd w:id="691"/>
          </w:p>
        </w:tc>
      </w:tr>
      <w:tr>
        <w:trPr/>
        <w:tc>
          <w:tcPr>
            <w:tcW w:w="1985" w:type="dxa"/>
            <w:tcBorders/>
            <w:shd w:fill="FFFFFF" w:val="clear"/>
            <w:tcMar>
              <w:bottom w:w="0" w:type="dxa"/>
            </w:tcMar>
            <w:vAlign w:val="center"/>
          </w:tcPr>
          <w:p>
            <w:pPr>
              <w:pStyle w:val="TableContents"/>
              <w:bidi w:val="0"/>
              <w:spacing w:before="0" w:after="283"/>
              <w:jc w:val="left"/>
              <w:rPr/>
            </w:pPr>
            <w:r>
              <w:rPr/>
              <w:t>Common Shares</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center"/>
              <w:rPr/>
            </w:pPr>
            <w:r>
              <w:rPr/>
              <w:t>Business Education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5/13/2012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92" w:name="xdx_98D_eus-gaap--InvestmentOwnedBalance"/>
            <w:bookmarkEnd w:id="692"/>
          </w:p>
        </w:tc>
        <w:tc>
          <w:tcPr>
            <w:tcW w:w="1100" w:type="dxa"/>
            <w:tcBorders/>
            <w:shd w:fill="FFFFFF" w:val="clear"/>
            <w:tcMar>
              <w:bottom w:w="0" w:type="dxa"/>
            </w:tcMar>
            <w:vAlign w:val="center"/>
          </w:tcPr>
          <w:p>
            <w:pPr>
              <w:pStyle w:val="TableContents"/>
              <w:bidi w:val="0"/>
              <w:spacing w:before="0" w:after="283"/>
              <w:jc w:val="right"/>
              <w:rPr/>
            </w:pPr>
            <w:r>
              <w:rPr/>
              <w:t>517,917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6,150,506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bookmarkStart w:id="693" w:name="xdx_41F_20251231__srt--ConsolidatedEntit"/>
            <w:bookmarkEnd w:id="693"/>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1.47%, Due 11/9/2021</w:t>
            </w:r>
            <w:bookmarkStart w:id="694" w:name="xdx_F4B_zzWb813rcy4j"/>
            <w:bookmarkEnd w:id="694"/>
            <w:r>
              <w:rPr>
                <w:rFonts w:ascii="Times New Roman;Times;Serif" w:hAnsi="Times New Roman;Times;Serif"/>
                <w:sz w:val="20"/>
              </w:rPr>
              <w:t>(3)(15)</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Business Education</w:t>
            </w: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3/3/2016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695" w:name="xdx_987_eus-gaap--InvestmentOwnedBalance"/>
            <w:bookmarkEnd w:id="695"/>
          </w:p>
        </w:tc>
        <w:tc>
          <w:tcPr>
            <w:tcW w:w="1100" w:type="dxa"/>
            <w:tcBorders/>
            <w:shd w:fill="CCEEFF" w:val="clear"/>
            <w:tcMar>
              <w:bottom w:w="0" w:type="dxa"/>
            </w:tcMar>
            <w:vAlign w:val="center"/>
          </w:tcPr>
          <w:p>
            <w:pPr>
              <w:pStyle w:val="TableContents"/>
              <w:bidi w:val="0"/>
              <w:spacing w:before="0" w:after="283"/>
              <w:jc w:val="right"/>
              <w:rPr/>
            </w:pPr>
            <w:r>
              <w:rPr/>
              <w:t>2,270,458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2,270,858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1" w:type="dxa"/>
            <w:tcBorders>
              <w:bottom w:val="single" w:sz="8" w:space="0" w:color="000000"/>
            </w:tcBorders>
            <w:shd w:fill="CCEEFF" w:val="clear"/>
            <w:vAlign w:val="center"/>
          </w:tcPr>
          <w:p>
            <w:pPr>
              <w:pStyle w:val="TableContents"/>
              <w:bidi w:val="0"/>
              <w:spacing w:before="0" w:after="283"/>
              <w:jc w:val="right"/>
              <w:rPr/>
            </w:pPr>
            <w:r>
              <w:rPr/>
              <w:t>—</w:t>
            </w:r>
          </w:p>
        </w:tc>
        <w:tc>
          <w:tcPr>
            <w:tcW w:w="277" w:type="dxa"/>
            <w:tcBorders/>
            <w:shd w:fill="CCEEFF" w:val="clear"/>
            <w:tcMar>
              <w:bottom w:w="0" w:type="dxa"/>
            </w:tcMar>
            <w:vAlign w:val="center"/>
          </w:tcPr>
          <w:p>
            <w:pPr>
              <w:pStyle w:val="TableContents"/>
              <w:bidi w:val="0"/>
              <w:spacing w:before="0" w:after="283"/>
              <w:jc w:val="left"/>
              <w:rPr/>
            </w:pPr>
            <w:r>
              <w:rPr/>
              <w:t>%</w:t>
            </w:r>
            <w:bookmarkStart w:id="696" w:name="xdx_413_20251231__srt--ConsolidatedEntit"/>
            <w:bookmarkEnd w:id="696"/>
          </w:p>
        </w:tc>
      </w:tr>
      <w:tr>
        <w:trPr/>
        <w:tc>
          <w:tcPr>
            <w:tcW w:w="1985" w:type="dxa"/>
            <w:tcBorders/>
            <w:shd w:fill="FFFFFF" w:val="clear"/>
            <w:tcMar>
              <w:bottom w:w="0" w:type="dxa"/>
            </w:tcMar>
            <w:vAlign w:val="center"/>
          </w:tcPr>
          <w:p>
            <w:pPr>
              <w:pStyle w:val="TableContents"/>
              <w:bidi w:val="0"/>
              <w:spacing w:before="0" w:after="283"/>
              <w:jc w:val="left"/>
              <w:rPr/>
            </w:pPr>
            <w:r>
              <w:rPr/>
              <w:t>Total</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8,421,364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1" w:type="dxa"/>
            <w:tcBorders>
              <w:bottom w:val="single" w:sz="8" w:space="0" w:color="000000"/>
            </w:tcBorders>
            <w:shd w:fill="FFFFFF" w:val="cle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985" w:type="dxa"/>
            <w:tcBorders/>
            <w:shd w:fill="CCEEFF" w:val="clear"/>
            <w:tcMar>
              <w:bottom w:w="0" w:type="dxa"/>
            </w:tcMar>
            <w:vAlign w:val="center"/>
          </w:tcPr>
          <w:p>
            <w:pPr>
              <w:pStyle w:val="TableContents"/>
              <w:bidi w:val="0"/>
              <w:spacing w:before="0" w:after="283"/>
              <w:jc w:val="left"/>
              <w:rPr>
                <w:b/>
                <w:u w:val="single"/>
              </w:rPr>
            </w:pPr>
            <w:r>
              <w:rPr>
                <w:b/>
                <w:u w:val="single"/>
              </w:rPr>
              <w:t>Treehouse Real Estate Investment Trust, Inc.</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Chicago, 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697" w:name="xdx_417_20251231__srt--ConsolidatedEntit"/>
            <w:bookmarkEnd w:id="697"/>
          </w:p>
        </w:tc>
      </w:tr>
      <w:tr>
        <w:trPr/>
        <w:tc>
          <w:tcPr>
            <w:tcW w:w="1985" w:type="dxa"/>
            <w:tcBorders/>
            <w:shd w:fill="FFFFFF" w:val="clear"/>
            <w:tcMar>
              <w:bottom w:w="0" w:type="dxa"/>
            </w:tcMar>
            <w:vAlign w:val="center"/>
          </w:tcPr>
          <w:p>
            <w:pPr>
              <w:pStyle w:val="TableContents"/>
              <w:bidi w:val="0"/>
              <w:spacing w:before="0" w:after="283"/>
              <w:jc w:val="left"/>
              <w:rPr/>
            </w:pPr>
            <w:r>
              <w:rPr/>
              <w:t>Common Shares</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center"/>
              <w:rPr/>
            </w:pPr>
            <w:r>
              <w:rPr/>
              <w:t>Cannabis REIT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9/11/2019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698" w:name="xdx_983_eus-gaap--InvestmentOwnedBalance"/>
            <w:bookmarkEnd w:id="698"/>
          </w:p>
        </w:tc>
        <w:tc>
          <w:tcPr>
            <w:tcW w:w="1100" w:type="dxa"/>
            <w:tcBorders/>
            <w:shd w:fill="FFFFFF" w:val="clear"/>
            <w:tcMar>
              <w:bottom w:w="0" w:type="dxa"/>
            </w:tcMar>
            <w:vAlign w:val="center"/>
          </w:tcPr>
          <w:p>
            <w:pPr>
              <w:pStyle w:val="TableContents"/>
              <w:bidi w:val="0"/>
              <w:spacing w:before="0" w:after="283"/>
              <w:jc w:val="right"/>
              <w:rPr/>
            </w:pPr>
            <w:r>
              <w:rPr/>
              <w:t>312,500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4,919,250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985"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b/>
              </w:rPr>
            </w:pPr>
            <w:r>
              <w:rPr>
                <w:b/>
              </w:rPr>
              <w:t>Total Non-Controlled/Non-Affiliate</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699" w:name="xdx_98B_eus-gaap--InvestmentOwnedAtCost_"/>
            <w:bookmarkEnd w:id="699"/>
          </w:p>
        </w:tc>
        <w:tc>
          <w:tcPr>
            <w:tcW w:w="1220" w:type="dxa"/>
            <w:tcBorders/>
            <w:shd w:fill="FFFFFF" w:val="clear"/>
            <w:tcMar>
              <w:bottom w:w="0" w:type="dxa"/>
            </w:tcMar>
            <w:vAlign w:val="center"/>
          </w:tcPr>
          <w:p>
            <w:pPr>
              <w:pStyle w:val="TableContents"/>
              <w:bidi w:val="0"/>
              <w:spacing w:before="0" w:after="283"/>
              <w:jc w:val="right"/>
              <w:rPr>
                <w:b/>
              </w:rPr>
            </w:pPr>
            <w:r>
              <w:rPr>
                <w:b/>
              </w:rPr>
              <w:t>219,216,145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700" w:name="xdx_98A_eus-gaap--InvestmentOwnedAtFairV"/>
            <w:bookmarkEnd w:id="700"/>
          </w:p>
        </w:tc>
        <w:tc>
          <w:tcPr>
            <w:tcW w:w="1220" w:type="dxa"/>
            <w:tcBorders/>
            <w:shd w:fill="FFFFFF" w:val="clear"/>
            <w:tcMar>
              <w:bottom w:w="0" w:type="dxa"/>
            </w:tcMar>
            <w:vAlign w:val="center"/>
          </w:tcPr>
          <w:p>
            <w:pPr>
              <w:pStyle w:val="TableContents"/>
              <w:bidi w:val="0"/>
              <w:spacing w:before="0" w:after="283"/>
              <w:jc w:val="right"/>
              <w:rPr>
                <w:b/>
              </w:rPr>
            </w:pPr>
            <w:r>
              <w:rPr>
                <w:b/>
              </w:rPr>
              <w:t>217,304,138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01" w:name="xdx_98C_eus-gaap--InvestmentOwnedPercent"/>
            <w:bookmarkEnd w:id="701"/>
          </w:p>
        </w:tc>
        <w:tc>
          <w:tcPr>
            <w:tcW w:w="681" w:type="dxa"/>
            <w:tcBorders/>
            <w:shd w:fill="FFFFFF" w:val="clear"/>
            <w:tcMar>
              <w:bottom w:w="0" w:type="dxa"/>
            </w:tcMar>
            <w:vAlign w:val="center"/>
          </w:tcPr>
          <w:p>
            <w:pPr>
              <w:pStyle w:val="TableContents"/>
              <w:bidi w:val="0"/>
              <w:spacing w:before="0" w:after="283"/>
              <w:jc w:val="right"/>
              <w:rPr>
                <w:b/>
              </w:rPr>
            </w:pPr>
            <w:r>
              <w:rPr>
                <w:b/>
              </w:rPr>
              <w:t>105.84</w:t>
            </w:r>
          </w:p>
        </w:tc>
        <w:tc>
          <w:tcPr>
            <w:tcW w:w="277" w:type="dxa"/>
            <w:tcBorders/>
            <w:shd w:fill="FFFFFF" w:val="clear"/>
            <w:tcMar>
              <w:bottom w:w="0" w:type="dxa"/>
            </w:tcMar>
            <w:vAlign w:val="center"/>
          </w:tcPr>
          <w:p>
            <w:pPr>
              <w:pStyle w:val="TableContents"/>
              <w:bidi w:val="0"/>
              <w:spacing w:before="0" w:after="283"/>
              <w:jc w:val="left"/>
              <w:rPr>
                <w:b/>
              </w:rPr>
            </w:pPr>
            <w:r>
              <w:rPr>
                <w:b/>
              </w:rPr>
              <w:t>%</w:t>
            </w:r>
          </w:p>
        </w:tc>
      </w:tr>
      <w:tr>
        <w:trPr/>
        <w:tc>
          <w:tcPr>
            <w:tcW w:w="1985"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NON-CONTROLLED/AFFILIATE</w:t>
            </w:r>
            <w:r>
              <w:rPr>
                <w:rFonts w:ascii="Times New Roman;Times;Serif" w:hAnsi="Times New Roman;Times;Serif"/>
                <w:b/>
                <w:position w:val="7"/>
                <w:sz w:val="16"/>
                <w:sz w:val="20"/>
              </w:rPr>
              <w:t>(1)</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StormWind, LLC</w:t>
            </w:r>
            <w:r>
              <w:rPr>
                <w:rFonts w:ascii="Times New Roman;Times;Serif" w:hAnsi="Times New Roman;Times;Serif"/>
                <w:b/>
                <w:position w:val="7"/>
                <w:sz w:val="16"/>
                <w:sz w:val="20"/>
                <w:u w:val="single"/>
              </w:rPr>
              <w:t>(16)</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Scottsdale, AZ</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702" w:name="xdx_41F_20251231__srt--ConsolidatedEntit"/>
            <w:bookmarkEnd w:id="702"/>
          </w:p>
        </w:tc>
      </w:tr>
      <w:tr>
        <w:trPr/>
        <w:tc>
          <w:tcPr>
            <w:tcW w:w="1985" w:type="dxa"/>
            <w:tcBorders/>
            <w:shd w:fill="FFFFFF" w:val="clear"/>
            <w:tcMar>
              <w:bottom w:w="0" w:type="dxa"/>
            </w:tcMar>
            <w:vAlign w:val="center"/>
          </w:tcPr>
          <w:p>
            <w:pPr>
              <w:pStyle w:val="TableContents"/>
              <w:bidi w:val="0"/>
              <w:spacing w:before="0" w:after="283"/>
              <w:jc w:val="left"/>
              <w:rPr/>
            </w:pPr>
            <w:r>
              <w:rPr/>
              <w:t>Preferred Shares, Series D 8%</w:t>
            </w:r>
          </w:p>
        </w:tc>
        <w:tc>
          <w:tcPr>
            <w:tcW w:w="353" w:type="dxa"/>
            <w:tcBorders/>
            <w:shd w:fill="FFFFFF" w:val="clear"/>
            <w:tcMar>
              <w:bottom w:w="0" w:type="dxa"/>
            </w:tcMar>
            <w:vAlign w:val="center"/>
          </w:tcPr>
          <w:p>
            <w:pPr>
              <w:pStyle w:val="TableContents"/>
              <w:bidi w:val="0"/>
              <w:spacing w:before="0" w:after="283"/>
              <w:jc w:val="left"/>
              <w:rPr/>
            </w:pPr>
            <w:bookmarkStart w:id="703" w:name="xdx_F4F_zk8OtVdCIiO1"/>
            <w:bookmarkEnd w:id="703"/>
            <w:r>
              <w:rPr>
                <w:rFonts w:ascii="Times New Roman;Times;Serif" w:hAnsi="Times New Roman;Times;Serif"/>
              </w:rPr>
              <w:t>(1)(16)</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center"/>
              <w:rPr/>
            </w:pPr>
            <w:r>
              <w:rPr/>
              <w:t>Interactive Learning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11/26/2019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704" w:name="xdx_98A_eus-gaap--InvestmentOwnedBalance"/>
            <w:bookmarkEnd w:id="704"/>
          </w:p>
        </w:tc>
        <w:tc>
          <w:tcPr>
            <w:tcW w:w="1100" w:type="dxa"/>
            <w:tcBorders/>
            <w:shd w:fill="FFFFFF" w:val="clear"/>
            <w:tcMar>
              <w:bottom w:w="0" w:type="dxa"/>
            </w:tcMar>
            <w:vAlign w:val="center"/>
          </w:tcPr>
          <w:p>
            <w:pPr>
              <w:pStyle w:val="TableContents"/>
              <w:bidi w:val="0"/>
              <w:spacing w:before="0" w:after="283"/>
              <w:jc w:val="right"/>
              <w:rPr/>
            </w:pPr>
            <w:r>
              <w:rPr/>
              <w:t>329,337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257,267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435,806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0.21</w:t>
            </w:r>
          </w:p>
        </w:tc>
        <w:tc>
          <w:tcPr>
            <w:tcW w:w="277" w:type="dxa"/>
            <w:tcBorders/>
            <w:shd w:fill="FFFFFF" w:val="clear"/>
            <w:tcMar>
              <w:bottom w:w="0" w:type="dxa"/>
            </w:tcMar>
            <w:vAlign w:val="center"/>
          </w:tcPr>
          <w:p>
            <w:pPr>
              <w:pStyle w:val="TableContents"/>
              <w:bidi w:val="0"/>
              <w:spacing w:before="0" w:after="283"/>
              <w:jc w:val="left"/>
              <w:rPr/>
            </w:pPr>
            <w:r>
              <w:rPr/>
              <w:t>%</w:t>
            </w:r>
            <w:bookmarkStart w:id="705" w:name="xdx_41C_20251231__srt--ConsolidatedEntit"/>
            <w:bookmarkEnd w:id="705"/>
          </w:p>
        </w:tc>
      </w:tr>
      <w:tr>
        <w:trPr/>
        <w:tc>
          <w:tcPr>
            <w:tcW w:w="1985" w:type="dxa"/>
            <w:tcBorders/>
            <w:shd w:fill="CCEEFF" w:val="clear"/>
            <w:tcMar>
              <w:bottom w:w="0" w:type="dxa"/>
            </w:tcMar>
            <w:vAlign w:val="center"/>
          </w:tcPr>
          <w:p>
            <w:pPr>
              <w:pStyle w:val="TableContents"/>
              <w:bidi w:val="0"/>
              <w:spacing w:before="0" w:after="283"/>
              <w:jc w:val="left"/>
              <w:rPr/>
            </w:pPr>
            <w:r>
              <w:rPr/>
              <w:t>Preferred Shares, Series C 8%</w:t>
            </w:r>
          </w:p>
        </w:tc>
        <w:tc>
          <w:tcPr>
            <w:tcW w:w="353" w:type="dxa"/>
            <w:tcBorders/>
            <w:shd w:fill="CCEEFF" w:val="clear"/>
            <w:tcMar>
              <w:bottom w:w="0" w:type="dxa"/>
            </w:tcMar>
            <w:vAlign w:val="center"/>
          </w:tcPr>
          <w:p>
            <w:pPr>
              <w:pStyle w:val="TableContents"/>
              <w:bidi w:val="0"/>
              <w:spacing w:before="0" w:after="283"/>
              <w:jc w:val="left"/>
              <w:rPr/>
            </w:pPr>
            <w:bookmarkStart w:id="706" w:name="xdx_F47_zSnSTKUV1J5l"/>
            <w:bookmarkEnd w:id="706"/>
            <w:r>
              <w:rPr>
                <w:rFonts w:ascii="Times New Roman;Times;Serif" w:hAnsi="Times New Roman;Times;Serif"/>
              </w:rPr>
              <w:t>(1)(16)</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Interactive Learning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1/7/2014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707" w:name="xdx_985_eus-gaap--InvestmentOwnedBalance"/>
            <w:bookmarkEnd w:id="707"/>
          </w:p>
        </w:tc>
        <w:tc>
          <w:tcPr>
            <w:tcW w:w="1100" w:type="dxa"/>
            <w:tcBorders/>
            <w:shd w:fill="CCEEFF" w:val="clear"/>
            <w:tcMar>
              <w:bottom w:w="0" w:type="dxa"/>
            </w:tcMar>
            <w:vAlign w:val="center"/>
          </w:tcPr>
          <w:p>
            <w:pPr>
              <w:pStyle w:val="TableContents"/>
              <w:bidi w:val="0"/>
              <w:spacing w:before="0" w:after="283"/>
              <w:jc w:val="right"/>
              <w:rPr/>
            </w:pPr>
            <w:r>
              <w:rPr/>
              <w:t>2,779,134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4,000,787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4,760,083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2.32</w:t>
            </w:r>
          </w:p>
        </w:tc>
        <w:tc>
          <w:tcPr>
            <w:tcW w:w="277" w:type="dxa"/>
            <w:tcBorders/>
            <w:shd w:fill="CCEEFF" w:val="clear"/>
            <w:tcMar>
              <w:bottom w:w="0" w:type="dxa"/>
            </w:tcMar>
            <w:vAlign w:val="center"/>
          </w:tcPr>
          <w:p>
            <w:pPr>
              <w:pStyle w:val="TableContents"/>
              <w:bidi w:val="0"/>
              <w:spacing w:before="0" w:after="283"/>
              <w:jc w:val="left"/>
              <w:rPr/>
            </w:pPr>
            <w:r>
              <w:rPr/>
              <w:t>%</w:t>
            </w:r>
            <w:bookmarkStart w:id="708" w:name="xdx_418_20251231__srt--ConsolidatedEntit"/>
            <w:bookmarkEnd w:id="708"/>
          </w:p>
        </w:tc>
      </w:tr>
      <w:tr>
        <w:trPr/>
        <w:tc>
          <w:tcPr>
            <w:tcW w:w="1985" w:type="dxa"/>
            <w:tcBorders/>
            <w:shd w:fill="FFFFFF" w:val="clear"/>
            <w:tcMar>
              <w:bottom w:w="0" w:type="dxa"/>
            </w:tcMar>
            <w:vAlign w:val="center"/>
          </w:tcPr>
          <w:p>
            <w:pPr>
              <w:pStyle w:val="TableContents"/>
              <w:bidi w:val="0"/>
              <w:spacing w:before="0" w:after="283"/>
              <w:jc w:val="left"/>
              <w:rPr/>
            </w:pPr>
            <w:r>
              <w:rPr/>
              <w:t>Preferred Shares, Series B 8%</w:t>
            </w:r>
          </w:p>
        </w:tc>
        <w:tc>
          <w:tcPr>
            <w:tcW w:w="353" w:type="dxa"/>
            <w:tcBorders/>
            <w:shd w:fill="FFFFFF" w:val="clear"/>
            <w:tcMar>
              <w:bottom w:w="0" w:type="dxa"/>
            </w:tcMar>
            <w:vAlign w:val="center"/>
          </w:tcPr>
          <w:p>
            <w:pPr>
              <w:pStyle w:val="TableContents"/>
              <w:bidi w:val="0"/>
              <w:spacing w:before="0" w:after="283"/>
              <w:jc w:val="left"/>
              <w:rPr/>
            </w:pPr>
            <w:bookmarkStart w:id="709" w:name="xdx_F47_zAbC5PUR2ofa"/>
            <w:bookmarkEnd w:id="709"/>
            <w:r>
              <w:rPr>
                <w:rFonts w:ascii="Times New Roman;Times;Serif" w:hAnsi="Times New Roman;Times;Serif"/>
              </w:rPr>
              <w:t>(1)(16)</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Interactive Learning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12/16/2011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710" w:name="xdx_980_eus-gaap--InvestmentOwnedBalance"/>
            <w:bookmarkEnd w:id="710"/>
          </w:p>
        </w:tc>
        <w:tc>
          <w:tcPr>
            <w:tcW w:w="1100" w:type="dxa"/>
            <w:tcBorders/>
            <w:shd w:fill="FFFFFF" w:val="clear"/>
            <w:tcMar>
              <w:bottom w:w="0" w:type="dxa"/>
            </w:tcMar>
            <w:vAlign w:val="center"/>
          </w:tcPr>
          <w:p>
            <w:pPr>
              <w:pStyle w:val="TableContents"/>
              <w:bidi w:val="0"/>
              <w:spacing w:before="0" w:after="283"/>
              <w:jc w:val="right"/>
              <w:rPr/>
            </w:pPr>
            <w:r>
              <w:rPr/>
              <w:t>3,279,629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2,019,687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2,578,473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1.26</w:t>
            </w:r>
          </w:p>
        </w:tc>
        <w:tc>
          <w:tcPr>
            <w:tcW w:w="277" w:type="dxa"/>
            <w:tcBorders/>
            <w:shd w:fill="FFFFFF" w:val="clear"/>
            <w:tcMar>
              <w:bottom w:w="0" w:type="dxa"/>
            </w:tcMar>
            <w:vAlign w:val="center"/>
          </w:tcPr>
          <w:p>
            <w:pPr>
              <w:pStyle w:val="TableContents"/>
              <w:bidi w:val="0"/>
              <w:spacing w:before="0" w:after="283"/>
              <w:jc w:val="left"/>
              <w:rPr/>
            </w:pPr>
            <w:r>
              <w:rPr/>
              <w:t>%</w:t>
            </w:r>
            <w:bookmarkStart w:id="711" w:name="xdx_419_20251231__srt--ConsolidatedEntit"/>
            <w:bookmarkEnd w:id="711"/>
          </w:p>
        </w:tc>
      </w:tr>
      <w:tr>
        <w:trPr/>
        <w:tc>
          <w:tcPr>
            <w:tcW w:w="1985" w:type="dxa"/>
            <w:tcBorders/>
            <w:shd w:fill="CCEEFF" w:val="clear"/>
            <w:tcMar>
              <w:bottom w:w="0" w:type="dxa"/>
            </w:tcMar>
            <w:vAlign w:val="center"/>
          </w:tcPr>
          <w:p>
            <w:pPr>
              <w:pStyle w:val="TableContents"/>
              <w:bidi w:val="0"/>
              <w:spacing w:before="0" w:after="283"/>
              <w:jc w:val="left"/>
              <w:rPr/>
            </w:pPr>
            <w:r>
              <w:rPr/>
              <w:t>Preferred Shares, Series A 8%</w:t>
            </w:r>
          </w:p>
        </w:tc>
        <w:tc>
          <w:tcPr>
            <w:tcW w:w="353" w:type="dxa"/>
            <w:tcBorders/>
            <w:shd w:fill="CCEEFF" w:val="clear"/>
            <w:tcMar>
              <w:bottom w:w="0" w:type="dxa"/>
            </w:tcMar>
            <w:vAlign w:val="center"/>
          </w:tcPr>
          <w:p>
            <w:pPr>
              <w:pStyle w:val="TableContents"/>
              <w:bidi w:val="0"/>
              <w:spacing w:before="0" w:after="283"/>
              <w:jc w:val="left"/>
              <w:rPr/>
            </w:pPr>
            <w:bookmarkStart w:id="712" w:name="xdx_F43_zXRXRDC3czs3"/>
            <w:bookmarkEnd w:id="712"/>
            <w:r>
              <w:rPr>
                <w:rFonts w:ascii="Times New Roman;Times;Serif" w:hAnsi="Times New Roman;Times;Serif"/>
              </w:rPr>
              <w:t>(1)(16)</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Interactive Learning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2/25/2014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713" w:name="xdx_98C_eus-gaap--InvestmentOwnedBalance"/>
            <w:bookmarkEnd w:id="713"/>
          </w:p>
        </w:tc>
        <w:tc>
          <w:tcPr>
            <w:tcW w:w="1100" w:type="dxa"/>
            <w:tcBorders/>
            <w:shd w:fill="CCEEFF" w:val="clear"/>
            <w:tcMar>
              <w:bottom w:w="0" w:type="dxa"/>
            </w:tcMar>
            <w:vAlign w:val="center"/>
          </w:tcPr>
          <w:p>
            <w:pPr>
              <w:pStyle w:val="TableContents"/>
              <w:bidi w:val="0"/>
              <w:spacing w:before="0" w:after="283"/>
              <w:jc w:val="right"/>
              <w:rPr/>
            </w:pPr>
            <w:r>
              <w:rPr/>
              <w:t>366,666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83,005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1" w:type="dxa"/>
            <w:tcBorders>
              <w:bottom w:val="single" w:sz="8" w:space="0" w:color="000000"/>
            </w:tcBorders>
            <w:shd w:fill="CCEEFF" w:val="clear"/>
            <w:vAlign w:val="center"/>
          </w:tcPr>
          <w:p>
            <w:pPr>
              <w:pStyle w:val="TableContents"/>
              <w:bidi w:val="0"/>
              <w:spacing w:before="0" w:after="283"/>
              <w:jc w:val="right"/>
              <w:rPr/>
            </w:pPr>
            <w:r>
              <w:rPr/>
              <w:t>0.04</w:t>
            </w:r>
          </w:p>
        </w:tc>
        <w:tc>
          <w:tcPr>
            <w:tcW w:w="277" w:type="dxa"/>
            <w:tcBorders/>
            <w:shd w:fill="CCEEFF" w:val="clear"/>
            <w:tcMar>
              <w:bottom w:w="0" w:type="dxa"/>
            </w:tcMar>
            <w:vAlign w:val="center"/>
          </w:tcPr>
          <w:p>
            <w:pPr>
              <w:pStyle w:val="TableContents"/>
              <w:bidi w:val="0"/>
              <w:spacing w:before="0" w:after="283"/>
              <w:jc w:val="left"/>
              <w:rPr/>
            </w:pPr>
            <w:r>
              <w:rPr/>
              <w:t>%</w:t>
            </w:r>
            <w:bookmarkStart w:id="714" w:name="xdx_412_20251231__srt--ConsolidatedEntit"/>
            <w:bookmarkEnd w:id="714"/>
          </w:p>
        </w:tc>
      </w:tr>
      <w:tr>
        <w:trPr/>
        <w:tc>
          <w:tcPr>
            <w:tcW w:w="1985" w:type="dxa"/>
            <w:tcBorders/>
            <w:shd w:fill="FFFFFF" w:val="clear"/>
            <w:tcMar>
              <w:bottom w:w="0" w:type="dxa"/>
            </w:tcMar>
            <w:vAlign w:val="center"/>
          </w:tcPr>
          <w:p>
            <w:pPr>
              <w:pStyle w:val="TableContents"/>
              <w:bidi w:val="0"/>
              <w:spacing w:before="0" w:after="283"/>
              <w:jc w:val="left"/>
              <w:rPr/>
            </w:pPr>
            <w:r>
              <w:rPr/>
              <w:t>Total</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6,387,741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7,857,367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1" w:type="dxa"/>
            <w:tcBorders>
              <w:bottom w:val="single" w:sz="8" w:space="0" w:color="000000"/>
            </w:tcBorders>
            <w:shd w:fill="FFFFFF" w:val="clear"/>
            <w:vAlign w:val="center"/>
          </w:tcPr>
          <w:p>
            <w:pPr>
              <w:pStyle w:val="TableContents"/>
              <w:bidi w:val="0"/>
              <w:spacing w:before="0" w:after="283"/>
              <w:jc w:val="right"/>
              <w:rPr/>
            </w:pPr>
            <w:r>
              <w:rPr/>
              <w:t>3.83</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Commercial Streaming Solutions Inc. (d/b/a BettorView)</w:t>
            </w:r>
            <w:r>
              <w:rPr>
                <w:rFonts w:ascii="Times New Roman;Times;Serif" w:hAnsi="Times New Roman;Times;Serif"/>
                <w:b/>
                <w:position w:val="7"/>
                <w:sz w:val="16"/>
                <w:sz w:val="20"/>
                <w:u w:val="single"/>
              </w:rPr>
              <w:t>(11)(17)</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Las Vegas, NV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715" w:name="xdx_41B_20251231__srt--ConsolidatedEntit"/>
            <w:bookmarkEnd w:id="715"/>
          </w:p>
        </w:tc>
      </w:tr>
      <w:tr>
        <w:trPr/>
        <w:tc>
          <w:tcPr>
            <w:tcW w:w="1985" w:type="dxa"/>
            <w:tcBorders/>
            <w:shd w:fill="FFFFFF" w:val="clear"/>
            <w:tcMar>
              <w:bottom w:w="0" w:type="dxa"/>
            </w:tcMar>
            <w:vAlign w:val="center"/>
          </w:tcPr>
          <w:p>
            <w:pPr>
              <w:pStyle w:val="TableContents"/>
              <w:bidi w:val="0"/>
              <w:spacing w:before="0" w:after="283"/>
              <w:jc w:val="left"/>
              <w:rPr/>
            </w:pPr>
            <w:r>
              <w:rPr/>
              <w:t>Preferred Shares, Series A-1</w:t>
            </w:r>
          </w:p>
        </w:tc>
        <w:tc>
          <w:tcPr>
            <w:tcW w:w="3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716" w:name="xdx_F41_z9Q4Kec61Omb"/>
            <w:bookmarkEnd w:id="716"/>
            <w:r>
              <w:rPr>
                <w:rFonts w:ascii="Times New Roman;Times;Serif" w:hAnsi="Times New Roman;Times;Serif"/>
                <w:sz w:val="20"/>
              </w:rPr>
              <w:t>(11)(17)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center"/>
              <w:rPr/>
            </w:pPr>
            <w:r>
              <w:rPr/>
              <w:t>Interactive Media &amp;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3/26/2021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717" w:name="xdx_98B_eus-gaap--InvestmentOwnedBalance"/>
            <w:bookmarkEnd w:id="717"/>
          </w:p>
        </w:tc>
        <w:tc>
          <w:tcPr>
            <w:tcW w:w="1100" w:type="dxa"/>
            <w:tcBorders/>
            <w:shd w:fill="FFFFFF" w:val="clear"/>
            <w:tcMar>
              <w:bottom w:w="0" w:type="dxa"/>
            </w:tcMar>
            <w:vAlign w:val="center"/>
          </w:tcPr>
          <w:p>
            <w:pPr>
              <w:pStyle w:val="TableContents"/>
              <w:bidi w:val="0"/>
              <w:spacing w:before="0" w:after="283"/>
              <w:jc w:val="right"/>
              <w:rPr/>
            </w:pPr>
            <w:r>
              <w:rPr/>
              <w:t>10,548,522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1,004,240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0.17</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985" w:type="dxa"/>
            <w:tcBorders/>
            <w:shd w:fill="CCEEFF" w:val="clear"/>
            <w:tcMar>
              <w:bottom w:w="0" w:type="dxa"/>
            </w:tcMar>
            <w:vAlign w:val="center"/>
          </w:tcPr>
          <w:p>
            <w:pPr>
              <w:pStyle w:val="TableContents"/>
              <w:bidi w:val="0"/>
              <w:spacing w:before="0" w:after="283"/>
              <w:jc w:val="left"/>
              <w:rPr>
                <w:b/>
                <w:u w:val="single"/>
              </w:rPr>
            </w:pPr>
            <w:r>
              <w:rPr>
                <w:b/>
                <w:u w:val="single"/>
              </w:rPr>
              <w:t>Maven Research, Inc.</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San Francisco,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718" w:name="xdx_410_20251231__srt--ConsolidatedEntit"/>
            <w:bookmarkEnd w:id="718"/>
          </w:p>
        </w:tc>
      </w:tr>
      <w:tr>
        <w:trPr/>
        <w:tc>
          <w:tcPr>
            <w:tcW w:w="1985" w:type="dxa"/>
            <w:tcBorders/>
            <w:shd w:fill="FFFFFF" w:val="clear"/>
            <w:tcMar>
              <w:bottom w:w="0" w:type="dxa"/>
            </w:tcMar>
            <w:vAlign w:val="center"/>
          </w:tcPr>
          <w:p>
            <w:pPr>
              <w:pStyle w:val="TableContents"/>
              <w:bidi w:val="0"/>
              <w:spacing w:before="0" w:after="283"/>
              <w:jc w:val="left"/>
              <w:rPr/>
            </w:pPr>
            <w:r>
              <w:rPr/>
              <w:t>Preferred Shares, Series C</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center"/>
              <w:rPr/>
            </w:pPr>
            <w:r>
              <w:rPr/>
              <w:t>Knowledge Networks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7/2/2012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719" w:name="xdx_987_eus-gaap--InvestmentOwnedBalance"/>
            <w:bookmarkEnd w:id="719"/>
          </w:p>
        </w:tc>
        <w:tc>
          <w:tcPr>
            <w:tcW w:w="1100" w:type="dxa"/>
            <w:tcBorders/>
            <w:shd w:fill="FFFFFF" w:val="clear"/>
            <w:tcMar>
              <w:bottom w:w="0" w:type="dxa"/>
            </w:tcMar>
            <w:vAlign w:val="center"/>
          </w:tcPr>
          <w:p>
            <w:pPr>
              <w:pStyle w:val="TableContents"/>
              <w:bidi w:val="0"/>
              <w:spacing w:before="0" w:after="283"/>
              <w:jc w:val="right"/>
              <w:rPr/>
            </w:pPr>
            <w:r>
              <w:rPr/>
              <w:t>318,979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2,000,447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bookmarkStart w:id="720" w:name="xdx_417_20251231__srt--ConsolidatedEntit"/>
            <w:bookmarkEnd w:id="720"/>
          </w:p>
        </w:tc>
      </w:tr>
      <w:tr>
        <w:trPr/>
        <w:tc>
          <w:tcPr>
            <w:tcW w:w="1985" w:type="dxa"/>
            <w:tcBorders/>
            <w:shd w:fill="CCEEFF" w:val="clear"/>
            <w:tcMar>
              <w:bottom w:w="0" w:type="dxa"/>
            </w:tcMar>
            <w:vAlign w:val="center"/>
          </w:tcPr>
          <w:p>
            <w:pPr>
              <w:pStyle w:val="TableContents"/>
              <w:bidi w:val="0"/>
              <w:spacing w:before="0" w:after="283"/>
              <w:jc w:val="left"/>
              <w:rPr/>
            </w:pPr>
            <w:r>
              <w:rPr/>
              <w:t>Preferred Shares, Series B</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2/28/2012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721" w:name="xdx_982_eus-gaap--InvestmentOwnedBalance"/>
            <w:bookmarkEnd w:id="721"/>
          </w:p>
        </w:tc>
        <w:tc>
          <w:tcPr>
            <w:tcW w:w="1100" w:type="dxa"/>
            <w:tcBorders/>
            <w:shd w:fill="CCEEFF" w:val="clear"/>
            <w:tcMar>
              <w:bottom w:w="0" w:type="dxa"/>
            </w:tcMar>
            <w:vAlign w:val="center"/>
          </w:tcPr>
          <w:p>
            <w:pPr>
              <w:pStyle w:val="TableContents"/>
              <w:bidi w:val="0"/>
              <w:spacing w:before="0" w:after="283"/>
              <w:jc w:val="right"/>
              <w:rPr/>
            </w:pPr>
            <w:r>
              <w:rPr/>
              <w:t>49,505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217,206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1" w:type="dxa"/>
            <w:tcBorders>
              <w:bottom w:val="single" w:sz="8" w:space="0" w:color="000000"/>
            </w:tcBorders>
            <w:shd w:fill="CCEEFF" w:val="clear"/>
            <w:vAlign w:val="center"/>
          </w:tcPr>
          <w:p>
            <w:pPr>
              <w:pStyle w:val="TableContents"/>
              <w:bidi w:val="0"/>
              <w:spacing w:before="0" w:after="283"/>
              <w:jc w:val="right"/>
              <w:rPr/>
            </w:pPr>
            <w:r>
              <w:rPr/>
              <w:t>—</w:t>
            </w:r>
          </w:p>
        </w:tc>
        <w:tc>
          <w:tcPr>
            <w:tcW w:w="277" w:type="dxa"/>
            <w:tcBorders/>
            <w:shd w:fill="CCEEFF" w:val="clear"/>
            <w:tcMar>
              <w:bottom w:w="0" w:type="dxa"/>
            </w:tcMar>
            <w:vAlign w:val="center"/>
          </w:tcPr>
          <w:p>
            <w:pPr>
              <w:pStyle w:val="TableContents"/>
              <w:bidi w:val="0"/>
              <w:spacing w:before="0" w:after="283"/>
              <w:jc w:val="left"/>
              <w:rPr/>
            </w:pPr>
            <w:r>
              <w:rPr/>
              <w:t>%</w:t>
            </w:r>
            <w:bookmarkStart w:id="722" w:name="xdx_417_20251231__srt--ConsolidatedEntit"/>
            <w:bookmarkEnd w:id="722"/>
          </w:p>
        </w:tc>
      </w:tr>
      <w:tr>
        <w:trPr/>
        <w:tc>
          <w:tcPr>
            <w:tcW w:w="1985" w:type="dxa"/>
            <w:tcBorders/>
            <w:shd w:fill="FFFFFF" w:val="clear"/>
            <w:tcMar>
              <w:bottom w:w="0" w:type="dxa"/>
            </w:tcMar>
            <w:vAlign w:val="center"/>
          </w:tcPr>
          <w:p>
            <w:pPr>
              <w:pStyle w:val="TableContents"/>
              <w:bidi w:val="0"/>
              <w:spacing w:before="0" w:after="283"/>
              <w:jc w:val="left"/>
              <w:rPr/>
            </w:pPr>
            <w:r>
              <w:rPr/>
              <w:t>Total</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2,217,653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1" w:type="dxa"/>
            <w:tcBorders>
              <w:bottom w:val="single" w:sz="8" w:space="0" w:color="000000"/>
            </w:tcBorders>
            <w:shd w:fill="FFFFFF" w:val="cle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985" w:type="dxa"/>
            <w:tcBorders/>
            <w:shd w:fill="CCEEFF" w:val="clear"/>
            <w:tcMar>
              <w:bottom w:w="0" w:type="dxa"/>
            </w:tcMar>
            <w:vAlign w:val="center"/>
          </w:tcPr>
          <w:p>
            <w:pPr>
              <w:pStyle w:val="TableContents"/>
              <w:bidi w:val="0"/>
              <w:spacing w:before="0" w:after="283"/>
              <w:jc w:val="left"/>
              <w:rPr>
                <w:b/>
                <w:u w:val="single"/>
              </w:rPr>
            </w:pPr>
            <w:r>
              <w:rPr>
                <w:b/>
                <w:u w:val="single"/>
              </w:rPr>
              <w:t>Curious.com, Inc.</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Menlo Park,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723" w:name="xdx_41D_20251231__srt--ConsolidatedEntit"/>
            <w:bookmarkEnd w:id="723"/>
          </w:p>
        </w:tc>
      </w:tr>
      <w:tr>
        <w:trPr/>
        <w:tc>
          <w:tcPr>
            <w:tcW w:w="1985" w:type="dxa"/>
            <w:tcBorders/>
            <w:shd w:fill="FFFFFF" w:val="clear"/>
            <w:tcMar>
              <w:bottom w:w="0" w:type="dxa"/>
            </w:tcMar>
            <w:vAlign w:val="center"/>
          </w:tcPr>
          <w:p>
            <w:pPr>
              <w:pStyle w:val="TableContents"/>
              <w:bidi w:val="0"/>
              <w:spacing w:before="0" w:after="283"/>
              <w:jc w:val="left"/>
              <w:rPr/>
            </w:pPr>
            <w:r>
              <w:rPr/>
              <w:t>Common Shares</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center"/>
              <w:rPr/>
            </w:pPr>
            <w:r>
              <w:rPr/>
              <w:t>Online Education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11/22/2013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724" w:name="xdx_98D_eus-gaap--InvestmentOwnedBalance"/>
            <w:bookmarkEnd w:id="724"/>
          </w:p>
        </w:tc>
        <w:tc>
          <w:tcPr>
            <w:tcW w:w="1100" w:type="dxa"/>
            <w:tcBorders/>
            <w:shd w:fill="FFFFFF" w:val="clear"/>
            <w:tcMar>
              <w:bottom w:w="0" w:type="dxa"/>
            </w:tcMar>
            <w:vAlign w:val="center"/>
          </w:tcPr>
          <w:p>
            <w:pPr>
              <w:pStyle w:val="TableContents"/>
              <w:bidi w:val="0"/>
              <w:spacing w:before="0" w:after="283"/>
              <w:jc w:val="right"/>
              <w:rPr/>
            </w:pPr>
            <w:r>
              <w:rPr/>
              <w:t>1,135,944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12,000,006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w:t>
            </w:r>
          </w:p>
        </w:tc>
      </w:tr>
      <w:tr>
        <w:trPr/>
        <w:tc>
          <w:tcPr>
            <w:tcW w:w="1985"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b/>
              </w:rPr>
            </w:pPr>
            <w:r>
              <w:rPr>
                <w:b/>
              </w:rPr>
              <w:t>Total Non-Controlled/Affiliate</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725" w:name="xdx_984_eus-gaap--InvestmentOwnedAtCost_"/>
            <w:bookmarkEnd w:id="725"/>
          </w:p>
        </w:tc>
        <w:tc>
          <w:tcPr>
            <w:tcW w:w="1220" w:type="dxa"/>
            <w:tcBorders/>
            <w:shd w:fill="FFFFFF" w:val="clear"/>
            <w:tcMar>
              <w:bottom w:w="0" w:type="dxa"/>
            </w:tcMar>
            <w:vAlign w:val="center"/>
          </w:tcPr>
          <w:p>
            <w:pPr>
              <w:pStyle w:val="TableContents"/>
              <w:bidi w:val="0"/>
              <w:spacing w:before="0" w:after="283"/>
              <w:jc w:val="right"/>
              <w:rPr>
                <w:b/>
              </w:rPr>
            </w:pPr>
            <w:r>
              <w:rPr>
                <w:b/>
              </w:rPr>
              <w:t>21,609,640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726" w:name="xdx_98F_eus-gaap--InvestmentOwnedAtFairV"/>
            <w:bookmarkEnd w:id="726"/>
          </w:p>
        </w:tc>
        <w:tc>
          <w:tcPr>
            <w:tcW w:w="1220" w:type="dxa"/>
            <w:tcBorders/>
            <w:shd w:fill="FFFFFF" w:val="clear"/>
            <w:tcMar>
              <w:bottom w:w="0" w:type="dxa"/>
            </w:tcMar>
            <w:vAlign w:val="center"/>
          </w:tcPr>
          <w:p>
            <w:pPr>
              <w:pStyle w:val="TableContents"/>
              <w:bidi w:val="0"/>
              <w:spacing w:before="0" w:after="283"/>
              <w:jc w:val="right"/>
              <w:rPr>
                <w:b/>
              </w:rPr>
            </w:pPr>
            <w:r>
              <w:rPr>
                <w:b/>
              </w:rPr>
              <w:t>8,207,367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27" w:name="xdx_984_eus-gaap--InvestmentOwnedPercent"/>
            <w:bookmarkEnd w:id="727"/>
          </w:p>
        </w:tc>
        <w:tc>
          <w:tcPr>
            <w:tcW w:w="681" w:type="dxa"/>
            <w:tcBorders/>
            <w:shd w:fill="FFFFFF" w:val="clear"/>
            <w:tcMar>
              <w:bottom w:w="0" w:type="dxa"/>
            </w:tcMar>
            <w:vAlign w:val="center"/>
          </w:tcPr>
          <w:p>
            <w:pPr>
              <w:pStyle w:val="TableContents"/>
              <w:bidi w:val="0"/>
              <w:spacing w:before="0" w:after="283"/>
              <w:jc w:val="right"/>
              <w:rPr>
                <w:b/>
              </w:rPr>
            </w:pPr>
            <w:r>
              <w:rPr>
                <w:b/>
              </w:rPr>
              <w:t>4.00</w:t>
            </w:r>
          </w:p>
        </w:tc>
        <w:tc>
          <w:tcPr>
            <w:tcW w:w="277" w:type="dxa"/>
            <w:tcBorders/>
            <w:shd w:fill="FFFFFF" w:val="clear"/>
            <w:tcMar>
              <w:bottom w:w="0" w:type="dxa"/>
            </w:tcMar>
            <w:vAlign w:val="center"/>
          </w:tcPr>
          <w:p>
            <w:pPr>
              <w:pStyle w:val="TableContents"/>
              <w:bidi w:val="0"/>
              <w:spacing w:before="0" w:after="283"/>
              <w:jc w:val="left"/>
              <w:rPr>
                <w:b/>
              </w:rPr>
            </w:pPr>
            <w:r>
              <w:rPr>
                <w:b/>
              </w:rPr>
              <w:t>%</w:t>
            </w:r>
          </w:p>
        </w:tc>
      </w:tr>
      <w:tr>
        <w:trPr/>
        <w:tc>
          <w:tcPr>
            <w:tcW w:w="1985"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277" w:type="dxa"/>
            <w:tcBorders/>
            <w:shd w:fill="CCEEFF" w:val="clear"/>
            <w:tcMar>
              <w:bottom w:w="0" w:type="dxa"/>
            </w:tcMar>
            <w:vAlign w:val="center"/>
          </w:tcPr>
          <w:p>
            <w:pPr>
              <w:pStyle w:val="TableContents"/>
              <w:bidi w:val="0"/>
              <w:spacing w:before="0" w:after="283"/>
              <w:jc w:val="left"/>
              <w:rPr/>
            </w:pPr>
            <w:r>
              <w:rPr/>
              <w:t> </w:t>
            </w:r>
            <w:bookmarkStart w:id="728" w:name="xdx_419_20251231__srt--ConsolidatedEntit"/>
            <w:bookmarkEnd w:id="728"/>
          </w:p>
        </w:tc>
      </w:tr>
      <w:tr>
        <w:trPr/>
        <w:tc>
          <w:tcPr>
            <w:tcW w:w="1985" w:type="dxa"/>
            <w:tcBorders/>
            <w:shd w:fill="FFFFFF" w:val="clear"/>
            <w:tcMar>
              <w:bottom w:w="0" w:type="dxa"/>
            </w:tcMar>
            <w:vAlign w:val="center"/>
          </w:tcPr>
          <w:p>
            <w:pPr>
              <w:pStyle w:val="TableContents"/>
              <w:bidi w:val="0"/>
              <w:spacing w:before="0" w:after="283"/>
              <w:jc w:val="left"/>
              <w:rPr>
                <w:b/>
              </w:rPr>
            </w:pPr>
            <w:r>
              <w:rPr>
                <w:b/>
              </w:rPr>
              <w:t>Total Portfolio Investments</w:t>
            </w:r>
          </w:p>
        </w:tc>
        <w:tc>
          <w:tcPr>
            <w:tcW w:w="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vAlign w:val="center"/>
          </w:tcPr>
          <w:p>
            <w:pPr>
              <w:pStyle w:val="TableContents"/>
              <w:bidi w:val="0"/>
              <w:spacing w:before="0" w:after="283"/>
              <w:jc w:val="right"/>
              <w:rPr>
                <w:b/>
              </w:rPr>
            </w:pPr>
            <w:r>
              <w:rPr>
                <w:b/>
              </w:rPr>
              <w:t>240,825,785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vAlign w:val="center"/>
          </w:tcPr>
          <w:p>
            <w:pPr>
              <w:pStyle w:val="TableContents"/>
              <w:bidi w:val="0"/>
              <w:spacing w:before="0" w:after="283"/>
              <w:jc w:val="right"/>
              <w:rPr>
                <w:b/>
              </w:rPr>
            </w:pPr>
            <w:r>
              <w:rPr>
                <w:b/>
              </w:rPr>
              <w:t>225,511,505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81" w:type="dxa"/>
            <w:tcBorders>
              <w:bottom w:val="double" w:sz="6" w:space="0" w:color="000000"/>
            </w:tcBorders>
            <w:shd w:fill="FFFFFF" w:val="clear"/>
            <w:vAlign w:val="center"/>
          </w:tcPr>
          <w:p>
            <w:pPr>
              <w:pStyle w:val="TableContents"/>
              <w:bidi w:val="0"/>
              <w:spacing w:before="0" w:after="283"/>
              <w:jc w:val="right"/>
              <w:rPr>
                <w:b/>
              </w:rPr>
            </w:pPr>
            <w:r>
              <w:rPr>
                <w:b/>
              </w:rPr>
              <w:t>109.84</w:t>
            </w:r>
          </w:p>
        </w:tc>
        <w:tc>
          <w:tcPr>
            <w:tcW w:w="277"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29" w:name="xdx_F06_zAFzHiSAAEIj"/>
            <w:bookmarkEnd w:id="729"/>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30" w:name="xdx_F1D_zBKdPOVi2t3a"/>
            <w:bookmarkEnd w:id="730"/>
            <w:r>
              <w:rPr>
                <w:rFonts w:ascii="Times New Roman;Times;Serif" w:hAnsi="Times New Roman;Times;Serif"/>
                <w:b w:val="false"/>
                <w:i w:val="false"/>
                <w:caps w:val="false"/>
                <w:smallCaps w:val="false"/>
                <w:sz w:val="20"/>
              </w:rPr>
              <w:t>All portfolio investments are non-control/non-affiliated and non-income-producing, unless otherwise identified. As of December 31, 2025, all of the Company’s investments were non-controlled. Equity investments may be subject to lock-up restrictions upon their initial public offering (“IPO”). Preferred dividends are generally only payable when declared and paid by the portfolio company’s board of directors. Neostellar Capital Corp.’s (the “Company’s”, or “Neostellar Capital’s”)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31" w:name="xdx_F01_zLIJ7vGiuI96"/>
            <w:bookmarkEnd w:id="731"/>
            <w:r>
              <w:rPr>
                <w:rFonts w:ascii="Times New Roman;Times;Serif" w:hAnsi="Times New Roman;Times;Serif"/>
                <w:b w:val="false"/>
                <w:i w:val="false"/>
                <w:caps w:val="false"/>
                <w:smallCaps w:val="false"/>
                <w:sz w:val="20"/>
              </w:rPr>
              <w:t>**</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32" w:name="xdx_F11_zDTSoG3mglxd"/>
            <w:bookmarkEnd w:id="732"/>
            <w:r>
              <w:rPr>
                <w:rFonts w:ascii="Times New Roman;Times;Serif" w:hAnsi="Times New Roman;Times;Serif"/>
                <w:b w:val="false"/>
                <w:i w:val="false"/>
                <w:caps w:val="false"/>
                <w:smallCaps w:val="false"/>
                <w:sz w:val="20"/>
              </w:rPr>
              <w:t xml:space="preserve">Indicates assets that Neostellar Capital Corp. believes do not represent “qualifying assets” under Section 55(a) of the Investment Company Act of 1940, as amended (the “1940 Act”). Of the Company’s total investments as of December 31, 2025, </w:t>
            </w:r>
            <w:bookmarkStart w:id="733" w:name="xdx_90D_eus-gaap--InvestmentOwnedPercent"/>
            <w:bookmarkEnd w:id="733"/>
            <w:r>
              <w:rPr>
                <w:rFonts w:ascii="Times New Roman;Times;Serif" w:hAnsi="Times New Roman;Times;Serif"/>
                <w:b w:val="false"/>
                <w:i w:val="false"/>
                <w:caps w:val="false"/>
                <w:smallCaps w:val="false"/>
                <w:sz w:val="20"/>
              </w:rPr>
              <w:t>32.70% of its total investments are non-qualifying assets, excluding cash and short-term US treasuries.</w:t>
            </w:r>
          </w:p>
        </w:tc>
      </w:tr>
    </w:tbl>
    <w:p>
      <w:pPr>
        <w:pStyle w:val="TextBody"/>
        <w:bidi w:val="0"/>
        <w:spacing w:before="0" w:after="0"/>
        <w:ind w:left="720" w:right="0" w:hanging="72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350"/>
        <w:gridCol w:w="2705"/>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34" w:name="xdx_F0C_zwV8R13CpAbd"/>
            <w:bookmarkEnd w:id="734"/>
            <w:r>
              <w:rPr>
                <w:rFonts w:ascii="Times New Roman;Times;Serif" w:hAnsi="Times New Roman;Times;Serif"/>
                <w:b w:val="false"/>
                <w:i w:val="false"/>
                <w:caps w:val="false"/>
                <w:smallCaps w:val="false"/>
                <w:sz w:val="20"/>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35" w:name="xdx_F10_zjYLoQpooNdl"/>
            <w:bookmarkEnd w:id="735"/>
            <w:r>
              <w:rPr>
                <w:rFonts w:ascii="Times New Roman;Times;Serif" w:hAnsi="Times New Roman;Times;Serif"/>
                <w:b w:val="false"/>
                <w:i w:val="false"/>
                <w:caps w:val="false"/>
                <w:smallCaps w:val="false"/>
                <w:sz w:val="20"/>
              </w:rPr>
              <w:t>Investment is income-producing.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36" w:name="xdx_F0A_zrbArB1x303k"/>
            <w:bookmarkEnd w:id="736"/>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caps w:val="false"/>
                <w:smallCaps w:val="false"/>
              </w:rPr>
            </w:pPr>
            <w:bookmarkStart w:id="737" w:name="xdx_F14_znI7B13vA6Va"/>
            <w:bookmarkEnd w:id="737"/>
            <w:r>
              <w:rPr>
                <w:caps w:val="false"/>
                <w:smallCaps w:val="false"/>
              </w:rPr>
              <w:t>“</w:t>
            </w:r>
            <w:r>
              <w:rPr>
                <w:rFonts w:ascii="Times New Roman;Times;Serif" w:hAnsi="Times New Roman;Times;Serif"/>
                <w:b w:val="false"/>
                <w:i w:val="false"/>
                <w:caps w:val="false"/>
                <w:smallCaps w:val="false"/>
                <w:sz w:val="20"/>
              </w:rPr>
              <w:t>Affiliate Investments” are investments in those companies that are “Affiliated Companies” of Neostellar Capital, as defined in the 1940 Act. In general, a company is deemed to be an “Affiliate” of Neostellar Capital if Neostellar Capital beneficially owns, directly or indirectly, between 5% and 25% of the voting securities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securities with the right to elect directors) of such company. For the Schedule of Investments In, and Advances To, Affiliates, as required by SEC Regulation S-X, Rule 12-14, refer to “Note 4—Investments at Fair Value”.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38" w:name="xdx_F0E_z9r01qfbk2fc"/>
            <w:bookmarkEnd w:id="738"/>
            <w:r>
              <w:rPr>
                <w:rFonts w:ascii="Times New Roman;Times;Serif" w:hAnsi="Times New Roman;Times;Serif"/>
                <w:b w:val="false"/>
                <w:i w:val="false"/>
                <w:caps w:val="false"/>
                <w:smallCaps w:val="false"/>
                <w:sz w:val="20"/>
              </w:rPr>
              <w:t>(2)</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39" w:name="xdx_F16_zTSHFAJi09Ml"/>
            <w:bookmarkEnd w:id="739"/>
            <w:r>
              <w:rPr>
                <w:rFonts w:ascii="Times New Roman;Times;Serif" w:hAnsi="Times New Roman;Times;Serif"/>
                <w:b w:val="false"/>
                <w:i w:val="false"/>
                <w:caps w:val="false"/>
                <w:smallCaps w:val="false"/>
                <w:sz w:val="20"/>
              </w:rPr>
              <w:t>Represents the respective number of shares, principal amount, initial or remaining fund investment, or membership interest as of December 31, 2025. For fund investments, the initial committed amount may be reduced by distributions classified as Return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60"/>
        <w:gridCol w:w="71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40" w:name="xdx_F02_zegTA34UIbI7"/>
            <w:bookmarkEnd w:id="740"/>
            <w:r>
              <w:rPr>
                <w:rFonts w:ascii="Times New Roman;Times;Serif" w:hAnsi="Times New Roman;Times;Serif"/>
                <w:b w:val="false"/>
                <w:i w:val="false"/>
                <w:caps w:val="false"/>
                <w:smallCaps w:val="false"/>
                <w:sz w:val="20"/>
              </w:rPr>
              <w:t>(3)</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41" w:name="xdx_F1E_zZ7kOUi6Wjs7"/>
            <w:bookmarkEnd w:id="741"/>
            <w:r>
              <w:rPr>
                <w:rFonts w:ascii="Times New Roman;Times;Serif" w:hAnsi="Times New Roman;Times;Serif"/>
                <w:b w:val="false"/>
                <w:i w:val="false"/>
                <w:caps w:val="false"/>
                <w:smallCaps w:val="false"/>
                <w:sz w:val="20"/>
              </w:rPr>
              <w:t>As of December 31, 2025, the investments noted had been placed on non-accrual status.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42" w:name="xdx_F09_zLAw8DgUS4H8"/>
            <w:bookmarkEnd w:id="742"/>
            <w:r>
              <w:rPr>
                <w:rFonts w:ascii="Times New Roman;Times;Serif" w:hAnsi="Times New Roman;Times;Serif"/>
                <w:b w:val="false"/>
                <w:i w:val="false"/>
                <w:caps w:val="false"/>
                <w:smallCaps w:val="false"/>
                <w:sz w:val="20"/>
              </w:rPr>
              <w:t>(4)</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43" w:name="xdx_F1F_z46LECgrLsW9"/>
            <w:bookmarkEnd w:id="743"/>
            <w:r>
              <w:rPr>
                <w:rFonts w:ascii="Times New Roman;Times;Serif" w:hAnsi="Times New Roman;Times;Serif"/>
                <w:b w:val="false"/>
                <w:i w:val="false"/>
                <w:caps w:val="false"/>
                <w:smallCaps w:val="false"/>
                <w:sz w:val="20"/>
              </w:rPr>
              <w:t>Denotes an investment considered Level 1 or Level 2 and valued using observable inputs. Refer to “Note 4—Investments at Fair Value”.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44" w:name="xdx_F06_zbg9TxkPZ8Ee"/>
            <w:bookmarkEnd w:id="744"/>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45" w:name="xdx_F1A_z1GUlVVMDrp4"/>
            <w:bookmarkEnd w:id="745"/>
            <w:r>
              <w:rPr>
                <w:rFonts w:ascii="Times New Roman;Times;Serif" w:hAnsi="Times New Roman;Times;Serif"/>
                <w:b w:val="false"/>
                <w:i w:val="false"/>
                <w:caps w:val="false"/>
                <w:smallCaps w:val="false"/>
                <w:sz w:val="20"/>
              </w:rPr>
              <w:t xml:space="preserve">ARK Type One Deep Ventures Fund LLC is an investment fund for which the Class A Interest is solely invested in the Series A-2 Preferred Shares of OpenAI Global, LLC. Neostellar Capital Corp. is invested in the Series A-2 Preferred Shares of OpenAI Global, LLC through its investment in the Class A Interest of ARK Type One Deep Ventures Fund LLC. ARK Type One Deep Ventures Fund LLC charges a </w:t>
            </w:r>
            <w:bookmarkStart w:id="746" w:name="xdx_90F_ecustom--ManagementFeePercentage"/>
            <w:bookmarkEnd w:id="746"/>
            <w:r>
              <w:rPr>
                <w:rFonts w:ascii="Times New Roman;Times;Serif" w:hAnsi="Times New Roman;Times;Serif"/>
                <w:b w:val="false"/>
                <w:i w:val="false"/>
                <w:caps w:val="false"/>
                <w:smallCaps w:val="false"/>
                <w:sz w:val="20"/>
              </w:rPr>
              <w:t xml:space="preserve">1% management fee per year, and an incentive fee of </w:t>
            </w:r>
            <w:bookmarkStart w:id="747" w:name="xdx_907_ecustom--IncentiveFeePercentage_"/>
            <w:bookmarkEnd w:id="747"/>
            <w:r>
              <w:rPr>
                <w:rFonts w:ascii="Times New Roman;Times;Serif" w:hAnsi="Times New Roman;Times;Serif"/>
                <w:b w:val="false"/>
                <w:i w:val="false"/>
                <w:caps w:val="false"/>
                <w:smallCaps w:val="false"/>
                <w:sz w:val="20"/>
              </w:rPr>
              <w:t>10%, not subject to a hurdle rate. The management fees will adjust the cost of Neostellar Capital’s investment in the fund.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48" w:name="xdx_F08_zYNXlgOTzxjc"/>
            <w:bookmarkEnd w:id="748"/>
            <w:r>
              <w:rPr>
                <w:rFonts w:ascii="Times New Roman;Times;Serif" w:hAnsi="Times New Roman;Times;Serif"/>
                <w:b w:val="false"/>
                <w:i w:val="false"/>
                <w:caps w:val="false"/>
                <w:smallCaps w:val="false"/>
                <w:sz w:val="20"/>
              </w:rPr>
              <w:t>(6)</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49" w:name="xdx_F1A_zmtftkvSZnee"/>
            <w:bookmarkEnd w:id="749"/>
            <w:r>
              <w:rPr>
                <w:rFonts w:ascii="Times New Roman;Times;Serif" w:hAnsi="Times New Roman;Times;Serif"/>
                <w:b w:val="false"/>
                <w:i w:val="false"/>
                <w:caps w:val="false"/>
                <w:smallCaps w:val="false"/>
                <w:sz w:val="20"/>
              </w:rPr>
              <w:t xml:space="preserve">CW Opportunity 2 LP is a special purpose vehicle (“SPV”) for which the Class A Interest is solely invested in the Class A Common Shares of CoreWeave, Inc. Neostellar Capital is invested in the Class A Common Shares of CoreWeave, Inc. through its investment in the Class A Interest of CW Opportunity 2 LP. On March 28, 2025, CoreWeave, Inc. completed an IPO and the Series C Preferred Shares converted to Class A Common Shares. Prior to the IPO, Neostellar Capital was invested in the Series C Preferred Shares of CoreWeave, Inc. through its investment in the Class A Interest of CW Opportunity 2 LP. Additionally, prior to the IPO, the Series C Preferred Shares of CoreWeave, Inc. accrued a </w:t>
            </w:r>
            <w:bookmarkStart w:id="750" w:name="xdx_90C_eus-gaap--PreferredStockDividend"/>
            <w:bookmarkEnd w:id="750"/>
            <w:r>
              <w:rPr>
                <w:rFonts w:ascii="Times New Roman;Times;Serif" w:hAnsi="Times New Roman;Times;Serif"/>
                <w:b w:val="false"/>
                <w:i w:val="false"/>
                <w:caps w:val="false"/>
                <w:smallCaps w:val="false"/>
                <w:sz w:val="20"/>
              </w:rPr>
              <w:t xml:space="preserve">10% per annum dividend, paid quarterly in cash or in-kind. CW Opportunity 2 LP does not charge a management fee but does charge an incentive fee of </w:t>
            </w:r>
            <w:bookmarkStart w:id="751" w:name="xdx_90A_ecustom--IncentiveFeePercentage_"/>
            <w:bookmarkEnd w:id="751"/>
            <w:r>
              <w:rPr>
                <w:rFonts w:ascii="Times New Roman;Times;Serif" w:hAnsi="Times New Roman;Times;Serif"/>
                <w:b w:val="false"/>
                <w:i w:val="false"/>
                <w:caps w:val="false"/>
                <w:smallCaps w:val="false"/>
                <w:sz w:val="20"/>
              </w:rPr>
              <w:t xml:space="preserve">20%, subject to an annual </w:t>
            </w:r>
            <w:bookmarkStart w:id="752" w:name="xdx_90B_ecustom--HurdleRatePercentage_pi"/>
            <w:bookmarkEnd w:id="752"/>
            <w:r>
              <w:rPr>
                <w:rFonts w:ascii="Times New Roman;Times;Serif" w:hAnsi="Times New Roman;Times;Serif"/>
                <w:b w:val="false"/>
                <w:i w:val="false"/>
                <w:caps w:val="false"/>
                <w:smallCaps w:val="false"/>
                <w:sz w:val="20"/>
              </w:rPr>
              <w:t xml:space="preserve">15% IRR hurdle rate. During the year ended December 31, 2025, Neostellar Capital received distributions as part of its investment in CW Opportunity 2 LP. The distributions represented approximately </w:t>
            </w:r>
            <w:bookmarkStart w:id="753" w:name="xdx_90C_ecustom--InitialInvestmentPercen"/>
            <w:bookmarkEnd w:id="753"/>
            <w:r>
              <w:rPr>
                <w:rFonts w:ascii="Times New Roman;Times;Serif" w:hAnsi="Times New Roman;Times;Serif"/>
                <w:b w:val="false"/>
                <w:i w:val="false"/>
                <w:caps w:val="false"/>
                <w:smallCaps w:val="false"/>
                <w:sz w:val="20"/>
              </w:rPr>
              <w:t xml:space="preserve">31.9% of the initial investment in CW Opportunity 2 LP. As of December 31, 2025, Neostellar Capital retains approximately </w:t>
            </w:r>
            <w:bookmarkStart w:id="754" w:name="xdx_903_ecustom--RetainsInvestmentPercen"/>
            <w:bookmarkEnd w:id="754"/>
            <w:r>
              <w:rPr>
                <w:rFonts w:ascii="Times New Roman;Times;Serif" w:hAnsi="Times New Roman;Times;Serif"/>
                <w:b w:val="false"/>
                <w:i w:val="false"/>
                <w:caps w:val="false"/>
                <w:smallCaps w:val="false"/>
                <w:sz w:val="20"/>
              </w:rPr>
              <w:t>68.1% of its investment in CW Opportunity 2 LP.</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55" w:name="xdx_F04_zIbcbi2NRerc"/>
            <w:bookmarkEnd w:id="755"/>
            <w:r>
              <w:rPr>
                <w:rFonts w:ascii="Times New Roman;Times;Serif" w:hAnsi="Times New Roman;Times;Serif"/>
                <w:b w:val="false"/>
                <w:i w:val="false"/>
                <w:caps w:val="false"/>
                <w:smallCaps w:val="false"/>
                <w:sz w:val="20"/>
              </w:rPr>
              <w:t>(7)</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56" w:name="xdx_F10_zjV6HV7S613f"/>
            <w:bookmarkEnd w:id="756"/>
            <w:r>
              <w:rPr>
                <w:rFonts w:ascii="Times New Roman;Times;Serif" w:hAnsi="Times New Roman;Times;Serif"/>
                <w:b w:val="false"/>
                <w:i w:val="false"/>
                <w:caps w:val="false"/>
                <w:smallCaps w:val="false"/>
                <w:sz w:val="20"/>
              </w:rPr>
              <w:t>IH10, LLC’s sole portfolio asset is interest in the Series B Preferred Shares of VAST Data, Ltd. through an SPV. Neostellar Capital is invested in the Series B Preferred Shares of VAST Data, Ltd. through its investment in the Membership Interest of IH10, LLC. IH10, LLC does not charge a management fee or an incentive fee; however, Neostellar Capital has prepaid operating expenses.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57" w:name="xdx_F0C_zhVuzOY4TKqj"/>
            <w:bookmarkEnd w:id="757"/>
            <w:r>
              <w:rPr>
                <w:rFonts w:ascii="Times New Roman;Times;Serif" w:hAnsi="Times New Roman;Times;Serif"/>
                <w:b w:val="false"/>
                <w:i w:val="false"/>
                <w:caps w:val="false"/>
                <w:smallCaps w:val="false"/>
                <w:sz w:val="20"/>
              </w:rPr>
              <w:t>(8)</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58" w:name="xdx_F10_zw21CinM2cjd"/>
            <w:bookmarkEnd w:id="758"/>
            <w:r>
              <w:rPr>
                <w:rFonts w:ascii="Times New Roman;Times;Serif" w:hAnsi="Times New Roman;Times;Serif"/>
                <w:b w:val="false"/>
                <w:i w:val="false"/>
                <w:caps w:val="false"/>
                <w:smallCaps w:val="false"/>
                <w:sz w:val="20"/>
              </w:rPr>
              <w:t>Neostellar Capital’s investment in the Class A Common Shares of Plaid Inc. was made through 1789 Capital Nirvana II LP, an SPV in which Neostellar Capital is the Sole Limited Partner. 1789 Capital Nirvana II LP is a wholly owned subsidiary of Neostellar Capital. Neostellar Capital paid a</w:t>
            </w:r>
            <w:bookmarkStart w:id="759" w:name="xdx_90B_ecustom--OriginationFeePercentag"/>
            <w:bookmarkEnd w:id="759"/>
            <w:r>
              <w:rPr>
                <w:rFonts w:ascii="Times New Roman;Times;Serif" w:hAnsi="Times New Roman;Times;Serif"/>
                <w:b w:val="false"/>
                <w:i w:val="false"/>
                <w:caps w:val="false"/>
                <w:smallCaps w:val="false"/>
                <w:sz w:val="20"/>
              </w:rPr>
              <w:t xml:space="preserve"> 7% origination fee at the time of investment.</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SCHEDULE OF INVESTMENTS -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bookmarkStart w:id="760" w:name="xdx_F08_zS0h9jo4YPac"/>
            <w:bookmarkEnd w:id="760"/>
            <w:r>
              <w:rPr>
                <w:rFonts w:ascii="Times New Roman;Times;Serif" w:hAnsi="Times New Roman;Times;Serif"/>
                <w:sz w:val="20"/>
              </w:rPr>
              <w:t>(9)</w:t>
            </w:r>
          </w:p>
        </w:tc>
        <w:tc>
          <w:tcPr>
            <w:tcW w:w="9891" w:type="dxa"/>
            <w:tcBorders/>
            <w:vAlign w:val="center"/>
          </w:tcPr>
          <w:p>
            <w:pPr>
              <w:pStyle w:val="TableContents"/>
              <w:bidi w:val="0"/>
              <w:spacing w:before="0" w:after="283"/>
              <w:jc w:val="both"/>
              <w:rPr>
                <w:rFonts w:ascii="Times New Roman;Times;Serif" w:hAnsi="Times New Roman;Times;Serif"/>
                <w:sz w:val="20"/>
              </w:rPr>
            </w:pPr>
            <w:bookmarkStart w:id="761" w:name="xdx_F1E_z5hdhD6xvGm4"/>
            <w:bookmarkEnd w:id="761"/>
            <w:r>
              <w:rPr>
                <w:rFonts w:ascii="Times New Roman;Times;Serif" w:hAnsi="Times New Roman;Times;Serif"/>
                <w:sz w:val="20"/>
              </w:rPr>
              <w:t>On July 15, 2025, Colombier Acquisition Corp. II (“Colombier”) stockholders approved a business combination with GrabAGun Digital Holdings Inc. and related proposals at a special meeting. On July 16, 2025, GrabAGun Digital Holdings, Inc. announced that it had consummated the business combination with Colombier pursuant to a merger agreement between the parties, creating the resultant combined company GrabAGun Digital Holdings, Inc. As of December 31, 2025, Neostellar Capital’s shares of GrabAGun Digital Holdings, Inc. Common shares are subject to certain restrictions on transfer, while the GrabAGun Digital Holdings, Inc. warrants are freely tradable.</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bookmarkStart w:id="762" w:name="xdx_F01_zb8hU0RIJAJ6"/>
            <w:bookmarkEnd w:id="762"/>
            <w:r>
              <w:rPr>
                <w:rFonts w:ascii="Times New Roman;Times;Serif" w:hAnsi="Times New Roman;Times;Serif"/>
                <w:sz w:val="20"/>
              </w:rPr>
              <w:t>(10)</w:t>
            </w:r>
          </w:p>
        </w:tc>
        <w:tc>
          <w:tcPr>
            <w:tcW w:w="9891" w:type="dxa"/>
            <w:tcBorders/>
            <w:vAlign w:val="center"/>
          </w:tcPr>
          <w:p>
            <w:pPr>
              <w:pStyle w:val="TableContents"/>
              <w:bidi w:val="0"/>
              <w:spacing w:before="0" w:after="283"/>
              <w:jc w:val="both"/>
              <w:rPr>
                <w:rFonts w:ascii="Times New Roman;Times;Serif" w:hAnsi="Times New Roman;Times;Serif"/>
                <w:sz w:val="20"/>
              </w:rPr>
            </w:pPr>
            <w:bookmarkStart w:id="763" w:name="xdx_F19_zXh58jc6xNKj"/>
            <w:bookmarkEnd w:id="763"/>
            <w:r>
              <w:rPr>
                <w:rFonts w:ascii="Times New Roman;Times;Serif" w:hAnsi="Times New Roman;Times;Serif"/>
                <w:sz w:val="20"/>
              </w:rPr>
              <w:t xml:space="preserve">Neostellar Capital’s investments in True Global Ventures 4 Plus Pte Ltd are held through Neostellar Capital’s wholly owned subsidiary, GSVC SVDS Holdings, Inc. True Global Ventures 4 Plus Pte Ltd charges a </w:t>
            </w:r>
            <w:bookmarkStart w:id="764" w:name="xdx_905_ecustom--ManagementFeePercentage"/>
            <w:bookmarkEnd w:id="764"/>
            <w:r>
              <w:rPr>
                <w:rFonts w:ascii="Times New Roman;Times;Serif" w:hAnsi="Times New Roman;Times;Serif"/>
                <w:sz w:val="20"/>
              </w:rPr>
              <w:t xml:space="preserve">1.8% management fee and a </w:t>
            </w:r>
            <w:bookmarkStart w:id="765" w:name="xdx_907_ecustom--IncentiveFeePercentage_"/>
            <w:bookmarkEnd w:id="765"/>
            <w:r>
              <w:rPr>
                <w:rFonts w:ascii="Times New Roman;Times;Serif" w:hAnsi="Times New Roman;Times;Serif"/>
                <w:sz w:val="20"/>
              </w:rPr>
              <w:t xml:space="preserve">22.5% incentive fee, subject to an annual </w:t>
            </w:r>
            <w:bookmarkStart w:id="766" w:name="xdx_90F_ecustom--HurdleRatePercentage_pi"/>
            <w:bookmarkEnd w:id="766"/>
            <w:r>
              <w:rPr>
                <w:rFonts w:ascii="Times New Roman;Times;Serif" w:hAnsi="Times New Roman;Times;Serif"/>
                <w:sz w:val="20"/>
              </w:rPr>
              <w:t>5% IRR hurdle rate. The management fees may adjust the cost of Neostellar Capital’s investment in the fund.</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67" w:name="xdx_F0F_zMfEeOxU70za"/>
            <w:bookmarkEnd w:id="767"/>
            <w:r>
              <w:rPr>
                <w:rFonts w:ascii="Times New Roman;Times;Serif" w:hAnsi="Times New Roman;Times;Serif"/>
                <w:b w:val="false"/>
                <w:i w:val="false"/>
                <w:caps w:val="false"/>
                <w:smallCaps w:val="false"/>
                <w:sz w:val="20"/>
              </w:rPr>
              <w:t>(11)</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68" w:name="xdx_F13_zxbAQTK2ycX4"/>
            <w:bookmarkEnd w:id="768"/>
            <w:r>
              <w:rPr>
                <w:rFonts w:ascii="Times New Roman;Times;Serif" w:hAnsi="Times New Roman;Times;Serif"/>
                <w:b w:val="false"/>
                <w:i w:val="false"/>
                <w:caps w:val="false"/>
                <w:smallCaps w:val="false"/>
                <w:sz w:val="20"/>
              </w:rPr>
              <w:t>Neostellar Capital’s investments in Commercial Streaming Solutions Inc. (d/b/a BettorView), EDGE Markets, Inc., Xgroup Holdings Inc. (d/b/a Xpoint), and Stake Trade, Inc. (d/b/a Prophet Exchange) are held through Neostellar Capital’s wholly owned subsidiary, SuRo Capital Sports, LLC (“SuRo Capital Sports”).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69" w:name="xdx_F02_zukiU7tWAv46"/>
            <w:bookmarkEnd w:id="769"/>
            <w:r>
              <w:rPr>
                <w:rFonts w:ascii="Times New Roman;Times;Serif" w:hAnsi="Times New Roman;Times;Serif"/>
                <w:b w:val="false"/>
                <w:i w:val="false"/>
                <w:caps w:val="false"/>
                <w:smallCaps w:val="false"/>
                <w:sz w:val="20"/>
              </w:rPr>
              <w:t>(12)</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0" w:name="xdx_F1D_zU5Rh1woWQxc"/>
            <w:bookmarkEnd w:id="770"/>
            <w:r>
              <w:rPr>
                <w:rFonts w:ascii="Times New Roman;Times;Serif" w:hAnsi="Times New Roman;Times;Serif"/>
                <w:b w:val="false"/>
                <w:i w:val="false"/>
                <w:caps w:val="false"/>
                <w:smallCaps w:val="false"/>
                <w:sz w:val="20"/>
              </w:rPr>
              <w:t>On October 8, 2025, Stake Trade, Inc. (d/b/a Prophet Exchange) completed its Series B financing. As a result of the financing, the SAFE Note which Neostellar Capital previously held in Stake Trade, Inc. (d/b/a Prophet Exchange) converted into Series B-IV Preferred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71" w:name="xdx_F06_zWqp6ZXdgNGg"/>
            <w:bookmarkEnd w:id="771"/>
            <w:r>
              <w:rPr>
                <w:rFonts w:ascii="Times New Roman;Times;Serif" w:hAnsi="Times New Roman;Times;Serif"/>
                <w:b w:val="false"/>
                <w:i w:val="false"/>
                <w:caps w:val="false"/>
                <w:smallCaps w:val="false"/>
                <w:sz w:val="20"/>
              </w:rPr>
              <w:t>(13)</w:t>
            </w:r>
          </w:p>
        </w:tc>
        <w:tc>
          <w:tcPr>
            <w:tcW w:w="98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2" w:name="xdx_F13_zlGhpJ4paOd2"/>
            <w:bookmarkEnd w:id="772"/>
            <w:r>
              <w:rPr>
                <w:rFonts w:ascii="Times New Roman;Times;Serif" w:hAnsi="Times New Roman;Times;Serif"/>
                <w:b w:val="false"/>
                <w:i w:val="false"/>
                <w:caps w:val="false"/>
                <w:smallCaps w:val="false"/>
                <w:sz w:val="20"/>
              </w:rPr>
              <w:t>Neostellar Capital’s investment in Residential Homes for Rent, LLC (d/b/a Second Avenue) is held through Neostellar Capital’s wholly owned subsidiary, GSVC AV Holdings,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73" w:name="xdx_F02_zEDKrRYjHb9i"/>
            <w:bookmarkEnd w:id="773"/>
            <w:r>
              <w:rPr>
                <w:rFonts w:ascii="Times New Roman;Times;Serif" w:hAnsi="Times New Roman;Times;Serif"/>
                <w:b w:val="false"/>
                <w:i w:val="false"/>
                <w:caps w:val="false"/>
                <w:smallCaps w:val="false"/>
                <w:sz w:val="20"/>
              </w:rPr>
              <w:t>(14)</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4" w:name="xdx_F15_zuPYIlGwQT81"/>
            <w:bookmarkEnd w:id="774"/>
            <w:r>
              <w:rPr>
                <w:rFonts w:ascii="Times New Roman;Times;Serif" w:hAnsi="Times New Roman;Times;Serif"/>
                <w:b w:val="false"/>
                <w:i w:val="false"/>
                <w:caps w:val="false"/>
                <w:smallCaps w:val="false"/>
                <w:sz w:val="20"/>
              </w:rPr>
              <w:t>On March 30, 2025, CTN Holdings, Inc. (d/b/a Catona Climate) filed for Chapter 11 protection in the U.S. Bankruptcy Court for the District of Delaware. On June 5, 2025, the US Bankruptcy Court for the District of Delaware approved the sale of the remaining assets of CTN Holdings, Inc. On August 7, 2025, CTN Holdings, Inc. (d/b/a Catona Climate) converted its bankruptcy filing from Chapter 11 reorganization to Chapter 7 liquidation.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75" w:name="xdx_F0F_zPLEgPlO7REg"/>
            <w:bookmarkEnd w:id="775"/>
            <w:r>
              <w:rPr>
                <w:rFonts w:ascii="Times New Roman;Times;Serif" w:hAnsi="Times New Roman;Times;Serif"/>
                <w:b w:val="false"/>
                <w:i w:val="false"/>
                <w:caps w:val="false"/>
                <w:smallCaps w:val="false"/>
                <w:sz w:val="20"/>
              </w:rPr>
              <w:t>(15)</w:t>
            </w:r>
          </w:p>
        </w:tc>
        <w:tc>
          <w:tcPr>
            <w:tcW w:w="98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6" w:name="xdx_F10_zwlYqqlZF0Pd"/>
            <w:bookmarkEnd w:id="776"/>
            <w:r>
              <w:rPr>
                <w:rFonts w:ascii="Times New Roman;Times;Serif" w:hAnsi="Times New Roman;Times;Serif"/>
                <w:b w:val="false"/>
                <w:i w:val="false"/>
                <w:caps w:val="false"/>
                <w:smallCaps w:val="false"/>
                <w:sz w:val="20"/>
              </w:rPr>
              <w:t>On November 9, 2021, Fullbridge, Inc.’s obligations under its financing arrangements with the Company became past due.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77" w:name="xdx_F06_zMgp2QVT869e"/>
            <w:bookmarkEnd w:id="777"/>
            <w:r>
              <w:rPr>
                <w:rFonts w:ascii="Times New Roman;Times;Serif" w:hAnsi="Times New Roman;Times;Serif"/>
                <w:b w:val="false"/>
                <w:i w:val="false"/>
                <w:caps w:val="false"/>
                <w:smallCaps w:val="false"/>
                <w:sz w:val="20"/>
              </w:rPr>
              <w:t>(16)</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8" w:name="xdx_F1B_zCoUYpw0DwW5"/>
            <w:bookmarkEnd w:id="778"/>
            <w:r>
              <w:rPr>
                <w:rFonts w:ascii="Times New Roman;Times;Serif" w:hAnsi="Times New Roman;Times;Serif"/>
                <w:b w:val="false"/>
                <w:i w:val="false"/>
                <w:caps w:val="false"/>
                <w:smallCaps w:val="false"/>
                <w:sz w:val="20"/>
              </w:rPr>
              <w:t>Neostellar Capital’s investments in StormWind, LLC are held through Neostellar Capital’s wholly owned subsidiary, GSVC SW Holdings,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79" w:name="xdx_F06_zfU82oazirt8"/>
            <w:bookmarkEnd w:id="779"/>
            <w:r>
              <w:rPr>
                <w:rFonts w:ascii="Times New Roman;Times;Serif" w:hAnsi="Times New Roman;Times;Serif"/>
                <w:b w:val="false"/>
                <w:i w:val="false"/>
                <w:caps w:val="false"/>
                <w:smallCaps w:val="false"/>
                <w:sz w:val="20"/>
              </w:rPr>
              <w:t>(17)</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80" w:name="xdx_F16_zihEbNqkMjtl"/>
            <w:bookmarkEnd w:id="780"/>
            <w:r>
              <w:rPr>
                <w:rFonts w:ascii="Times New Roman;Times;Serif" w:hAnsi="Times New Roman;Times;Serif"/>
                <w:b w:val="false"/>
                <w:i w:val="false"/>
                <w:caps w:val="false"/>
                <w:smallCaps w:val="false"/>
                <w:sz w:val="20"/>
              </w:rPr>
              <w:t>On March 21, 2025, Commercial Streaming Solutions, Inc. (d/b/a BettorView) merged with FSG Digital, Inc. (d/b/a JefeBet). As a result of the merger, the SAFE Note which Neostellar Capital previously held in Commercial Streaming Solutions, Inc. (d/b/a BettorView) converted into Class A-1 Preferred shares.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81" w:name="ak_009"/>
      <w:bookmarkEnd w:id="781"/>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2" w:name="xdx_803_eus-gaap--NatureOfOperations_zFz"/>
      <w:bookmarkEnd w:id="782"/>
      <w:r>
        <w:rPr>
          <w:rFonts w:ascii="Times New Roman;Times;Serif" w:hAnsi="Times New Roman;Times;Serif"/>
          <w:b/>
          <w:i w:val="false"/>
          <w:caps w:val="false"/>
          <w:smallCaps w:val="false"/>
          <w:sz w:val="20"/>
        </w:rPr>
        <w:t>NOTE 1—</w:t>
      </w:r>
      <w:bookmarkStart w:id="783" w:name="xdx_825_zTEADnxbGyT2"/>
      <w:bookmarkEnd w:id="783"/>
      <w:r>
        <w:rPr>
          <w:rFonts w:ascii="Times New Roman;Times;Serif" w:hAnsi="Times New Roman;Times;Serif"/>
          <w:b/>
          <w:i w:val="false"/>
          <w:caps w:val="false"/>
          <w:smallCaps w:val="false"/>
          <w:sz w:val="20"/>
        </w:rPr>
        <w:t>NATURE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 (“we”, “us”, “our”, the “Company” or “Neostellar Capital”), formerly known as SuRo Capital Corp., Sutter Rock Capital Corp. and GSV Capital Corp., was formed in September 2010 as a Maryland corporation. As of June 30, 2026, the Company was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date of inception was January 6, 2011, which is the date it commenced development stage activities. The Company’s common stock is listed on the Nasdaq Global Select Market under the symbol “NSLR” (formerly “SSSS” and, prior to that, “GSVC”). The Company began its investment operations during the second quarter of 2011. Effective July 15, 2026, in connection with the Externalization, the Company became externally managed by Neostellar Advisors LLC. See “Note 12—Subsequent Events—Externalization.”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displays the Company’s subsidiaries as of June 30, 2026, which, other than GSV Capital Lending, LLC (“GCL”), SuRo Capital Sports, LLC, 1789 Capital Nirvana II LP, and SRCI Advisors,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corporations for U.S. federal income tax purposes. Refer to “Note 2—Significant Accounting Policies—</w:t>
      </w:r>
      <w:r>
        <w:rPr>
          <w:rFonts w:ascii="Times New Roman;Times;Serif" w:hAnsi="Times New Roman;Times;Serif"/>
          <w:b w:val="false"/>
          <w:i/>
          <w:caps w:val="false"/>
          <w:smallCaps w:val="false"/>
          <w:sz w:val="20"/>
        </w:rPr>
        <w:t>Basis of Consolidation</w:t>
      </w:r>
      <w:r>
        <w:rPr>
          <w:rFonts w:ascii="Times New Roman;Times;Serif" w:hAnsi="Times New Roman;Times;Serif"/>
          <w:b w:val="false"/>
          <w:i w:val="false"/>
          <w:caps w:val="false"/>
          <w:smallCaps w:val="false"/>
          <w:sz w:val="20"/>
        </w:rPr>
        <w:t>” below for further detail.</w:t>
      </w:r>
    </w:p>
    <w:p>
      <w:pPr>
        <w:pStyle w:val="TextBody"/>
        <w:bidi w:val="0"/>
        <w:spacing w:before="0" w:after="0"/>
        <w:ind w:left="0" w:right="0" w:firstLine="360"/>
        <w:jc w:val="both"/>
        <w:rPr>
          <w:caps w:val="false"/>
          <w:smallCaps w:val="false"/>
        </w:rPr>
      </w:pPr>
      <w:bookmarkStart w:id="784" w:name="xdx_898_ecustom--ScheduleOfSubsidiariesO"/>
      <w:bookmarkEnd w:id="784"/>
      <w:r>
        <w:rPr>
          <w:caps w:val="false"/>
          <w:smallCaps w:val="false"/>
        </w:rPr>
        <w:t> </w:t>
      </w:r>
      <w:bookmarkStart w:id="785" w:name="xdx_8BC_zAbAXTU839df"/>
      <w:bookmarkEnd w:id="785"/>
      <w:r>
        <w:rPr>
          <w:rFonts w:ascii="Times New Roman;Times;Serif" w:hAnsi="Times New Roman;Times;Serif"/>
          <w:b w:val="false"/>
          <w:i w:val="false"/>
          <w:caps w:val="false"/>
          <w:smallCaps w:val="false"/>
          <w:sz w:val="20"/>
        </w:rPr>
        <w:t>SCHEDULE OF COMPANY’S SUBSIDIARIES</w:t>
      </w:r>
    </w:p>
    <w:tbl>
      <w:tblPr>
        <w:tblW w:w="10205" w:type="dxa"/>
        <w:jc w:val="left"/>
        <w:tblInd w:w="0" w:type="dxa"/>
        <w:tblLayout w:type="fixed"/>
        <w:tblCellMar>
          <w:top w:w="0" w:type="dxa"/>
          <w:left w:w="0" w:type="dxa"/>
          <w:bottom w:w="28" w:type="dxa"/>
          <w:right w:w="0" w:type="dxa"/>
        </w:tblCellMar>
      </w:tblPr>
      <w:tblGrid>
        <w:gridCol w:w="5911"/>
        <w:gridCol w:w="60"/>
        <w:gridCol w:w="1241"/>
        <w:gridCol w:w="60"/>
        <w:gridCol w:w="1676"/>
        <w:gridCol w:w="60"/>
        <w:gridCol w:w="131"/>
        <w:gridCol w:w="834"/>
        <w:gridCol w:w="232"/>
      </w:tblGrid>
      <w:tr>
        <w:trPr/>
        <w:tc>
          <w:tcPr>
            <w:tcW w:w="5911" w:type="dxa"/>
            <w:tcBorders>
              <w:bottom w:val="single" w:sz="8" w:space="0" w:color="000000"/>
            </w:tcBorders>
            <w:vAlign w:val="center"/>
          </w:tcPr>
          <w:p>
            <w:pPr>
              <w:pStyle w:val="TableContents"/>
              <w:bidi w:val="0"/>
              <w:spacing w:before="0" w:after="283"/>
              <w:jc w:val="left"/>
              <w:rPr>
                <w:b/>
              </w:rPr>
            </w:pPr>
            <w:r>
              <w:rPr>
                <w:b/>
              </w:rPr>
              <w:t>Subsidiary</w:t>
            </w:r>
          </w:p>
        </w:tc>
        <w:tc>
          <w:tcPr>
            <w:tcW w:w="60" w:type="dxa"/>
            <w:tcBorders/>
            <w:tcMar>
              <w:bottom w:w="0" w:type="dxa"/>
            </w:tcMar>
            <w:vAlign w:val="center"/>
          </w:tcPr>
          <w:p>
            <w:pPr>
              <w:pStyle w:val="TableContents"/>
              <w:bidi w:val="0"/>
              <w:spacing w:before="0" w:after="283"/>
              <w:jc w:val="left"/>
              <w:rPr/>
            </w:pPr>
            <w:r>
              <w:rPr/>
              <w:t> </w:t>
            </w:r>
          </w:p>
        </w:tc>
        <w:tc>
          <w:tcPr>
            <w:tcW w:w="124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167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232" w:type="dxa"/>
            <w:tcBorders/>
            <w:tcMar>
              <w:bottom w:w="0" w:type="dxa"/>
            </w:tcMar>
            <w:vAlign w:val="center"/>
          </w:tcPr>
          <w:p>
            <w:pPr>
              <w:pStyle w:val="TableContents"/>
              <w:bidi w:val="0"/>
              <w:spacing w:before="0" w:after="283"/>
              <w:jc w:val="left"/>
              <w:rPr/>
            </w:pPr>
            <w:r>
              <w:rPr/>
              <w:t> </w:t>
            </w:r>
          </w:p>
        </w:tc>
      </w:tr>
      <w:tr>
        <w:trPr/>
        <w:tc>
          <w:tcPr>
            <w:tcW w:w="5911" w:type="dxa"/>
            <w:tcBorders/>
            <w:shd w:fill="CCEEFF" w:val="clear"/>
            <w:tcMar>
              <w:bottom w:w="0" w:type="dxa"/>
            </w:tcMar>
            <w:vAlign w:val="center"/>
          </w:tcPr>
          <w:p>
            <w:pPr>
              <w:pStyle w:val="TableContents"/>
              <w:bidi w:val="0"/>
              <w:spacing w:before="0" w:after="283"/>
              <w:jc w:val="left"/>
              <w:rPr/>
            </w:pPr>
            <w:r>
              <w:rPr/>
              <w:t>GCL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center"/>
              <w:rPr/>
            </w:pPr>
            <w:bookmarkStart w:id="786" w:name="xdx_909_edei--EntityIncorporationStateCo"/>
            <w:bookmarkEnd w:id="786"/>
            <w:r>
              <w:rPr/>
              <w:t>Delaware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6" w:type="dxa"/>
            <w:tcBorders/>
            <w:shd w:fill="CCEEFF" w:val="clear"/>
            <w:tcMar>
              <w:bottom w:w="0" w:type="dxa"/>
            </w:tcMar>
            <w:vAlign w:val="center"/>
          </w:tcPr>
          <w:p>
            <w:pPr>
              <w:pStyle w:val="TableContents"/>
              <w:bidi w:val="0"/>
              <w:spacing w:before="0" w:after="283"/>
              <w:jc w:val="center"/>
              <w:rPr/>
            </w:pPr>
            <w:bookmarkStart w:id="787" w:name="xdx_909_edei--EntityIncorporationDateOfI"/>
            <w:bookmarkEnd w:id="787"/>
            <w:r>
              <w:rPr/>
              <w:t>April 13,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bookmarkStart w:id="788" w:name="xdx_98B_eus-gaap--EquityMethodInvestment"/>
            <w:bookmarkEnd w:id="788"/>
          </w:p>
        </w:tc>
        <w:tc>
          <w:tcPr>
            <w:tcW w:w="834"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5911" w:type="dxa"/>
            <w:tcBorders/>
            <w:shd w:fill="FFFFFF" w:val="clear"/>
            <w:tcMar>
              <w:bottom w:w="0" w:type="dxa"/>
            </w:tcMar>
            <w:vAlign w:val="center"/>
          </w:tcPr>
          <w:p>
            <w:pPr>
              <w:pStyle w:val="TableContents"/>
              <w:bidi w:val="0"/>
              <w:spacing w:before="0" w:after="283"/>
              <w:jc w:val="left"/>
              <w:rPr/>
            </w:pPr>
            <w:r>
              <w:rPr/>
              <w:t>SuRo Capital Sports, LLC (“SuRo Capital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center"/>
              <w:rPr/>
            </w:pPr>
            <w:bookmarkStart w:id="789" w:name="xdx_905_edei--EntityIncorporationStateCo"/>
            <w:bookmarkEnd w:id="789"/>
            <w:r>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center"/>
              <w:rPr/>
            </w:pPr>
            <w:bookmarkStart w:id="790" w:name="xdx_903_edei--EntityIncorporationDateOfI"/>
            <w:bookmarkEnd w:id="790"/>
            <w:r>
              <w:rPr/>
              <w:t>March 19,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bookmarkStart w:id="791" w:name="xdx_986_eus-gaap--EquityMethodInvestment"/>
            <w:bookmarkEnd w:id="791"/>
          </w:p>
        </w:tc>
        <w:tc>
          <w:tcPr>
            <w:tcW w:w="834"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911" w:type="dxa"/>
            <w:tcBorders/>
            <w:shd w:fill="CCEEFF" w:val="clear"/>
            <w:tcMar>
              <w:bottom w:w="0" w:type="dxa"/>
            </w:tcMar>
            <w:vAlign w:val="center"/>
          </w:tcPr>
          <w:p>
            <w:pPr>
              <w:pStyle w:val="TableContents"/>
              <w:bidi w:val="0"/>
              <w:spacing w:before="0" w:after="283"/>
              <w:jc w:val="left"/>
              <w:rPr/>
            </w:pPr>
            <w:r>
              <w:rPr/>
              <w:t>1789 Capital Nirvana II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center"/>
              <w:rPr/>
            </w:pPr>
            <w:bookmarkStart w:id="792" w:name="xdx_90F_edei--EntityIncorporationStateCo"/>
            <w:bookmarkEnd w:id="792"/>
            <w:r>
              <w:rPr/>
              <w:t>Delaware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6" w:type="dxa"/>
            <w:tcBorders/>
            <w:shd w:fill="CCEEFF" w:val="clear"/>
            <w:tcMar>
              <w:bottom w:w="0" w:type="dxa"/>
            </w:tcMar>
            <w:vAlign w:val="center"/>
          </w:tcPr>
          <w:p>
            <w:pPr>
              <w:pStyle w:val="TableContents"/>
              <w:bidi w:val="0"/>
              <w:spacing w:before="0" w:after="283"/>
              <w:jc w:val="center"/>
              <w:rPr/>
            </w:pPr>
            <w:bookmarkStart w:id="793" w:name="xdx_900_edei--EntityIncorporationDateOfI"/>
            <w:bookmarkEnd w:id="793"/>
            <w:r>
              <w:rPr/>
              <w:t>March 27,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bookmarkStart w:id="794" w:name="xdx_98D_eus-gaap--EquityMethodInvestment"/>
            <w:bookmarkEnd w:id="794"/>
          </w:p>
        </w:tc>
        <w:tc>
          <w:tcPr>
            <w:tcW w:w="834"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5911" w:type="dxa"/>
            <w:tcBorders/>
            <w:shd w:fill="FFFFFF" w:val="clear"/>
            <w:tcMar>
              <w:bottom w:w="0" w:type="dxa"/>
            </w:tcMar>
            <w:vAlign w:val="center"/>
          </w:tcPr>
          <w:p>
            <w:pPr>
              <w:pStyle w:val="TableContents"/>
              <w:bidi w:val="0"/>
              <w:spacing w:before="0" w:after="283"/>
              <w:jc w:val="left"/>
              <w:rPr/>
            </w:pPr>
            <w:r>
              <w:rPr/>
              <w:t>SRCI Advisors,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center"/>
              <w:rPr/>
            </w:pPr>
            <w:bookmarkStart w:id="795" w:name="xdx_906_edei--EntityIncorporationStateCo"/>
            <w:bookmarkEnd w:id="795"/>
            <w:r>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center"/>
              <w:rPr/>
            </w:pPr>
            <w:bookmarkStart w:id="796" w:name="xdx_90A_edei--EntityIncorporationDateOfI"/>
            <w:bookmarkEnd w:id="796"/>
            <w:r>
              <w:rPr/>
              <w:t>September 9,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bookmarkStart w:id="797" w:name="xdx_980_eus-gaap--EquityMethodInvestment"/>
            <w:bookmarkEnd w:id="797"/>
          </w:p>
        </w:tc>
        <w:tc>
          <w:tcPr>
            <w:tcW w:w="834"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911" w:type="dxa"/>
            <w:tcBorders/>
            <w:shd w:fill="CCEEFF" w:val="clear"/>
            <w:tcMar>
              <w:bottom w:w="0" w:type="dxa"/>
            </w:tcMar>
            <w:vAlign w:val="center"/>
          </w:tcPr>
          <w:p>
            <w:pPr>
              <w:pStyle w:val="TableContents"/>
              <w:bidi w:val="0"/>
              <w:spacing w:before="0" w:after="283"/>
              <w:jc w:val="left"/>
              <w:rPr>
                <w:b/>
              </w:rPr>
            </w:pPr>
            <w:r>
              <w:rPr>
                <w:b/>
              </w:rPr>
              <w:t>Subsidiaries below are referred to collectively as the “Taxable Subsidiaries”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911" w:type="dxa"/>
            <w:tcBorders/>
            <w:shd w:fill="FFFFFF" w:val="clear"/>
            <w:tcMar>
              <w:bottom w:w="0" w:type="dxa"/>
            </w:tcMar>
            <w:vAlign w:val="center"/>
          </w:tcPr>
          <w:p>
            <w:pPr>
              <w:pStyle w:val="TableContents"/>
              <w:bidi w:val="0"/>
              <w:spacing w:before="0" w:after="283"/>
              <w:jc w:val="left"/>
              <w:rPr/>
            </w:pPr>
            <w:r>
              <w:rPr/>
              <w:t>GSVC AE Holdings, Inc. (“GAE”)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center"/>
              <w:rPr/>
            </w:pPr>
            <w:bookmarkStart w:id="798" w:name="xdx_90C_edei--EntityIncorporationStateCo"/>
            <w:bookmarkEnd w:id="798"/>
            <w:r>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center"/>
              <w:rPr/>
            </w:pPr>
            <w:bookmarkStart w:id="799" w:name="xdx_905_edei--EntityIncorporationDateOfI"/>
            <w:bookmarkEnd w:id="799"/>
            <w:r>
              <w:rPr/>
              <w:t>November 28, 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bookmarkStart w:id="800" w:name="xdx_98E_eus-gaap--EquityMethodInvestment"/>
            <w:bookmarkEnd w:id="800"/>
          </w:p>
        </w:tc>
        <w:tc>
          <w:tcPr>
            <w:tcW w:w="834"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911" w:type="dxa"/>
            <w:tcBorders/>
            <w:shd w:fill="CCEEFF" w:val="clear"/>
            <w:tcMar>
              <w:bottom w:w="0" w:type="dxa"/>
            </w:tcMar>
            <w:vAlign w:val="center"/>
          </w:tcPr>
          <w:p>
            <w:pPr>
              <w:pStyle w:val="TableContents"/>
              <w:bidi w:val="0"/>
              <w:spacing w:before="0" w:after="283"/>
              <w:jc w:val="left"/>
              <w:rPr/>
            </w:pPr>
            <w:r>
              <w:rPr/>
              <w:t>GSVC AV Holdings, Inc. (“GAV”)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center"/>
              <w:rPr/>
            </w:pPr>
            <w:bookmarkStart w:id="801" w:name="xdx_900_edei--EntityIncorporationStateCo"/>
            <w:bookmarkEnd w:id="801"/>
            <w:r>
              <w:rPr/>
              <w:t>Delaware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6" w:type="dxa"/>
            <w:tcBorders/>
            <w:shd w:fill="CCEEFF" w:val="clear"/>
            <w:tcMar>
              <w:bottom w:w="0" w:type="dxa"/>
            </w:tcMar>
            <w:vAlign w:val="center"/>
          </w:tcPr>
          <w:p>
            <w:pPr>
              <w:pStyle w:val="TableContents"/>
              <w:bidi w:val="0"/>
              <w:spacing w:before="0" w:after="283"/>
              <w:jc w:val="center"/>
              <w:rPr/>
            </w:pPr>
            <w:bookmarkStart w:id="802" w:name="xdx_90D_edei--EntityIncorporationDateOfI"/>
            <w:bookmarkEnd w:id="802"/>
            <w:r>
              <w:rPr/>
              <w:t>November 28,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bookmarkStart w:id="803" w:name="xdx_983_eus-gaap--EquityMethodInvestment"/>
            <w:bookmarkEnd w:id="803"/>
          </w:p>
        </w:tc>
        <w:tc>
          <w:tcPr>
            <w:tcW w:w="834"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5911" w:type="dxa"/>
            <w:tcBorders/>
            <w:shd w:fill="FFFFFF" w:val="clear"/>
            <w:tcMar>
              <w:bottom w:w="0" w:type="dxa"/>
            </w:tcMar>
            <w:vAlign w:val="center"/>
          </w:tcPr>
          <w:p>
            <w:pPr>
              <w:pStyle w:val="TableContents"/>
              <w:bidi w:val="0"/>
              <w:spacing w:before="0" w:after="283"/>
              <w:jc w:val="left"/>
              <w:rPr/>
            </w:pPr>
            <w:r>
              <w:rPr/>
              <w:t>GSVC SW Holdings, Inc. (“GSW”)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center"/>
              <w:rPr/>
            </w:pPr>
            <w:bookmarkStart w:id="804" w:name="xdx_905_edei--EntityIncorporationStateCo"/>
            <w:bookmarkEnd w:id="804"/>
            <w:r>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center"/>
              <w:rPr/>
            </w:pPr>
            <w:bookmarkStart w:id="805" w:name="xdx_90D_edei--EntityIncorporationDateOfI"/>
            <w:bookmarkEnd w:id="805"/>
            <w:r>
              <w:rPr/>
              <w:t>November 28, 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bookmarkStart w:id="806" w:name="xdx_986_eus-gaap--EquityMethodInvestment"/>
            <w:bookmarkEnd w:id="806"/>
          </w:p>
        </w:tc>
        <w:tc>
          <w:tcPr>
            <w:tcW w:w="834"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911" w:type="dxa"/>
            <w:tcBorders/>
            <w:shd w:fill="CCEEFF" w:val="clear"/>
            <w:tcMar>
              <w:bottom w:w="0" w:type="dxa"/>
            </w:tcMar>
            <w:vAlign w:val="center"/>
          </w:tcPr>
          <w:p>
            <w:pPr>
              <w:pStyle w:val="TableContents"/>
              <w:bidi w:val="0"/>
              <w:spacing w:before="0" w:after="283"/>
              <w:jc w:val="left"/>
              <w:rPr/>
            </w:pPr>
            <w:r>
              <w:rPr/>
              <w:t>GSVC SVDS Holdings, Inc. (“SVDS”)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center"/>
              <w:rPr/>
            </w:pPr>
            <w:bookmarkStart w:id="807" w:name="xdx_90B_edei--EntityIncorporationStateCo"/>
            <w:bookmarkEnd w:id="807"/>
            <w:r>
              <w:rPr/>
              <w:t>Delaware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6" w:type="dxa"/>
            <w:tcBorders/>
            <w:shd w:fill="CCEEFF" w:val="clear"/>
            <w:tcMar>
              <w:bottom w:w="0" w:type="dxa"/>
            </w:tcMar>
            <w:vAlign w:val="center"/>
          </w:tcPr>
          <w:p>
            <w:pPr>
              <w:pStyle w:val="TableContents"/>
              <w:bidi w:val="0"/>
              <w:spacing w:before="0" w:after="283"/>
              <w:jc w:val="center"/>
              <w:rPr/>
            </w:pPr>
            <w:bookmarkStart w:id="808" w:name="xdx_904_edei--EntityIncorporationDateOfI"/>
            <w:bookmarkEnd w:id="808"/>
            <w:r>
              <w:rPr/>
              <w:t>August 13, 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bookmarkStart w:id="809" w:name="xdx_98E_eus-gaap--EquityMethodInvestment"/>
            <w:bookmarkEnd w:id="809"/>
          </w:p>
        </w:tc>
        <w:tc>
          <w:tcPr>
            <w:tcW w:w="834"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10" w:name="xdx_8A6_ziQ7iYmG6Kc1"/>
      <w:bookmarkEnd w:id="81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direct offerings of the prospective portfolio companies, transactions on secondary marketplaces for private companies, negotiations with selling stockholders, investment funds, or through SPVs and other investment funds for the purpose of investing in securities of a single private issuer. In addition, the Company may invest in private credit and in founders equity, founders warrants,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1" w:name="xdx_809_eus-gaap--SignificantAccountingP"/>
      <w:bookmarkEnd w:id="811"/>
      <w:r>
        <w:rPr>
          <w:rFonts w:ascii="Times New Roman;Times;Serif" w:hAnsi="Times New Roman;Times;Serif"/>
          <w:b/>
          <w:i w:val="false"/>
          <w:caps w:val="false"/>
          <w:smallCaps w:val="false"/>
          <w:sz w:val="20"/>
        </w:rPr>
        <w:t>NOTE 2—</w:t>
      </w:r>
      <w:bookmarkStart w:id="812" w:name="xdx_822_zEIdchg8vEOg"/>
      <w:bookmarkEnd w:id="812"/>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3" w:name="xdx_86A_zfmU2ZjlYsBj"/>
      <w:bookmarkStart w:id="814" w:name="xdx_84F_eus-gaap--BasisOfAccountingPolic"/>
      <w:bookmarkEnd w:id="813"/>
      <w:bookmarkEnd w:id="814"/>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Times;Serif" w:hAnsi="Times New Roman;Times;Serif"/>
          <w:b w:val="false"/>
          <w:i/>
          <w:caps w:val="false"/>
          <w:smallCaps w:val="false"/>
          <w:sz w:val="20"/>
        </w:rPr>
        <w:t>Financial Services—Investment Companies</w:t>
      </w:r>
      <w:r>
        <w:rPr>
          <w:rFonts w:ascii="Times New Roman;Times;Serif" w:hAnsi="Times New Roman;Times;Serif"/>
          <w:b w:val="false"/>
          <w:i w:val="false"/>
          <w:caps w:val="false"/>
          <w:smallCaps w:val="false"/>
          <w:sz w:val="20"/>
        </w:rPr>
        <w:t>. In the opinion of management, all adjustments, all of which were of a normal recurring nature, were considered necessary for the fair presentation of the Condensed Consolidated Financial Statements for the period and have been included.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5" w:name="xdx_861_z5oRpc3YBLL3"/>
      <w:bookmarkStart w:id="816" w:name="xdx_849_eus-gaap--ConsolidationPolicyTex"/>
      <w:bookmarkEnd w:id="815"/>
      <w:bookmarkEnd w:id="816"/>
      <w:r>
        <w:rPr>
          <w:rFonts w:ascii="Times New Roman;Times;Serif" w:hAnsi="Times New Roman;Times;Serif"/>
          <w:b/>
          <w:i w:val="false"/>
          <w:caps w:val="false"/>
          <w:smallCaps w:val="false"/>
          <w:sz w:val="20"/>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Condensed Consolidated Financial Statements include its accounts and the accounts of the Taxable Subsidiaries, GCL, SuRo Capital Sports, 1789 Capital Nirvana II LP, and SRCI Advisors, LLC, its wholly owned subsidiaries. GCL was formed to originate portfolio loan investments within the state of California. SuRo Capital Sports was formed to focus on investing in the sports betting sector. 1789 Capital Nirvana II LP is a SPV in which Neostellar Capital holds the sole limited partnership interest and was formed to invest in the Common Shares of Plaid, Inc. SRCI Advisors, LLC was formed to provide investment management services to third parties; as of June 30, 2026, SRCI Advisors, LLC has not commenced operations. All intercompany balances and transactions have been eliminated in consolidation. The Company operates as a single operating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consolidates entities that meet the definition of a Variable Interest Entity (“VIE”) for which the Company is the primary beneficiary. The primary beneficiary is the party who has the power to direct the activities of a VIE that most significantly impact the entity’s economic performance and who has an obligation to absorb losses or a right to receive benefits from the entity. The Company determined that 1789 Capital Nirvana II LP is a VIE and the Company is the primary beneficiary. As such, 1789 Capital Nirvana II LP is consolidated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7" w:name="xdx_867_z45ZBEVUU4a2"/>
      <w:bookmarkStart w:id="818" w:name="xdx_84A_eus-gaap--SegmentReportingPolicy"/>
      <w:bookmarkEnd w:id="817"/>
      <w:bookmarkEnd w:id="818"/>
      <w:r>
        <w:rPr>
          <w:rFonts w:ascii="Times New Roman;Times;Serif" w:hAnsi="Times New Roman;Times;Serif"/>
          <w:b/>
          <w:i w:val="false"/>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has determined that it has a single operating segment in accordance with Topic 280, Segment Reporting (“ASC 280”). The Company operates as a single segment with a principal investment objective to maximize our portfolio’s total return, principally by seeking capital gains on our equity and equity-related investments, and to a lesser extent, income from debt investments. The Company’s Chief Executive Officer, Chief Financial Officer, and Investment Committee collectively perform the function that allocates resources and assesses performance, and thus together, serve as the Company’s chief operating decision maker (the “CODM”). Among other metrics, the CODM uses Net Change in Net Assets Resulting from Operations as a primary GAAP profit or loss metric used in making operating decisions, which can be found on the Condensed Consolidated Statements of Operations along with significant expenses. The measure of segment assets is reported on the Condensed Consolidated Statements of Assets and Liabilities as total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9" w:name="xdx_867_zQeVGMPJSDRe"/>
      <w:bookmarkStart w:id="820" w:name="xdx_845_eus-gaap--UseOfEstimates_zZfCACx"/>
      <w:bookmarkEnd w:id="819"/>
      <w:bookmarkEnd w:id="820"/>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1" w:name="xdx_861_zYVfEGvMg6F9"/>
      <w:bookmarkStart w:id="822" w:name="xdx_848_ecustom--UncertaintiesAndRiskFac"/>
      <w:bookmarkEnd w:id="821"/>
      <w:bookmarkEnd w:id="822"/>
      <w:r>
        <w:rPr>
          <w:rFonts w:ascii="Times New Roman;Times;Serif" w:hAnsi="Times New Roman;Times;Serif"/>
          <w:b/>
          <w:i w:val="false"/>
          <w:caps w:val="false"/>
          <w:smallCaps w:val="false"/>
          <w:sz w:val="20"/>
        </w:rPr>
        <w:t>Uncertainties and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number of risks and uncertainties in the nature of its operations, as well as vulnerability due to certain concentrations. Refer to “Part II, Item 1A. Risk Factors” of this Form 10-Q for a detailed discussion of the risks and uncertainties inherent in the nature of the Company’s operations. Refer to “Note 4—Investments at Fair Value” for an overview of the Company’s industry and geographic concentrations.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3" w:name="xdx_866_z8NxMAZ4NUDd"/>
      <w:bookmarkStart w:id="824" w:name="xdx_842_eus-gaap--InvestmentPolicyTextBl"/>
      <w:bookmarkEnd w:id="823"/>
      <w:bookmarkEnd w:id="824"/>
      <w:r>
        <w:rPr>
          <w:rFonts w:ascii="Times New Roman;Times;Serif" w:hAnsi="Times New Roman;Times;Serif"/>
          <w:b/>
          <w:i w:val="false"/>
          <w:caps w:val="false"/>
          <w:smallCaps w:val="false"/>
          <w:sz w:val="20"/>
        </w:rPr>
        <w:t>Investments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fair value accounting in accordance with GAAP and the AICPA’s Audit and Accounting Guide for Investment Companies. The Company values its assets on a quarterly basis, or more frequently if required under the 1940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—Valuations based on unadjusted quoted prices for identical assets or liabilities in an active market that the Company has the ability to access at the measurement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—Valuations based on observable inputs other than Level 1 prices, such as quoted prices for similar assets or liabilities; quoted prices in markets that are not active; or other inputs that are observable or can be corroborated by observable market data at the measurement date for substantially the full term of the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—Valuations based on unobservable inputs that reflect management’s best estimate of what market participants would use in pricing the asset 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“Leveling Policy” below for a detailed discussion of the leveling of the Company’s financial assets or liabilities and events that may cause a reclassification within the fair value hierarchy.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valuation process begins with each portfolio company or investment being initially valued by the internal investment professionals responsible for the portfolio investment;</w:t>
            </w:r>
          </w:p>
        </w:tc>
      </w:tr>
    </w:tbl>
    <w:p>
      <w:pPr>
        <w:pStyle w:val="TextBody"/>
        <w:bidi w:val="0"/>
        <w:spacing w:before="0" w:after="0"/>
        <w:ind w:left="720" w:right="0" w:hanging="36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valuation estimates are then documented and discussed with senior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then discusses the valuations recommended by the Valuation Committee and determines in good faith the fair value of each investment in the portfolio.</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indices for these investment securities to be traded or exchanged. The Company’s debt investments are valued at estimated fair value as determined in good faith by the Company’s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determines the fair value of options based on methodologies that can include discounted cash flow analyses, option pricing models, comparable analyses and other techniques as deemed appropriate. If the options are publicly traded, in accordance with our leveling policy, the Company prices the options at the closing price on a public exchange as of the measurement date. All other options investments are generally classified as Level 3 assets because there is no known or accessible market or market indices for these investment securities to be traded or exchanged. The Company’s options are valued at estimated fair value as determined in good faith by the Company’s Board of Directors.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SPVs and Fund 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invests through SPVs and Fund structures, which may hold either a single underlying investment or a portfolio of underlying investments. The Company’s interest in these structures is generally proportionate to its capital contributions, and distributions from the underlying investment(s) are made in accordance with that ownership. These investments are recorded at estimated fair value, as determined in good faith by the Company’s Board of Directors, and are presented in the Condensed Consolidated Schedule of Investments. If available, the Company may utilize the NAV of an SPV or Fund to substantiate its fair value determination. SPVs and Fund structures may incur fees, expenses, or tax liabilities associated with their underlying investments, which can impact the fair value of the Company’s interest. Additionally, these investments may be subject to restrictions on redemption, transfer, or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Fund structures, including those in which fair value is not readily determinable, the Company may apply the practical expedient provided under ASC Topic 820 for entities that calculate net asset value (“NAV”) per share or its equivalent, using NAV as a practical measure of fair value without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Purpose Acquisition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or the shares or warrants are confirmed unregistered. The Company’s SPAC investments are valued at estimated fair value as determined in good faith by the Company’s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Portfolio Company Investment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non-diversified company within the meaning of the 1940 Act. The Company classifies its investments by level of control. “Control investments” are investments in companies that the Company is presumed to control under Section 2(a)(9) of the 1940 Act. Under the 1940 Act, any person who owns beneficially, either directly or through one or more controlled companies, more than 25% of the outstanding voting securities of a company is presumed to control such company. “Affiliate investments” are investments in companies that are “affiliated persons” of the Company under Section 2(a)(3) of the 1940 Act. Under the 1940 Act, “affiliated person” includes any person directly or indirectly owning, controlling, or holding with power to vote, 5% or more, but not more than 25%, of the outstanding voting securities of such company. Refer to the Condensed Consolidated Schedules of Investments as of June 30, 2026 and December 31, 2025 for details regarding the nature and composition of the Company’s investment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Leveling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5" w:name="xdx_864_zPXos0mfpoBe"/>
      <w:bookmarkStart w:id="826" w:name="xdx_845_eus-gaap--SecuritiesBorrowedAndL"/>
      <w:bookmarkEnd w:id="825"/>
      <w:bookmarkEnd w:id="826"/>
      <w:r>
        <w:rPr>
          <w:rFonts w:ascii="Times New Roman;Times;Serif" w:hAnsi="Times New Roman;Times;Serif"/>
          <w:b/>
          <w:i w:val="false"/>
          <w:caps w:val="false"/>
          <w:smallCaps w:val="false"/>
          <w:sz w:val="20"/>
        </w:rPr>
        <w:t>Securities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transactions are accounted for on the date the transaction for the purchase or sale of the securities is entered into by the Company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7" w:name="xdx_865_zsCAoI9NMjyh"/>
      <w:bookmarkStart w:id="828" w:name="xdx_84C_eus-gaap--FairValueOfFinancialIn"/>
      <w:bookmarkEnd w:id="827"/>
      <w:bookmarkEnd w:id="828"/>
      <w:r>
        <w:rPr>
          <w:rFonts w:ascii="Times New Roman;Times;Serif" w:hAnsi="Times New Roman;Times;Serif"/>
          <w:b/>
          <w:i w:val="false"/>
          <w:caps w:val="false"/>
          <w:smallCaps w:val="false"/>
          <w:sz w:val="20"/>
        </w:rPr>
        <w:t>Valuation of Other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other, non-investment financial instruments, consisting of cash, receivables, accounts payable, and accrued expenses, approximate fair value due to their short-term nature.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Escrow Proceeds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portion of the proceeds from the sale of portfolio investments is held in escrow as a recourse for indemnity claims that may arise under the sale agreement or other related transaction contingencies. Amounts held in escrow are held at estimated realizable value and included in net realized gains/(losses)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Statements of Assets and Liabilities as escrow proceeds receivable. Escrow proceeds receivable resulting from contingent consideration are to be recognized when the amount of the contingent consideration becomes realized or realizable. As of June 30, 2026 and December 31, 2025, the Company had </w:t>
      </w:r>
      <w:bookmarkStart w:id="829" w:name="xdx_904_ecustom--EscrowProceedsReceivabl"/>
      <w:bookmarkStart w:id="830" w:name="xdx_906_ecustom--EscrowProceedsReceivabl"/>
      <w:bookmarkEnd w:id="829"/>
      <w:bookmarkEnd w:id="830"/>
      <w:r>
        <w:rPr>
          <w:rFonts w:ascii="Times New Roman;Times;Serif" w:hAnsi="Times New Roman;Times;Serif"/>
          <w:b w:val="false"/>
          <w:i w:val="false"/>
          <w:caps w:val="false"/>
          <w:smallCaps w:val="false"/>
          <w:sz w:val="20"/>
        </w:rPr>
        <w:t>no escrow proceeds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consists of amounts that are held in a separate account and are subject to specific contractual restrictions that limit their availability for general corporate use. These funds are not readily available for use in the Company’s general operations and are segregated from unrestricted 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fees and expenses incurred in connection with financing or capital raising activities relating to the Company’s shelf registration statement on Form N-2 as deferred financing costs. The Company also incurred additional offering costs in connection with its </w:t>
      </w:r>
      <w:bookmarkStart w:id="831" w:name="xdx_902_ecustom--AdditionalOfferingCosts"/>
      <w:bookmarkEnd w:id="831"/>
      <w:r>
        <w:rPr>
          <w:rFonts w:ascii="Times New Roman;Times;Serif" w:hAnsi="Times New Roman;Times;Serif"/>
          <w:b w:val="false"/>
          <w:i w:val="false"/>
          <w:caps w:val="false"/>
          <w:smallCaps w:val="false"/>
          <w:sz w:val="20"/>
        </w:rPr>
        <w:t>6.00% Notes due 2026. The Company defers these offering costs until capital is raised pursuant to the shelf registration statement or as the shelf registration statement expires. For equity capital raised, the offering costs reduce paid-in capital resulting from the offering. These costs are deferred and amortized using the straight-line method over the respective life of the financing instrument. For modifications to a financing instrument, any unamortized origination costs are expensed.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32" w:name="xdx_904_ecustom--DescriptionForDeferredF"/>
      <w:bookmarkEnd w:id="832"/>
      <w:r>
        <w:rPr>
          <w:rFonts w:ascii="Times New Roman;Times;Serif" w:hAnsi="Times New Roman;Times;Serif"/>
          <w:b w:val="false"/>
          <w:i w:val="false"/>
          <w:caps w:val="false"/>
          <w:smallCaps w:val="false"/>
          <w:sz w:val="20"/>
        </w:rPr>
        <w:t>The Company records fees and expenses incurred in connection with debt capital raises as deferred debt issuance costs. Such costs are reflected in the carrying value of the related debt instrument, and not the Company’s deferred financing costs. For debt capital raised, the associated offering costs are deferred and amortized as part of interest expense using the straight-line method over the life of the debt instrument. As of June 30, 2026 and December 31, 2025, the Company had deferred financing costs of $</w:t>
      </w:r>
      <w:bookmarkStart w:id="833" w:name="xdx_900_eus-gaap--DeferredFinanceCostsCu"/>
      <w:bookmarkEnd w:id="833"/>
      <w:r>
        <w:rPr>
          <w:rFonts w:ascii="Times New Roman;Times;Serif" w:hAnsi="Times New Roman;Times;Serif"/>
          <w:b w:val="false"/>
          <w:i w:val="false"/>
          <w:caps w:val="false"/>
          <w:smallCaps w:val="false"/>
          <w:sz w:val="20"/>
        </w:rPr>
        <w:t>578,102 and $</w:t>
      </w:r>
      <w:bookmarkStart w:id="834" w:name="xdx_901_eus-gaap--DeferredFinanceCostsCu"/>
      <w:bookmarkEnd w:id="834"/>
      <w:r>
        <w:rPr>
          <w:rFonts w:ascii="Times New Roman;Times;Serif" w:hAnsi="Times New Roman;Times;Serif"/>
          <w:b w:val="false"/>
          <w:i w:val="false"/>
          <w:caps w:val="false"/>
          <w:smallCaps w:val="false"/>
          <w:sz w:val="20"/>
        </w:rPr>
        <w:t>508,310, respectively, on the Condensed Consolidated Statements of Assets and Liabilities.</w:t>
      </w:r>
    </w:p>
    <w:p>
      <w:pPr>
        <w:pStyle w:val="TextBody"/>
        <w:bidi w:val="0"/>
        <w:spacing w:before="0" w:after="0"/>
        <w:ind w:left="0" w:right="0" w:firstLine="360"/>
        <w:jc w:val="both"/>
        <w:rPr>
          <w:caps w:val="false"/>
          <w:smallCaps w:val="false"/>
        </w:rPr>
      </w:pPr>
      <w:bookmarkStart w:id="835" w:name="xdx_892_ecustom--ScheduleOfDeferredFinan"/>
      <w:bookmarkEnd w:id="835"/>
      <w:r>
        <w:rPr>
          <w:caps w:val="false"/>
          <w:smallCaps w:val="false"/>
        </w:rPr>
        <w:t> </w:t>
      </w:r>
      <w:bookmarkStart w:id="836" w:name="xdx_8BA_zZZypA1E62G9"/>
      <w:bookmarkEnd w:id="836"/>
      <w:r>
        <w:rPr>
          <w:rFonts w:ascii="Times New Roman;Times;Serif" w:hAnsi="Times New Roman;Times;Serif"/>
          <w:b w:val="false"/>
          <w:i w:val="false"/>
          <w:caps w:val="false"/>
          <w:smallCaps w:val="false"/>
          <w:sz w:val="20"/>
        </w:rPr>
        <w:t>SCHEDULE OF DEFERRED FINANCING COSTS </w:t>
      </w:r>
    </w:p>
    <w:tbl>
      <w:tblPr>
        <w:tblW w:w="6343" w:type="dxa"/>
        <w:jc w:val="left"/>
        <w:tblInd w:w="0" w:type="dxa"/>
        <w:tblLayout w:type="fixed"/>
        <w:tblCellMar>
          <w:top w:w="0" w:type="dxa"/>
          <w:left w:w="0" w:type="dxa"/>
          <w:bottom w:w="0" w:type="dxa"/>
          <w:right w:w="0" w:type="dxa"/>
        </w:tblCellMar>
      </w:tblPr>
      <w:tblGrid>
        <w:gridCol w:w="2720"/>
        <w:gridCol w:w="60"/>
        <w:gridCol w:w="176"/>
        <w:gridCol w:w="1238"/>
        <w:gridCol w:w="60"/>
        <w:gridCol w:w="60"/>
        <w:gridCol w:w="244"/>
        <w:gridCol w:w="1710"/>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7" w:name="xdx_491_20260630_zhBXDD78RDTf"/>
            <w:bookmarkEnd w:id="83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8" w:name="xdx_494_20251231_zeLxcayeAZzj"/>
            <w:bookmarkEnd w:id="838"/>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839" w:name="xdx_40B_eus-gaap--DeferredFinanceCostsGr"/>
            <w:bookmarkEnd w:id="839"/>
          </w:p>
        </w:tc>
      </w:tr>
      <w:tr>
        <w:trPr/>
        <w:tc>
          <w:tcPr>
            <w:tcW w:w="2720" w:type="dxa"/>
            <w:tcBorders/>
            <w:shd w:fill="CCEEFF" w:val="clear"/>
            <w:vAlign w:val="center"/>
          </w:tcPr>
          <w:p>
            <w:pPr>
              <w:pStyle w:val="TableContents"/>
              <w:bidi w:val="0"/>
              <w:spacing w:before="0" w:after="283"/>
              <w:jc w:val="left"/>
              <w:rPr/>
            </w:pPr>
            <w:r>
              <w:rPr/>
              <w:t>Deferred debt issuance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672,612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1,056,167</w:t>
            </w:r>
          </w:p>
        </w:tc>
        <w:tc>
          <w:tcPr>
            <w:tcW w:w="75" w:type="dxa"/>
            <w:tcBorders/>
            <w:shd w:fill="CCEEFF" w:val="clear"/>
            <w:vAlign w:val="center"/>
          </w:tcPr>
          <w:p>
            <w:pPr>
              <w:pStyle w:val="TableContents"/>
              <w:bidi w:val="0"/>
              <w:spacing w:before="0" w:after="283"/>
              <w:jc w:val="left"/>
              <w:rPr/>
            </w:pPr>
            <w:r>
              <w:rPr/>
              <w:t> </w:t>
            </w:r>
            <w:bookmarkStart w:id="840" w:name="xdx_409_eus-gaap--DeferredCostsCurrentAn"/>
            <w:bookmarkEnd w:id="840"/>
          </w:p>
        </w:tc>
      </w:tr>
      <w:tr>
        <w:trPr/>
        <w:tc>
          <w:tcPr>
            <w:tcW w:w="2720" w:type="dxa"/>
            <w:tcBorders/>
            <w:shd w:fill="FFFFFF" w:val="clear"/>
            <w:vAlign w:val="center"/>
          </w:tcPr>
          <w:p>
            <w:pPr>
              <w:pStyle w:val="TableContents"/>
              <w:bidi w:val="0"/>
              <w:spacing w:before="0" w:after="283"/>
              <w:jc w:val="left"/>
              <w:rPr/>
            </w:pPr>
            <w:r>
              <w:rPr/>
              <w:t>Deferred financing costs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578,102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508,310</w:t>
            </w:r>
          </w:p>
        </w:tc>
        <w:tc>
          <w:tcPr>
            <w:tcW w:w="75" w:type="dxa"/>
            <w:tcBorders/>
            <w:shd w:fill="FFFFFF" w:val="clear"/>
            <w:vAlign w:val="center"/>
          </w:tcPr>
          <w:p>
            <w:pPr>
              <w:pStyle w:val="TableContents"/>
              <w:bidi w:val="0"/>
              <w:spacing w:before="0" w:after="283"/>
              <w:jc w:val="left"/>
              <w:rPr/>
            </w:pPr>
            <w:r>
              <w:rPr/>
              <w:t> </w:t>
            </w:r>
            <w:bookmarkStart w:id="841" w:name="xdx_40C_eus-gaap--DeferredFinanceCostsNe"/>
            <w:bookmarkEnd w:id="841"/>
          </w:p>
        </w:tc>
      </w:tr>
      <w:tr>
        <w:trPr/>
        <w:tc>
          <w:tcPr>
            <w:tcW w:w="272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1,250,714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pPr>
            <w:r>
              <w:rPr/>
              <w:t>1,564,477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42" w:name="xdx_8AB_zbNu1UfYjf3i"/>
      <w:bookmarkEnd w:id="84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10—Debt Capital Activities” for further detail regarding the Company’s deferred debt issuance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 &amp; Related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operating leases as prescribed by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The Company has recorded a right-of-use asset and a corresponding lease liability for the operating lease obligation. These amounts have been discounted using the rate implicit in the lease. Refer to “Note 7—Commitments and Contingencies—</w:t>
      </w:r>
      <w:r>
        <w:rPr>
          <w:rFonts w:ascii="Times New Roman;Times;Serif" w:hAnsi="Times New Roman;Times;Serif"/>
          <w:b w:val="false"/>
          <w:i/>
          <w:caps w:val="false"/>
          <w:smallCaps w:val="false"/>
          <w:sz w:val="20"/>
        </w:rPr>
        <w:t>Operating Leases and Related Deposits</w:t>
      </w:r>
      <w:r>
        <w:rPr>
          <w:rFonts w:ascii="Times New Roman;Times;Serif" w:hAnsi="Times New Roman;Times;Serif"/>
          <w:b w:val="false"/>
          <w:i w:val="false"/>
          <w:caps w:val="false"/>
          <w:smallCaps w:val="false"/>
          <w:sz w:val="20"/>
        </w:rPr>
        <w:t>” for further detail.</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Using the fair value recognition provisions as prescribed by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3" w:name="xdx_86D_zAbnOJeusLn6"/>
      <w:bookmarkStart w:id="844" w:name="xdx_84A_eus-gaap--RevenueFromContractWit"/>
      <w:bookmarkEnd w:id="843"/>
      <w:bookmarkEnd w:id="844"/>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5" w:name="xdx_86D_zhqd1KTQhjZ7"/>
      <w:bookmarkStart w:id="846" w:name="xdx_845_ecustom--InvestmentTransactionCo"/>
      <w:bookmarkEnd w:id="845"/>
      <w:bookmarkEnd w:id="846"/>
      <w:r>
        <w:rPr>
          <w:rFonts w:ascii="Times New Roman;Times;Serif" w:hAnsi="Times New Roman;Times;Serif"/>
          <w:b/>
          <w:i w:val="false"/>
          <w:caps w:val="false"/>
          <w:smallCaps w:val="false"/>
          <w:sz w:val="20"/>
        </w:rPr>
        <w:t>Investment Transaction Costs and Escrow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Statements of Assets and Liabilities as escrow deposits. As of June 30, 2026 and December 31, 2025, the Company had </w:t>
      </w:r>
      <w:bookmarkStart w:id="847" w:name="xdx_906_eus-gaap--EscrowDeposit_iI_dco_c"/>
      <w:bookmarkStart w:id="848" w:name="xdx_902_eus-gaap--EscrowDeposit_iI_dco_c"/>
      <w:bookmarkEnd w:id="847"/>
      <w:bookmarkEnd w:id="848"/>
      <w:r>
        <w:rPr>
          <w:rFonts w:ascii="Times New Roman;Times;Serif" w:hAnsi="Times New Roman;Times;Serif"/>
          <w:b w:val="false"/>
          <w:i w:val="false"/>
          <w:caps w:val="false"/>
          <w:smallCaps w:val="false"/>
          <w:sz w:val="20"/>
        </w:rPr>
        <w:t>no escrow deposits.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9" w:name="xdx_867_zAgDtMEWIQq4"/>
      <w:bookmarkStart w:id="850" w:name="xdx_845_ecustom--UnrealizedAppreciationO"/>
      <w:bookmarkEnd w:id="849"/>
      <w:bookmarkEnd w:id="850"/>
      <w:r>
        <w:rPr>
          <w:rFonts w:ascii="Times New Roman;Times;Serif" w:hAnsi="Times New Roman;Times;Serif"/>
          <w:b/>
          <w:i w:val="false"/>
          <w:caps w:val="false"/>
          <w:smallCaps w:val="false"/>
          <w:sz w:val="20"/>
        </w:rPr>
        <w:t>Unrealized Appreciation or Depreciation of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appreciation or depreciation is calculated as the difference between the fair value of the investment and the cost basis of such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1" w:name="xdx_86D_zW63gKOTNZHh"/>
      <w:bookmarkStart w:id="852" w:name="xdx_847_eus-gaap--IncomeTaxPolicyTextBlo"/>
      <w:bookmarkEnd w:id="851"/>
      <w:bookmarkEnd w:id="852"/>
      <w:r>
        <w:rPr>
          <w:rFonts w:ascii="Times New Roman;Times;Serif" w:hAnsi="Times New Roman;Times;Serif"/>
          <w:b/>
          <w:i w:val="false"/>
          <w:caps w:val="false"/>
          <w:smallCaps w:val="false"/>
          <w:sz w:val="20"/>
        </w:rPr>
        <w:t>U.S. Federal and State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to be treated and intends to qualify annually as a RIC under Subchapter M of the Code.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Taxable Subsidiaries are subject to U.S. federal income tax imposed at corporate rates on their income, regardless of whether the Company is a RIC. These Taxable Subsidiaries are not consolidated for U.S. federal income tax purposes and may generate income tax expenses as a result of their ownership of the portfolio companies. Such income tax expenses and deferred taxes, if any, will be reflected in the Company’s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3" w:name="xdx_86A_zcps2UUf7gr9"/>
      <w:bookmarkStart w:id="854" w:name="xdx_84A_eus-gaap--EarningsPerSharePolicy"/>
      <w:bookmarkEnd w:id="853"/>
      <w:bookmarkEnd w:id="854"/>
      <w:r>
        <w:rPr>
          <w:rFonts w:ascii="Times New Roman;Times;Serif" w:hAnsi="Times New Roman;Times;Serif"/>
          <w:b/>
          <w:i w:val="false"/>
          <w:caps w:val="false"/>
          <w:smallCaps w:val="false"/>
          <w:sz w:val="20"/>
        </w:rPr>
        <w:t>Per Share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When applicable, the Company uses the if-converted method in accordance with FASB ASC 260</w:t>
      </w:r>
      <w:r>
        <w:rPr>
          <w:rFonts w:ascii="Times New Roman;Times;Serif" w:hAnsi="Times New Roman;Times;Serif"/>
          <w:b w:val="false"/>
          <w:i/>
          <w:caps w:val="false"/>
          <w:smallCaps w:val="false"/>
          <w:sz w:val="20"/>
        </w:rPr>
        <w:t>, Earnings Per Share</w:t>
      </w:r>
      <w:r>
        <w:rPr>
          <w:rFonts w:ascii="Times New Roman;Times;Serif" w:hAnsi="Times New Roman;Times;Serif"/>
          <w:b w:val="false"/>
          <w:i w:val="false"/>
          <w:caps w:val="false"/>
          <w:smallCaps w:val="false"/>
          <w:sz w:val="20"/>
        </w:rPr>
        <w:t xml:space="preserve"> (“ASC 260”), to determine the number of potentially dilutive shares outstanding. Refer to “Note 6—Net Change in Net Assets Resulting from Operations per Common Share—Basic and Diluted” for further detail.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5" w:name="xdx_862_zhSvQnVBb1P1"/>
      <w:bookmarkStart w:id="856" w:name="xdx_84F_ecustom--RecentlyAdoptedAccounti"/>
      <w:bookmarkEnd w:id="855"/>
      <w:bookmarkEnd w:id="856"/>
      <w:r>
        <w:rPr>
          <w:rFonts w:ascii="Times New Roman;Times;Serif" w:hAnsi="Times New Roman;Times;Serif"/>
          <w:b/>
          <w:i w:val="false"/>
          <w:caps w:val="false"/>
          <w:smallCaps w:val="false"/>
          <w:sz w:val="20"/>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2024-04, “Debt — Debt with Conversion and Other Options”, which amends ASC 470-20 to clarify the requirements related to accounting for the settlement of a debt instrument as an induced conversion. The amendments are effective for fiscal years and interim periods within fiscal years beginning after December 15, 2025. The Company adopted ASU 2024-04 during the quarter ended March 31, 2026. However, adoption did not have any material impact on the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7" w:name="xdx_86E_zCiLB4grXw1l"/>
      <w:bookmarkStart w:id="858" w:name="xdx_849_eus-gaap--NewAccountingPronounce"/>
      <w:bookmarkEnd w:id="857"/>
      <w:bookmarkEnd w:id="858"/>
      <w:r>
        <w:rPr>
          <w:rFonts w:ascii="Times New Roman;Times;Serif" w:hAnsi="Times New Roman;Times;Serif"/>
          <w:b/>
          <w:i w:val="false"/>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ASU 2023-06 amends the disclosure or presentation requirements related to various subtopics in the FASB Accounting Standards Codification including requiring investment companies to disclose the components of capital on the balance sheet. The amendments in ASU 2023-06 will become effective on the date which the SEC’s removal of related disclosures from Regulation S-X or Regulation S-K become effective, but no later than June 30, 2027. The Company is currently evaluating the impact of the new guidance. However, it does not expect ASU 2023-06 to have a material impact on the Company’s future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which requires disaggregated disclosure of certain costs and expenses, including purchases of inventory, employee compensation, depreciation, amortization and depletion, within relevant income statement captions. Additionally, in January 2025, the FASB issued ASU 2025-01 to clarify the effective date of ASU 2024-03. ASU 2024-03 is effective for fiscal years beginning after December 15, 2026, and interim periods beginning with the first quarter ended March 31, 2028. Early adoption and retrospective application is permitted. The Company is still assessing the impact of the new guidance. However, it does not expect ASU 2024-03 to have a material impact on the Company’s future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2025-03, “Business Combinations (Topic 805) and Consolidation (Topic 810) - Determining the Accounting Acquirer in the acquisition of a Variable Interest Entity”, which requires an entity to determine the accounting acquirer by considering the factors in ASC 805-10-55-12 through 55-15. The amendments are effective for fiscal years and interim periods within fiscal years beginning after December 15, 2026. The Company is still assessing the impact of the new guidance. However, it does not expect ASU 2025-03 to have a material impact on the Company’s future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Condensed Consolidated Financial Statements upon adoption.</w:t>
      </w:r>
    </w:p>
    <w:p>
      <w:pPr>
        <w:pStyle w:val="TextBody"/>
        <w:bidi w:val="0"/>
        <w:spacing w:before="0" w:after="0"/>
        <w:ind w:left="0" w:right="0" w:firstLine="360"/>
        <w:jc w:val="both"/>
        <w:rPr>
          <w:caps w:val="false"/>
          <w:smallCaps w:val="false"/>
        </w:rPr>
      </w:pPr>
      <w:bookmarkStart w:id="859" w:name="xdx_856_z5GBUf6VHNf2"/>
      <w:bookmarkEnd w:id="85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0" w:name="xdx_809_eus-gaap--RelatedPartyTransactio"/>
      <w:bookmarkEnd w:id="860"/>
      <w:r>
        <w:rPr>
          <w:rFonts w:ascii="Times New Roman;Times;Serif" w:hAnsi="Times New Roman;Times;Serif"/>
          <w:b/>
          <w:i w:val="false"/>
          <w:caps w:val="false"/>
          <w:smallCaps w:val="false"/>
          <w:sz w:val="20"/>
        </w:rPr>
        <w:t>NOTE 3—</w:t>
      </w:r>
      <w:bookmarkStart w:id="861" w:name="xdx_828_zJiQzALnLV2l"/>
      <w:bookmarkEnd w:id="861"/>
      <w:r>
        <w:rPr>
          <w:rFonts w:ascii="Times New Roman;Times;Serif" w:hAnsi="Times New Roman;Times;Serif"/>
          <w:b/>
          <w:i w:val="false"/>
          <w:caps w:val="false"/>
          <w:smallCaps w:val="false"/>
          <w:sz w:val="20"/>
        </w:rPr>
        <w:t>RELATED-PARTY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June 30, 2026, the fair value of the Company’s remote-affiliate investment in Skillsoft was $</w:t>
      </w:r>
      <w:bookmarkStart w:id="862" w:name="xdx_906_eus-gaap--InvestmentOwnedAtFairV"/>
      <w:bookmarkEnd w:id="862"/>
      <w:r>
        <w:rPr>
          <w:rFonts w:ascii="Times New Roman;Times;Serif" w:hAnsi="Times New Roman;Times;Serif"/>
          <w:b w:val="false"/>
          <w:i w:val="false"/>
          <w:caps w:val="false"/>
          <w:smallCaps w:val="false"/>
          <w:sz w:val="20"/>
        </w:rPr>
        <w:t>254,297.</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15, 2026, in connection with the Externalization, the Company became externally managed by Neostellar Advisors LLC (the “Adviser”), which is jointly owned by certain members of the Company’s former management team (including Mr. Klein and Ms. Green) and Magnetar Holdings LLC, and a portion of the fees payable under the Investment Advisory Agreement inures to those persons. On the same date, the Company also entered into an Administration Agreement with Neostellar Administrative Services LLC (the “Administrator”), an affiliate of the Adviser, and the Board of Directors appointed Erik Falk, a Partner and Head of Strategy of Magnetar, as an interested director of the Company. In addition, on July 16, 2026, MCP Investing LLC, an affiliate of Magnetar, purchased a $</w:t>
      </w:r>
      <w:bookmarkStart w:id="863" w:name="xdx_90D_eus-gaap--DebtInstrumentFaceAmou"/>
      <w:bookmarkEnd w:id="863"/>
      <w:r>
        <w:rPr>
          <w:rFonts w:ascii="Times New Roman;Times;Serif" w:hAnsi="Times New Roman;Times;Serif"/>
          <w:b w:val="false"/>
          <w:i w:val="false"/>
          <w:caps w:val="false"/>
          <w:smallCaps w:val="false"/>
          <w:sz w:val="20"/>
        </w:rPr>
        <w:t>20.0 million redeemable promissory note from the Company pursuant to a Securities Purchase Agreement dated June 26, 2026. On August 3, 2026, the Company, the Adviser and certain affiliated funds and accounts filed an application with the SEC for an exemptive order permitting the Company to co-invest in negotiated transactions alongside funds and accounts advised by the Adviser, Magnetar and their affiliates. There can be no assurance if or when such relief will be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4" w:name="xdx_80D_eus-gaap--InvestmentsInAndAdvanc"/>
      <w:bookmarkEnd w:id="864"/>
      <w:r>
        <w:rPr>
          <w:rFonts w:ascii="Times New Roman;Times;Serif" w:hAnsi="Times New Roman;Times;Serif"/>
          <w:b/>
          <w:i w:val="false"/>
          <w:caps w:val="false"/>
          <w:smallCaps w:val="false"/>
          <w:sz w:val="20"/>
        </w:rPr>
        <w:t>NOTE 4—</w:t>
      </w:r>
      <w:bookmarkStart w:id="865" w:name="xdx_827_zpBPIdDlWMid"/>
      <w:bookmarkEnd w:id="865"/>
      <w:r>
        <w:rPr>
          <w:rFonts w:ascii="Times New Roman;Times;Serif" w:hAnsi="Times New Roman;Times;Serif"/>
          <w:b/>
          <w:i w:val="false"/>
          <w:caps w:val="false"/>
          <w:smallCaps w:val="false"/>
          <w:sz w:val="20"/>
        </w:rPr>
        <w:t>INVESTMENTS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bills. Non-portfolio investments represent investments in U.S. Treasury bills. As of June 30, 2026, the Company had </w:t>
      </w:r>
      <w:bookmarkStart w:id="866" w:name="xdx_908_ecustom--NumberOfPositions_iI_uN"/>
      <w:bookmarkEnd w:id="866"/>
      <w:r>
        <w:rPr>
          <w:rFonts w:ascii="Times New Roman;Times;Serif" w:hAnsi="Times New Roman;Times;Serif"/>
          <w:b w:val="false"/>
          <w:i w:val="false"/>
          <w:caps w:val="false"/>
          <w:smallCaps w:val="false"/>
          <w:sz w:val="20"/>
        </w:rPr>
        <w:t xml:space="preserve">60 positions in </w:t>
      </w:r>
      <w:bookmarkStart w:id="867" w:name="xdx_90B_ecustom--NumberOfPortfolioCompan"/>
      <w:bookmarkEnd w:id="867"/>
      <w:r>
        <w:rPr>
          <w:rFonts w:ascii="Times New Roman;Times;Serif" w:hAnsi="Times New Roman;Times;Serif"/>
          <w:b w:val="false"/>
          <w:i w:val="false"/>
          <w:caps w:val="false"/>
          <w:smallCaps w:val="false"/>
          <w:sz w:val="20"/>
        </w:rPr>
        <w:t xml:space="preserve">37 portfolio companies. As of December 31, 2025, the Company had </w:t>
      </w:r>
      <w:bookmarkStart w:id="868" w:name="xdx_903_ecustom--NumberOfPositions_iI_uN"/>
      <w:bookmarkEnd w:id="868"/>
      <w:r>
        <w:rPr>
          <w:rFonts w:ascii="Times New Roman;Times;Serif" w:hAnsi="Times New Roman;Times;Serif"/>
          <w:b w:val="false"/>
          <w:i w:val="false"/>
          <w:caps w:val="false"/>
          <w:smallCaps w:val="false"/>
          <w:sz w:val="20"/>
        </w:rPr>
        <w:t xml:space="preserve">60 positions in </w:t>
      </w:r>
      <w:bookmarkStart w:id="869" w:name="xdx_902_ecustom--NumberOfPortfolioCompan"/>
      <w:bookmarkEnd w:id="869"/>
      <w:r>
        <w:rPr>
          <w:rFonts w:ascii="Times New Roman;Times;Serif" w:hAnsi="Times New Roman;Times;Serif"/>
          <w:b w:val="false"/>
          <w:i w:val="false"/>
          <w:caps w:val="false"/>
          <w:smallCaps w:val="false"/>
          <w:sz w:val="20"/>
        </w:rPr>
        <w:t>35 portfolio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70" w:name="xdx_89C_eus-gaap--InvestmentTableTextBlo"/>
      <w:bookmarkEnd w:id="870"/>
      <w:r>
        <w:rPr>
          <w:rFonts w:ascii="Times New Roman;Times;Serif" w:hAnsi="Times New Roman;Times;Serif"/>
          <w:b w:val="false"/>
          <w:i w:val="false"/>
          <w:caps w:val="false"/>
          <w:smallCaps w:val="false"/>
          <w:sz w:val="20"/>
        </w:rPr>
        <w:t>The following tables summarize the composition of the Company’s investment portfolio by security type at cost and fair value as of June 30, 2026 and December 31, 2025: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71" w:name="xdx_8BB_zhAJpQUDARia"/>
      <w:bookmarkEnd w:id="871"/>
      <w:r>
        <w:rPr>
          <w:rFonts w:ascii="Times New Roman;Times;Serif" w:hAnsi="Times New Roman;Times;Serif"/>
          <w:b w:val="false"/>
          <w:i w:val="false"/>
          <w:caps w:val="false"/>
          <w:smallCaps w:val="false"/>
          <w:sz w:val="20"/>
        </w:rPr>
        <w:t>SCHEDULE OF COMPOSITION OF INVESTMENT PORTFOLIO </w:t>
      </w:r>
    </w:p>
    <w:tbl>
      <w:tblPr>
        <w:tblW w:w="10205" w:type="dxa"/>
        <w:jc w:val="left"/>
        <w:tblInd w:w="0" w:type="dxa"/>
        <w:tblLayout w:type="fixed"/>
        <w:tblCellMar>
          <w:top w:w="0" w:type="dxa"/>
          <w:left w:w="0" w:type="dxa"/>
          <w:bottom w:w="0" w:type="dxa"/>
          <w:right w:w="0" w:type="dxa"/>
        </w:tblCellMar>
      </w:tblPr>
      <w:tblGrid>
        <w:gridCol w:w="1727"/>
        <w:gridCol w:w="60"/>
        <w:gridCol w:w="140"/>
        <w:gridCol w:w="1220"/>
        <w:gridCol w:w="60"/>
        <w:gridCol w:w="60"/>
        <w:gridCol w:w="140"/>
        <w:gridCol w:w="1220"/>
        <w:gridCol w:w="60"/>
        <w:gridCol w:w="60"/>
        <w:gridCol w:w="96"/>
        <w:gridCol w:w="900"/>
        <w:gridCol w:w="215"/>
        <w:gridCol w:w="60"/>
        <w:gridCol w:w="140"/>
        <w:gridCol w:w="1220"/>
        <w:gridCol w:w="60"/>
        <w:gridCol w:w="60"/>
        <w:gridCol w:w="140"/>
        <w:gridCol w:w="1220"/>
        <w:gridCol w:w="60"/>
        <w:gridCol w:w="60"/>
        <w:gridCol w:w="96"/>
        <w:gridCol w:w="900"/>
        <w:gridCol w:w="231"/>
      </w:tblGrid>
      <w:tr>
        <w:trPr/>
        <w:tc>
          <w:tcPr>
            <w:tcW w:w="17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31" w:type="dxa"/>
            <w:tcBorders/>
            <w:vAlign w:val="center"/>
          </w:tcPr>
          <w:p>
            <w:pPr>
              <w:pStyle w:val="TableContents"/>
              <w:bidi w:val="0"/>
              <w:spacing w:before="0" w:after="283"/>
              <w:jc w:val="left"/>
              <w:rPr/>
            </w:pPr>
            <w:r>
              <w:rPr/>
              <w:t> </w:t>
            </w:r>
          </w:p>
        </w:tc>
      </w:tr>
      <w:tr>
        <w:trPr/>
        <w:tc>
          <w:tcPr>
            <w:tcW w:w="17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231" w:type="dxa"/>
            <w:tcBorders/>
            <w:vAlign w:val="center"/>
          </w:tcPr>
          <w:p>
            <w:pPr>
              <w:pStyle w:val="TableContents"/>
              <w:bidi w:val="0"/>
              <w:spacing w:before="0" w:after="283"/>
              <w:jc w:val="left"/>
              <w:rPr/>
            </w:pPr>
            <w:r>
              <w:rPr/>
              <w:t> </w:t>
            </w:r>
          </w:p>
        </w:tc>
      </w:tr>
      <w:tr>
        <w:trPr/>
        <w:tc>
          <w:tcPr>
            <w:tcW w:w="1727" w:type="dxa"/>
            <w:tcBorders/>
            <w:shd w:fill="CCEEFF" w:val="clear"/>
            <w:vAlign w:val="center"/>
          </w:tcPr>
          <w:p>
            <w:pPr>
              <w:pStyle w:val="TableContents"/>
              <w:bidi w:val="0"/>
              <w:spacing w:before="0" w:after="283"/>
              <w:jc w:val="left"/>
              <w:rPr>
                <w:b/>
              </w:rPr>
            </w:pPr>
            <w:r>
              <w:rPr>
                <w:b/>
              </w:rPr>
              <w:t>Private Portfolio Companies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17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72" w:name="xdx_982_eus-gaap--InvestmentOwnedAtCost_"/>
            <w:bookmarkEnd w:id="872"/>
          </w:p>
        </w:tc>
        <w:tc>
          <w:tcPr>
            <w:tcW w:w="1220" w:type="dxa"/>
            <w:tcBorders/>
            <w:shd w:fill="FFFFFF" w:val="clear"/>
            <w:vAlign w:val="center"/>
          </w:tcPr>
          <w:p>
            <w:pPr>
              <w:pStyle w:val="TableContents"/>
              <w:bidi w:val="0"/>
              <w:spacing w:before="0" w:after="283"/>
              <w:jc w:val="right"/>
              <w:rPr/>
            </w:pPr>
            <w:r>
              <w:rPr/>
              <w:t>162,335,532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73" w:name="xdx_983_eus-gaap--InvestmentOwnedAtFairV"/>
            <w:bookmarkEnd w:id="873"/>
          </w:p>
        </w:tc>
        <w:tc>
          <w:tcPr>
            <w:tcW w:w="1220" w:type="dxa"/>
            <w:tcBorders/>
            <w:shd w:fill="FFFFFF" w:val="clear"/>
            <w:vAlign w:val="center"/>
          </w:tcPr>
          <w:p>
            <w:pPr>
              <w:pStyle w:val="TableContents"/>
              <w:bidi w:val="0"/>
              <w:spacing w:before="0" w:after="283"/>
              <w:jc w:val="right"/>
              <w:rPr/>
            </w:pPr>
            <w:r>
              <w:rPr/>
              <w:t>354,836,112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bookmarkStart w:id="874" w:name="xdx_90A_eus-gaap--InvestmentOwnedPercent"/>
            <w:bookmarkEnd w:id="874"/>
            <w:r>
              <w:rPr/>
              <w:t>99.6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75" w:name="xdx_987_eus-gaap--InvestmentOwnedAtCost_"/>
            <w:bookmarkEnd w:id="875"/>
          </w:p>
        </w:tc>
        <w:tc>
          <w:tcPr>
            <w:tcW w:w="1220" w:type="dxa"/>
            <w:tcBorders/>
            <w:shd w:fill="FFFFFF" w:val="clear"/>
            <w:vAlign w:val="center"/>
          </w:tcPr>
          <w:p>
            <w:pPr>
              <w:pStyle w:val="TableContents"/>
              <w:bidi w:val="0"/>
              <w:spacing w:before="0" w:after="283"/>
              <w:jc w:val="right"/>
              <w:rPr/>
            </w:pPr>
            <w:r>
              <w:rPr/>
              <w:t>145,749,202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76" w:name="xdx_98F_eus-gaap--InvestmentOwnedAtFairV"/>
            <w:bookmarkEnd w:id="876"/>
          </w:p>
        </w:tc>
        <w:tc>
          <w:tcPr>
            <w:tcW w:w="1220" w:type="dxa"/>
            <w:tcBorders/>
            <w:shd w:fill="FFFFFF" w:val="clear"/>
            <w:vAlign w:val="center"/>
          </w:tcPr>
          <w:p>
            <w:pPr>
              <w:pStyle w:val="TableContents"/>
              <w:bidi w:val="0"/>
              <w:spacing w:before="0" w:after="283"/>
              <w:jc w:val="right"/>
              <w:rPr/>
            </w:pPr>
            <w:r>
              <w:rPr/>
              <w:t>169,631,231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bookmarkStart w:id="877" w:name="xdx_90B_eus-gaap--InvestmentOwnedPercent"/>
            <w:bookmarkEnd w:id="877"/>
            <w:r>
              <w:rPr/>
              <w:t>82.6</w:t>
            </w:r>
          </w:p>
        </w:tc>
        <w:tc>
          <w:tcPr>
            <w:tcW w:w="231" w:type="dxa"/>
            <w:tcBorders/>
            <w:shd w:fill="FFFFFF" w:val="clear"/>
            <w:vAlign w:val="center"/>
          </w:tcPr>
          <w:p>
            <w:pPr>
              <w:pStyle w:val="TableContents"/>
              <w:bidi w:val="0"/>
              <w:spacing w:before="0" w:after="283"/>
              <w:jc w:val="left"/>
              <w:rPr/>
            </w:pPr>
            <w:r>
              <w:rPr/>
              <w:t>%</w:t>
            </w:r>
          </w:p>
        </w:tc>
      </w:tr>
      <w:tr>
        <w:trPr/>
        <w:tc>
          <w:tcPr>
            <w:tcW w:w="17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78" w:name="xdx_988_eus-gaap--InvestmentOwnedAtCost_"/>
            <w:bookmarkEnd w:id="878"/>
          </w:p>
        </w:tc>
        <w:tc>
          <w:tcPr>
            <w:tcW w:w="1220" w:type="dxa"/>
            <w:tcBorders/>
            <w:shd w:fill="CCEEFF" w:val="clear"/>
            <w:vAlign w:val="center"/>
          </w:tcPr>
          <w:p>
            <w:pPr>
              <w:pStyle w:val="TableContents"/>
              <w:bidi w:val="0"/>
              <w:spacing w:before="0" w:after="283"/>
              <w:jc w:val="right"/>
              <w:rPr/>
            </w:pPr>
            <w:r>
              <w:rPr/>
              <w:t>84,141,255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79" w:name="xdx_983_eus-gaap--InvestmentOwnedAtFairV"/>
            <w:bookmarkEnd w:id="879"/>
          </w:p>
        </w:tc>
        <w:tc>
          <w:tcPr>
            <w:tcW w:w="1220" w:type="dxa"/>
            <w:tcBorders/>
            <w:shd w:fill="CCEEFF" w:val="clear"/>
            <w:vAlign w:val="center"/>
          </w:tcPr>
          <w:p>
            <w:pPr>
              <w:pStyle w:val="TableContents"/>
              <w:bidi w:val="0"/>
              <w:spacing w:before="0" w:after="283"/>
              <w:jc w:val="right"/>
              <w:rPr/>
            </w:pPr>
            <w:r>
              <w:rPr/>
              <w:t>45,390,226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bookmarkStart w:id="880" w:name="xdx_903_eus-gaap--InvestmentOwnedPercent"/>
            <w:bookmarkEnd w:id="880"/>
            <w:r>
              <w:rPr/>
              <w:t>12.8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1" w:name="xdx_98F_eus-gaap--InvestmentOwnedAtCost_"/>
            <w:bookmarkEnd w:id="881"/>
          </w:p>
        </w:tc>
        <w:tc>
          <w:tcPr>
            <w:tcW w:w="1220" w:type="dxa"/>
            <w:tcBorders/>
            <w:shd w:fill="CCEEFF" w:val="clear"/>
            <w:vAlign w:val="center"/>
          </w:tcPr>
          <w:p>
            <w:pPr>
              <w:pStyle w:val="TableContents"/>
              <w:bidi w:val="0"/>
              <w:spacing w:before="0" w:after="283"/>
              <w:jc w:val="right"/>
              <w:rPr/>
            </w:pPr>
            <w:r>
              <w:rPr/>
              <w:t>77,006,339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2" w:name="xdx_986_eus-gaap--InvestmentOwnedAtFairV"/>
            <w:bookmarkEnd w:id="882"/>
          </w:p>
        </w:tc>
        <w:tc>
          <w:tcPr>
            <w:tcW w:w="1220" w:type="dxa"/>
            <w:tcBorders/>
            <w:shd w:fill="CCEEFF" w:val="clear"/>
            <w:vAlign w:val="center"/>
          </w:tcPr>
          <w:p>
            <w:pPr>
              <w:pStyle w:val="TableContents"/>
              <w:bidi w:val="0"/>
              <w:spacing w:before="0" w:after="283"/>
              <w:jc w:val="right"/>
              <w:rPr/>
            </w:pPr>
            <w:r>
              <w:rPr/>
              <w:t>46,713,129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bookmarkStart w:id="883" w:name="xdx_90C_eus-gaap--InvestmentOwnedPercent"/>
            <w:bookmarkEnd w:id="883"/>
            <w:r>
              <w:rPr/>
              <w:t>22.8</w:t>
            </w:r>
          </w:p>
        </w:tc>
        <w:tc>
          <w:tcPr>
            <w:tcW w:w="231" w:type="dxa"/>
            <w:tcBorders/>
            <w:shd w:fill="CCEEFF" w:val="clear"/>
            <w:vAlign w:val="center"/>
          </w:tcPr>
          <w:p>
            <w:pPr>
              <w:pStyle w:val="TableContents"/>
              <w:bidi w:val="0"/>
              <w:spacing w:before="0" w:after="283"/>
              <w:jc w:val="left"/>
              <w:rPr/>
            </w:pPr>
            <w:r>
              <w:rPr/>
              <w:t>%</w:t>
            </w:r>
          </w:p>
        </w:tc>
      </w:tr>
      <w:tr>
        <w:trPr/>
        <w:tc>
          <w:tcPr>
            <w:tcW w:w="17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4" w:name="xdx_984_eus-gaap--InvestmentOwnedAtCost_"/>
            <w:bookmarkEnd w:id="884"/>
          </w:p>
        </w:tc>
        <w:tc>
          <w:tcPr>
            <w:tcW w:w="1220" w:type="dxa"/>
            <w:tcBorders/>
            <w:shd w:fill="FFFFFF" w:val="clear"/>
            <w:vAlign w:val="center"/>
          </w:tcPr>
          <w:p>
            <w:pPr>
              <w:pStyle w:val="TableContents"/>
              <w:bidi w:val="0"/>
              <w:spacing w:before="0" w:after="283"/>
              <w:jc w:val="right"/>
              <w:rPr/>
            </w:pPr>
            <w:r>
              <w:rPr/>
              <w:t>1,888,445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5" w:name="xdx_986_eus-gaap--InvestmentOwnedAtFairV"/>
            <w:bookmarkEnd w:id="885"/>
          </w:p>
        </w:tc>
        <w:tc>
          <w:tcPr>
            <w:tcW w:w="1220" w:type="dxa"/>
            <w:tcBorders/>
            <w:shd w:fill="FFFFFF" w:val="clear"/>
            <w:vAlign w:val="center"/>
          </w:tcPr>
          <w:p>
            <w:pPr>
              <w:pStyle w:val="TableContents"/>
              <w:bidi w:val="0"/>
              <w:spacing w:before="0" w:after="283"/>
              <w:jc w:val="right"/>
              <w:rPr/>
            </w:pPr>
            <w:r>
              <w:rPr/>
              <w:t>2,713,632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bookmarkStart w:id="886" w:name="xdx_909_eus-gaap--InvestmentOwnedPercent"/>
            <w:bookmarkEnd w:id="886"/>
            <w:r>
              <w:rPr/>
              <w:t>0.8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7" w:name="xdx_985_eus-gaap--InvestmentOwnedAtCost_"/>
            <w:bookmarkEnd w:id="887"/>
          </w:p>
        </w:tc>
        <w:tc>
          <w:tcPr>
            <w:tcW w:w="1220" w:type="dxa"/>
            <w:tcBorders/>
            <w:shd w:fill="FFFFFF" w:val="clear"/>
            <w:vAlign w:val="center"/>
          </w:tcPr>
          <w:p>
            <w:pPr>
              <w:pStyle w:val="TableContents"/>
              <w:bidi w:val="0"/>
              <w:spacing w:before="0" w:after="283"/>
              <w:jc w:val="right"/>
              <w:rPr/>
            </w:pPr>
            <w:r>
              <w:rPr/>
              <w:t>2,971,657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8" w:name="xdx_980_eus-gaap--InvestmentOwnedAtFairV"/>
            <w:bookmarkEnd w:id="888"/>
          </w:p>
        </w:tc>
        <w:tc>
          <w:tcPr>
            <w:tcW w:w="1220" w:type="dxa"/>
            <w:tcBorders/>
            <w:shd w:fill="FFFFFF" w:val="clear"/>
            <w:vAlign w:val="center"/>
          </w:tcPr>
          <w:p>
            <w:pPr>
              <w:pStyle w:val="TableContents"/>
              <w:bidi w:val="0"/>
              <w:spacing w:before="0" w:after="283"/>
              <w:jc w:val="right"/>
              <w:rPr/>
            </w:pPr>
            <w:r>
              <w:rPr/>
              <w:t>4,201,543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bookmarkStart w:id="889" w:name="xdx_905_eus-gaap--InvestmentOwnedPercent"/>
            <w:bookmarkEnd w:id="889"/>
            <w:r>
              <w:rPr/>
              <w:t>2.0</w:t>
            </w:r>
          </w:p>
        </w:tc>
        <w:tc>
          <w:tcPr>
            <w:tcW w:w="231" w:type="dxa"/>
            <w:tcBorders/>
            <w:shd w:fill="FFFFFF" w:val="clear"/>
            <w:vAlign w:val="center"/>
          </w:tcPr>
          <w:p>
            <w:pPr>
              <w:pStyle w:val="TableContents"/>
              <w:bidi w:val="0"/>
              <w:spacing w:before="0" w:after="283"/>
              <w:jc w:val="left"/>
              <w:rPr/>
            </w:pPr>
            <w:r>
              <w:rPr/>
              <w:t>%</w:t>
            </w:r>
          </w:p>
        </w:tc>
      </w:tr>
      <w:tr>
        <w:trPr/>
        <w:tc>
          <w:tcPr>
            <w:tcW w:w="1727" w:type="dxa"/>
            <w:tcBorders/>
            <w:shd w:fill="CCEEFF" w:val="clear"/>
            <w:vAlign w:val="center"/>
          </w:tcPr>
          <w:p>
            <w:pPr>
              <w:pStyle w:val="TableContents"/>
              <w:bidi w:val="0"/>
              <w:spacing w:before="0" w:after="283"/>
              <w:jc w:val="left"/>
              <w:rPr/>
            </w:pPr>
            <w:r>
              <w:rPr/>
              <w:t>Debt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0" w:name="xdx_983_eus-gaap--InvestmentOwnedAtCost_"/>
            <w:bookmarkEnd w:id="890"/>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3,029,559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1" w:name="xdx_984_eus-gaap--InvestmentOwnedAtFairV"/>
            <w:bookmarkEnd w:id="891"/>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1,192,275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92" w:name="xdx_90C_eus-gaap--InvestmentOwnedPercent"/>
            <w:bookmarkEnd w:id="892"/>
            <w:r>
              <w:rPr/>
              <w:t>0.3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3" w:name="xdx_98D_eus-gaap--InvestmentOwnedAtCost_"/>
            <w:bookmarkEnd w:id="893"/>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3,029,559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4" w:name="xdx_986_eus-gaap--InvestmentOwnedAtFairV"/>
            <w:bookmarkEnd w:id="894"/>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756,339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95" w:name="xdx_903_eus-gaap--InvestmentOwnedPercent"/>
            <w:bookmarkEnd w:id="895"/>
            <w:r>
              <w:rPr/>
              <w:t>0.4</w:t>
            </w:r>
          </w:p>
        </w:tc>
        <w:tc>
          <w:tcPr>
            <w:tcW w:w="231" w:type="dxa"/>
            <w:tcBorders/>
            <w:shd w:fill="CCEEFF" w:val="clear"/>
            <w:vAlign w:val="center"/>
          </w:tcPr>
          <w:p>
            <w:pPr>
              <w:pStyle w:val="TableContents"/>
              <w:bidi w:val="0"/>
              <w:spacing w:before="0" w:after="283"/>
              <w:jc w:val="left"/>
              <w:rPr/>
            </w:pPr>
            <w:r>
              <w:rPr/>
              <w:t>%</w:t>
            </w:r>
          </w:p>
        </w:tc>
      </w:tr>
      <w:tr>
        <w:trPr/>
        <w:tc>
          <w:tcPr>
            <w:tcW w:w="1727" w:type="dxa"/>
            <w:tcBorders/>
            <w:shd w:fill="FFFFFF" w:val="clear"/>
            <w:vAlign w:val="center"/>
          </w:tcPr>
          <w:p>
            <w:pPr>
              <w:pStyle w:val="TableContents"/>
              <w:bidi w:val="0"/>
              <w:spacing w:before="0" w:after="283"/>
              <w:jc w:val="left"/>
              <w:rPr>
                <w:b/>
              </w:rPr>
            </w:pPr>
            <w:r>
              <w:rPr>
                <w:b/>
              </w:rPr>
              <w:t>Total Private Portfolio Companies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6" w:name="xdx_986_eus-gaap--InvestmentOwnedAtCost_"/>
            <w:bookmarkEnd w:id="89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251,394,791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7" w:name="xdx_98C_eus-gaap--InvestmentOwnedAtFairV"/>
            <w:bookmarkEnd w:id="89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404,132,245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98" w:name="xdx_90A_eus-gaap--InvestmentOwnedPercent"/>
            <w:bookmarkEnd w:id="898"/>
            <w:r>
              <w:rPr/>
              <w:t>113.5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9" w:name="xdx_988_eus-gaap--InvestmentOwnedAtCost_"/>
            <w:bookmarkEnd w:id="899"/>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228,756,757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00" w:name="xdx_98C_eus-gaap--InvestmentOwnedAtFairV"/>
            <w:bookmarkEnd w:id="900"/>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221,302,242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901" w:name="xdx_909_eus-gaap--InvestmentOwnedPercent"/>
            <w:bookmarkEnd w:id="901"/>
            <w:r>
              <w:rPr/>
              <w:t>107.8</w:t>
            </w:r>
          </w:p>
        </w:tc>
        <w:tc>
          <w:tcPr>
            <w:tcW w:w="231" w:type="dxa"/>
            <w:tcBorders/>
            <w:shd w:fill="FFFFFF" w:val="clear"/>
            <w:vAlign w:val="center"/>
          </w:tcPr>
          <w:p>
            <w:pPr>
              <w:pStyle w:val="TableContents"/>
              <w:bidi w:val="0"/>
              <w:spacing w:before="0" w:after="283"/>
              <w:jc w:val="left"/>
              <w:rPr/>
            </w:pPr>
            <w:r>
              <w:rPr/>
              <w:t>%</w:t>
            </w:r>
          </w:p>
        </w:tc>
      </w:tr>
      <w:tr>
        <w:trPr/>
        <w:tc>
          <w:tcPr>
            <w:tcW w:w="1727" w:type="dxa"/>
            <w:tcBorders/>
            <w:shd w:fill="CCEEFF" w:val="clear"/>
            <w:vAlign w:val="center"/>
          </w:tcPr>
          <w:p>
            <w:pPr>
              <w:pStyle w:val="TableContents"/>
              <w:bidi w:val="0"/>
              <w:spacing w:before="0" w:after="283"/>
              <w:jc w:val="left"/>
              <w:rPr>
                <w:b/>
              </w:rPr>
            </w:pPr>
            <w:r>
              <w:rPr>
                <w:b/>
              </w:rPr>
              <w:t>Publicly Traded Portfolio Companies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1727"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2" w:name="xdx_981_eus-gaap--InvestmentOwnedAtCost_"/>
            <w:bookmarkEnd w:id="902"/>
          </w:p>
        </w:tc>
        <w:tc>
          <w:tcPr>
            <w:tcW w:w="1220" w:type="dxa"/>
            <w:tcBorders/>
            <w:shd w:fill="FFFFFF" w:val="clear"/>
            <w:vAlign w:val="center"/>
          </w:tcPr>
          <w:p>
            <w:pPr>
              <w:pStyle w:val="TableContents"/>
              <w:bidi w:val="0"/>
              <w:spacing w:before="0" w:after="283"/>
              <w:jc w:val="right"/>
              <w:rPr/>
            </w:pPr>
            <w:r>
              <w:rPr/>
              <w:t>10,298,778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3" w:name="xdx_989_eus-gaap--InvestmentOwnedAtFairV"/>
            <w:bookmarkEnd w:id="903"/>
          </w:p>
        </w:tc>
        <w:tc>
          <w:tcPr>
            <w:tcW w:w="1220" w:type="dxa"/>
            <w:tcBorders/>
            <w:shd w:fill="FFFFFF" w:val="clear"/>
            <w:vAlign w:val="center"/>
          </w:tcPr>
          <w:p>
            <w:pPr>
              <w:pStyle w:val="TableContents"/>
              <w:bidi w:val="0"/>
              <w:spacing w:before="0" w:after="283"/>
              <w:jc w:val="right"/>
              <w:rPr/>
            </w:pPr>
            <w:r>
              <w:rPr/>
              <w:t>1,286,269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bookmarkStart w:id="904" w:name="xdx_908_eus-gaap--InvestmentOwnedPercent"/>
            <w:bookmarkEnd w:id="904"/>
            <w:r>
              <w:rPr/>
              <w:t>0.4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5" w:name="xdx_981_eus-gaap--InvestmentOwnedAtCost_"/>
            <w:bookmarkEnd w:id="905"/>
          </w:p>
        </w:tc>
        <w:tc>
          <w:tcPr>
            <w:tcW w:w="1220" w:type="dxa"/>
            <w:tcBorders/>
            <w:shd w:fill="FFFFFF" w:val="clear"/>
            <w:vAlign w:val="center"/>
          </w:tcPr>
          <w:p>
            <w:pPr>
              <w:pStyle w:val="TableContents"/>
              <w:bidi w:val="0"/>
              <w:spacing w:before="0" w:after="283"/>
              <w:jc w:val="right"/>
              <w:rPr/>
            </w:pPr>
            <w:r>
              <w:rPr/>
              <w:t>10,922,147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6" w:name="xdx_98C_eus-gaap--InvestmentOwnedAtFairV"/>
            <w:bookmarkEnd w:id="906"/>
          </w:p>
        </w:tc>
        <w:tc>
          <w:tcPr>
            <w:tcW w:w="1220" w:type="dxa"/>
            <w:tcBorders/>
            <w:shd w:fill="FFFFFF" w:val="clear"/>
            <w:vAlign w:val="center"/>
          </w:tcPr>
          <w:p>
            <w:pPr>
              <w:pStyle w:val="TableContents"/>
              <w:bidi w:val="0"/>
              <w:spacing w:before="0" w:after="283"/>
              <w:jc w:val="right"/>
              <w:rPr/>
            </w:pPr>
            <w:r>
              <w:rPr/>
              <w:t>3,586,956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bookmarkStart w:id="907" w:name="xdx_904_eus-gaap--InvestmentOwnedPercent"/>
            <w:bookmarkEnd w:id="907"/>
            <w:r>
              <w:rPr/>
              <w:t>1.7</w:t>
            </w:r>
          </w:p>
        </w:tc>
        <w:tc>
          <w:tcPr>
            <w:tcW w:w="231" w:type="dxa"/>
            <w:tcBorders/>
            <w:shd w:fill="FFFFFF" w:val="clear"/>
            <w:vAlign w:val="center"/>
          </w:tcPr>
          <w:p>
            <w:pPr>
              <w:pStyle w:val="TableContents"/>
              <w:bidi w:val="0"/>
              <w:spacing w:before="0" w:after="283"/>
              <w:jc w:val="left"/>
              <w:rPr/>
            </w:pPr>
            <w:r>
              <w:rPr/>
              <w:t>%</w:t>
            </w:r>
          </w:p>
        </w:tc>
      </w:tr>
      <w:tr>
        <w:trPr/>
        <w:tc>
          <w:tcPr>
            <w:tcW w:w="1727"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8" w:name="xdx_98B_eus-gaap--InvestmentOwnedAtCost_"/>
            <w:bookmarkEnd w:id="908"/>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1,146,881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9" w:name="xdx_98F_eus-gaap--InvestmentOwnedAtFairV"/>
            <w:bookmarkEnd w:id="90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433,187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10" w:name="xdx_90C_eus-gaap--InvestmentOwnedPercent"/>
            <w:bookmarkEnd w:id="910"/>
            <w:r>
              <w:rPr/>
              <w:t>0.1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11" w:name="xdx_989_eus-gaap--InvestmentOwnedAtCost_"/>
            <w:bookmarkEnd w:id="911"/>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1,146,881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12" w:name="xdx_98C_eus-gaap--InvestmentOwnedAtFairV"/>
            <w:bookmarkEnd w:id="912"/>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622,307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13" w:name="xdx_90E_eus-gaap--InvestmentOwnedPercent"/>
            <w:bookmarkEnd w:id="913"/>
            <w:r>
              <w:rPr/>
              <w:t>0.3</w:t>
            </w:r>
          </w:p>
        </w:tc>
        <w:tc>
          <w:tcPr>
            <w:tcW w:w="231" w:type="dxa"/>
            <w:tcBorders/>
            <w:shd w:fill="CCEEFF" w:val="clear"/>
            <w:vAlign w:val="center"/>
          </w:tcPr>
          <w:p>
            <w:pPr>
              <w:pStyle w:val="TableContents"/>
              <w:bidi w:val="0"/>
              <w:spacing w:before="0" w:after="283"/>
              <w:jc w:val="left"/>
              <w:rPr/>
            </w:pPr>
            <w:r>
              <w:rPr/>
              <w:t>%</w:t>
            </w:r>
          </w:p>
        </w:tc>
      </w:tr>
      <w:tr>
        <w:trPr/>
        <w:tc>
          <w:tcPr>
            <w:tcW w:w="1727" w:type="dxa"/>
            <w:tcBorders/>
            <w:shd w:fill="FFFFFF" w:val="clear"/>
            <w:vAlign w:val="center"/>
          </w:tcPr>
          <w:p>
            <w:pPr>
              <w:pStyle w:val="TableContents"/>
              <w:bidi w:val="0"/>
              <w:spacing w:before="0" w:after="283"/>
              <w:jc w:val="left"/>
              <w:rPr>
                <w:b/>
              </w:rPr>
            </w:pPr>
            <w:r>
              <w:rPr>
                <w:b/>
              </w:rPr>
              <w:t>Total Publicly Traded Portfolio Companies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4" w:name="xdx_98A_eus-gaap--InvestmentOwnedAtCost_"/>
            <w:bookmarkEnd w:id="914"/>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11,445,659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5" w:name="xdx_982_eus-gaap--InvestmentOwnedAtFairV"/>
            <w:bookmarkEnd w:id="915"/>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1,719,456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916" w:name="xdx_904_eus-gaap--InvestmentOwnedPercent"/>
            <w:bookmarkEnd w:id="916"/>
            <w:r>
              <w:rPr/>
              <w:t>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7" w:name="xdx_988_eus-gaap--InvestmentOwnedAtCost_"/>
            <w:bookmarkEnd w:id="91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12,069,028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8" w:name="xdx_987_eus-gaap--InvestmentOwnedAtFairV"/>
            <w:bookmarkEnd w:id="918"/>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4,209,263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919" w:name="xdx_909_eus-gaap--InvestmentOwnedPercent"/>
            <w:bookmarkEnd w:id="919"/>
            <w:r>
              <w:rPr/>
              <w:t>2.0</w:t>
            </w:r>
          </w:p>
        </w:tc>
        <w:tc>
          <w:tcPr>
            <w:tcW w:w="231" w:type="dxa"/>
            <w:tcBorders/>
            <w:shd w:fill="FFFFFF" w:val="clear"/>
            <w:vAlign w:val="center"/>
          </w:tcPr>
          <w:p>
            <w:pPr>
              <w:pStyle w:val="TableContents"/>
              <w:bidi w:val="0"/>
              <w:spacing w:before="0" w:after="283"/>
              <w:jc w:val="left"/>
              <w:rPr/>
            </w:pPr>
            <w:r>
              <w:rPr/>
              <w:t>%</w:t>
            </w:r>
          </w:p>
        </w:tc>
      </w:tr>
      <w:tr>
        <w:trPr/>
        <w:tc>
          <w:tcPr>
            <w:tcW w:w="1727" w:type="dxa"/>
            <w:tcBorders/>
            <w:shd w:fill="CCEEFF" w:val="clear"/>
            <w:vAlign w:val="center"/>
          </w:tcPr>
          <w:p>
            <w:pPr>
              <w:pStyle w:val="TableContents"/>
              <w:bidi w:val="0"/>
              <w:spacing w:before="0" w:after="283"/>
              <w:jc w:val="left"/>
              <w:rPr>
                <w:b/>
              </w:rPr>
            </w:pPr>
            <w:r>
              <w:rPr>
                <w:b/>
              </w:rPr>
              <w:t>Total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0" w:name="xdx_983_eus-gaap--InvestmentOwnedAtCost_"/>
            <w:bookmarkEnd w:id="920"/>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262,840,450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1" w:name="xdx_983_eus-gaap--InvestmentOwnedAtFairV"/>
            <w:bookmarkEnd w:id="921"/>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405,851,701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22" w:name="xdx_909_eus-gaap--InvestmentOwnedPercent"/>
            <w:bookmarkEnd w:id="922"/>
            <w:r>
              <w:rPr/>
              <w:t>114.0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3" w:name="xdx_98D_eus-gaap--InvestmentOwnedAtCost_"/>
            <w:bookmarkEnd w:id="923"/>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240,825,785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4" w:name="xdx_988_eus-gaap--InvestmentOwnedAtFairV"/>
            <w:bookmarkEnd w:id="924"/>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225,511,505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25" w:name="xdx_90C_eus-gaap--InvestmentOwnedPercent"/>
            <w:bookmarkEnd w:id="925"/>
            <w:r>
              <w:rPr/>
              <w:t>109.8</w:t>
            </w:r>
          </w:p>
        </w:tc>
        <w:tc>
          <w:tcPr>
            <w:tcW w:w="23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26" w:name="xdx_F0C_zM3EKHTYNB2j"/>
            <w:bookmarkEnd w:id="926"/>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7" w:name="xdx_F16_zNcTG1MBeSv"/>
            <w:bookmarkEnd w:id="927"/>
            <w:r>
              <w:rPr>
                <w:rFonts w:ascii="Times New Roman;Times;Serif" w:hAnsi="Times New Roman;Times;Serif"/>
                <w:b w:val="false"/>
                <w:i w:val="false"/>
                <w:caps w:val="false"/>
                <w:smallCaps w:val="false"/>
                <w:sz w:val="20"/>
              </w:rPr>
              <w:t>As of June 30, 2026 Preferred Stock also includes the Company’s investment in the Class A Interest of ARK Type One Deep Ventures Fund LLC which is invested in the Series A-2 Preferred Shares of OpenAI Global, LLC, the Company’s investment in the Membership Interest of IH10, LLC which is invested in the Series B Preferred Shares of VAST Data, Ltd. through an SPV, and the Company’s investment in the Class A Interest and Class B Interest of Magnetar Opportunity 2025-4 LP which is invested in the Series B Preferred Shares of TensorWave, Inc. As of December 31, 2025, Preferred Stock also includes the Company’s investment in the Class A Interest of ARK Type One Deep Ventures Fund LLC which is invested in the Series A-2 Preferred Shares of OpenAI Global, LLC, the Company’s investment in the Membership Interest of IH10, LLC which is invested in the Series B Preferred Shares of VAST Data, Ltd. through an SPV.</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28" w:name="xdx_F0B_zpPEuj3Tij8c"/>
            <w:bookmarkEnd w:id="928"/>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9" w:name="xdx_F17_z2SCNxAZSU4i"/>
            <w:bookmarkEnd w:id="929"/>
            <w:r>
              <w:rPr>
                <w:rFonts w:ascii="Times New Roman;Times;Serif" w:hAnsi="Times New Roman;Times;Serif"/>
                <w:b w:val="false"/>
                <w:i w:val="false"/>
                <w:caps w:val="false"/>
                <w:smallCaps w:val="false"/>
                <w:sz w:val="20"/>
              </w:rPr>
              <w:t>As of June 30, 2026 and December 31, 2025, Common Stock in Private Portfolio Companies also includes the Company’s Limited Partner Fund Investment in True Global Ventures 4 Plus Pte Ltd. and the Company’s investment in the Class A Interest of CW Opportunity 2 LP which is invested in the Class A Common Stock of CoreWeave, Inc.</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30" w:name="xdx_F09_zXIqGkr3Rhua"/>
            <w:bookmarkEnd w:id="930"/>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31" w:name="xdx_F13_zX1DXzLbC1v3"/>
            <w:bookmarkEnd w:id="931"/>
            <w:r>
              <w:rPr>
                <w:rFonts w:ascii="Times New Roman;Times;Serif" w:hAnsi="Times New Roman;Times;Serif"/>
                <w:b w:val="false"/>
                <w:i w:val="false"/>
                <w:caps w:val="false"/>
                <w:smallCaps w:val="false"/>
                <w:sz w:val="20"/>
              </w:rPr>
              <w:t>As of June 30, 2026, Options in Private Portfolio Companies also includes the Company’s investment in the SAFE of PayJoy, Inc. As of December 31, 2025, Options in Private Portfolio Companies also includes the Company’s investments in the SAFEs of Orchard Technologies, Inc., PayJoy, Inc., and Whoop, Inc.</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geographic and industrial compositions of the Company’s portfolio at fair value as of June 30, 2026 and December 31, 2025 were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6"/>
        <w:gridCol w:w="60"/>
        <w:gridCol w:w="140"/>
        <w:gridCol w:w="1220"/>
        <w:gridCol w:w="60"/>
        <w:gridCol w:w="60"/>
        <w:gridCol w:w="105"/>
        <w:gridCol w:w="994"/>
        <w:gridCol w:w="215"/>
        <w:gridCol w:w="60"/>
        <w:gridCol w:w="105"/>
        <w:gridCol w:w="994"/>
        <w:gridCol w:w="215"/>
        <w:gridCol w:w="60"/>
        <w:gridCol w:w="140"/>
        <w:gridCol w:w="1220"/>
        <w:gridCol w:w="60"/>
        <w:gridCol w:w="60"/>
        <w:gridCol w:w="105"/>
        <w:gridCol w:w="994"/>
        <w:gridCol w:w="215"/>
        <w:gridCol w:w="60"/>
        <w:gridCol w:w="105"/>
        <w:gridCol w:w="994"/>
        <w:gridCol w:w="238"/>
      </w:tblGrid>
      <w:tr>
        <w:trPr/>
        <w:tc>
          <w:tcPr>
            <w:tcW w:w="1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238" w:type="dxa"/>
            <w:tcBorders/>
            <w:vAlign w:val="center"/>
          </w:tcPr>
          <w:p>
            <w:pPr>
              <w:pStyle w:val="TableContents"/>
              <w:bidi w:val="0"/>
              <w:spacing w:before="0" w:after="283"/>
              <w:jc w:val="left"/>
              <w:rPr/>
            </w:pPr>
            <w:r>
              <w:rPr/>
              <w:t> </w:t>
            </w:r>
          </w:p>
        </w:tc>
      </w:tr>
      <w:tr>
        <w:trPr/>
        <w:tc>
          <w:tcPr>
            <w:tcW w:w="1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238" w:type="dxa"/>
            <w:tcBorders/>
            <w:vAlign w:val="center"/>
          </w:tcPr>
          <w:p>
            <w:pPr>
              <w:pStyle w:val="TableContents"/>
              <w:bidi w:val="0"/>
              <w:spacing w:before="0" w:after="283"/>
              <w:jc w:val="left"/>
              <w:rPr/>
            </w:pPr>
            <w:r>
              <w:rPr/>
              <w:t> </w:t>
            </w:r>
          </w:p>
        </w:tc>
      </w:tr>
      <w:tr>
        <w:trPr/>
        <w:tc>
          <w:tcPr>
            <w:tcW w:w="1726" w:type="dxa"/>
            <w:tcBorders/>
            <w:shd w:fill="CCEEFF" w:val="clear"/>
            <w:vAlign w:val="center"/>
          </w:tcPr>
          <w:p>
            <w:pPr>
              <w:pStyle w:val="TableContents"/>
              <w:bidi w:val="0"/>
              <w:spacing w:before="0" w:after="283"/>
              <w:jc w:val="left"/>
              <w:rPr>
                <w:b/>
              </w:rPr>
            </w:pPr>
            <w:r>
              <w:rPr>
                <w:b/>
              </w:rPr>
              <w:t>Geographic Region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pPr>
            <w:r>
              <w:rPr/>
              <w:t>Northeast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932" w:name="xdx_98B_eus-gaap--InvestmentOwnedAtFairV"/>
            <w:bookmarkEnd w:id="932"/>
          </w:p>
        </w:tc>
        <w:tc>
          <w:tcPr>
            <w:tcW w:w="1220" w:type="dxa"/>
            <w:tcBorders/>
            <w:shd w:fill="FFFFFF" w:val="clear"/>
            <w:vAlign w:val="center"/>
          </w:tcPr>
          <w:p>
            <w:pPr>
              <w:pStyle w:val="TableContents"/>
              <w:bidi w:val="0"/>
              <w:spacing w:before="0" w:after="283"/>
              <w:jc w:val="right"/>
              <w:rPr/>
            </w:pPr>
            <w:r>
              <w:rPr/>
              <w:t>216,840,006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933" w:name="xdx_909_ecustom--InvestmentOwnedPercentO"/>
            <w:bookmarkEnd w:id="933"/>
            <w:r>
              <w:rPr/>
              <w:t>53.4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934" w:name="xdx_905_eus-gaap--InvestmentOwnedPercent"/>
            <w:bookmarkEnd w:id="934"/>
            <w:r>
              <w:rPr/>
              <w:t>60.9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935" w:name="xdx_983_eus-gaap--InvestmentOwnedAtFairV"/>
            <w:bookmarkEnd w:id="935"/>
          </w:p>
        </w:tc>
        <w:tc>
          <w:tcPr>
            <w:tcW w:w="1220" w:type="dxa"/>
            <w:tcBorders/>
            <w:shd w:fill="FFFFFF" w:val="clear"/>
            <w:vAlign w:val="center"/>
          </w:tcPr>
          <w:p>
            <w:pPr>
              <w:pStyle w:val="TableContents"/>
              <w:bidi w:val="0"/>
              <w:spacing w:before="0" w:after="283"/>
              <w:jc w:val="right"/>
              <w:rPr/>
            </w:pPr>
            <w:r>
              <w:rPr/>
              <w:t>78,565,018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936" w:name="xdx_906_ecustom--InvestmentOwnedPercentO"/>
            <w:bookmarkEnd w:id="936"/>
            <w:r>
              <w:rPr/>
              <w:t>34.9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937" w:name="xdx_902_eus-gaap--InvestmentOwnedPercent"/>
            <w:bookmarkEnd w:id="937"/>
            <w:r>
              <w:rPr/>
              <w:t>38.3</w:t>
            </w:r>
          </w:p>
        </w:tc>
        <w:tc>
          <w:tcPr>
            <w:tcW w:w="238" w:type="dxa"/>
            <w:tcBorders/>
            <w:shd w:fill="FFFFFF" w:val="clear"/>
            <w:vAlign w:val="center"/>
          </w:tcPr>
          <w:p>
            <w:pPr>
              <w:pStyle w:val="TableContents"/>
              <w:bidi w:val="0"/>
              <w:spacing w:before="0" w:after="283"/>
              <w:jc w:val="left"/>
              <w:rPr/>
            </w:pPr>
            <w:r>
              <w:rPr/>
              <w:t>%</w:t>
            </w:r>
          </w:p>
        </w:tc>
      </w:tr>
      <w:tr>
        <w:trPr/>
        <w:tc>
          <w:tcPr>
            <w:tcW w:w="1726" w:type="dxa"/>
            <w:tcBorders/>
            <w:shd w:fill="CCEEFF" w:val="clear"/>
            <w:vAlign w:val="center"/>
          </w:tcPr>
          <w:p>
            <w:pPr>
              <w:pStyle w:val="TableContents"/>
              <w:bidi w:val="0"/>
              <w:spacing w:before="0" w:after="283"/>
              <w:jc w:val="left"/>
              <w:rPr/>
            </w:pPr>
            <w:r>
              <w:rPr/>
              <w:t>Midwest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38" w:name="xdx_989_eus-gaap--InvestmentOwnedAtFairV"/>
            <w:bookmarkEnd w:id="938"/>
          </w:p>
        </w:tc>
        <w:tc>
          <w:tcPr>
            <w:tcW w:w="1220" w:type="dxa"/>
            <w:tcBorders/>
            <w:shd w:fill="CCEEFF" w:val="clear"/>
            <w:vAlign w:val="center"/>
          </w:tcPr>
          <w:p>
            <w:pPr>
              <w:pStyle w:val="TableContents"/>
              <w:bidi w:val="0"/>
              <w:spacing w:before="0" w:after="283"/>
              <w:jc w:val="right"/>
              <w:rPr/>
            </w:pPr>
            <w:r>
              <w:rPr/>
              <w:t>64,078,509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939" w:name="xdx_901_ecustom--InvestmentOwnedPercentO"/>
            <w:bookmarkEnd w:id="939"/>
            <w:r>
              <w:rPr/>
              <w:t>15.8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940" w:name="xdx_904_eus-gaap--InvestmentOwnedPercent"/>
            <w:bookmarkEnd w:id="940"/>
            <w:r>
              <w:rPr/>
              <w:t>18.0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41" w:name="xdx_981_eus-gaap--InvestmentOwnedAtFairV"/>
            <w:bookmarkEnd w:id="941"/>
          </w:p>
        </w:tc>
        <w:tc>
          <w:tcPr>
            <w:tcW w:w="1220" w:type="dxa"/>
            <w:tcBorders/>
            <w:shd w:fill="CCEEFF" w:val="clear"/>
            <w:vAlign w:val="center"/>
          </w:tcPr>
          <w:p>
            <w:pPr>
              <w:pStyle w:val="TableContents"/>
              <w:bidi w:val="0"/>
              <w:spacing w:before="0" w:after="283"/>
              <w:jc w:val="right"/>
              <w:rPr/>
            </w:pPr>
            <w:r>
              <w:rPr/>
              <w:t>49,488,742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942" w:name="xdx_905_ecustom--InvestmentOwnedPercentO"/>
            <w:bookmarkEnd w:id="942"/>
            <w:r>
              <w:rPr/>
              <w:t>21.9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943" w:name="xdx_904_eus-gaap--InvestmentOwnedPercent"/>
            <w:bookmarkEnd w:id="943"/>
            <w:r>
              <w:rPr/>
              <w:t>24.1</w:t>
            </w:r>
          </w:p>
        </w:tc>
        <w:tc>
          <w:tcPr>
            <w:tcW w:w="238" w:type="dxa"/>
            <w:tcBorders/>
            <w:shd w:fill="CCEEFF" w:val="clear"/>
            <w:vAlign w:val="center"/>
          </w:tcPr>
          <w:p>
            <w:pPr>
              <w:pStyle w:val="TableContents"/>
              <w:bidi w:val="0"/>
              <w:spacing w:before="0" w:after="283"/>
              <w:jc w:val="left"/>
              <w:rPr/>
            </w:pPr>
            <w:r>
              <w:rPr/>
              <w:t>%</w:t>
            </w:r>
          </w:p>
        </w:tc>
      </w:tr>
      <w:tr>
        <w:trPr/>
        <w:tc>
          <w:tcPr>
            <w:tcW w:w="1726" w:type="dxa"/>
            <w:tcBorders/>
            <w:shd w:fill="FFFFFF" w:val="clear"/>
            <w:vAlign w:val="center"/>
          </w:tcPr>
          <w:p>
            <w:pPr>
              <w:pStyle w:val="TableContents"/>
              <w:bidi w:val="0"/>
              <w:spacing w:before="0" w:after="283"/>
              <w:jc w:val="left"/>
              <w:rPr/>
            </w:pPr>
            <w:r>
              <w:rPr/>
              <w:t>Southeast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44" w:name="xdx_988_eus-gaap--InvestmentOwnedAtFairV"/>
            <w:bookmarkEnd w:id="944"/>
          </w:p>
        </w:tc>
        <w:tc>
          <w:tcPr>
            <w:tcW w:w="1220" w:type="dxa"/>
            <w:tcBorders/>
            <w:shd w:fill="FFFFFF" w:val="clear"/>
            <w:vAlign w:val="center"/>
          </w:tcPr>
          <w:p>
            <w:pPr>
              <w:pStyle w:val="TableContents"/>
              <w:bidi w:val="0"/>
              <w:spacing w:before="0" w:after="283"/>
              <w:jc w:val="right"/>
              <w:rPr/>
            </w:pPr>
            <w:r>
              <w:rPr/>
              <w:t>61,753,044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945" w:name="xdx_906_ecustom--InvestmentOwnedPercentO"/>
            <w:bookmarkEnd w:id="945"/>
            <w:r>
              <w:rPr/>
              <w:t>15.2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946" w:name="xdx_90A_eus-gaap--InvestmentOwnedPercent"/>
            <w:bookmarkEnd w:id="946"/>
            <w:r>
              <w:rPr/>
              <w:t>17.4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47" w:name="xdx_985_eus-gaap--InvestmentOwnedAtFairV"/>
            <w:bookmarkEnd w:id="947"/>
          </w:p>
        </w:tc>
        <w:tc>
          <w:tcPr>
            <w:tcW w:w="1220" w:type="dxa"/>
            <w:tcBorders/>
            <w:shd w:fill="FFFFFF" w:val="clear"/>
            <w:vAlign w:val="center"/>
          </w:tcPr>
          <w:p>
            <w:pPr>
              <w:pStyle w:val="TableContents"/>
              <w:bidi w:val="0"/>
              <w:spacing w:before="0" w:after="283"/>
              <w:jc w:val="right"/>
              <w:rPr/>
            </w:pPr>
            <w:r>
              <w:rPr/>
              <w:t>44,761,355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948" w:name="xdx_904_ecustom--InvestmentOwnedPercentO"/>
            <w:bookmarkEnd w:id="948"/>
            <w:r>
              <w:rPr/>
              <w:t>19.8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bookmarkStart w:id="949" w:name="xdx_908_eus-gaap--InvestmentOwnedPercent"/>
            <w:bookmarkEnd w:id="949"/>
            <w:r>
              <w:rPr/>
              <w:t>21.8</w:t>
            </w:r>
          </w:p>
        </w:tc>
        <w:tc>
          <w:tcPr>
            <w:tcW w:w="238" w:type="dxa"/>
            <w:tcBorders/>
            <w:shd w:fill="FFFFFF" w:val="clear"/>
            <w:vAlign w:val="center"/>
          </w:tcPr>
          <w:p>
            <w:pPr>
              <w:pStyle w:val="TableContents"/>
              <w:bidi w:val="0"/>
              <w:spacing w:before="0" w:after="283"/>
              <w:jc w:val="left"/>
              <w:rPr/>
            </w:pPr>
            <w:r>
              <w:rPr/>
              <w:t>%</w:t>
            </w:r>
          </w:p>
        </w:tc>
      </w:tr>
      <w:tr>
        <w:trPr/>
        <w:tc>
          <w:tcPr>
            <w:tcW w:w="1726" w:type="dxa"/>
            <w:tcBorders/>
            <w:shd w:fill="CCEEFF" w:val="clear"/>
            <w:vAlign w:val="center"/>
          </w:tcPr>
          <w:p>
            <w:pPr>
              <w:pStyle w:val="TableContents"/>
              <w:bidi w:val="0"/>
              <w:spacing w:before="0" w:after="283"/>
              <w:jc w:val="left"/>
              <w:rPr/>
            </w:pPr>
            <w:r>
              <w:rPr/>
              <w:t>West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50" w:name="xdx_982_eus-gaap--InvestmentOwnedAtFairV"/>
            <w:bookmarkEnd w:id="950"/>
          </w:p>
        </w:tc>
        <w:tc>
          <w:tcPr>
            <w:tcW w:w="1220" w:type="dxa"/>
            <w:tcBorders/>
            <w:shd w:fill="CCEEFF" w:val="clear"/>
            <w:vAlign w:val="center"/>
          </w:tcPr>
          <w:p>
            <w:pPr>
              <w:pStyle w:val="TableContents"/>
              <w:bidi w:val="0"/>
              <w:spacing w:before="0" w:after="283"/>
              <w:jc w:val="right"/>
              <w:rPr/>
            </w:pPr>
            <w:r>
              <w:rPr/>
              <w:t>60,295,705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951" w:name="xdx_90C_ecustom--InvestmentOwnedPercentO"/>
            <w:bookmarkEnd w:id="951"/>
            <w:r>
              <w:rPr/>
              <w:t>14.9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952" w:name="xdx_90F_eus-gaap--InvestmentOwnedPercent"/>
            <w:bookmarkEnd w:id="952"/>
            <w:r>
              <w:rPr/>
              <w:t>16.9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53" w:name="xdx_98E_eus-gaap--InvestmentOwnedAtFairV"/>
            <w:bookmarkEnd w:id="953"/>
          </w:p>
        </w:tc>
        <w:tc>
          <w:tcPr>
            <w:tcW w:w="1220" w:type="dxa"/>
            <w:tcBorders/>
            <w:shd w:fill="CCEEFF" w:val="clear"/>
            <w:vAlign w:val="center"/>
          </w:tcPr>
          <w:p>
            <w:pPr>
              <w:pStyle w:val="TableContents"/>
              <w:bidi w:val="0"/>
              <w:spacing w:before="0" w:after="283"/>
              <w:jc w:val="right"/>
              <w:rPr/>
            </w:pPr>
            <w:r>
              <w:rPr/>
              <w:t>49,566,027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954" w:name="xdx_90B_ecustom--InvestmentOwnedPercentO"/>
            <w:bookmarkEnd w:id="954"/>
            <w:r>
              <w:rPr/>
              <w:t>22.0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bookmarkStart w:id="955" w:name="xdx_903_eus-gaap--InvestmentOwnedPercent"/>
            <w:bookmarkEnd w:id="955"/>
            <w:r>
              <w:rPr/>
              <w:t>24.1</w:t>
            </w:r>
          </w:p>
        </w:tc>
        <w:tc>
          <w:tcPr>
            <w:tcW w:w="238" w:type="dxa"/>
            <w:tcBorders/>
            <w:shd w:fill="CCEEFF" w:val="clear"/>
            <w:vAlign w:val="center"/>
          </w:tcPr>
          <w:p>
            <w:pPr>
              <w:pStyle w:val="TableContents"/>
              <w:bidi w:val="0"/>
              <w:spacing w:before="0" w:after="283"/>
              <w:jc w:val="left"/>
              <w:rPr/>
            </w:pPr>
            <w:r>
              <w:rPr/>
              <w:t>%</w:t>
            </w:r>
          </w:p>
        </w:tc>
      </w:tr>
      <w:tr>
        <w:trPr/>
        <w:tc>
          <w:tcPr>
            <w:tcW w:w="1726" w:type="dxa"/>
            <w:tcBorders/>
            <w:shd w:fill="FFFFFF" w:val="clear"/>
            <w:vAlign w:val="center"/>
          </w:tcPr>
          <w:p>
            <w:pPr>
              <w:pStyle w:val="TableContents"/>
              <w:bidi w:val="0"/>
              <w:spacing w:before="0" w:after="283"/>
              <w:jc w:val="left"/>
              <w:rPr/>
            </w:pPr>
            <w:r>
              <w:rPr/>
              <w:t>International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56" w:name="xdx_98C_eus-gaap--InvestmentOwnedAtFairV"/>
            <w:bookmarkEnd w:id="95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2,884,437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957" w:name="xdx_905_ecustom--InvestmentOwnedPercentO"/>
            <w:bookmarkEnd w:id="957"/>
            <w:r>
              <w:rPr/>
              <w:t>0.7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958" w:name="xdx_901_eus-gaap--InvestmentOwnedPercent"/>
            <w:bookmarkEnd w:id="958"/>
            <w:r>
              <w:rPr/>
              <w:t>0.8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59" w:name="xdx_985_eus-gaap--InvestmentOwnedAtFairV"/>
            <w:bookmarkEnd w:id="959"/>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3,130,363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960" w:name="xdx_90A_ecustom--InvestmentOwnedPercentO"/>
            <w:bookmarkEnd w:id="960"/>
            <w:r>
              <w:rPr/>
              <w:t>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961" w:name="xdx_901_eus-gaap--InvestmentOwnedPercent"/>
            <w:bookmarkEnd w:id="961"/>
            <w:r>
              <w:rPr/>
              <w:t>1.5</w:t>
            </w:r>
          </w:p>
        </w:tc>
        <w:tc>
          <w:tcPr>
            <w:tcW w:w="238" w:type="dxa"/>
            <w:tcBorders/>
            <w:shd w:fill="FFFFFF" w:val="clear"/>
            <w:vAlign w:val="center"/>
          </w:tcPr>
          <w:p>
            <w:pPr>
              <w:pStyle w:val="TableContents"/>
              <w:bidi w:val="0"/>
              <w:spacing w:before="0" w:after="283"/>
              <w:jc w:val="left"/>
              <w:rPr/>
            </w:pPr>
            <w:r>
              <w:rPr/>
              <w:t>%</w:t>
            </w:r>
          </w:p>
        </w:tc>
      </w:tr>
      <w:tr>
        <w:trPr/>
        <w:tc>
          <w:tcPr>
            <w:tcW w:w="1726"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62" w:name="xdx_989_eus-gaap--InvestmentOwnedAtFairV"/>
            <w:bookmarkEnd w:id="962"/>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405,851,701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63" w:name="xdx_901_ecustom--InvestmentOwnedPercentO"/>
            <w:bookmarkEnd w:id="963"/>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64" w:name="xdx_90F_eus-gaap--InvestmentOwnedPercent"/>
            <w:bookmarkEnd w:id="964"/>
            <w:r>
              <w:rPr/>
              <w:t>114.0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65" w:name="xdx_984_eus-gaap--InvestmentOwnedAtFairV"/>
            <w:bookmarkEnd w:id="965"/>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225,511,505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66" w:name="xdx_907_ecustom--InvestmentOwnedPercentO"/>
            <w:bookmarkEnd w:id="966"/>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67" w:name="xdx_905_eus-gaap--InvestmentOwnedPercent"/>
            <w:bookmarkEnd w:id="967"/>
            <w:r>
              <w:rPr/>
              <w:t>109.8</w:t>
            </w:r>
          </w:p>
        </w:tc>
        <w:tc>
          <w:tcPr>
            <w:tcW w:w="23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4"/>
        <w:gridCol w:w="60"/>
        <w:gridCol w:w="140"/>
        <w:gridCol w:w="1220"/>
        <w:gridCol w:w="60"/>
        <w:gridCol w:w="60"/>
        <w:gridCol w:w="93"/>
        <w:gridCol w:w="879"/>
        <w:gridCol w:w="215"/>
        <w:gridCol w:w="60"/>
        <w:gridCol w:w="93"/>
        <w:gridCol w:w="879"/>
        <w:gridCol w:w="215"/>
        <w:gridCol w:w="60"/>
        <w:gridCol w:w="140"/>
        <w:gridCol w:w="1220"/>
        <w:gridCol w:w="60"/>
        <w:gridCol w:w="60"/>
        <w:gridCol w:w="93"/>
        <w:gridCol w:w="879"/>
        <w:gridCol w:w="215"/>
        <w:gridCol w:w="60"/>
        <w:gridCol w:w="93"/>
        <w:gridCol w:w="879"/>
        <w:gridCol w:w="238"/>
      </w:tblGrid>
      <w:tr>
        <w:trPr/>
        <w:tc>
          <w:tcPr>
            <w:tcW w:w="22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9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9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238" w:type="dxa"/>
            <w:tcBorders/>
            <w:vAlign w:val="center"/>
          </w:tcPr>
          <w:p>
            <w:pPr>
              <w:pStyle w:val="TableContents"/>
              <w:bidi w:val="0"/>
              <w:spacing w:before="0" w:after="283"/>
              <w:jc w:val="left"/>
              <w:rPr/>
            </w:pPr>
            <w:r>
              <w:rPr/>
              <w:t> </w:t>
            </w:r>
          </w:p>
        </w:tc>
      </w:tr>
      <w:tr>
        <w:trPr/>
        <w:tc>
          <w:tcPr>
            <w:tcW w:w="22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238" w:type="dxa"/>
            <w:tcBorders/>
            <w:vAlign w:val="center"/>
          </w:tcPr>
          <w:p>
            <w:pPr>
              <w:pStyle w:val="TableContents"/>
              <w:bidi w:val="0"/>
              <w:spacing w:before="0" w:after="283"/>
              <w:jc w:val="left"/>
              <w:rPr/>
            </w:pPr>
            <w:r>
              <w:rPr/>
              <w:t> </w:t>
            </w:r>
          </w:p>
        </w:tc>
      </w:tr>
      <w:tr>
        <w:trPr/>
        <w:tc>
          <w:tcPr>
            <w:tcW w:w="2234" w:type="dxa"/>
            <w:tcBorders/>
            <w:shd w:fill="CCEEFF" w:val="clear"/>
            <w:vAlign w:val="center"/>
          </w:tcPr>
          <w:p>
            <w:pPr>
              <w:pStyle w:val="TableContents"/>
              <w:bidi w:val="0"/>
              <w:spacing w:before="0" w:after="283"/>
              <w:jc w:val="left"/>
              <w:rPr>
                <w:b/>
              </w:rPr>
            </w:pPr>
            <w:r>
              <w:rPr>
                <w:b/>
              </w:rPr>
              <w:t>Industry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2234" w:type="dxa"/>
            <w:tcBorders/>
            <w:shd w:fill="FFFFFF" w:val="clear"/>
            <w:vAlign w:val="center"/>
          </w:tcPr>
          <w:p>
            <w:pPr>
              <w:pStyle w:val="TableContents"/>
              <w:bidi w:val="0"/>
              <w:spacing w:before="0" w:after="283"/>
              <w:jc w:val="left"/>
              <w:rPr/>
            </w:pPr>
            <w:r>
              <w:rPr/>
              <w:t>Consumer Goods &amp;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968" w:name="xdx_98B_eus-gaap--InvestmentOwnedAtFairV"/>
            <w:bookmarkEnd w:id="968"/>
          </w:p>
        </w:tc>
        <w:tc>
          <w:tcPr>
            <w:tcW w:w="1220" w:type="dxa"/>
            <w:tcBorders/>
            <w:shd w:fill="FFFFFF" w:val="clear"/>
            <w:vAlign w:val="center"/>
          </w:tcPr>
          <w:p>
            <w:pPr>
              <w:pStyle w:val="TableContents"/>
              <w:bidi w:val="0"/>
              <w:spacing w:before="0" w:after="283"/>
              <w:jc w:val="right"/>
              <w:rPr/>
            </w:pPr>
            <w:r>
              <w:rPr/>
              <w:t>165,013,982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69" w:name="xdx_901_ecustom--InvestmentOwnedPercentO"/>
            <w:bookmarkEnd w:id="969"/>
            <w:r>
              <w:rPr/>
              <w:t>40.7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70" w:name="xdx_90E_eus-gaap--InvestmentOwnedPercent"/>
            <w:bookmarkEnd w:id="970"/>
            <w:r>
              <w:rPr/>
              <w:t>46.4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971" w:name="xdx_985_eus-gaap--InvestmentOwnedAtFairV"/>
            <w:bookmarkEnd w:id="971"/>
          </w:p>
        </w:tc>
        <w:tc>
          <w:tcPr>
            <w:tcW w:w="1220" w:type="dxa"/>
            <w:tcBorders/>
            <w:shd w:fill="FFFFFF" w:val="clear"/>
            <w:vAlign w:val="center"/>
          </w:tcPr>
          <w:p>
            <w:pPr>
              <w:pStyle w:val="TableContents"/>
              <w:bidi w:val="0"/>
              <w:spacing w:before="0" w:after="283"/>
              <w:jc w:val="right"/>
              <w:rPr/>
            </w:pPr>
            <w:r>
              <w:rPr/>
              <w:t>47,772,963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72" w:name="xdx_90C_ecustom--InvestmentOwnedPercentO"/>
            <w:bookmarkEnd w:id="972"/>
            <w:r>
              <w:rPr/>
              <w:t>21.2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73" w:name="xdx_907_eus-gaap--InvestmentOwnedPercent"/>
            <w:bookmarkEnd w:id="973"/>
            <w:r>
              <w:rPr/>
              <w:t>23.3</w:t>
            </w:r>
          </w:p>
        </w:tc>
        <w:tc>
          <w:tcPr>
            <w:tcW w:w="238" w:type="dxa"/>
            <w:tcBorders/>
            <w:shd w:fill="FFFFFF" w:val="clear"/>
            <w:vAlign w:val="center"/>
          </w:tcPr>
          <w:p>
            <w:pPr>
              <w:pStyle w:val="TableContents"/>
              <w:bidi w:val="0"/>
              <w:spacing w:before="0" w:after="283"/>
              <w:jc w:val="left"/>
              <w:rPr/>
            </w:pPr>
            <w:r>
              <w:rPr/>
              <w:t>%</w:t>
            </w:r>
          </w:p>
        </w:tc>
      </w:tr>
      <w:tr>
        <w:trPr/>
        <w:tc>
          <w:tcPr>
            <w:tcW w:w="2234" w:type="dxa"/>
            <w:tcBorders/>
            <w:shd w:fill="CCEEFF" w:val="clear"/>
            <w:vAlign w:val="center"/>
          </w:tcPr>
          <w:p>
            <w:pPr>
              <w:pStyle w:val="TableContents"/>
              <w:bidi w:val="0"/>
              <w:spacing w:before="0" w:after="283"/>
              <w:jc w:val="left"/>
              <w:rPr/>
            </w:pPr>
            <w:r>
              <w:rPr/>
              <w:t>Artificial Intelligence Infrastructure &amp; Applications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74" w:name="xdx_980_eus-gaap--InvestmentOwnedAtFairV"/>
            <w:bookmarkEnd w:id="974"/>
          </w:p>
        </w:tc>
        <w:tc>
          <w:tcPr>
            <w:tcW w:w="1220" w:type="dxa"/>
            <w:tcBorders/>
            <w:shd w:fill="CCEEFF" w:val="clear"/>
            <w:vAlign w:val="center"/>
          </w:tcPr>
          <w:p>
            <w:pPr>
              <w:pStyle w:val="TableContents"/>
              <w:bidi w:val="0"/>
              <w:spacing w:before="0" w:after="283"/>
              <w:jc w:val="right"/>
              <w:rPr/>
            </w:pPr>
            <w:r>
              <w:rPr/>
              <w:t>138,342,634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75" w:name="xdx_90C_ecustom--InvestmentOwnedPercentO"/>
            <w:bookmarkEnd w:id="975"/>
            <w:r>
              <w:rPr/>
              <w:t>34.1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76" w:name="xdx_900_eus-gaap--InvestmentOwnedPercent"/>
            <w:bookmarkEnd w:id="976"/>
            <w:r>
              <w:rPr/>
              <w:t>38.9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77" w:name="xdx_989_eus-gaap--InvestmentOwnedAtFairV"/>
            <w:bookmarkEnd w:id="977"/>
          </w:p>
        </w:tc>
        <w:tc>
          <w:tcPr>
            <w:tcW w:w="1220" w:type="dxa"/>
            <w:tcBorders/>
            <w:shd w:fill="CCEEFF" w:val="clear"/>
            <w:vAlign w:val="center"/>
          </w:tcPr>
          <w:p>
            <w:pPr>
              <w:pStyle w:val="TableContents"/>
              <w:bidi w:val="0"/>
              <w:spacing w:before="0" w:after="283"/>
              <w:jc w:val="right"/>
              <w:rPr/>
            </w:pPr>
            <w:r>
              <w:rPr/>
              <w:t>69,004,148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78" w:name="xdx_90A_ecustom--InvestmentOwnedPercentO"/>
            <w:bookmarkEnd w:id="978"/>
            <w:r>
              <w:rPr/>
              <w:t>30.6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79" w:name="xdx_905_eus-gaap--InvestmentOwnedPercent"/>
            <w:bookmarkEnd w:id="979"/>
            <w:r>
              <w:rPr/>
              <w:t>33.6</w:t>
            </w:r>
          </w:p>
        </w:tc>
        <w:tc>
          <w:tcPr>
            <w:tcW w:w="238" w:type="dxa"/>
            <w:tcBorders/>
            <w:shd w:fill="CCEEFF" w:val="clear"/>
            <w:vAlign w:val="center"/>
          </w:tcPr>
          <w:p>
            <w:pPr>
              <w:pStyle w:val="TableContents"/>
              <w:bidi w:val="0"/>
              <w:spacing w:before="0" w:after="283"/>
              <w:jc w:val="left"/>
              <w:rPr/>
            </w:pPr>
            <w:r>
              <w:rPr/>
              <w:t>%</w:t>
            </w:r>
          </w:p>
        </w:tc>
      </w:tr>
      <w:tr>
        <w:trPr/>
        <w:tc>
          <w:tcPr>
            <w:tcW w:w="2234" w:type="dxa"/>
            <w:tcBorders/>
            <w:shd w:fill="FFFFFF" w:val="clear"/>
            <w:vAlign w:val="center"/>
          </w:tcPr>
          <w:p>
            <w:pPr>
              <w:pStyle w:val="TableContents"/>
              <w:bidi w:val="0"/>
              <w:spacing w:before="0" w:after="283"/>
              <w:jc w:val="left"/>
              <w:rPr/>
            </w:pPr>
            <w:r>
              <w:rPr/>
              <w:t>Software-as-a-Service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80" w:name="xdx_989_eus-gaap--InvestmentOwnedAtFairV"/>
            <w:bookmarkEnd w:id="980"/>
          </w:p>
        </w:tc>
        <w:tc>
          <w:tcPr>
            <w:tcW w:w="1220" w:type="dxa"/>
            <w:tcBorders/>
            <w:shd w:fill="FFFFFF" w:val="clear"/>
            <w:vAlign w:val="center"/>
          </w:tcPr>
          <w:p>
            <w:pPr>
              <w:pStyle w:val="TableContents"/>
              <w:bidi w:val="0"/>
              <w:spacing w:before="0" w:after="283"/>
              <w:jc w:val="right"/>
              <w:rPr/>
            </w:pPr>
            <w:r>
              <w:rPr/>
              <w:t>40,597,009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81" w:name="xdx_90B_ecustom--InvestmentOwnedPercentO"/>
            <w:bookmarkEnd w:id="981"/>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82" w:name="xdx_909_eus-gaap--InvestmentOwnedPercent"/>
            <w:bookmarkEnd w:id="982"/>
            <w:r>
              <w:rPr/>
              <w:t>11.4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83" w:name="xdx_982_eus-gaap--InvestmentOwnedAtFairV"/>
            <w:bookmarkEnd w:id="983"/>
          </w:p>
        </w:tc>
        <w:tc>
          <w:tcPr>
            <w:tcW w:w="1220" w:type="dxa"/>
            <w:tcBorders/>
            <w:shd w:fill="FFFFFF" w:val="clear"/>
            <w:vAlign w:val="center"/>
          </w:tcPr>
          <w:p>
            <w:pPr>
              <w:pStyle w:val="TableContents"/>
              <w:bidi w:val="0"/>
              <w:spacing w:before="0" w:after="283"/>
              <w:jc w:val="right"/>
              <w:rPr/>
            </w:pPr>
            <w:r>
              <w:rPr/>
              <w:t>44,725,975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84" w:name="xdx_90D_ecustom--InvestmentOwnedPercentO"/>
            <w:bookmarkEnd w:id="984"/>
            <w:r>
              <w:rPr/>
              <w:t>19.8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85" w:name="xdx_90F_eus-gaap--InvestmentOwnedPercent"/>
            <w:bookmarkEnd w:id="985"/>
            <w:r>
              <w:rPr/>
              <w:t>21.8</w:t>
            </w:r>
          </w:p>
        </w:tc>
        <w:tc>
          <w:tcPr>
            <w:tcW w:w="238" w:type="dxa"/>
            <w:tcBorders/>
            <w:shd w:fill="FFFFFF" w:val="clear"/>
            <w:vAlign w:val="center"/>
          </w:tcPr>
          <w:p>
            <w:pPr>
              <w:pStyle w:val="TableContents"/>
              <w:bidi w:val="0"/>
              <w:spacing w:before="0" w:after="283"/>
              <w:jc w:val="left"/>
              <w:rPr/>
            </w:pPr>
            <w:r>
              <w:rPr/>
              <w:t>%</w:t>
            </w:r>
          </w:p>
        </w:tc>
      </w:tr>
      <w:tr>
        <w:trPr/>
        <w:tc>
          <w:tcPr>
            <w:tcW w:w="2234" w:type="dxa"/>
            <w:tcBorders/>
            <w:shd w:fill="CCEEFF" w:val="clear"/>
            <w:vAlign w:val="center"/>
          </w:tcPr>
          <w:p>
            <w:pPr>
              <w:pStyle w:val="TableContents"/>
              <w:bidi w:val="0"/>
              <w:spacing w:before="0" w:after="283"/>
              <w:jc w:val="left"/>
              <w:rPr/>
            </w:pPr>
            <w:r>
              <w:rPr/>
              <w:t>Education Technology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86" w:name="xdx_987_eus-gaap--InvestmentOwnedAtFairV"/>
            <w:bookmarkEnd w:id="986"/>
          </w:p>
        </w:tc>
        <w:tc>
          <w:tcPr>
            <w:tcW w:w="1220" w:type="dxa"/>
            <w:tcBorders/>
            <w:shd w:fill="CCEEFF" w:val="clear"/>
            <w:vAlign w:val="center"/>
          </w:tcPr>
          <w:p>
            <w:pPr>
              <w:pStyle w:val="TableContents"/>
              <w:bidi w:val="0"/>
              <w:spacing w:before="0" w:after="283"/>
              <w:jc w:val="right"/>
              <w:rPr/>
            </w:pPr>
            <w:r>
              <w:rPr/>
              <w:t>24,093,522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87" w:name="xdx_905_ecustom--InvestmentOwnedPercentO"/>
            <w:bookmarkEnd w:id="987"/>
            <w:r>
              <w:rPr/>
              <w:t>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88" w:name="xdx_902_eus-gaap--InvestmentOwnedPercent"/>
            <w:bookmarkEnd w:id="988"/>
            <w:r>
              <w:rPr/>
              <w:t>6.8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89" w:name="xdx_985_eus-gaap--InvestmentOwnedAtFairV"/>
            <w:bookmarkEnd w:id="989"/>
          </w:p>
        </w:tc>
        <w:tc>
          <w:tcPr>
            <w:tcW w:w="1220" w:type="dxa"/>
            <w:tcBorders/>
            <w:shd w:fill="CCEEFF" w:val="clear"/>
            <w:vAlign w:val="center"/>
          </w:tcPr>
          <w:p>
            <w:pPr>
              <w:pStyle w:val="TableContents"/>
              <w:bidi w:val="0"/>
              <w:spacing w:before="0" w:after="283"/>
              <w:jc w:val="right"/>
              <w:rPr/>
            </w:pPr>
            <w:r>
              <w:rPr/>
              <w:t>23,683,271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90" w:name="xdx_90A_ecustom--InvestmentOwnedPercentO"/>
            <w:bookmarkEnd w:id="990"/>
            <w:r>
              <w:rPr/>
              <w:t>10.5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91" w:name="xdx_90A_eus-gaap--InvestmentOwnedPercent"/>
            <w:bookmarkEnd w:id="991"/>
            <w:r>
              <w:rPr/>
              <w:t>11.5</w:t>
            </w:r>
          </w:p>
        </w:tc>
        <w:tc>
          <w:tcPr>
            <w:tcW w:w="238" w:type="dxa"/>
            <w:tcBorders/>
            <w:shd w:fill="CCEEFF" w:val="clear"/>
            <w:vAlign w:val="center"/>
          </w:tcPr>
          <w:p>
            <w:pPr>
              <w:pStyle w:val="TableContents"/>
              <w:bidi w:val="0"/>
              <w:spacing w:before="0" w:after="283"/>
              <w:jc w:val="left"/>
              <w:rPr/>
            </w:pPr>
            <w:r>
              <w:rPr/>
              <w:t>%</w:t>
            </w:r>
          </w:p>
        </w:tc>
      </w:tr>
      <w:tr>
        <w:trPr/>
        <w:tc>
          <w:tcPr>
            <w:tcW w:w="2234" w:type="dxa"/>
            <w:tcBorders/>
            <w:shd w:fill="FFFFFF" w:val="clear"/>
            <w:vAlign w:val="center"/>
          </w:tcPr>
          <w:p>
            <w:pPr>
              <w:pStyle w:val="TableContents"/>
              <w:bidi w:val="0"/>
              <w:spacing w:before="0" w:after="283"/>
              <w:jc w:val="left"/>
              <w:rPr/>
            </w:pPr>
            <w:r>
              <w:rPr/>
              <w:t>Logistics &amp; Supply Chain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92" w:name="xdx_98F_eus-gaap--InvestmentOwnedAtFairV"/>
            <w:bookmarkEnd w:id="992"/>
          </w:p>
        </w:tc>
        <w:tc>
          <w:tcPr>
            <w:tcW w:w="1220" w:type="dxa"/>
            <w:tcBorders/>
            <w:shd w:fill="FFFFFF" w:val="clear"/>
            <w:vAlign w:val="center"/>
          </w:tcPr>
          <w:p>
            <w:pPr>
              <w:pStyle w:val="TableContents"/>
              <w:bidi w:val="0"/>
              <w:spacing w:before="0" w:after="283"/>
              <w:jc w:val="right"/>
              <w:rPr/>
            </w:pPr>
            <w:r>
              <w:rPr/>
              <w:t>15,783,533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93" w:name="xdx_903_ecustom--InvestmentOwnedPercentO"/>
            <w:bookmarkEnd w:id="993"/>
            <w:r>
              <w:rPr/>
              <w:t>3.9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94" w:name="xdx_900_eus-gaap--InvestmentOwnedPercent"/>
            <w:bookmarkEnd w:id="994"/>
            <w:r>
              <w:rPr/>
              <w:t>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95" w:name="xdx_989_eus-gaap--InvestmentOwnedAtFairV"/>
            <w:bookmarkEnd w:id="995"/>
          </w:p>
        </w:tc>
        <w:tc>
          <w:tcPr>
            <w:tcW w:w="1220" w:type="dxa"/>
            <w:tcBorders/>
            <w:shd w:fill="FFFFFF" w:val="clear"/>
            <w:vAlign w:val="center"/>
          </w:tcPr>
          <w:p>
            <w:pPr>
              <w:pStyle w:val="TableContents"/>
              <w:bidi w:val="0"/>
              <w:spacing w:before="0" w:after="283"/>
              <w:jc w:val="right"/>
              <w:rPr/>
            </w:pPr>
            <w:r>
              <w:rPr/>
              <w:t>17,678,235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96" w:name="xdx_900_ecustom--InvestmentOwnedPercentO"/>
            <w:bookmarkEnd w:id="996"/>
            <w:r>
              <w:rPr/>
              <w:t>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pPr>
            <w:bookmarkStart w:id="997" w:name="xdx_909_eus-gaap--InvestmentOwnedPercent"/>
            <w:bookmarkEnd w:id="997"/>
            <w:r>
              <w:rPr/>
              <w:t>8.6</w:t>
            </w:r>
          </w:p>
        </w:tc>
        <w:tc>
          <w:tcPr>
            <w:tcW w:w="238" w:type="dxa"/>
            <w:tcBorders/>
            <w:shd w:fill="FFFFFF" w:val="clear"/>
            <w:vAlign w:val="center"/>
          </w:tcPr>
          <w:p>
            <w:pPr>
              <w:pStyle w:val="TableContents"/>
              <w:bidi w:val="0"/>
              <w:spacing w:before="0" w:after="283"/>
              <w:jc w:val="left"/>
              <w:rPr/>
            </w:pPr>
            <w:r>
              <w:rPr/>
              <w:t>%</w:t>
            </w:r>
          </w:p>
        </w:tc>
      </w:tr>
      <w:tr>
        <w:trPr/>
        <w:tc>
          <w:tcPr>
            <w:tcW w:w="2234" w:type="dxa"/>
            <w:tcBorders/>
            <w:shd w:fill="CCEEFF" w:val="clear"/>
            <w:vAlign w:val="center"/>
          </w:tcPr>
          <w:p>
            <w:pPr>
              <w:pStyle w:val="TableContents"/>
              <w:bidi w:val="0"/>
              <w:spacing w:before="0" w:after="283"/>
              <w:jc w:val="left"/>
              <w:rPr/>
            </w:pPr>
            <w:r>
              <w:rPr/>
              <w:t>Financial Technology &amp;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98" w:name="xdx_98E_eus-gaap--InvestmentOwnedAtFairV"/>
            <w:bookmarkEnd w:id="998"/>
          </w:p>
        </w:tc>
        <w:tc>
          <w:tcPr>
            <w:tcW w:w="1220" w:type="dxa"/>
            <w:tcBorders/>
            <w:shd w:fill="CCEEFF" w:val="clear"/>
            <w:vAlign w:val="center"/>
          </w:tcPr>
          <w:p>
            <w:pPr>
              <w:pStyle w:val="TableContents"/>
              <w:bidi w:val="0"/>
              <w:spacing w:before="0" w:after="283"/>
              <w:jc w:val="right"/>
              <w:rPr/>
            </w:pPr>
            <w:r>
              <w:rPr/>
              <w:t>14,402,080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999" w:name="xdx_909_ecustom--InvestmentOwnedPercentO"/>
            <w:bookmarkEnd w:id="999"/>
            <w:r>
              <w:rPr/>
              <w:t>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1000" w:name="xdx_90A_eus-gaap--InvestmentOwnedPercent"/>
            <w:bookmarkEnd w:id="1000"/>
            <w:r>
              <w:rPr/>
              <w:t>4.0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01" w:name="xdx_98D_eus-gaap--InvestmentOwnedAtFairV"/>
            <w:bookmarkEnd w:id="1001"/>
          </w:p>
        </w:tc>
        <w:tc>
          <w:tcPr>
            <w:tcW w:w="1220" w:type="dxa"/>
            <w:tcBorders/>
            <w:shd w:fill="CCEEFF" w:val="clear"/>
            <w:vAlign w:val="center"/>
          </w:tcPr>
          <w:p>
            <w:pPr>
              <w:pStyle w:val="TableContents"/>
              <w:bidi w:val="0"/>
              <w:spacing w:before="0" w:after="283"/>
              <w:jc w:val="right"/>
              <w:rPr/>
            </w:pPr>
            <w:r>
              <w:rPr/>
              <w:t>18,168,362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1002" w:name="xdx_906_ecustom--InvestmentOwnedPercentO"/>
            <w:bookmarkEnd w:id="1002"/>
            <w:r>
              <w:rPr/>
              <w:t>8.1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bookmarkStart w:id="1003" w:name="xdx_90B_eus-gaap--InvestmentOwnedPercent"/>
            <w:bookmarkEnd w:id="1003"/>
            <w:r>
              <w:rPr/>
              <w:t>8.8</w:t>
            </w:r>
          </w:p>
        </w:tc>
        <w:tc>
          <w:tcPr>
            <w:tcW w:w="238" w:type="dxa"/>
            <w:tcBorders/>
            <w:shd w:fill="CCEEFF" w:val="clear"/>
            <w:vAlign w:val="center"/>
          </w:tcPr>
          <w:p>
            <w:pPr>
              <w:pStyle w:val="TableContents"/>
              <w:bidi w:val="0"/>
              <w:spacing w:before="0" w:after="283"/>
              <w:jc w:val="left"/>
              <w:rPr/>
            </w:pPr>
            <w:r>
              <w:rPr/>
              <w:t>%</w:t>
            </w:r>
          </w:p>
        </w:tc>
      </w:tr>
      <w:tr>
        <w:trPr/>
        <w:tc>
          <w:tcPr>
            <w:tcW w:w="2234" w:type="dxa"/>
            <w:tcBorders/>
            <w:shd w:fill="FFFFFF" w:val="clear"/>
            <w:vAlign w:val="center"/>
          </w:tcPr>
          <w:p>
            <w:pPr>
              <w:pStyle w:val="TableContents"/>
              <w:bidi w:val="0"/>
              <w:spacing w:before="0" w:after="283"/>
              <w:jc w:val="left"/>
              <w:rPr/>
            </w:pPr>
            <w:r>
              <w:rPr/>
              <w:t>SuRo Capital Sports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4" w:name="xdx_985_eus-gaap--InvestmentOwnedAtFairV"/>
            <w:bookmarkEnd w:id="1004"/>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7,618,941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5" w:name="xdx_904_ecustom--InvestmentOwnedPercentO"/>
            <w:bookmarkEnd w:id="1005"/>
            <w:r>
              <w:rPr/>
              <w:t>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6" w:name="xdx_905_eus-gaap--InvestmentOwnedPercent"/>
            <w:bookmarkEnd w:id="1006"/>
            <w:r>
              <w:rPr/>
              <w:t>2.1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7" w:name="xdx_98E_eus-gaap--InvestmentOwnedAtFairV"/>
            <w:bookmarkEnd w:id="100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4,478,551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8" w:name="xdx_906_ecustom--InvestmentOwnedPercentO"/>
            <w:bookmarkEnd w:id="1008"/>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9" w:name="xdx_902_eus-gaap--InvestmentOwnedPercent"/>
            <w:bookmarkEnd w:id="1009"/>
            <w:r>
              <w:rPr/>
              <w:t>2.2</w:t>
            </w:r>
          </w:p>
        </w:tc>
        <w:tc>
          <w:tcPr>
            <w:tcW w:w="238" w:type="dxa"/>
            <w:tcBorders/>
            <w:shd w:fill="FFFFFF" w:val="clear"/>
            <w:vAlign w:val="center"/>
          </w:tcPr>
          <w:p>
            <w:pPr>
              <w:pStyle w:val="TableContents"/>
              <w:bidi w:val="0"/>
              <w:spacing w:before="0" w:after="283"/>
              <w:jc w:val="left"/>
              <w:rPr/>
            </w:pPr>
            <w:r>
              <w:rPr/>
              <w:t>%</w:t>
            </w:r>
          </w:p>
        </w:tc>
      </w:tr>
      <w:tr>
        <w:trPr/>
        <w:tc>
          <w:tcPr>
            <w:tcW w:w="2234"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10" w:name="xdx_982_eus-gaap--InvestmentOwnedAtFairV"/>
            <w:bookmarkEnd w:id="1010"/>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405,851,701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11" w:name="xdx_909_ecustom--InvestmentOwnedPercentO"/>
            <w:bookmarkEnd w:id="1011"/>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12" w:name="xdx_90E_eus-gaap--InvestmentOwnedPercent"/>
            <w:bookmarkEnd w:id="1012"/>
            <w:r>
              <w:rPr/>
              <w:t>114.0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13" w:name="xdx_98D_eus-gaap--InvestmentOwnedAtFairV"/>
            <w:bookmarkEnd w:id="1013"/>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225,511,505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14" w:name="xdx_90B_ecustom--InvestmentOwnedPercentO"/>
            <w:bookmarkEnd w:id="1014"/>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15" w:name="xdx_900_eus-gaap--InvestmentOwnedPercent"/>
            <w:bookmarkEnd w:id="1015"/>
            <w:r>
              <w:rPr/>
              <w:t>109.8</w:t>
            </w:r>
          </w:p>
        </w:tc>
        <w:tc>
          <w:tcPr>
            <w:tcW w:w="23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16" w:name="xdx_8A8_zwSKujB4jEcj"/>
      <w:bookmarkEnd w:id="101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details the composition of the Company’s industrial themes presented in the preceding tables:</w:t>
      </w:r>
    </w:p>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28" w:type="dxa"/>
          <w:right w:w="0" w:type="dxa"/>
        </w:tblCellMar>
      </w:tblPr>
      <w:tblGrid>
        <w:gridCol w:w="2915"/>
        <w:gridCol w:w="60"/>
        <w:gridCol w:w="2960"/>
      </w:tblGrid>
      <w:tr>
        <w:trPr/>
        <w:tc>
          <w:tcPr>
            <w:tcW w:w="29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Theme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Infrastructure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Application Fund</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 Applications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Infrastructure Fund</w:t>
            </w:r>
          </w:p>
        </w:tc>
      </w:tr>
      <w:tr>
        <w:trPr/>
        <w:tc>
          <w:tcPr>
            <w:tcW w:w="29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Managed Database and Analytics</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Goods &amp; Services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E-Commerce Marketplace</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Technology</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Lifestyle Beverage Brand</w:t>
            </w:r>
          </w:p>
        </w:tc>
      </w:tr>
      <w:tr>
        <w:trPr/>
        <w:tc>
          <w:tcPr>
            <w:tcW w:w="29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Micromobility</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Education Technology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Education</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Interactive Learning</w:t>
            </w:r>
          </w:p>
        </w:tc>
      </w:tr>
      <w:tr>
        <w:trPr/>
        <w:tc>
          <w:tcPr>
            <w:tcW w:w="29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Education</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Technology &amp; Services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Cannabis REIT</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Carbon Credit Services</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Infrastructure</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Services</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Technology Infrastructure</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 Access Technology</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Platform</w:t>
            </w:r>
          </w:p>
        </w:tc>
      </w:tr>
      <w:tr>
        <w:trPr/>
        <w:tc>
          <w:tcPr>
            <w:tcW w:w="29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Venture Investment Fund</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Logistics &amp; Supply Chain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Technology</w:t>
            </w:r>
          </w:p>
        </w:tc>
      </w:tr>
      <w:tr>
        <w:trPr/>
        <w:tc>
          <w:tcPr>
            <w:tcW w:w="29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 Automation</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Software-as-a-Service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Improvement Finance</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Knowledge Networks</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 Technology</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Productivity Software</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Technology</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Data Platform</w:t>
            </w:r>
          </w:p>
        </w:tc>
      </w:tr>
      <w:tr>
        <w:trPr/>
        <w:tc>
          <w:tcPr>
            <w:tcW w:w="29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SuRo Capital Sports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Technology</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Geolocation Technology</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Interactive Media &amp; Services</w:t>
            </w:r>
          </w:p>
        </w:tc>
      </w:tr>
      <w:tr>
        <w:trPr/>
        <w:tc>
          <w:tcPr>
            <w:tcW w:w="29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Betting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Valuation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17" w:name="xdx_89D_eus-gaap--FairValueAssetsAndLiab"/>
      <w:bookmarkEnd w:id="1017"/>
      <w:r>
        <w:rPr>
          <w:rFonts w:ascii="Times New Roman;Times;Serif" w:hAnsi="Times New Roman;Times;Serif"/>
          <w:b w:val="false"/>
          <w:i w:val="false"/>
          <w:caps w:val="false"/>
          <w:smallCaps w:val="false"/>
          <w:sz w:val="20"/>
        </w:rPr>
        <w:t>The fair values of the Company’s investments disaggregated into the three levels of the fair value hierarchy based upon the lowest level of significant input used in the valuation as of June 30, 2026 and December 31, 2025 are as follows:</w:t>
      </w:r>
    </w:p>
    <w:p>
      <w:pPr>
        <w:pStyle w:val="TextBody"/>
        <w:bidi w:val="0"/>
        <w:spacing w:before="0" w:after="0"/>
        <w:ind w:left="0" w:right="0" w:firstLine="360"/>
        <w:jc w:val="both"/>
        <w:rPr>
          <w:caps w:val="false"/>
          <w:smallCaps w:val="false"/>
        </w:rPr>
      </w:pPr>
      <w:r>
        <w:rPr>
          <w:caps w:val="false"/>
          <w:smallCaps w:val="false"/>
        </w:rPr>
        <w:t> </w:t>
      </w:r>
      <w:bookmarkStart w:id="1018" w:name="xdx_8B0_zJHOgA5c6OC2"/>
      <w:bookmarkEnd w:id="1018"/>
      <w:r>
        <w:rPr>
          <w:rFonts w:ascii="Times New Roman;Times;Serif" w:hAnsi="Times New Roman;Times;Serif"/>
          <w:b w:val="false"/>
          <w:i w:val="false"/>
          <w:caps w:val="false"/>
          <w:smallCaps w:val="false"/>
          <w:sz w:val="20"/>
        </w:rPr>
        <w:t>SCHEDULE OF FAIR VALUE OF INVESTMENT VALUATION INPUTS</w:t>
      </w:r>
    </w:p>
    <w:tbl>
      <w:tblPr>
        <w:tblW w:w="10160" w:type="dxa"/>
        <w:jc w:val="left"/>
        <w:tblInd w:w="0" w:type="dxa"/>
        <w:tblLayout w:type="fixed"/>
        <w:tblCellMar>
          <w:top w:w="0" w:type="dxa"/>
          <w:left w:w="0" w:type="dxa"/>
          <w:bottom w:w="0" w:type="dxa"/>
          <w:right w:w="0" w:type="dxa"/>
        </w:tblCellMar>
      </w:tblPr>
      <w:tblGrid>
        <w:gridCol w:w="3830"/>
        <w:gridCol w:w="60"/>
        <w:gridCol w:w="205"/>
        <w:gridCol w:w="1435"/>
        <w:gridCol w:w="60"/>
        <w:gridCol w:w="60"/>
        <w:gridCol w:w="295"/>
        <w:gridCol w:w="1180"/>
        <w:gridCol w:w="60"/>
        <w:gridCol w:w="60"/>
        <w:gridCol w:w="140"/>
        <w:gridCol w:w="1220"/>
        <w:gridCol w:w="60"/>
        <w:gridCol w:w="60"/>
        <w:gridCol w:w="140"/>
        <w:gridCol w:w="1220"/>
        <w:gridCol w:w="7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 Markets 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Identical 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Investments at Fair Value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b/>
              </w:rPr>
            </w:pPr>
            <w:r>
              <w:rPr>
                <w:b/>
              </w:rPr>
              <w:t>Private Portfolio Companies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bookmarkStart w:id="1019" w:name="xdx_98F_eus-gaap--InvestmentsFairValueDi"/>
            <w:bookmarkEnd w:id="1019"/>
          </w:p>
        </w:tc>
        <w:tc>
          <w:tcPr>
            <w:tcW w:w="14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bookmarkStart w:id="1020" w:name="xdx_981_eus-gaap--InvestmentsFairValueDi"/>
            <w:bookmarkEnd w:id="1020"/>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21" w:name="xdx_981_eus-gaap--InvestmentsFairValueDi"/>
            <w:bookmarkEnd w:id="1021"/>
          </w:p>
        </w:tc>
        <w:tc>
          <w:tcPr>
            <w:tcW w:w="1220" w:type="dxa"/>
            <w:tcBorders/>
            <w:shd w:fill="CCEEFF" w:val="clear"/>
            <w:vAlign w:val="center"/>
          </w:tcPr>
          <w:p>
            <w:pPr>
              <w:pStyle w:val="TableContents"/>
              <w:bidi w:val="0"/>
              <w:spacing w:before="0" w:after="283"/>
              <w:jc w:val="right"/>
              <w:rPr/>
            </w:pPr>
            <w:r>
              <w:rPr/>
              <w:t>354,836,112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22" w:name="xdx_984_eus-gaap--InvestmentsFairValueDi"/>
            <w:bookmarkEnd w:id="1022"/>
          </w:p>
        </w:tc>
        <w:tc>
          <w:tcPr>
            <w:tcW w:w="1220" w:type="dxa"/>
            <w:tcBorders/>
            <w:shd w:fill="CCEEFF" w:val="clear"/>
            <w:vAlign w:val="center"/>
          </w:tcPr>
          <w:p>
            <w:pPr>
              <w:pStyle w:val="TableContents"/>
              <w:bidi w:val="0"/>
              <w:spacing w:before="0" w:after="283"/>
              <w:jc w:val="right"/>
              <w:rPr/>
            </w:pPr>
            <w:r>
              <w:rPr/>
              <w:t>354,836,112</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023" w:name="xdx_98D_eus-gaap--InvestmentsFairValueDi"/>
            <w:bookmarkEnd w:id="1023"/>
          </w:p>
        </w:tc>
        <w:tc>
          <w:tcPr>
            <w:tcW w:w="14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bookmarkStart w:id="1024" w:name="xdx_984_eus-gaap--InvestmentsFairValueDi"/>
            <w:bookmarkEnd w:id="1024"/>
          </w:p>
        </w:tc>
        <w:tc>
          <w:tcPr>
            <w:tcW w:w="11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25" w:name="xdx_986_eus-gaap--InvestmentsFairValueDi"/>
            <w:bookmarkEnd w:id="1025"/>
          </w:p>
        </w:tc>
        <w:tc>
          <w:tcPr>
            <w:tcW w:w="1220" w:type="dxa"/>
            <w:tcBorders/>
            <w:shd w:fill="FFFFFF" w:val="clear"/>
            <w:vAlign w:val="center"/>
          </w:tcPr>
          <w:p>
            <w:pPr>
              <w:pStyle w:val="TableContents"/>
              <w:bidi w:val="0"/>
              <w:spacing w:before="0" w:after="283"/>
              <w:jc w:val="right"/>
              <w:rPr/>
            </w:pPr>
            <w:r>
              <w:rPr/>
              <w:t>45,390,226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26" w:name="xdx_98A_eus-gaap--InvestmentsFairValueDi"/>
            <w:bookmarkEnd w:id="1026"/>
          </w:p>
        </w:tc>
        <w:tc>
          <w:tcPr>
            <w:tcW w:w="1220" w:type="dxa"/>
            <w:tcBorders/>
            <w:shd w:fill="FFFFFF" w:val="clear"/>
            <w:vAlign w:val="center"/>
          </w:tcPr>
          <w:p>
            <w:pPr>
              <w:pStyle w:val="TableContents"/>
              <w:bidi w:val="0"/>
              <w:spacing w:before="0" w:after="283"/>
              <w:jc w:val="right"/>
              <w:rPr/>
            </w:pPr>
            <w:r>
              <w:rPr/>
              <w:t>45,390,226</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027" w:name="xdx_98F_eus-gaap--InvestmentsFairValueDi"/>
            <w:bookmarkEnd w:id="1027"/>
          </w:p>
        </w:tc>
        <w:tc>
          <w:tcPr>
            <w:tcW w:w="14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bookmarkStart w:id="1028" w:name="xdx_98F_eus-gaap--InvestmentsFairValueDi"/>
            <w:bookmarkEnd w:id="1028"/>
          </w:p>
        </w:tc>
        <w:tc>
          <w:tcPr>
            <w:tcW w:w="11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29" w:name="xdx_987_eus-gaap--InvestmentsFairValueDi"/>
            <w:bookmarkEnd w:id="1029"/>
          </w:p>
        </w:tc>
        <w:tc>
          <w:tcPr>
            <w:tcW w:w="1220" w:type="dxa"/>
            <w:tcBorders/>
            <w:shd w:fill="CCEEFF" w:val="clear"/>
            <w:vAlign w:val="center"/>
          </w:tcPr>
          <w:p>
            <w:pPr>
              <w:pStyle w:val="TableContents"/>
              <w:bidi w:val="0"/>
              <w:spacing w:before="0" w:after="283"/>
              <w:jc w:val="right"/>
              <w:rPr/>
            </w:pPr>
            <w:r>
              <w:rPr/>
              <w:t>2,713,632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30" w:name="xdx_988_eus-gaap--InvestmentsFairValueDi"/>
            <w:bookmarkEnd w:id="1030"/>
          </w:p>
        </w:tc>
        <w:tc>
          <w:tcPr>
            <w:tcW w:w="1220" w:type="dxa"/>
            <w:tcBorders/>
            <w:shd w:fill="CCEEFF" w:val="clear"/>
            <w:vAlign w:val="center"/>
          </w:tcPr>
          <w:p>
            <w:pPr>
              <w:pStyle w:val="TableContents"/>
              <w:bidi w:val="0"/>
              <w:spacing w:before="0" w:after="283"/>
              <w:jc w:val="right"/>
              <w:rPr/>
            </w:pPr>
            <w:r>
              <w:rPr/>
              <w:t>2,713,632</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Debt Investments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31" w:name="xdx_98C_eus-gaap--InvestmentsFairValueDi"/>
            <w:bookmarkEnd w:id="1031"/>
          </w:p>
        </w:tc>
        <w:tc>
          <w:tcPr>
            <w:tcW w:w="14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32" w:name="xdx_98D_eus-gaap--InvestmentsFairValueDi"/>
            <w:bookmarkEnd w:id="1032"/>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33" w:name="xdx_987_eus-gaap--InvestmentsFairValueDi"/>
            <w:bookmarkEnd w:id="1033"/>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1,192,275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34" w:name="xdx_987_eus-gaap--InvestmentsFairValueDi"/>
            <w:bookmarkEnd w:id="1034"/>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1,192,275</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Private Portfolio Companies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35" w:name="xdx_984_eus-gaap--InvestmentsFairValueDi"/>
            <w:bookmarkEnd w:id="1035"/>
          </w:p>
        </w:tc>
        <w:tc>
          <w:tcPr>
            <w:tcW w:w="14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36" w:name="xdx_983_eus-gaap--InvestmentsFairValueDi"/>
            <w:bookmarkEnd w:id="1036"/>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37" w:name="xdx_982_eus-gaap--InvestmentsFairValueDi"/>
            <w:bookmarkEnd w:id="1037"/>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404,132,245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38" w:name="xdx_988_eus-gaap--InvestmentsFairValueDi"/>
            <w:bookmarkEnd w:id="1038"/>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404,132,245</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b/>
              </w:rPr>
            </w:pPr>
            <w:r>
              <w:rPr>
                <w:b/>
              </w:rPr>
              <w:t>Publicly Traded Portfolio Companies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039" w:name="xdx_98E_eus-gaap--InvestmentsFairValueDi"/>
            <w:bookmarkEnd w:id="1039"/>
          </w:p>
        </w:tc>
        <w:tc>
          <w:tcPr>
            <w:tcW w:w="1435" w:type="dxa"/>
            <w:tcBorders/>
            <w:shd w:fill="CCEEFF" w:val="clear"/>
            <w:vAlign w:val="center"/>
          </w:tcPr>
          <w:p>
            <w:pPr>
              <w:pStyle w:val="TableContents"/>
              <w:bidi w:val="0"/>
              <w:spacing w:before="0" w:after="283"/>
              <w:jc w:val="right"/>
              <w:rPr/>
            </w:pPr>
            <w:r>
              <w:rPr/>
              <w:t>1,286,269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bookmarkStart w:id="1040" w:name="xdx_98F_eus-gaap--InvestmentsFairValueDi"/>
            <w:bookmarkEnd w:id="1040"/>
          </w:p>
        </w:tc>
        <w:tc>
          <w:tcPr>
            <w:tcW w:w="11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41" w:name="xdx_98C_eus-gaap--InvestmentsFairValueDi"/>
            <w:bookmarkEnd w:id="1041"/>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42" w:name="xdx_98A_eus-gaap--InvestmentsFairValueDi"/>
            <w:bookmarkEnd w:id="1042"/>
          </w:p>
        </w:tc>
        <w:tc>
          <w:tcPr>
            <w:tcW w:w="1220" w:type="dxa"/>
            <w:tcBorders/>
            <w:shd w:fill="CCEEFF" w:val="clear"/>
            <w:vAlign w:val="center"/>
          </w:tcPr>
          <w:p>
            <w:pPr>
              <w:pStyle w:val="TableContents"/>
              <w:bidi w:val="0"/>
              <w:spacing w:before="0" w:after="283"/>
              <w:jc w:val="right"/>
              <w:rPr/>
            </w:pPr>
            <w:r>
              <w:rPr/>
              <w:t>1,286,269</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Options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43" w:name="xdx_98D_eus-gaap--InvestmentsFairValueDi"/>
            <w:bookmarkEnd w:id="1043"/>
          </w:p>
        </w:tc>
        <w:tc>
          <w:tcPr>
            <w:tcW w:w="1435" w:type="dxa"/>
            <w:tcBorders>
              <w:bottom w:val="single" w:sz="8" w:space="0" w:color="000000"/>
            </w:tcBorders>
            <w:shd w:fill="FFFFFF" w:val="clear"/>
            <w:tcMar>
              <w:bottom w:w="28" w:type="dxa"/>
            </w:tcMar>
            <w:vAlign w:val="center"/>
          </w:tcPr>
          <w:p>
            <w:pPr>
              <w:pStyle w:val="TableContents"/>
              <w:bidi w:val="0"/>
              <w:spacing w:before="0" w:after="283"/>
              <w:jc w:val="right"/>
              <w:rPr/>
            </w:pPr>
            <w:r>
              <w:rPr/>
              <w:t>433,187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44" w:name="xdx_987_eus-gaap--InvestmentsFairValueDi"/>
            <w:bookmarkEnd w:id="1044"/>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45" w:name="xdx_980_eus-gaap--InvestmentsFairValueDi"/>
            <w:bookmarkEnd w:id="1045"/>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46" w:name="xdx_983_eus-gaap--InvestmentsFairValueDi"/>
            <w:bookmarkEnd w:id="104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433,187</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Publicly Traded Portfolio Companies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47" w:name="xdx_983_eus-gaap--InvestmentsFairValueDi"/>
            <w:bookmarkEnd w:id="1047"/>
          </w:p>
        </w:tc>
        <w:tc>
          <w:tcPr>
            <w:tcW w:w="1435" w:type="dxa"/>
            <w:tcBorders>
              <w:bottom w:val="single" w:sz="8" w:space="0" w:color="000000"/>
            </w:tcBorders>
            <w:shd w:fill="CCEEFF" w:val="clear"/>
            <w:tcMar>
              <w:bottom w:w="28" w:type="dxa"/>
            </w:tcMar>
            <w:vAlign w:val="center"/>
          </w:tcPr>
          <w:p>
            <w:pPr>
              <w:pStyle w:val="TableContents"/>
              <w:bidi w:val="0"/>
              <w:spacing w:before="0" w:after="283"/>
              <w:jc w:val="right"/>
              <w:rPr/>
            </w:pPr>
            <w:r>
              <w:rPr/>
              <w:t>1,719,456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48" w:name="xdx_98D_eus-gaap--InvestmentsFairValueDi"/>
            <w:bookmarkEnd w:id="1048"/>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49" w:name="xdx_98F_eus-gaap--InvestmentsFairValueDi"/>
            <w:bookmarkEnd w:id="104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50" w:name="xdx_987_eus-gaap--InvestmentsFairValueDi"/>
            <w:bookmarkEnd w:id="1050"/>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1,719,456</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b/>
              </w:rPr>
            </w:pPr>
            <w:r>
              <w:rPr>
                <w:b/>
              </w:rPr>
              <w:t>Total Investments at Fair Value</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51" w:name="xdx_983_eus-gaap--InvestmentsFairValueDi"/>
            <w:bookmarkEnd w:id="1051"/>
          </w:p>
        </w:tc>
        <w:tc>
          <w:tcPr>
            <w:tcW w:w="1435" w:type="dxa"/>
            <w:tcBorders>
              <w:bottom w:val="double" w:sz="6" w:space="0" w:color="000000"/>
            </w:tcBorders>
            <w:shd w:fill="FFFFFF" w:val="clear"/>
            <w:tcMar>
              <w:bottom w:w="28" w:type="dxa"/>
            </w:tcMar>
            <w:vAlign w:val="center"/>
          </w:tcPr>
          <w:p>
            <w:pPr>
              <w:pStyle w:val="TableContents"/>
              <w:bidi w:val="0"/>
              <w:spacing w:before="0" w:after="283"/>
              <w:jc w:val="right"/>
              <w:rPr/>
            </w:pPr>
            <w:r>
              <w:rPr/>
              <w:t>1,719,456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52" w:name="xdx_98A_eus-gaap--InvestmentsFairValueDi"/>
            <w:bookmarkEnd w:id="1052"/>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53" w:name="xdx_982_eus-gaap--InvestmentsFairValueDi"/>
            <w:bookmarkEnd w:id="1053"/>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404,132,245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54" w:name="xdx_987_eus-gaap--InvestmentsFairValueDi"/>
            <w:bookmarkEnd w:id="1054"/>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405,851,701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55" w:name="xdx_F01_zvGNHuUBG54i"/>
            <w:bookmarkEnd w:id="1055"/>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56" w:name="xdx_F1A_z6NcNyh6uMth"/>
            <w:bookmarkEnd w:id="1056"/>
            <w:r>
              <w:rPr>
                <w:rFonts w:ascii="Times New Roman;Times;Serif" w:hAnsi="Times New Roman;Times;Serif"/>
                <w:b w:val="false"/>
                <w:i w:val="false"/>
                <w:caps w:val="false"/>
                <w:smallCaps w:val="false"/>
                <w:sz w:val="20"/>
              </w:rPr>
              <w:t>Preferred Stock also includes the Company’s investment in the Class A Interest of ARK Type One Deep Ventures Fund LLC which is invested in the Series A-2 Preferred Shares of OpenAI Global, LLC, the Company’s investment in the Membership Interest of IH10, LLC which is invested in the Series B Preferred Shares of VAST Data, Ltd. through an SPV, and the Company’s investment in the Class A Interest and Class B Interest of Magnetar Opportunity 2025-4 LP which is invested in the Series B Preferred Shares of TensorWave, Inc.</w:t>
            </w:r>
          </w:p>
        </w:tc>
      </w:tr>
      <w:tr>
        <w:trPr/>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57" w:name="xdx_F0E_zwpyKZnwvYEi"/>
            <w:bookmarkEnd w:id="1057"/>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58" w:name="xdx_F18_zUt9avVpPGp3"/>
            <w:bookmarkEnd w:id="1058"/>
            <w:r>
              <w:rPr>
                <w:rFonts w:ascii="Times New Roman;Times;Serif" w:hAnsi="Times New Roman;Times;Serif"/>
                <w:b w:val="false"/>
                <w:i w:val="false"/>
                <w:caps w:val="false"/>
                <w:smallCaps w:val="false"/>
                <w:sz w:val="20"/>
              </w:rPr>
              <w:t>Common Stock in Private Portfolio Companies also includes the Company’s Limited Partner Fund Investment in True Global Ventures 4 Plus Pte Ltd. and the Company’s investment in the Class A Interest of CW Opportunity 2 LP which is invested in Class A Common Stock of CoreWeave, Inc.</w:t>
            </w:r>
          </w:p>
        </w:tc>
      </w:tr>
      <w:tr>
        <w:trPr/>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59" w:name="xdx_F0C_z7mTU0OCK0pj"/>
            <w:bookmarkEnd w:id="1059"/>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60" w:name="xdx_F18_zXKMrANy6Qoj"/>
            <w:bookmarkEnd w:id="1060"/>
            <w:r>
              <w:rPr>
                <w:rFonts w:ascii="Times New Roman;Times;Serif" w:hAnsi="Times New Roman;Times;Serif"/>
                <w:b w:val="false"/>
                <w:i w:val="false"/>
                <w:caps w:val="false"/>
                <w:smallCaps w:val="false"/>
                <w:sz w:val="20"/>
              </w:rPr>
              <w:t>Options in Private Portfolio Companies also includes the Company’s investment in the SAFE of PayJoy, Inc.</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720" w:right="0" w:hanging="720"/>
        <w:jc w:val="both"/>
        <w:rPr>
          <w:caps w:val="false"/>
          <w:smallCaps w:val="false"/>
        </w:rPr>
      </w:pPr>
      <w:r>
        <w:rPr>
          <w:caps w:val="false"/>
          <w:smallCaps w:val="false"/>
        </w:rPr>
        <w:t> </w:t>
      </w:r>
    </w:p>
    <w:tbl>
      <w:tblPr>
        <w:tblW w:w="10159" w:type="dxa"/>
        <w:jc w:val="left"/>
        <w:tblInd w:w="0" w:type="dxa"/>
        <w:tblLayout w:type="fixed"/>
        <w:tblCellMar>
          <w:top w:w="0" w:type="dxa"/>
          <w:left w:w="0" w:type="dxa"/>
          <w:bottom w:w="0" w:type="dxa"/>
          <w:right w:w="0" w:type="dxa"/>
        </w:tblCellMar>
      </w:tblPr>
      <w:tblGrid>
        <w:gridCol w:w="3830"/>
        <w:gridCol w:w="60"/>
        <w:gridCol w:w="205"/>
        <w:gridCol w:w="1435"/>
        <w:gridCol w:w="60"/>
        <w:gridCol w:w="60"/>
        <w:gridCol w:w="321"/>
        <w:gridCol w:w="1153"/>
        <w:gridCol w:w="60"/>
        <w:gridCol w:w="60"/>
        <w:gridCol w:w="140"/>
        <w:gridCol w:w="1220"/>
        <w:gridCol w:w="60"/>
        <w:gridCol w:w="60"/>
        <w:gridCol w:w="140"/>
        <w:gridCol w:w="1220"/>
        <w:gridCol w:w="7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 Markets 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Identical 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Investments at Fair Value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b/>
              </w:rPr>
            </w:pPr>
            <w:r>
              <w:rPr>
                <w:b/>
              </w:rPr>
              <w:t>Private Portfolio Companies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bookmarkStart w:id="1061" w:name="xdx_98A_eus-gaap--InvestmentsFairValueDi"/>
            <w:bookmarkEnd w:id="1061"/>
          </w:p>
        </w:tc>
        <w:tc>
          <w:tcPr>
            <w:tcW w:w="14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bookmarkStart w:id="1062" w:name="xdx_98D_eus-gaap--InvestmentsFairValueDi"/>
            <w:bookmarkEnd w:id="1062"/>
          </w:p>
        </w:tc>
        <w:tc>
          <w:tcPr>
            <w:tcW w:w="11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63" w:name="xdx_982_eus-gaap--InvestmentsFairValueDi"/>
            <w:bookmarkEnd w:id="1063"/>
          </w:p>
        </w:tc>
        <w:tc>
          <w:tcPr>
            <w:tcW w:w="1220" w:type="dxa"/>
            <w:tcBorders/>
            <w:shd w:fill="CCEEFF" w:val="clear"/>
            <w:vAlign w:val="center"/>
          </w:tcPr>
          <w:p>
            <w:pPr>
              <w:pStyle w:val="TableContents"/>
              <w:bidi w:val="0"/>
              <w:spacing w:before="0" w:after="283"/>
              <w:jc w:val="right"/>
              <w:rPr/>
            </w:pPr>
            <w:r>
              <w:rPr/>
              <w:t>169,631,231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64" w:name="xdx_981_eus-gaap--InvestmentsFairValueDi"/>
            <w:bookmarkEnd w:id="1064"/>
          </w:p>
        </w:tc>
        <w:tc>
          <w:tcPr>
            <w:tcW w:w="1220" w:type="dxa"/>
            <w:tcBorders/>
            <w:shd w:fill="CCEEFF" w:val="clear"/>
            <w:vAlign w:val="center"/>
          </w:tcPr>
          <w:p>
            <w:pPr>
              <w:pStyle w:val="TableContents"/>
              <w:bidi w:val="0"/>
              <w:spacing w:before="0" w:after="283"/>
              <w:jc w:val="right"/>
              <w:rPr/>
            </w:pPr>
            <w:r>
              <w:rPr/>
              <w:t>169,631,231</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065" w:name="xdx_983_eus-gaap--InvestmentsFairValueDi"/>
            <w:bookmarkEnd w:id="1065"/>
          </w:p>
        </w:tc>
        <w:tc>
          <w:tcPr>
            <w:tcW w:w="14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bookmarkStart w:id="1066" w:name="xdx_98B_eus-gaap--InvestmentsFairValueDi"/>
            <w:bookmarkEnd w:id="1066"/>
          </w:p>
        </w:tc>
        <w:tc>
          <w:tcPr>
            <w:tcW w:w="11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67" w:name="xdx_982_eus-gaap--InvestmentsFairValueDi"/>
            <w:bookmarkEnd w:id="1067"/>
          </w:p>
        </w:tc>
        <w:tc>
          <w:tcPr>
            <w:tcW w:w="1220" w:type="dxa"/>
            <w:tcBorders/>
            <w:shd w:fill="FFFFFF" w:val="clear"/>
            <w:vAlign w:val="center"/>
          </w:tcPr>
          <w:p>
            <w:pPr>
              <w:pStyle w:val="TableContents"/>
              <w:bidi w:val="0"/>
              <w:spacing w:before="0" w:after="283"/>
              <w:jc w:val="right"/>
              <w:rPr/>
            </w:pPr>
            <w:r>
              <w:rPr/>
              <w:t>46,713,129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68" w:name="xdx_98D_eus-gaap--InvestmentsFairValueDi"/>
            <w:bookmarkEnd w:id="1068"/>
          </w:p>
        </w:tc>
        <w:tc>
          <w:tcPr>
            <w:tcW w:w="1220" w:type="dxa"/>
            <w:tcBorders/>
            <w:shd w:fill="FFFFFF" w:val="clear"/>
            <w:vAlign w:val="center"/>
          </w:tcPr>
          <w:p>
            <w:pPr>
              <w:pStyle w:val="TableContents"/>
              <w:bidi w:val="0"/>
              <w:spacing w:before="0" w:after="283"/>
              <w:jc w:val="right"/>
              <w:rPr/>
            </w:pPr>
            <w:r>
              <w:rPr/>
              <w:t>46,713,129</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069" w:name="xdx_985_eus-gaap--InvestmentsFairValueDi"/>
            <w:bookmarkEnd w:id="1069"/>
          </w:p>
        </w:tc>
        <w:tc>
          <w:tcPr>
            <w:tcW w:w="14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bookmarkStart w:id="1070" w:name="xdx_98A_eus-gaap--InvestmentsFairValueDi"/>
            <w:bookmarkEnd w:id="1070"/>
          </w:p>
        </w:tc>
        <w:tc>
          <w:tcPr>
            <w:tcW w:w="11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71" w:name="xdx_984_eus-gaap--InvestmentsFairValueDi"/>
            <w:bookmarkEnd w:id="1071"/>
          </w:p>
        </w:tc>
        <w:tc>
          <w:tcPr>
            <w:tcW w:w="1220" w:type="dxa"/>
            <w:tcBorders/>
            <w:shd w:fill="CCEEFF" w:val="clear"/>
            <w:vAlign w:val="center"/>
          </w:tcPr>
          <w:p>
            <w:pPr>
              <w:pStyle w:val="TableContents"/>
              <w:bidi w:val="0"/>
              <w:spacing w:before="0" w:after="283"/>
              <w:jc w:val="right"/>
              <w:rPr/>
            </w:pPr>
            <w:r>
              <w:rPr/>
              <w:t>4,201,543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72" w:name="xdx_986_eus-gaap--InvestmentsFairValueDi"/>
            <w:bookmarkEnd w:id="1072"/>
          </w:p>
        </w:tc>
        <w:tc>
          <w:tcPr>
            <w:tcW w:w="1220" w:type="dxa"/>
            <w:tcBorders/>
            <w:shd w:fill="CCEEFF" w:val="clear"/>
            <w:vAlign w:val="center"/>
          </w:tcPr>
          <w:p>
            <w:pPr>
              <w:pStyle w:val="TableContents"/>
              <w:bidi w:val="0"/>
              <w:spacing w:before="0" w:after="283"/>
              <w:jc w:val="right"/>
              <w:rPr/>
            </w:pPr>
            <w:r>
              <w:rPr/>
              <w:t>4,201,543</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Debt Investments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73" w:name="xdx_98C_eus-gaap--InvestmentsFairValueDi"/>
            <w:bookmarkEnd w:id="1073"/>
          </w:p>
        </w:tc>
        <w:tc>
          <w:tcPr>
            <w:tcW w:w="14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74" w:name="xdx_983_eus-gaap--InvestmentsFairValueDi"/>
            <w:bookmarkEnd w:id="1074"/>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75" w:name="xdx_981_eus-gaap--InvestmentsFairValueDi"/>
            <w:bookmarkEnd w:id="1075"/>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756,339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76" w:name="xdx_984_eus-gaap--InvestmentsFairValueDi"/>
            <w:bookmarkEnd w:id="107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756,339</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Private Portfolio Companies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7" w:name="xdx_989_eus-gaap--InvestmentsFairValueDi"/>
            <w:bookmarkEnd w:id="1077"/>
          </w:p>
        </w:tc>
        <w:tc>
          <w:tcPr>
            <w:tcW w:w="14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8" w:name="xdx_98B_eus-gaap--InvestmentsFairValueDi"/>
            <w:bookmarkEnd w:id="1078"/>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9" w:name="xdx_982_eus-gaap--InvestmentsFairValueDi"/>
            <w:bookmarkEnd w:id="107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221,302,242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80" w:name="xdx_988_eus-gaap--InvestmentsFairValueDi"/>
            <w:bookmarkEnd w:id="1080"/>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221,302,242</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b/>
              </w:rPr>
            </w:pPr>
            <w:r>
              <w:rPr>
                <w:b/>
              </w:rPr>
              <w:t>Publicly Traded Portfolio Companies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081" w:name="xdx_982_eus-gaap--InvestmentsFairValueDi"/>
            <w:bookmarkEnd w:id="1081"/>
          </w:p>
        </w:tc>
        <w:tc>
          <w:tcPr>
            <w:tcW w:w="1435" w:type="dxa"/>
            <w:tcBorders/>
            <w:shd w:fill="CCEEFF" w:val="clear"/>
            <w:vAlign w:val="center"/>
          </w:tcPr>
          <w:p>
            <w:pPr>
              <w:pStyle w:val="TableContents"/>
              <w:bidi w:val="0"/>
              <w:spacing w:before="0" w:after="283"/>
              <w:jc w:val="right"/>
              <w:rPr/>
            </w:pPr>
            <w:r>
              <w:rPr/>
              <w:t>3,586,956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bookmarkStart w:id="1082" w:name="xdx_983_eus-gaap--InvestmentsFairValueDi"/>
            <w:bookmarkEnd w:id="1082"/>
          </w:p>
        </w:tc>
        <w:tc>
          <w:tcPr>
            <w:tcW w:w="11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83" w:name="xdx_98C_eus-gaap--InvestmentsFairValueDi"/>
            <w:bookmarkEnd w:id="1083"/>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84" w:name="xdx_985_eus-gaap--InvestmentsFairValueDi"/>
            <w:bookmarkEnd w:id="1084"/>
          </w:p>
        </w:tc>
        <w:tc>
          <w:tcPr>
            <w:tcW w:w="1220" w:type="dxa"/>
            <w:tcBorders/>
            <w:shd w:fill="CCEEFF" w:val="clear"/>
            <w:vAlign w:val="center"/>
          </w:tcPr>
          <w:p>
            <w:pPr>
              <w:pStyle w:val="TableContents"/>
              <w:bidi w:val="0"/>
              <w:spacing w:before="0" w:after="283"/>
              <w:jc w:val="right"/>
              <w:rPr/>
            </w:pPr>
            <w:r>
              <w:rPr/>
              <w:t>3,586,956</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Options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85" w:name="xdx_98D_eus-gaap--InvestmentsFairValueDi"/>
            <w:bookmarkEnd w:id="1085"/>
          </w:p>
        </w:tc>
        <w:tc>
          <w:tcPr>
            <w:tcW w:w="1435" w:type="dxa"/>
            <w:tcBorders>
              <w:bottom w:val="single" w:sz="8" w:space="0" w:color="000000"/>
            </w:tcBorders>
            <w:shd w:fill="FFFFFF" w:val="clear"/>
            <w:tcMar>
              <w:bottom w:w="28" w:type="dxa"/>
            </w:tcMar>
            <w:vAlign w:val="center"/>
          </w:tcPr>
          <w:p>
            <w:pPr>
              <w:pStyle w:val="TableContents"/>
              <w:bidi w:val="0"/>
              <w:spacing w:before="0" w:after="283"/>
              <w:jc w:val="right"/>
              <w:rPr/>
            </w:pPr>
            <w:r>
              <w:rPr/>
              <w:t>622,307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86" w:name="xdx_98F_eus-gaap--InvestmentsFairValueDi"/>
            <w:bookmarkEnd w:id="1086"/>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87" w:name="xdx_981_eus-gaap--InvestmentsFairValueDi"/>
            <w:bookmarkEnd w:id="108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88" w:name="xdx_982_eus-gaap--InvestmentsFairValueDi"/>
            <w:bookmarkEnd w:id="1088"/>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622,307</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Publicly Traded Portfolio Companies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89" w:name="xdx_98B_eus-gaap--InvestmentsFairValueDi"/>
            <w:bookmarkEnd w:id="1089"/>
          </w:p>
        </w:tc>
        <w:tc>
          <w:tcPr>
            <w:tcW w:w="1435" w:type="dxa"/>
            <w:tcBorders>
              <w:bottom w:val="single" w:sz="8" w:space="0" w:color="000000"/>
            </w:tcBorders>
            <w:shd w:fill="CCEEFF" w:val="clear"/>
            <w:tcMar>
              <w:bottom w:w="28" w:type="dxa"/>
            </w:tcMar>
            <w:vAlign w:val="center"/>
          </w:tcPr>
          <w:p>
            <w:pPr>
              <w:pStyle w:val="TableContents"/>
              <w:bidi w:val="0"/>
              <w:spacing w:before="0" w:after="283"/>
              <w:jc w:val="right"/>
              <w:rPr/>
            </w:pPr>
            <w:r>
              <w:rPr/>
              <w:t>4,209,263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0" w:name="xdx_987_eus-gaap--InvestmentsFairValueDi"/>
            <w:bookmarkEnd w:id="1090"/>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1" w:name="xdx_98E_eus-gaap--InvestmentsFairValueDi"/>
            <w:bookmarkEnd w:id="1091"/>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2" w:name="xdx_989_eus-gaap--InvestmentsFairValueDi"/>
            <w:bookmarkEnd w:id="1092"/>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4,209,263</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b/>
              </w:rPr>
            </w:pPr>
            <w:r>
              <w:rPr>
                <w:b/>
              </w:rPr>
              <w:t>Total Investments at Fair Value</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93" w:name="xdx_98E_eus-gaap--InvestmentsFairValueDi"/>
            <w:bookmarkEnd w:id="1093"/>
          </w:p>
        </w:tc>
        <w:tc>
          <w:tcPr>
            <w:tcW w:w="1435" w:type="dxa"/>
            <w:tcBorders>
              <w:bottom w:val="double" w:sz="6" w:space="0" w:color="000000"/>
            </w:tcBorders>
            <w:shd w:fill="FFFFFF" w:val="clear"/>
            <w:tcMar>
              <w:bottom w:w="28" w:type="dxa"/>
            </w:tcMar>
            <w:vAlign w:val="center"/>
          </w:tcPr>
          <w:p>
            <w:pPr>
              <w:pStyle w:val="TableContents"/>
              <w:bidi w:val="0"/>
              <w:spacing w:before="0" w:after="283"/>
              <w:jc w:val="right"/>
              <w:rPr/>
            </w:pPr>
            <w:r>
              <w:rPr/>
              <w:t>4,209,263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94" w:name="xdx_989_eus-gaap--InvestmentsFairValueDi"/>
            <w:bookmarkEnd w:id="1094"/>
          </w:p>
        </w:tc>
        <w:tc>
          <w:tcPr>
            <w:tcW w:w="115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95" w:name="xdx_986_eus-gaap--InvestmentsFairValueDi"/>
            <w:bookmarkEnd w:id="1095"/>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221,302,242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96" w:name="xdx_986_eus-gaap--InvestmentsFairValueDi"/>
            <w:bookmarkEnd w:id="1096"/>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225,511,505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097" w:name="xdx_F07_zGtc6HMZPU14"/>
            <w:bookmarkEnd w:id="1097"/>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98" w:name="xdx_F14_zeX0j7QpKKw5"/>
            <w:bookmarkEnd w:id="1098"/>
            <w:r>
              <w:rPr>
                <w:rFonts w:ascii="Times New Roman;Times;Serif" w:hAnsi="Times New Roman;Times;Serif"/>
                <w:b w:val="false"/>
                <w:i w:val="false"/>
                <w:caps w:val="false"/>
                <w:smallCaps w:val="false"/>
                <w:sz w:val="20"/>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099" w:name="xdx_F0D_zXKG1XOkMsci"/>
            <w:bookmarkEnd w:id="1099"/>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00" w:name="xdx_F1E_zr0nNrKv6Uf7"/>
            <w:bookmarkEnd w:id="1100"/>
            <w:r>
              <w:rPr>
                <w:rFonts w:ascii="Times New Roman;Times;Serif" w:hAnsi="Times New Roman;Times;Serif"/>
                <w:b w:val="false"/>
                <w:i w:val="false"/>
                <w:caps w:val="false"/>
                <w:smallCaps w:val="false"/>
                <w:sz w:val="20"/>
              </w:rPr>
              <w:t>Common Stock in Private Portfolio Companies also includes the Company’s Limited Partner Fund Investment in True Global Ventures 4 Plus Pte Ltd. and the Company’s investment in the Class A Interest of CW Opportunity 2 LP which is invested in Class A Common Stock of CoreWeave, Inc.</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01" w:name="xdx_F0C_z1OiBRBM6RQa"/>
            <w:bookmarkEnd w:id="1101"/>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02" w:name="xdx_F1B_zn9mRtxgwEwd"/>
            <w:bookmarkEnd w:id="1102"/>
            <w:r>
              <w:rPr>
                <w:rFonts w:ascii="Times New Roman;Times;Serif" w:hAnsi="Times New Roman;Times;Serif"/>
                <w:b w:val="false"/>
                <w:i w:val="false"/>
                <w:caps w:val="false"/>
                <w:smallCaps w:val="false"/>
                <w:sz w:val="20"/>
              </w:rPr>
              <w:t>Options in Private Portfolio Companies also includes the Company’s investments in the SAFEs of Orchard Technologies, Inc., PayJoy, Inc., and Whoop, Inc.</w:t>
            </w:r>
          </w:p>
        </w:tc>
      </w:tr>
    </w:tbl>
    <w:p>
      <w:pPr>
        <w:pStyle w:val="TextBody"/>
        <w:bidi w:val="0"/>
        <w:spacing w:before="0" w:after="0"/>
        <w:ind w:left="720" w:right="0" w:hanging="720"/>
        <w:jc w:val="both"/>
        <w:rPr>
          <w:caps w:val="false"/>
          <w:smallCaps w:val="false"/>
        </w:rPr>
      </w:pPr>
      <w:bookmarkStart w:id="1103" w:name="xdx_8A2_z4VP42GFRjq1"/>
      <w:bookmarkEnd w:id="110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Unobservable Inputs for Level 3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tables below provide quantitative information about the fair value measurements of the Company’s Level 3 assets as of June 30, 2026 and December 31, 2025.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June 30, 2026 and December 31, 2025. Significant changes in the inputs in isolation would result in a significant change in the fair value measurement, depending on the input and the materiality of the investment.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 for more detail.</w:t>
      </w:r>
    </w:p>
    <w:p>
      <w:pPr>
        <w:pStyle w:val="TextBody"/>
        <w:bidi w:val="0"/>
        <w:spacing w:before="0" w:after="0"/>
        <w:ind w:left="0" w:right="0" w:firstLine="360"/>
        <w:jc w:val="both"/>
        <w:rPr>
          <w:caps w:val="false"/>
          <w:smallCaps w:val="false"/>
        </w:rPr>
      </w:pPr>
      <w:bookmarkStart w:id="1104" w:name="xdx_896_eus-gaap--FairValueAssetsMeasure"/>
      <w:bookmarkEnd w:id="1104"/>
      <w:r>
        <w:rPr>
          <w:caps w:val="false"/>
          <w:smallCaps w:val="false"/>
        </w:rPr>
        <w:t> </w:t>
      </w:r>
      <w:bookmarkStart w:id="1105" w:name="xdx_8B8_zfJynVVAhNWc"/>
      <w:bookmarkEnd w:id="1105"/>
      <w:r>
        <w:rPr>
          <w:rFonts w:ascii="Times New Roman;Times;Serif" w:hAnsi="Times New Roman;Times;Serif"/>
          <w:b w:val="false"/>
          <w:i w:val="false"/>
          <w:caps w:val="false"/>
          <w:smallCaps w:val="false"/>
          <w:sz w:val="20"/>
        </w:rPr>
        <w:t>SCHEDULE OF FAIR VALUE OF ASSETS ON UNOBSERVABLE INPUT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69"/>
        <w:gridCol w:w="60"/>
        <w:gridCol w:w="1160"/>
        <w:gridCol w:w="60"/>
        <w:gridCol w:w="1749"/>
        <w:gridCol w:w="60"/>
        <w:gridCol w:w="2114"/>
        <w:gridCol w:w="60"/>
        <w:gridCol w:w="1873"/>
      </w:tblGrid>
      <w:tr>
        <w:trPr/>
        <w:tc>
          <w:tcPr>
            <w:tcW w:w="306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w:t>
              <w:br/>
              <w:t>Approach/</w:t>
              <w:br/>
              <w:t>Technique</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 Inputs</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br/>
              <w:t>(Weighted Average)</w:t>
            </w:r>
            <w:r>
              <w:rPr>
                <w:rFonts w:ascii="Times New Roman;Times;Serif" w:hAnsi="Times New Roman;Times;Serif"/>
                <w:b/>
                <w:i w:val="false"/>
                <w:caps w:val="false"/>
                <w:smallCaps w:val="false"/>
                <w:position w:val="7"/>
                <w:sz w:val="16"/>
                <w:sz w:val="20"/>
              </w:rPr>
              <w:t>(3)</w:t>
            </w:r>
          </w:p>
        </w:tc>
      </w:tr>
      <w:tr>
        <w:trPr/>
        <w:tc>
          <w:tcPr>
            <w:tcW w:w="306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in private companies</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06" w:name="xdx_906_eus-gaap--AssetsFairValueDisclos"/>
            <w:bookmarkEnd w:id="1106"/>
            <w:r>
              <w:rPr>
                <w:rFonts w:ascii="Times New Roman;Times;Serif" w:hAnsi="Times New Roman;Times;Serif"/>
                <w:b w:val="false"/>
                <w:i w:val="false"/>
                <w:caps w:val="false"/>
                <w:smallCaps w:val="false"/>
                <w:sz w:val="20"/>
              </w:rPr>
              <w:t>354,836,112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07" w:name="xdx_906_ecustom--ValuationTechniqueAndIn"/>
            <w:bookmarkEnd w:id="1107"/>
            <w:r>
              <w:rPr>
                <w:rFonts w:ascii="Times New Roman;Times;Serif" w:hAnsi="Times New Roman;Times;Serif"/>
                <w:b w:val="false"/>
                <w:i w:val="false"/>
                <w:caps w:val="false"/>
                <w:smallCaps w:val="false"/>
                <w:sz w:val="20"/>
              </w:rPr>
              <w:t>Market Approach</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08" w:name="xdx_906_ecustom--UnobservationInputDescr"/>
            <w:bookmarkEnd w:id="1108"/>
            <w:r>
              <w:rPr>
                <w:rFonts w:ascii="Times New Roman;Times;Serif" w:hAnsi="Times New Roman;Times;Serif"/>
                <w:b w:val="false"/>
                <w:i w:val="false"/>
                <w:caps w:val="false"/>
                <w:smallCaps w:val="false"/>
                <w:sz w:val="20"/>
              </w:rPr>
              <w:t>Revenue Multiples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09" w:name="xdx_908_eus-gaap--DerivativeAssetLiabili"/>
            <w:bookmarkEnd w:id="1109"/>
            <w:r>
              <w:rPr>
                <w:rFonts w:ascii="Times New Roman;Times;Serif" w:hAnsi="Times New Roman;Times;Serif"/>
                <w:b w:val="false"/>
                <w:i w:val="false"/>
                <w:caps w:val="false"/>
                <w:smallCaps w:val="false"/>
                <w:sz w:val="20"/>
              </w:rPr>
              <w:t xml:space="preserve">0.52x - </w:t>
            </w:r>
            <w:bookmarkStart w:id="1110" w:name="xdx_90A_eus-gaap--DerivativeAssetLiabili"/>
            <w:bookmarkEnd w:id="1110"/>
            <w:r>
              <w:rPr>
                <w:rFonts w:ascii="Times New Roman;Times;Serif" w:hAnsi="Times New Roman;Times;Serif"/>
                <w:b w:val="false"/>
                <w:i w:val="false"/>
                <w:caps w:val="false"/>
                <w:smallCaps w:val="false"/>
                <w:sz w:val="20"/>
              </w:rPr>
              <w:t>5.12x (</w:t>
            </w:r>
            <w:bookmarkStart w:id="1111" w:name="xdx_902_eus-gaap--DerivativeAssetLiabili"/>
            <w:bookmarkEnd w:id="1111"/>
            <w:r>
              <w:rPr>
                <w:rFonts w:ascii="Times New Roman;Times;Serif" w:hAnsi="Times New Roman;Times;Serif"/>
                <w:b w:val="false"/>
                <w:i w:val="false"/>
                <w:caps w:val="false"/>
                <w:smallCaps w:val="false"/>
                <w:sz w:val="20"/>
              </w:rPr>
              <w:t>2.28x)</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12" w:name="xdx_908_ecustom--UnobservationInputDescr"/>
            <w:bookmarkEnd w:id="1112"/>
            <w:r>
              <w:rPr>
                <w:rFonts w:ascii="Times New Roman;Times;Serif" w:hAnsi="Times New Roman;Times;Serif"/>
                <w:b w:val="false"/>
                <w:i w:val="false"/>
                <w:caps w:val="false"/>
                <w:smallCaps w:val="false"/>
                <w:sz w:val="20"/>
              </w:rPr>
              <w:t>Precedent Transactions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13" w:name="xdx_907_eus-gaap--DerivativeAssetLiabili"/>
            <w:bookmarkEnd w:id="1113"/>
            <w:r>
              <w:rPr>
                <w:rFonts w:ascii="Times New Roman;Times;Serif" w:hAnsi="Times New Roman;Times;Serif"/>
                <w:b w:val="false"/>
                <w:i w:val="false"/>
                <w:caps w:val="false"/>
                <w:smallCaps w:val="false"/>
                <w:sz w:val="20"/>
              </w:rPr>
              <w:t xml:space="preserve">25% - </w:t>
            </w:r>
            <w:bookmarkStart w:id="1114" w:name="xdx_900_eus-gaap--DerivativeAssetLiabili"/>
            <w:bookmarkEnd w:id="1114"/>
            <w:r>
              <w:rPr>
                <w:rFonts w:ascii="Times New Roman;Times;Serif" w:hAnsi="Times New Roman;Times;Serif"/>
                <w:b w:val="false"/>
                <w:i w:val="false"/>
                <w:caps w:val="false"/>
                <w:smallCaps w:val="false"/>
                <w:sz w:val="20"/>
              </w:rPr>
              <w:t>100% (</w:t>
            </w:r>
            <w:bookmarkStart w:id="1115" w:name="xdx_908_eus-gaap--DerivativeAssetLiabili"/>
            <w:bookmarkEnd w:id="1115"/>
            <w:r>
              <w:rPr>
                <w:rFonts w:ascii="Times New Roman;Times;Serif" w:hAnsi="Times New Roman;Times;Serif"/>
                <w:b w:val="false"/>
                <w:i w:val="false"/>
                <w:caps w:val="false"/>
                <w:smallCaps w:val="false"/>
                <w:sz w:val="20"/>
              </w:rPr>
              <w:t>95%)</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16" w:name="xdx_90E_ecustom--ValuationTechniqueAndIn"/>
            <w:bookmarkEnd w:id="1116"/>
            <w:r>
              <w:rPr>
                <w:rFonts w:ascii="Times New Roman;Times;Serif" w:hAnsi="Times New Roman;Times;Serif"/>
                <w:b w:val="false"/>
                <w:i w:val="false"/>
                <w:caps w:val="false"/>
                <w:smallCaps w:val="false"/>
                <w:sz w:val="20"/>
              </w:rPr>
              <w:t>PWERM</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17" w:name="xdx_909_ecustom--UnobservationInputDescr"/>
            <w:bookmarkEnd w:id="1117"/>
            <w:r>
              <w:rPr>
                <w:rFonts w:ascii="Times New Roman;Times;Serif" w:hAnsi="Times New Roman;Times;Serif"/>
                <w:b w:val="false"/>
                <w:i w:val="false"/>
                <w:caps w:val="false"/>
                <w:smallCaps w:val="false"/>
                <w:sz w:val="20"/>
              </w:rPr>
              <w:t>Revenue Multiples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18" w:name="xdx_906_eus-gaap--DerivativeAssetLiabili"/>
            <w:bookmarkEnd w:id="1118"/>
            <w:r>
              <w:rPr>
                <w:rFonts w:ascii="Times New Roman;Times;Serif" w:hAnsi="Times New Roman;Times;Serif"/>
                <w:b w:val="false"/>
                <w:i w:val="false"/>
                <w:caps w:val="false"/>
                <w:smallCaps w:val="false"/>
                <w:sz w:val="20"/>
              </w:rPr>
              <w:t xml:space="preserve">0.75x - </w:t>
            </w:r>
            <w:bookmarkStart w:id="1119" w:name="xdx_90D_eus-gaap--DerivativeAssetLiabili"/>
            <w:bookmarkEnd w:id="1119"/>
            <w:r>
              <w:rPr>
                <w:rFonts w:ascii="Times New Roman;Times;Serif" w:hAnsi="Times New Roman;Times;Serif"/>
                <w:b w:val="false"/>
                <w:i w:val="false"/>
                <w:caps w:val="false"/>
                <w:smallCaps w:val="false"/>
                <w:sz w:val="20"/>
              </w:rPr>
              <w:t>2.4x (</w:t>
            </w:r>
            <w:bookmarkStart w:id="1120" w:name="xdx_908_eus-gaap--DerivativeAssetLiabili"/>
            <w:bookmarkEnd w:id="1120"/>
            <w:r>
              <w:rPr>
                <w:rFonts w:ascii="Times New Roman;Times;Serif" w:hAnsi="Times New Roman;Times;Serif"/>
                <w:b w:val="false"/>
                <w:i w:val="false"/>
                <w:caps w:val="false"/>
                <w:smallCaps w:val="false"/>
                <w:sz w:val="20"/>
              </w:rPr>
              <w:t>2.25x)</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21" w:name="xdx_909_ecustom--UnobservationInputDescr"/>
            <w:bookmarkEnd w:id="1121"/>
            <w:r>
              <w:rPr>
                <w:rFonts w:ascii="Times New Roman;Times;Serif" w:hAnsi="Times New Roman;Times;Serif"/>
                <w:b w:val="false"/>
                <w:i w:val="false"/>
                <w:caps w:val="false"/>
                <w:smallCaps w:val="false"/>
                <w:sz w:val="20"/>
              </w:rPr>
              <w:t>Dissolution Risk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22" w:name="xdx_90E_eus-gaap--DerivativeAssetLiabili"/>
            <w:bookmarkEnd w:id="1122"/>
            <w:r>
              <w:rPr>
                <w:rFonts w:ascii="Times New Roman;Times;Serif" w:hAnsi="Times New Roman;Times;Serif"/>
                <w:b w:val="false"/>
                <w:i w:val="false"/>
                <w:caps w:val="false"/>
                <w:smallCaps w:val="false"/>
                <w:sz w:val="20"/>
              </w:rPr>
              <w:t>100%</w:t>
            </w:r>
          </w:p>
        </w:tc>
      </w:tr>
      <w:tr>
        <w:trPr/>
        <w:tc>
          <w:tcPr>
            <w:tcW w:w="306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in private companies</w:t>
            </w:r>
            <w:r>
              <w:rPr>
                <w:rFonts w:ascii="Times New Roman;Times;Serif" w:hAnsi="Times New Roman;Times;Serif"/>
                <w:b w:val="false"/>
                <w:i w:val="false"/>
                <w:caps w:val="false"/>
                <w:smallCaps w:val="false"/>
                <w:position w:val="7"/>
                <w:sz w:val="16"/>
                <w:sz w:val="20"/>
              </w:rPr>
              <w:t>(5)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23" w:name="xdx_908_eus-gaap--AssetsFairValueDisclos"/>
            <w:bookmarkEnd w:id="1123"/>
            <w:r>
              <w:rPr>
                <w:rFonts w:ascii="Times New Roman;Times;Serif" w:hAnsi="Times New Roman;Times;Serif"/>
                <w:b w:val="false"/>
                <w:i w:val="false"/>
                <w:caps w:val="false"/>
                <w:smallCaps w:val="false"/>
                <w:sz w:val="20"/>
              </w:rPr>
              <w:t>45,390,226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24" w:name="xdx_906_ecustom--ValuationTechniqueAndIn"/>
            <w:bookmarkEnd w:id="1124"/>
            <w:r>
              <w:rPr>
                <w:rFonts w:ascii="Times New Roman;Times;Serif" w:hAnsi="Times New Roman;Times;Serif"/>
                <w:b w:val="false"/>
                <w:i w:val="false"/>
                <w:caps w:val="false"/>
                <w:smallCaps w:val="false"/>
                <w:sz w:val="20"/>
              </w:rPr>
              <w:t>Market Approach</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25" w:name="xdx_904_ecustom--UnobservationInputDescr"/>
            <w:bookmarkEnd w:id="1125"/>
            <w:r>
              <w:rPr>
                <w:rFonts w:ascii="Times New Roman;Times;Serif" w:hAnsi="Times New Roman;Times;Serif"/>
                <w:b w:val="false"/>
                <w:i w:val="false"/>
                <w:caps w:val="false"/>
                <w:smallCaps w:val="false"/>
                <w:sz w:val="20"/>
              </w:rPr>
              <w:t>Revenue Multiples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26" w:name="xdx_907_eus-gaap--DerivativeAssetLiabili"/>
            <w:bookmarkEnd w:id="1126"/>
            <w:r>
              <w:rPr>
                <w:rFonts w:ascii="Times New Roman;Times;Serif" w:hAnsi="Times New Roman;Times;Serif"/>
                <w:b w:val="false"/>
                <w:i w:val="false"/>
                <w:caps w:val="false"/>
                <w:smallCaps w:val="false"/>
                <w:sz w:val="20"/>
              </w:rPr>
              <w:t xml:space="preserve">0.63x - </w:t>
            </w:r>
            <w:bookmarkStart w:id="1127" w:name="xdx_902_eus-gaap--DerivativeAssetLiabili"/>
            <w:bookmarkEnd w:id="1127"/>
            <w:r>
              <w:rPr>
                <w:rFonts w:ascii="Times New Roman;Times;Serif" w:hAnsi="Times New Roman;Times;Serif"/>
                <w:b w:val="false"/>
                <w:i w:val="false"/>
                <w:caps w:val="false"/>
                <w:smallCaps w:val="false"/>
                <w:sz w:val="20"/>
              </w:rPr>
              <w:t>3.58x (</w:t>
            </w:r>
            <w:bookmarkStart w:id="1128" w:name="xdx_904_eus-gaap--DerivativeAssetLiabili"/>
            <w:bookmarkEnd w:id="1128"/>
            <w:r>
              <w:rPr>
                <w:rFonts w:ascii="Times New Roman;Times;Serif" w:hAnsi="Times New Roman;Times;Serif"/>
                <w:b w:val="false"/>
                <w:i w:val="false"/>
                <w:caps w:val="false"/>
                <w:smallCaps w:val="false"/>
                <w:sz w:val="20"/>
              </w:rPr>
              <w:t>3.41x)</w:t>
            </w:r>
          </w:p>
        </w:tc>
      </w:tr>
      <w:tr>
        <w:trPr/>
        <w:tc>
          <w:tcPr>
            <w:tcW w:w="306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29" w:name="xdx_902_ecustom--UnobservationInputDescr"/>
            <w:bookmarkEnd w:id="1129"/>
            <w:r>
              <w:rPr>
                <w:rFonts w:ascii="Times New Roman;Times;Serif" w:hAnsi="Times New Roman;Times;Serif"/>
                <w:b w:val="false"/>
                <w:i w:val="false"/>
                <w:caps w:val="false"/>
                <w:smallCaps w:val="false"/>
                <w:sz w:val="20"/>
              </w:rPr>
              <w:t>Precedent Transactions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0" w:name="xdx_90D_eus-gaap--DerivativeAssetLiabili"/>
            <w:bookmarkEnd w:id="1130"/>
            <w:r>
              <w:rPr>
                <w:rFonts w:ascii="Times New Roman;Times;Serif" w:hAnsi="Times New Roman;Times;Serif"/>
                <w:b w:val="false"/>
                <w:i w:val="false"/>
                <w:caps w:val="false"/>
                <w:smallCaps w:val="false"/>
                <w:sz w:val="20"/>
              </w:rPr>
              <w:t>100%</w:t>
            </w:r>
          </w:p>
        </w:tc>
      </w:tr>
      <w:tr>
        <w:trPr/>
        <w:tc>
          <w:tcPr>
            <w:tcW w:w="306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1" w:name="xdx_906_ecustom--ValuationTechniqueAndIn"/>
            <w:bookmarkEnd w:id="1131"/>
            <w:r>
              <w:rPr>
                <w:rFonts w:ascii="Times New Roman;Times;Serif" w:hAnsi="Times New Roman;Times;Serif"/>
                <w:b w:val="false"/>
                <w:i w:val="false"/>
                <w:caps w:val="false"/>
                <w:smallCaps w:val="false"/>
                <w:sz w:val="20"/>
              </w:rPr>
              <w:t>PWERM</w:t>
            </w:r>
            <w:r>
              <w:rPr>
                <w:rFonts w:ascii="Times New Roman;Times;Serif" w:hAnsi="Times New Roman;Times;Serif"/>
                <w:b w:val="false"/>
                <w:i w:val="false"/>
                <w:caps w:val="false"/>
                <w:smallCaps w:val="false"/>
                <w:position w:val="7"/>
                <w:sz w:val="16"/>
                <w:sz w:val="20"/>
              </w:rPr>
              <w:t>(7)</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2" w:name="xdx_906_ecustom--UnobservationInputDescr"/>
            <w:bookmarkEnd w:id="1132"/>
            <w:r>
              <w:rPr>
                <w:rFonts w:ascii="Times New Roman;Times;Serif" w:hAnsi="Times New Roman;Times;Serif"/>
                <w:b w:val="false"/>
                <w:i w:val="false"/>
                <w:caps w:val="false"/>
                <w:smallCaps w:val="false"/>
                <w:sz w:val="20"/>
              </w:rPr>
              <w:t>Dissolution Risk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3" w:name="xdx_90D_eus-gaap--DerivativeAssetLiabili"/>
            <w:bookmarkEnd w:id="1133"/>
            <w:r>
              <w:rPr>
                <w:rFonts w:ascii="Times New Roman;Times;Serif" w:hAnsi="Times New Roman;Times;Serif"/>
                <w:b w:val="false"/>
                <w:i w:val="false"/>
                <w:caps w:val="false"/>
                <w:smallCaps w:val="false"/>
                <w:sz w:val="20"/>
              </w:rPr>
              <w:t>100%</w:t>
            </w:r>
          </w:p>
        </w:tc>
      </w:tr>
      <w:tr>
        <w:trPr/>
        <w:tc>
          <w:tcPr>
            <w:tcW w:w="306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4" w:name="xdx_902_ecustom--UnobservationInputDescr"/>
            <w:bookmarkEnd w:id="1134"/>
            <w:r>
              <w:rPr>
                <w:rFonts w:ascii="Times New Roman;Times;Serif" w:hAnsi="Times New Roman;Times;Serif"/>
                <w:b w:val="false"/>
                <w:i w:val="false"/>
                <w:caps w:val="false"/>
                <w:smallCaps w:val="false"/>
                <w:sz w:val="20"/>
              </w:rPr>
              <w:t>Precedent Transaction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5" w:name="xdx_90E_eus-gaap--DerivativeAssetLiabili"/>
            <w:bookmarkEnd w:id="1135"/>
            <w:r>
              <w:rPr>
                <w:rFonts w:ascii="Times New Roman;Times;Serif" w:hAnsi="Times New Roman;Times;Serif"/>
                <w:b w:val="false"/>
                <w:i w:val="false"/>
                <w:caps w:val="false"/>
                <w:smallCaps w:val="false"/>
                <w:sz w:val="20"/>
              </w:rPr>
              <w:t>100%</w:t>
            </w:r>
          </w:p>
        </w:tc>
      </w:tr>
      <w:tr>
        <w:trPr/>
        <w:tc>
          <w:tcPr>
            <w:tcW w:w="306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r>
              <w:rPr>
                <w:rFonts w:ascii="Times New Roman;Times;Serif" w:hAnsi="Times New Roman;Times;Serif"/>
                <w:b w:val="false"/>
                <w:i w:val="false"/>
                <w:caps w:val="false"/>
                <w:smallCaps w:val="false"/>
                <w:position w:val="7"/>
                <w:sz w:val="16"/>
                <w:sz w:val="20"/>
              </w:rPr>
              <w:t>(6)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36" w:name="xdx_905_eus-gaap--AssetsFairValueDisclos"/>
            <w:bookmarkEnd w:id="1136"/>
            <w:r>
              <w:rPr>
                <w:rFonts w:ascii="Times New Roman;Times;Serif" w:hAnsi="Times New Roman;Times;Serif"/>
                <w:b w:val="false"/>
                <w:i w:val="false"/>
                <w:caps w:val="false"/>
                <w:smallCaps w:val="false"/>
                <w:sz w:val="20"/>
              </w:rPr>
              <w:t>2,713,632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7" w:name="xdx_907_ecustom--ValuationTechniqueAndIn"/>
            <w:bookmarkEnd w:id="1137"/>
            <w:r>
              <w:rPr>
                <w:rFonts w:ascii="Times New Roman;Times;Serif" w:hAnsi="Times New Roman;Times;Serif"/>
                <w:b w:val="false"/>
                <w:i w:val="false"/>
                <w:caps w:val="false"/>
                <w:smallCaps w:val="false"/>
                <w:sz w:val="20"/>
              </w:rPr>
              <w:t>Option Pricing Model</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8" w:name="xdx_901_ecustom--UnobservationInputDescr"/>
            <w:bookmarkEnd w:id="1138"/>
            <w:r>
              <w:rPr>
                <w:rFonts w:ascii="Times New Roman;Times;Serif" w:hAnsi="Times New Roman;Times;Serif"/>
                <w:b w:val="false"/>
                <w:i w:val="false"/>
                <w:caps w:val="false"/>
                <w:smallCaps w:val="false"/>
                <w:sz w:val="20"/>
              </w:rPr>
              <w:t>Term to Expiration (Years)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39" w:name="xdx_906_eus-gaap--DerivativeAssetLiabili"/>
            <w:bookmarkEnd w:id="1139"/>
            <w:r>
              <w:rPr>
                <w:rFonts w:ascii="Times New Roman;Times;Serif" w:hAnsi="Times New Roman;Times;Serif"/>
                <w:b w:val="false"/>
                <w:i w:val="false"/>
                <w:caps w:val="false"/>
                <w:smallCaps w:val="false"/>
                <w:sz w:val="20"/>
              </w:rPr>
              <w:t>0.03</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40" w:name="xdx_905_ecustom--UnobservationInputDescr"/>
            <w:bookmarkEnd w:id="1140"/>
            <w:r>
              <w:rPr>
                <w:rFonts w:ascii="Times New Roman;Times;Serif" w:hAnsi="Times New Roman;Times;Serif"/>
                <w:b w:val="false"/>
                <w:i w:val="false"/>
                <w:caps w:val="false"/>
                <w:smallCaps w:val="false"/>
                <w:sz w:val="20"/>
              </w:rPr>
              <w:t>Volatility</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41" w:name="xdx_90F_eus-gaap--DerivativeAssetLiabili"/>
            <w:bookmarkEnd w:id="1141"/>
            <w:r>
              <w:rPr>
                <w:rFonts w:ascii="Times New Roman;Times;Serif" w:hAnsi="Times New Roman;Times;Serif"/>
                <w:b w:val="false"/>
                <w:i w:val="false"/>
                <w:caps w:val="false"/>
                <w:smallCaps w:val="false"/>
                <w:sz w:val="20"/>
              </w:rPr>
              <w:t>54%</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42" w:name="xdx_907_ecustom--ValuationTechniqueAndIn"/>
            <w:bookmarkEnd w:id="1142"/>
            <w:r>
              <w:rPr>
                <w:rFonts w:ascii="Times New Roman;Times;Serif" w:hAnsi="Times New Roman;Times;Serif"/>
                <w:b w:val="false"/>
                <w:i w:val="false"/>
                <w:caps w:val="false"/>
                <w:smallCaps w:val="false"/>
                <w:sz w:val="20"/>
              </w:rPr>
              <w:t>Market Approach</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43" w:name="xdx_903_ecustom--UnobservationInputDescr"/>
            <w:bookmarkEnd w:id="1143"/>
            <w:r>
              <w:rPr>
                <w:rFonts w:ascii="Times New Roman;Times;Serif" w:hAnsi="Times New Roman;Times;Serif"/>
                <w:b w:val="false"/>
                <w:i w:val="false"/>
                <w:caps w:val="false"/>
                <w:smallCaps w:val="false"/>
                <w:sz w:val="20"/>
              </w:rPr>
              <w:t>Precedent Transaction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44" w:name="xdx_903_eus-gaap--DerivativeAssetLiabili"/>
            <w:bookmarkEnd w:id="1144"/>
            <w:r>
              <w:rPr>
                <w:rFonts w:ascii="Times New Roman;Times;Serif" w:hAnsi="Times New Roman;Times;Serif"/>
                <w:b w:val="false"/>
                <w:i w:val="false"/>
                <w:caps w:val="false"/>
                <w:smallCaps w:val="false"/>
                <w:sz w:val="20"/>
              </w:rPr>
              <w:t>100%</w:t>
            </w:r>
          </w:p>
        </w:tc>
      </w:tr>
      <w:tr>
        <w:trPr/>
        <w:tc>
          <w:tcPr>
            <w:tcW w:w="306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investments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45" w:name="xdx_90F_eus-gaap--AssetsFairValueDisclos"/>
            <w:bookmarkEnd w:id="1145"/>
            <w:r>
              <w:rPr>
                <w:rFonts w:ascii="Times New Roman;Times;Serif" w:hAnsi="Times New Roman;Times;Serif"/>
                <w:b w:val="false"/>
                <w:i w:val="false"/>
                <w:caps w:val="false"/>
                <w:smallCaps w:val="false"/>
                <w:sz w:val="20"/>
              </w:rPr>
              <w:t>1,192,275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46" w:name="xdx_90F_ecustom--ValuationTechniqueAndIn"/>
            <w:bookmarkEnd w:id="1146"/>
            <w:r>
              <w:rPr>
                <w:rFonts w:ascii="Times New Roman;Times;Serif" w:hAnsi="Times New Roman;Times;Serif"/>
                <w:b w:val="false"/>
                <w:i w:val="false"/>
                <w:caps w:val="false"/>
                <w:smallCaps w:val="false"/>
                <w:sz w:val="20"/>
              </w:rPr>
              <w:t>Market Approach</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47" w:name="xdx_908_ecustom--UnobservationInputDescr"/>
            <w:bookmarkEnd w:id="1147"/>
            <w:r>
              <w:rPr>
                <w:rFonts w:ascii="Times New Roman;Times;Serif" w:hAnsi="Times New Roman;Times;Serif"/>
                <w:b w:val="false"/>
                <w:i w:val="false"/>
                <w:caps w:val="false"/>
                <w:smallCaps w:val="false"/>
                <w:sz w:val="20"/>
              </w:rPr>
              <w:t>Revenue Multiples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48" w:name="xdx_906_eus-gaap--DerivativeAssetLiabili"/>
            <w:bookmarkEnd w:id="1148"/>
            <w:r>
              <w:rPr>
                <w:rFonts w:ascii="Times New Roman;Times;Serif" w:hAnsi="Times New Roman;Times;Serif"/>
                <w:b w:val="false"/>
                <w:i w:val="false"/>
                <w:caps w:val="false"/>
                <w:smallCaps w:val="false"/>
                <w:sz w:val="20"/>
              </w:rPr>
              <w:t xml:space="preserve">0.66x - </w:t>
            </w:r>
            <w:bookmarkStart w:id="1149" w:name="xdx_907_eus-gaap--DerivativeAssetLiabili"/>
            <w:bookmarkEnd w:id="1149"/>
            <w:r>
              <w:rPr>
                <w:rFonts w:ascii="Times New Roman;Times;Serif" w:hAnsi="Times New Roman;Times;Serif"/>
                <w:b w:val="false"/>
                <w:i w:val="false"/>
                <w:caps w:val="false"/>
                <w:smallCaps w:val="false"/>
                <w:sz w:val="20"/>
              </w:rPr>
              <w:t>4.32x (</w:t>
            </w:r>
            <w:bookmarkStart w:id="1150" w:name="xdx_902_eus-gaap--DerivativeAssetLiabili"/>
            <w:bookmarkEnd w:id="1150"/>
            <w:r>
              <w:rPr>
                <w:rFonts w:ascii="Times New Roman;Times;Serif" w:hAnsi="Times New Roman;Times;Serif"/>
                <w:b w:val="false"/>
                <w:i w:val="false"/>
                <w:caps w:val="false"/>
                <w:smallCaps w:val="false"/>
                <w:sz w:val="20"/>
              </w:rPr>
              <w:t>4.15x)</w:t>
            </w:r>
          </w:p>
        </w:tc>
      </w:tr>
      <w:tr>
        <w:trPr/>
        <w:tc>
          <w:tcPr>
            <w:tcW w:w="306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51" w:name="xdx_904_ecustom--UnobservationInputDescr"/>
            <w:bookmarkEnd w:id="1151"/>
            <w:r>
              <w:rPr>
                <w:rFonts w:ascii="Times New Roman;Times;Serif" w:hAnsi="Times New Roman;Times;Serif"/>
                <w:b w:val="false"/>
                <w:i w:val="false"/>
                <w:caps w:val="false"/>
                <w:smallCaps w:val="false"/>
                <w:sz w:val="20"/>
              </w:rPr>
              <w:t>Precedent Transactions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52" w:name="xdx_906_eus-gaap--DerivativeAssetLiabili"/>
            <w:bookmarkEnd w:id="1152"/>
            <w:r>
              <w:rPr>
                <w:rFonts w:ascii="Times New Roman;Times;Serif" w:hAnsi="Times New Roman;Times;Serif"/>
                <w:b w:val="false"/>
                <w:i w:val="false"/>
                <w:caps w:val="false"/>
                <w:smallCaps w:val="false"/>
                <w:sz w:val="20"/>
              </w:rPr>
              <w:t xml:space="preserve">25% - </w:t>
            </w:r>
            <w:bookmarkStart w:id="1153" w:name="xdx_901_eus-gaap--DerivativeAssetLiabili"/>
            <w:bookmarkEnd w:id="1153"/>
            <w:r>
              <w:rPr>
                <w:rFonts w:ascii="Times New Roman;Times;Serif" w:hAnsi="Times New Roman;Times;Serif"/>
                <w:b w:val="false"/>
                <w:i w:val="false"/>
                <w:caps w:val="false"/>
                <w:smallCaps w:val="false"/>
                <w:sz w:val="20"/>
              </w:rPr>
              <w:t>100% (</w:t>
            </w:r>
            <w:bookmarkStart w:id="1154" w:name="xdx_907_eus-gaap--DerivativeAssetLiabili"/>
            <w:bookmarkEnd w:id="1154"/>
            <w:r>
              <w:rPr>
                <w:rFonts w:ascii="Times New Roman;Times;Serif" w:hAnsi="Times New Roman;Times;Serif"/>
                <w:b w:val="false"/>
                <w:i w:val="false"/>
                <w:caps w:val="false"/>
                <w:smallCaps w:val="false"/>
                <w:sz w:val="20"/>
              </w:rPr>
              <w:t>84%)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55" w:name="xdx_F09_zVW4sOkdlSOh"/>
            <w:bookmarkEnd w:id="1155"/>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56" w:name="xdx_F1D_zbzvPBZ7lJT9"/>
            <w:bookmarkEnd w:id="1156"/>
            <w:r>
              <w:rPr>
                <w:rFonts w:ascii="Times New Roman;Times;Serif" w:hAnsi="Times New Roman;Times;Serif"/>
                <w:b w:val="false"/>
                <w:i w:val="false"/>
                <w:caps w:val="false"/>
                <w:smallCaps w:val="false"/>
                <w:sz w:val="20"/>
              </w:rPr>
              <w:t>As of June 30, 2026,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 for more detail.</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57" w:name="xdx_F0E_zgXOYPDr7tL4"/>
            <w:bookmarkEnd w:id="1157"/>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58" w:name="xdx_F1E_zq8J1v6ws83c"/>
            <w:bookmarkEnd w:id="1158"/>
            <w:r>
              <w:rPr>
                <w:rFonts w:ascii="Times New Roman;Times;Serif" w:hAnsi="Times New Roman;Times;Serif"/>
                <w:b w:val="false"/>
                <w:i w:val="false"/>
                <w:caps w:val="false"/>
                <w:smallCaps w:val="false"/>
                <w:sz w:val="20"/>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 for more detail.</w:t>
            </w:r>
          </w:p>
        </w:tc>
      </w:tr>
    </w:tbl>
    <w:p>
      <w:pPr>
        <w:pStyle w:val="TextBody"/>
        <w:bidi w:val="0"/>
        <w:spacing w:before="0" w:after="0"/>
        <w:ind w:left="720" w:right="0" w:hanging="72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60"/>
        <w:gridCol w:w="716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59" w:name="xdx_F05_zbNGYIYn7Dp7"/>
            <w:bookmarkEnd w:id="1159"/>
            <w:r>
              <w:rPr>
                <w:rFonts w:ascii="Times New Roman;Times;Serif" w:hAnsi="Times New Roman;Times;Serif"/>
                <w:b w:val="false"/>
                <w:i w:val="false"/>
                <w:caps w:val="false"/>
                <w:smallCaps w:val="false"/>
                <w:sz w:val="20"/>
              </w:rPr>
              <w:t>(3)</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60" w:name="xdx_F18_zkxBUgLmcIB3"/>
            <w:bookmarkEnd w:id="1160"/>
            <w:r>
              <w:rPr>
                <w:rFonts w:ascii="Times New Roman;Times;Serif" w:hAnsi="Times New Roman;Times;Serif"/>
                <w:b w:val="false"/>
                <w:i w:val="false"/>
                <w:caps w:val="false"/>
                <w:smallCaps w:val="false"/>
                <w:sz w:val="20"/>
              </w:rPr>
              <w:t>The weighted averages are calculated based on the fair market value of each investment.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61" w:name="xdx_F0D_zDv1u5bHXVGg"/>
            <w:bookmarkEnd w:id="1161"/>
            <w:r>
              <w:rPr>
                <w:rFonts w:ascii="Times New Roman;Times;Serif" w:hAnsi="Times New Roman;Times;Serif"/>
                <w:b w:val="false"/>
                <w:i w:val="false"/>
                <w:caps w:val="false"/>
                <w:smallCaps w:val="false"/>
                <w:sz w:val="20"/>
              </w:rPr>
              <w:t>(4)</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62" w:name="xdx_F1D_zsZkvdwUc2Ql"/>
            <w:bookmarkEnd w:id="1162"/>
            <w:r>
              <w:rPr>
                <w:rFonts w:ascii="Times New Roman;Times;Serif" w:hAnsi="Times New Roman;Times;Serif"/>
                <w:b w:val="false"/>
                <w:i w:val="false"/>
                <w:caps w:val="false"/>
                <w:smallCaps w:val="false"/>
                <w:sz w:val="20"/>
              </w:rPr>
              <w:t>Preferred Stock also includes the Company’s investment in the Class A Interest of ARK Type One Deep Ventures Fund LLC which is invested in the Series A-2 Preferred Shares of OpenAI Global, LLC, the Company’s investment in the Membership Interest of IH10, LLC which is invested in the Series B Preferred Shares of VAST Data, Ltd. through an SPV, and the Company’s investment in the Class A Interest and Class B Interest of Magnetar Opportunity 2025-4 LP which is invested in the Series B Preferred Shares of TensorWave,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63" w:name="xdx_F0C_zgzjEbTIfTQi"/>
            <w:bookmarkEnd w:id="1163"/>
            <w:r>
              <w:rPr>
                <w:rFonts w:ascii="Times New Roman;Times;Serif" w:hAnsi="Times New Roman;Times;Serif"/>
                <w:b w:val="false"/>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64" w:name="xdx_F1E_zuPmIfMcOAb6"/>
            <w:bookmarkEnd w:id="1164"/>
            <w:r>
              <w:rPr>
                <w:rFonts w:ascii="Times New Roman;Times;Serif" w:hAnsi="Times New Roman;Times;Serif"/>
                <w:b w:val="false"/>
                <w:i w:val="false"/>
                <w:caps w:val="false"/>
                <w:smallCaps w:val="false"/>
                <w:sz w:val="20"/>
              </w:rPr>
              <w:t>Common Stock in Private Portfolio Companies also includes the Company’s Limited Partner Fund Investment in True Global Ventures 4 Plus Pte Ltd. and the Company’s investment in the Class A Interest of CW Opportunity 2 LP which is invested in the Class A Common Stock of CoreWeave, Inc.</w:t>
            </w:r>
          </w:p>
        </w:tc>
      </w:tr>
    </w:tbl>
    <w:p>
      <w:pPr>
        <w:pStyle w:val="TextBody"/>
        <w:bidi w:val="0"/>
        <w:spacing w:before="0" w:after="0"/>
        <w:ind w:left="720" w:right="0" w:hanging="72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260"/>
        <w:gridCol w:w="881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65" w:name="xdx_F0C_zTEky2F4FnYd"/>
            <w:bookmarkEnd w:id="1165"/>
            <w:r>
              <w:rPr>
                <w:rFonts w:ascii="Times New Roman;Times;Serif" w:hAnsi="Times New Roman;Times;Serif"/>
                <w:b w:val="false"/>
                <w:i w:val="false"/>
                <w:caps w:val="false"/>
                <w:smallCaps w:val="false"/>
                <w:sz w:val="20"/>
              </w:rPr>
              <w:t>(6)</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66" w:name="xdx_F1B_z1Niynm3ssyh"/>
            <w:bookmarkEnd w:id="1166"/>
            <w:r>
              <w:rPr>
                <w:rFonts w:ascii="Times New Roman;Times;Serif" w:hAnsi="Times New Roman;Times;Serif"/>
                <w:b w:val="false"/>
                <w:i w:val="false"/>
                <w:caps w:val="false"/>
                <w:smallCaps w:val="false"/>
                <w:sz w:val="20"/>
              </w:rPr>
              <w:t>Options in Private Portfolio Companies also includes the Company’s investment in the SAFE of PayJoy, Inc.</w:t>
            </w:r>
          </w:p>
        </w:tc>
      </w:tr>
    </w:tbl>
    <w:p>
      <w:pPr>
        <w:pStyle w:val="TextBody"/>
        <w:bidi w:val="0"/>
        <w:spacing w:before="0" w:after="0"/>
        <w:ind w:left="720" w:right="0" w:hanging="72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60"/>
        <w:gridCol w:w="51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67" w:name="xdx_F0C_zE1rzQePdNf8"/>
            <w:bookmarkEnd w:id="1167"/>
            <w:r>
              <w:rPr>
                <w:rFonts w:ascii="Times New Roman;Times;Serif" w:hAnsi="Times New Roman;Times;Serif"/>
                <w:b w:val="false"/>
                <w:i w:val="false"/>
                <w:caps w:val="false"/>
                <w:smallCaps w:val="false"/>
                <w:sz w:val="20"/>
              </w:rPr>
              <w:t>(7)</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68" w:name="xdx_F1B_zrVpTuQfoBL4"/>
            <w:bookmarkEnd w:id="1168"/>
            <w:r>
              <w:rPr>
                <w:rFonts w:ascii="Times New Roman;Times;Serif" w:hAnsi="Times New Roman;Times;Serif"/>
                <w:b w:val="false"/>
                <w:i w:val="false"/>
                <w:caps w:val="false"/>
                <w:smallCaps w:val="false"/>
                <w:sz w:val="20"/>
              </w:rPr>
              <w:t>Probability-Weighted Expected Return Method, or “PWERM”.</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69"/>
        <w:gridCol w:w="60"/>
        <w:gridCol w:w="1160"/>
        <w:gridCol w:w="60"/>
        <w:gridCol w:w="1749"/>
        <w:gridCol w:w="60"/>
        <w:gridCol w:w="2114"/>
        <w:gridCol w:w="60"/>
        <w:gridCol w:w="1873"/>
      </w:tblGrid>
      <w:tr>
        <w:trPr/>
        <w:tc>
          <w:tcPr>
            <w:tcW w:w="306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w:t>
              <w:br/>
              <w:t>Approach/</w:t>
              <w:br/>
              <w:t>Technique</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 Inputs</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br/>
              <w:t>(Weighted Average)</w:t>
            </w:r>
            <w:r>
              <w:rPr>
                <w:rFonts w:ascii="Times New Roman;Times;Serif" w:hAnsi="Times New Roman;Times;Serif"/>
                <w:b/>
                <w:i w:val="false"/>
                <w:caps w:val="false"/>
                <w:smallCaps w:val="false"/>
                <w:position w:val="7"/>
                <w:sz w:val="16"/>
                <w:sz w:val="20"/>
              </w:rPr>
              <w:t>(3)</w:t>
            </w:r>
          </w:p>
        </w:tc>
      </w:tr>
      <w:tr>
        <w:trPr/>
        <w:tc>
          <w:tcPr>
            <w:tcW w:w="306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in private companies</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69" w:name="xdx_90F_eus-gaap--AssetsFairValueDisclos"/>
            <w:bookmarkEnd w:id="1169"/>
            <w:r>
              <w:rPr>
                <w:rFonts w:ascii="Times New Roman;Times;Serif" w:hAnsi="Times New Roman;Times;Serif"/>
                <w:b w:val="false"/>
                <w:i w:val="false"/>
                <w:caps w:val="false"/>
                <w:smallCaps w:val="false"/>
                <w:sz w:val="20"/>
              </w:rPr>
              <w:t>169,631,231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0" w:name="xdx_90E_ecustom--ValuationTechniqueAndIn"/>
            <w:bookmarkEnd w:id="1170"/>
            <w:r>
              <w:rPr>
                <w:rFonts w:ascii="Times New Roman;Times;Serif" w:hAnsi="Times New Roman;Times;Serif"/>
                <w:b w:val="false"/>
                <w:i w:val="false"/>
                <w:caps w:val="false"/>
                <w:smallCaps w:val="false"/>
                <w:sz w:val="20"/>
              </w:rPr>
              <w:t>Market Approach</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1" w:name="xdx_903_ecustom--UnobservationInputDescr"/>
            <w:bookmarkEnd w:id="1171"/>
            <w:r>
              <w:rPr>
                <w:rFonts w:ascii="Times New Roman;Times;Serif" w:hAnsi="Times New Roman;Times;Serif"/>
                <w:b w:val="false"/>
                <w:i w:val="false"/>
                <w:caps w:val="false"/>
                <w:smallCaps w:val="false"/>
                <w:sz w:val="20"/>
              </w:rPr>
              <w:t>Revenue Multiples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2" w:name="xdx_900_eus-gaap--DerivativeAssetLiabili"/>
            <w:bookmarkEnd w:id="1172"/>
            <w:r>
              <w:rPr>
                <w:rFonts w:ascii="Times New Roman;Times;Serif" w:hAnsi="Times New Roman;Times;Serif"/>
                <w:b w:val="false"/>
                <w:i w:val="false"/>
                <w:caps w:val="false"/>
                <w:smallCaps w:val="false"/>
                <w:sz w:val="20"/>
              </w:rPr>
              <w:t xml:space="preserve">0.52x - </w:t>
            </w:r>
            <w:bookmarkStart w:id="1173" w:name="xdx_905_eus-gaap--DerivativeAssetLiabili"/>
            <w:bookmarkEnd w:id="1173"/>
            <w:r>
              <w:rPr>
                <w:rFonts w:ascii="Times New Roman;Times;Serif" w:hAnsi="Times New Roman;Times;Serif"/>
                <w:b w:val="false"/>
                <w:i w:val="false"/>
                <w:caps w:val="false"/>
                <w:smallCaps w:val="false"/>
                <w:sz w:val="20"/>
              </w:rPr>
              <w:t>7.95x (</w:t>
            </w:r>
            <w:bookmarkStart w:id="1174" w:name="xdx_909_eus-gaap--DerivativeAssetLiabili"/>
            <w:bookmarkEnd w:id="1174"/>
            <w:r>
              <w:rPr>
                <w:rFonts w:ascii="Times New Roman;Times;Serif" w:hAnsi="Times New Roman;Times;Serif"/>
                <w:b w:val="false"/>
                <w:i w:val="false"/>
                <w:caps w:val="false"/>
                <w:smallCaps w:val="false"/>
                <w:sz w:val="20"/>
              </w:rPr>
              <w:t>3.47x)</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5" w:name="xdx_904_ecustom--UnobservationInputDescr"/>
            <w:bookmarkEnd w:id="1175"/>
            <w:r>
              <w:rPr>
                <w:rFonts w:ascii="Times New Roman;Times;Serif" w:hAnsi="Times New Roman;Times;Serif"/>
                <w:b w:val="false"/>
                <w:i w:val="false"/>
                <w:caps w:val="false"/>
                <w:smallCaps w:val="false"/>
                <w:sz w:val="20"/>
              </w:rPr>
              <w:t>Precedent Transactions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6" w:name="xdx_904_eus-gaap--DerivativeAssetLiabili"/>
            <w:bookmarkEnd w:id="1176"/>
            <w:r>
              <w:rPr>
                <w:rFonts w:ascii="Times New Roman;Times;Serif" w:hAnsi="Times New Roman;Times;Serif"/>
                <w:b w:val="false"/>
                <w:i w:val="false"/>
                <w:caps w:val="false"/>
                <w:smallCaps w:val="false"/>
                <w:sz w:val="20"/>
              </w:rPr>
              <w:t xml:space="preserve">25% - </w:t>
            </w:r>
            <w:bookmarkStart w:id="1177" w:name="xdx_905_eus-gaap--DerivativeAssetLiabili"/>
            <w:bookmarkEnd w:id="1177"/>
            <w:r>
              <w:rPr>
                <w:rFonts w:ascii="Times New Roman;Times;Serif" w:hAnsi="Times New Roman;Times;Serif"/>
                <w:b w:val="false"/>
                <w:i w:val="false"/>
                <w:caps w:val="false"/>
                <w:smallCaps w:val="false"/>
                <w:sz w:val="20"/>
              </w:rPr>
              <w:t>100% (</w:t>
            </w:r>
            <w:bookmarkStart w:id="1178" w:name="xdx_90E_eus-gaap--DerivativeAssetLiabili"/>
            <w:bookmarkEnd w:id="1178"/>
            <w:r>
              <w:rPr>
                <w:rFonts w:ascii="Times New Roman;Times;Serif" w:hAnsi="Times New Roman;Times;Serif"/>
                <w:b w:val="false"/>
                <w:i w:val="false"/>
                <w:caps w:val="false"/>
                <w:smallCaps w:val="false"/>
                <w:sz w:val="20"/>
              </w:rPr>
              <w:t>76%)</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9" w:name="xdx_903_ecustom--ValuationTechniqueAndIn"/>
            <w:bookmarkEnd w:id="1179"/>
            <w:r>
              <w:rPr>
                <w:rFonts w:ascii="Times New Roman;Times;Serif" w:hAnsi="Times New Roman;Times;Serif"/>
                <w:b w:val="false"/>
                <w:i w:val="false"/>
                <w:caps w:val="false"/>
                <w:smallCaps w:val="false"/>
                <w:sz w:val="20"/>
              </w:rPr>
              <w:t>PWERM</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0" w:name="xdx_901_ecustom--UnobservationInputDescr"/>
            <w:bookmarkEnd w:id="1180"/>
            <w:r>
              <w:rPr>
                <w:rFonts w:ascii="Times New Roman;Times;Serif" w:hAnsi="Times New Roman;Times;Serif"/>
                <w:b w:val="false"/>
                <w:i w:val="false"/>
                <w:caps w:val="false"/>
                <w:smallCaps w:val="false"/>
                <w:sz w:val="20"/>
              </w:rPr>
              <w:t>Revenue Multiples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1" w:name="xdx_904_eus-gaap--DerivativeAssetLiabili"/>
            <w:bookmarkEnd w:id="1181"/>
            <w:r>
              <w:rPr>
                <w:rFonts w:ascii="Times New Roman;Times;Serif" w:hAnsi="Times New Roman;Times;Serif"/>
                <w:b w:val="false"/>
                <w:i w:val="false"/>
                <w:caps w:val="false"/>
                <w:smallCaps w:val="false"/>
                <w:sz w:val="20"/>
              </w:rPr>
              <w:t xml:space="preserve">1.42x - </w:t>
            </w:r>
            <w:bookmarkStart w:id="1182" w:name="xdx_901_eus-gaap--DerivativeAssetLiabili"/>
            <w:bookmarkEnd w:id="1182"/>
            <w:r>
              <w:rPr>
                <w:rFonts w:ascii="Times New Roman;Times;Serif" w:hAnsi="Times New Roman;Times;Serif"/>
                <w:b w:val="false"/>
                <w:i w:val="false"/>
                <w:caps w:val="false"/>
                <w:smallCaps w:val="false"/>
                <w:sz w:val="20"/>
              </w:rPr>
              <w:t>5.60x (</w:t>
            </w:r>
            <w:bookmarkStart w:id="1183" w:name="xdx_90A_eus-gaap--DerivativeAssetLiabili"/>
            <w:bookmarkEnd w:id="1183"/>
            <w:r>
              <w:rPr>
                <w:rFonts w:ascii="Times New Roman;Times;Serif" w:hAnsi="Times New Roman;Times;Serif"/>
                <w:b w:val="false"/>
                <w:i w:val="false"/>
                <w:caps w:val="false"/>
                <w:smallCaps w:val="false"/>
                <w:sz w:val="20"/>
              </w:rPr>
              <w:t>1.72x)</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4" w:name="xdx_902_ecustom--UnobservationInputDescr"/>
            <w:bookmarkEnd w:id="1184"/>
            <w:r>
              <w:rPr>
                <w:rFonts w:ascii="Times New Roman;Times;Serif" w:hAnsi="Times New Roman;Times;Serif"/>
                <w:b w:val="false"/>
                <w:i w:val="false"/>
                <w:caps w:val="false"/>
                <w:smallCaps w:val="false"/>
                <w:sz w:val="20"/>
              </w:rPr>
              <w:t>Dissolution Risk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5" w:name="xdx_902_eus-gaap--DerivativeAssetLiabili"/>
            <w:bookmarkEnd w:id="1185"/>
            <w:r>
              <w:rPr>
                <w:rFonts w:ascii="Times New Roman;Times;Serif" w:hAnsi="Times New Roman;Times;Serif"/>
                <w:b w:val="false"/>
                <w:i w:val="false"/>
                <w:caps w:val="false"/>
                <w:smallCaps w:val="false"/>
                <w:sz w:val="20"/>
              </w:rPr>
              <w:t>100%</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6" w:name="xdx_906_ecustom--UnobservationInputDescr"/>
            <w:bookmarkEnd w:id="1186"/>
            <w:r>
              <w:rPr>
                <w:rFonts w:ascii="Times New Roman;Times;Serif" w:hAnsi="Times New Roman;Times;Serif"/>
                <w:b w:val="false"/>
                <w:i w:val="false"/>
                <w:caps w:val="false"/>
                <w:smallCaps w:val="false"/>
                <w:sz w:val="20"/>
              </w:rPr>
              <w:t>Precedent Transaction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7" w:name="xdx_904_eus-gaap--DerivativeAssetLiabili"/>
            <w:bookmarkEnd w:id="1187"/>
            <w:r>
              <w:rPr>
                <w:rFonts w:ascii="Times New Roman;Times;Serif" w:hAnsi="Times New Roman;Times;Serif"/>
                <w:b w:val="false"/>
                <w:i w:val="false"/>
                <w:caps w:val="false"/>
                <w:smallCaps w:val="false"/>
                <w:sz w:val="20"/>
              </w:rPr>
              <w:t>90%</w:t>
            </w:r>
          </w:p>
        </w:tc>
      </w:tr>
      <w:tr>
        <w:trPr/>
        <w:tc>
          <w:tcPr>
            <w:tcW w:w="306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in private companies</w:t>
            </w:r>
            <w:r>
              <w:rPr>
                <w:rFonts w:ascii="Times New Roman;Times;Serif" w:hAnsi="Times New Roman;Times;Serif"/>
                <w:b w:val="false"/>
                <w:i w:val="false"/>
                <w:caps w:val="false"/>
                <w:smallCaps w:val="false"/>
                <w:position w:val="7"/>
                <w:sz w:val="16"/>
                <w:sz w:val="20"/>
              </w:rPr>
              <w:t>(5)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88" w:name="xdx_90C_eus-gaap--AssetsFairValueDisclos"/>
            <w:bookmarkEnd w:id="1188"/>
            <w:r>
              <w:rPr>
                <w:rFonts w:ascii="Times New Roman;Times;Serif" w:hAnsi="Times New Roman;Times;Serif"/>
                <w:b w:val="false"/>
                <w:i w:val="false"/>
                <w:caps w:val="false"/>
                <w:smallCaps w:val="false"/>
                <w:sz w:val="20"/>
              </w:rPr>
              <w:t>46,713,129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9" w:name="xdx_903_ecustom--ValuationTechniqueAndIn"/>
            <w:bookmarkEnd w:id="1189"/>
            <w:r>
              <w:rPr>
                <w:rFonts w:ascii="Times New Roman;Times;Serif" w:hAnsi="Times New Roman;Times;Serif"/>
                <w:b w:val="false"/>
                <w:i w:val="false"/>
                <w:caps w:val="false"/>
                <w:smallCaps w:val="false"/>
                <w:sz w:val="20"/>
              </w:rPr>
              <w:t>Market Approach</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0" w:name="xdx_903_ecustom--UnobservationInputDescr"/>
            <w:bookmarkEnd w:id="1190"/>
            <w:r>
              <w:rPr>
                <w:rFonts w:ascii="Times New Roman;Times;Serif" w:hAnsi="Times New Roman;Times;Serif"/>
                <w:b w:val="false"/>
                <w:i w:val="false"/>
                <w:caps w:val="false"/>
                <w:smallCaps w:val="false"/>
                <w:sz w:val="20"/>
              </w:rPr>
              <w:t>Revenue Multiples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1" w:name="xdx_900_eus-gaap--DerivativeAssetLiabili"/>
            <w:bookmarkEnd w:id="1191"/>
            <w:r>
              <w:rPr>
                <w:rFonts w:ascii="Times New Roman;Times;Serif" w:hAnsi="Times New Roman;Times;Serif"/>
                <w:b w:val="false"/>
                <w:i w:val="false"/>
                <w:caps w:val="false"/>
                <w:smallCaps w:val="false"/>
                <w:sz w:val="20"/>
              </w:rPr>
              <w:t xml:space="preserve">0.57x - </w:t>
            </w:r>
            <w:bookmarkStart w:id="1192" w:name="xdx_90B_eus-gaap--DerivativeAssetLiabili"/>
            <w:bookmarkEnd w:id="1192"/>
            <w:r>
              <w:rPr>
                <w:rFonts w:ascii="Times New Roman;Times;Serif" w:hAnsi="Times New Roman;Times;Serif"/>
                <w:b w:val="false"/>
                <w:i w:val="false"/>
                <w:caps w:val="false"/>
                <w:smallCaps w:val="false"/>
                <w:sz w:val="20"/>
              </w:rPr>
              <w:t>5.23x (</w:t>
            </w:r>
            <w:bookmarkStart w:id="1193" w:name="xdx_907_eus-gaap--DerivativeAssetLiabili"/>
            <w:bookmarkEnd w:id="1193"/>
            <w:r>
              <w:rPr>
                <w:rFonts w:ascii="Times New Roman;Times;Serif" w:hAnsi="Times New Roman;Times;Serif"/>
                <w:b w:val="false"/>
                <w:i w:val="false"/>
                <w:caps w:val="false"/>
                <w:smallCaps w:val="false"/>
                <w:sz w:val="20"/>
              </w:rPr>
              <w:t>4.99x)</w:t>
            </w:r>
          </w:p>
        </w:tc>
      </w:tr>
      <w:tr>
        <w:trPr/>
        <w:tc>
          <w:tcPr>
            <w:tcW w:w="306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4" w:name="xdx_90B_ecustom--UnobservationInputDescr"/>
            <w:bookmarkEnd w:id="1194"/>
            <w:r>
              <w:rPr>
                <w:rFonts w:ascii="Times New Roman;Times;Serif" w:hAnsi="Times New Roman;Times;Serif"/>
                <w:b w:val="false"/>
                <w:i w:val="false"/>
                <w:caps w:val="false"/>
                <w:smallCaps w:val="false"/>
                <w:sz w:val="20"/>
              </w:rPr>
              <w:t>Precedent Transactions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5" w:name="xdx_90C_eus-gaap--DerivativeAssetLiabili"/>
            <w:bookmarkEnd w:id="1195"/>
            <w:r>
              <w:rPr>
                <w:rFonts w:ascii="Times New Roman;Times;Serif" w:hAnsi="Times New Roman;Times;Serif"/>
                <w:b w:val="false"/>
                <w:i w:val="false"/>
                <w:caps w:val="false"/>
                <w:smallCaps w:val="false"/>
                <w:sz w:val="20"/>
              </w:rPr>
              <w:t>100%</w:t>
            </w:r>
          </w:p>
        </w:tc>
      </w:tr>
      <w:tr>
        <w:trPr/>
        <w:tc>
          <w:tcPr>
            <w:tcW w:w="306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6" w:name="xdx_903_ecustom--ValuationTechniqueAndIn"/>
            <w:bookmarkEnd w:id="1196"/>
            <w:r>
              <w:rPr>
                <w:rFonts w:ascii="Times New Roman;Times;Serif" w:hAnsi="Times New Roman;Times;Serif"/>
                <w:b w:val="false"/>
                <w:i w:val="false"/>
                <w:caps w:val="false"/>
                <w:smallCaps w:val="false"/>
                <w:sz w:val="20"/>
              </w:rPr>
              <w:t>PWERM</w:t>
            </w:r>
            <w:r>
              <w:rPr>
                <w:rFonts w:ascii="Times New Roman;Times;Serif" w:hAnsi="Times New Roman;Times;Serif"/>
                <w:b w:val="false"/>
                <w:i w:val="false"/>
                <w:caps w:val="false"/>
                <w:smallCaps w:val="false"/>
                <w:position w:val="7"/>
                <w:sz w:val="16"/>
                <w:sz w:val="20"/>
              </w:rPr>
              <w:t>(7)</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7" w:name="xdx_900_ecustom--UnobservationInputDescr"/>
            <w:bookmarkEnd w:id="1197"/>
            <w:r>
              <w:rPr>
                <w:rFonts w:ascii="Times New Roman;Times;Serif" w:hAnsi="Times New Roman;Times;Serif"/>
                <w:b w:val="false"/>
                <w:i w:val="false"/>
                <w:caps w:val="false"/>
                <w:smallCaps w:val="false"/>
                <w:sz w:val="20"/>
              </w:rPr>
              <w:t>AFFO</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Multiples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8" w:name="xdx_905_eus-gaap--DerivativeAssetLiabili"/>
            <w:bookmarkEnd w:id="1198"/>
            <w:r>
              <w:rPr>
                <w:rFonts w:ascii="Times New Roman;Times;Serif" w:hAnsi="Times New Roman;Times;Serif"/>
                <w:b w:val="false"/>
                <w:i w:val="false"/>
                <w:caps w:val="false"/>
                <w:smallCaps w:val="false"/>
                <w:sz w:val="20"/>
              </w:rPr>
              <w:t>8.42x</w:t>
            </w:r>
          </w:p>
        </w:tc>
      </w:tr>
      <w:tr>
        <w:trPr/>
        <w:tc>
          <w:tcPr>
            <w:tcW w:w="306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9" w:name="xdx_902_ecustom--UnobservationInputDescr"/>
            <w:bookmarkEnd w:id="1199"/>
            <w:r>
              <w:rPr>
                <w:rFonts w:ascii="Times New Roman;Times;Serif" w:hAnsi="Times New Roman;Times;Serif"/>
                <w:b w:val="false"/>
                <w:i w:val="false"/>
                <w:caps w:val="false"/>
                <w:smallCaps w:val="false"/>
                <w:sz w:val="20"/>
              </w:rPr>
              <w:t>Dissolution Risk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0" w:name="xdx_90D_eus-gaap--DerivativeAssetLiabili"/>
            <w:bookmarkEnd w:id="1200"/>
            <w:r>
              <w:rPr>
                <w:rFonts w:ascii="Times New Roman;Times;Serif" w:hAnsi="Times New Roman;Times;Serif"/>
                <w:b w:val="false"/>
                <w:i w:val="false"/>
                <w:caps w:val="false"/>
                <w:smallCaps w:val="false"/>
                <w:sz w:val="20"/>
              </w:rPr>
              <w:t>100%</w:t>
            </w:r>
          </w:p>
        </w:tc>
      </w:tr>
      <w:tr>
        <w:trPr/>
        <w:tc>
          <w:tcPr>
            <w:tcW w:w="306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r>
              <w:rPr>
                <w:rFonts w:ascii="Times New Roman;Times;Serif" w:hAnsi="Times New Roman;Times;Serif"/>
                <w:b w:val="false"/>
                <w:i w:val="false"/>
                <w:caps w:val="false"/>
                <w:smallCaps w:val="false"/>
                <w:position w:val="7"/>
                <w:sz w:val="16"/>
                <w:sz w:val="20"/>
              </w:rPr>
              <w:t>(6)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01" w:name="xdx_90A_eus-gaap--AssetsFairValueDisclos"/>
            <w:bookmarkEnd w:id="1201"/>
            <w:r>
              <w:rPr>
                <w:rFonts w:ascii="Times New Roman;Times;Serif" w:hAnsi="Times New Roman;Times;Serif"/>
                <w:b w:val="false"/>
                <w:i w:val="false"/>
                <w:caps w:val="false"/>
                <w:smallCaps w:val="false"/>
                <w:sz w:val="20"/>
              </w:rPr>
              <w:t>4,201,543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2" w:name="xdx_902_ecustom--ValuationTechniqueAndIn"/>
            <w:bookmarkEnd w:id="1202"/>
            <w:r>
              <w:rPr>
                <w:rFonts w:ascii="Times New Roman;Times;Serif" w:hAnsi="Times New Roman;Times;Serif"/>
                <w:b w:val="false"/>
                <w:i w:val="false"/>
                <w:caps w:val="false"/>
                <w:smallCaps w:val="false"/>
                <w:sz w:val="20"/>
              </w:rPr>
              <w:t>Option Pricing Model</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3" w:name="xdx_90F_ecustom--UnobservationInputDescr"/>
            <w:bookmarkEnd w:id="1203"/>
            <w:r>
              <w:rPr>
                <w:rFonts w:ascii="Times New Roman;Times;Serif" w:hAnsi="Times New Roman;Times;Serif"/>
                <w:b w:val="false"/>
                <w:i w:val="false"/>
                <w:caps w:val="false"/>
                <w:smallCaps w:val="false"/>
                <w:sz w:val="20"/>
              </w:rPr>
              <w:t>Revenue Multiples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4" w:name="xdx_905_eus-gaap--DerivativeAssetLiabili"/>
            <w:bookmarkEnd w:id="1204"/>
            <w:r>
              <w:rPr>
                <w:rFonts w:ascii="Times New Roman;Times;Serif" w:hAnsi="Times New Roman;Times;Serif"/>
                <w:b w:val="false"/>
                <w:i w:val="false"/>
                <w:caps w:val="false"/>
                <w:smallCaps w:val="false"/>
                <w:sz w:val="20"/>
              </w:rPr>
              <w:t xml:space="preserve">4.74x - </w:t>
            </w:r>
            <w:bookmarkStart w:id="1205" w:name="xdx_902_eus-gaap--DerivativeAssetLiabili"/>
            <w:bookmarkEnd w:id="1205"/>
            <w:r>
              <w:rPr>
                <w:rFonts w:ascii="Times New Roman;Times;Serif" w:hAnsi="Times New Roman;Times;Serif"/>
                <w:b w:val="false"/>
                <w:i w:val="false"/>
                <w:caps w:val="false"/>
                <w:smallCaps w:val="false"/>
                <w:sz w:val="20"/>
              </w:rPr>
              <w:t>5.60x</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6" w:name="xdx_90C_ecustom--UnobservationInputDescr"/>
            <w:bookmarkEnd w:id="1206"/>
            <w:r>
              <w:rPr>
                <w:rFonts w:ascii="Times New Roman;Times;Serif" w:hAnsi="Times New Roman;Times;Serif"/>
                <w:b w:val="false"/>
                <w:i w:val="false"/>
                <w:caps w:val="false"/>
                <w:smallCaps w:val="false"/>
                <w:sz w:val="20"/>
              </w:rPr>
              <w:t>Precedent Transaction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7" w:name="xdx_908_eus-gaap--DerivativeAssetLiabili"/>
            <w:bookmarkEnd w:id="1207"/>
            <w:r>
              <w:rPr>
                <w:rFonts w:ascii="Times New Roman;Times;Serif" w:hAnsi="Times New Roman;Times;Serif"/>
                <w:b w:val="false"/>
                <w:i w:val="false"/>
                <w:caps w:val="false"/>
                <w:smallCaps w:val="false"/>
                <w:sz w:val="20"/>
              </w:rPr>
              <w:t>100%</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8" w:name="xdx_908_ecustom--UnobservationInputDescr"/>
            <w:bookmarkEnd w:id="1208"/>
            <w:r>
              <w:rPr>
                <w:rFonts w:ascii="Times New Roman;Times;Serif" w:hAnsi="Times New Roman;Times;Serif"/>
                <w:b w:val="false"/>
                <w:i w:val="false"/>
                <w:caps w:val="false"/>
                <w:smallCaps w:val="false"/>
                <w:sz w:val="20"/>
              </w:rPr>
              <w:t>Term to Expiration (Years)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9" w:name="xdx_900_eus-gaap--DerivativeAssetLiabili"/>
            <w:bookmarkEnd w:id="1209"/>
            <w:r>
              <w:rPr>
                <w:rFonts w:ascii="Times New Roman;Times;Serif" w:hAnsi="Times New Roman;Times;Serif"/>
                <w:b w:val="false"/>
                <w:i w:val="false"/>
                <w:caps w:val="false"/>
                <w:smallCaps w:val="false"/>
                <w:sz w:val="20"/>
              </w:rPr>
              <w:t xml:space="preserve">0.50 - </w:t>
            </w:r>
            <w:bookmarkStart w:id="1210" w:name="xdx_905_eus-gaap--DerivativeAssetLiabili"/>
            <w:bookmarkEnd w:id="1210"/>
            <w:r>
              <w:rPr>
                <w:rFonts w:ascii="Times New Roman;Times;Serif" w:hAnsi="Times New Roman;Times;Serif"/>
                <w:b w:val="false"/>
                <w:i w:val="false"/>
                <w:caps w:val="false"/>
                <w:smallCaps w:val="false"/>
                <w:sz w:val="20"/>
              </w:rPr>
              <w:t>1.36 (</w:t>
            </w:r>
            <w:bookmarkStart w:id="1211" w:name="xdx_906_eus-gaap--DerivativeAssetLiabili"/>
            <w:bookmarkEnd w:id="1211"/>
            <w:r>
              <w:rPr>
                <w:rFonts w:ascii="Times New Roman;Times;Serif" w:hAnsi="Times New Roman;Times;Serif"/>
                <w:b w:val="false"/>
                <w:i w:val="false"/>
                <w:caps w:val="false"/>
                <w:smallCaps w:val="false"/>
                <w:sz w:val="20"/>
              </w:rPr>
              <w:t>0.88)</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2" w:name="xdx_909_ecustom--UnobservationInputDescr"/>
            <w:bookmarkEnd w:id="1212"/>
            <w:r>
              <w:rPr>
                <w:rFonts w:ascii="Times New Roman;Times;Serif" w:hAnsi="Times New Roman;Times;Serif"/>
                <w:b w:val="false"/>
                <w:i w:val="false"/>
                <w:caps w:val="false"/>
                <w:smallCaps w:val="false"/>
                <w:sz w:val="20"/>
              </w:rPr>
              <w:t>Volatility</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3" w:name="xdx_901_eus-gaap--DerivativeAssetLiabili"/>
            <w:bookmarkEnd w:id="1213"/>
            <w:r>
              <w:rPr>
                <w:rFonts w:ascii="Times New Roman;Times;Serif" w:hAnsi="Times New Roman;Times;Serif"/>
                <w:b w:val="false"/>
                <w:i w:val="false"/>
                <w:caps w:val="false"/>
                <w:smallCaps w:val="false"/>
                <w:sz w:val="20"/>
              </w:rPr>
              <w:t xml:space="preserve">45% - </w:t>
            </w:r>
            <w:bookmarkStart w:id="1214" w:name="xdx_901_eus-gaap--DerivativeAssetLiabili"/>
            <w:bookmarkEnd w:id="1214"/>
            <w:r>
              <w:rPr>
                <w:rFonts w:ascii="Times New Roman;Times;Serif" w:hAnsi="Times New Roman;Times;Serif"/>
                <w:b w:val="false"/>
                <w:i w:val="false"/>
                <w:caps w:val="false"/>
                <w:smallCaps w:val="false"/>
                <w:sz w:val="20"/>
              </w:rPr>
              <w:t>50% (</w:t>
            </w:r>
            <w:bookmarkStart w:id="1215" w:name="xdx_90C_eus-gaap--DerivativeAssetLiabili"/>
            <w:bookmarkEnd w:id="1215"/>
            <w:r>
              <w:rPr>
                <w:rFonts w:ascii="Times New Roman;Times;Serif" w:hAnsi="Times New Roman;Times;Serif"/>
                <w:b w:val="false"/>
                <w:i w:val="false"/>
                <w:caps w:val="false"/>
                <w:smallCaps w:val="false"/>
                <w:sz w:val="20"/>
              </w:rPr>
              <w:t>48%)</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6" w:name="xdx_903_ecustom--ValuationTechniqueAndIn"/>
            <w:bookmarkEnd w:id="1216"/>
            <w:r>
              <w:rPr>
                <w:rFonts w:ascii="Times New Roman;Times;Serif" w:hAnsi="Times New Roman;Times;Serif"/>
                <w:b w:val="false"/>
                <w:i w:val="false"/>
                <w:caps w:val="false"/>
                <w:smallCaps w:val="false"/>
                <w:sz w:val="20"/>
              </w:rPr>
              <w:t>PWERM</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7" w:name="xdx_90B_ecustom--UnobservationInputDescr"/>
            <w:bookmarkEnd w:id="1217"/>
            <w:r>
              <w:rPr>
                <w:rFonts w:ascii="Times New Roman;Times;Serif" w:hAnsi="Times New Roman;Times;Serif"/>
                <w:b w:val="false"/>
                <w:i w:val="false"/>
                <w:caps w:val="false"/>
                <w:smallCaps w:val="false"/>
                <w:sz w:val="20"/>
              </w:rPr>
              <w:t>Precedent Transaction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8" w:name="xdx_90D_eus-gaap--DerivativeAssetLiabili"/>
            <w:bookmarkEnd w:id="1218"/>
            <w:r>
              <w:rPr>
                <w:rFonts w:ascii="Times New Roman;Times;Serif" w:hAnsi="Times New Roman;Times;Serif"/>
                <w:b w:val="false"/>
                <w:i w:val="false"/>
                <w:caps w:val="false"/>
                <w:smallCaps w:val="false"/>
                <w:sz w:val="20"/>
              </w:rPr>
              <w:t>90%</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9" w:name="xdx_901_ecustom--UnobservationInputDescr"/>
            <w:bookmarkEnd w:id="1219"/>
            <w:r>
              <w:rPr>
                <w:rFonts w:ascii="Times New Roman;Times;Serif" w:hAnsi="Times New Roman;Times;Serif"/>
                <w:b w:val="false"/>
                <w:i w:val="false"/>
                <w:caps w:val="false"/>
                <w:smallCaps w:val="false"/>
                <w:sz w:val="20"/>
              </w:rPr>
              <w:t>Revenue Multiples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20" w:name="xdx_902_eus-gaap--DerivativeAssetLiabili"/>
            <w:bookmarkEnd w:id="1220"/>
            <w:r>
              <w:rPr>
                <w:rFonts w:ascii="Times New Roman;Times;Serif" w:hAnsi="Times New Roman;Times;Serif"/>
                <w:b w:val="false"/>
                <w:i w:val="false"/>
                <w:caps w:val="false"/>
                <w:smallCaps w:val="false"/>
                <w:sz w:val="20"/>
              </w:rPr>
              <w:t xml:space="preserve">1.54x - </w:t>
            </w:r>
            <w:bookmarkStart w:id="1221" w:name="xdx_905_eus-gaap--DerivativeAssetLiabili"/>
            <w:bookmarkEnd w:id="1221"/>
            <w:r>
              <w:rPr>
                <w:rFonts w:ascii="Times New Roman;Times;Serif" w:hAnsi="Times New Roman;Times;Serif"/>
                <w:b w:val="false"/>
                <w:i w:val="false"/>
                <w:caps w:val="false"/>
                <w:smallCaps w:val="false"/>
                <w:sz w:val="20"/>
              </w:rPr>
              <w:t>1.90x (</w:t>
            </w:r>
            <w:bookmarkStart w:id="1222" w:name="xdx_906_eus-gaap--DerivativeAssetLiabili"/>
            <w:bookmarkEnd w:id="1222"/>
            <w:r>
              <w:rPr>
                <w:rFonts w:ascii="Times New Roman;Times;Serif" w:hAnsi="Times New Roman;Times;Serif"/>
                <w:b w:val="false"/>
                <w:i w:val="false"/>
                <w:caps w:val="false"/>
                <w:smallCaps w:val="false"/>
                <w:sz w:val="20"/>
              </w:rPr>
              <w:t>1.72x)</w:t>
            </w:r>
          </w:p>
        </w:tc>
      </w:tr>
      <w:tr>
        <w:trPr/>
        <w:tc>
          <w:tcPr>
            <w:tcW w:w="3069"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23" w:name="xdx_90F_ecustom--ValuationTechniqueAndIn"/>
            <w:bookmarkEnd w:id="1223"/>
            <w:r>
              <w:rPr>
                <w:rFonts w:ascii="Times New Roman;Times;Serif" w:hAnsi="Times New Roman;Times;Serif"/>
                <w:b w:val="false"/>
                <w:i w:val="false"/>
                <w:caps w:val="false"/>
                <w:smallCaps w:val="false"/>
                <w:sz w:val="20"/>
              </w:rPr>
              <w:t>Market Approach</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24" w:name="xdx_908_ecustom--UnobservationInputDescr"/>
            <w:bookmarkEnd w:id="1224"/>
            <w:r>
              <w:rPr>
                <w:rFonts w:ascii="Times New Roman;Times;Serif" w:hAnsi="Times New Roman;Times;Serif"/>
                <w:b w:val="false"/>
                <w:i w:val="false"/>
                <w:caps w:val="false"/>
                <w:smallCaps w:val="false"/>
                <w:sz w:val="20"/>
              </w:rPr>
              <w:t>Precedent Transaction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25" w:name="xdx_905_eus-gaap--DerivativeAssetLiabili"/>
            <w:bookmarkEnd w:id="1225"/>
            <w:r>
              <w:rPr>
                <w:rFonts w:ascii="Times New Roman;Times;Serif" w:hAnsi="Times New Roman;Times;Serif"/>
                <w:b w:val="false"/>
                <w:i w:val="false"/>
                <w:caps w:val="false"/>
                <w:smallCaps w:val="false"/>
                <w:sz w:val="20"/>
              </w:rPr>
              <w:t xml:space="preserve">25% - </w:t>
            </w:r>
            <w:bookmarkStart w:id="1226" w:name="xdx_903_eus-gaap--DerivativeAssetLiabili"/>
            <w:bookmarkEnd w:id="1226"/>
            <w:r>
              <w:rPr>
                <w:rFonts w:ascii="Times New Roman;Times;Serif" w:hAnsi="Times New Roman;Times;Serif"/>
                <w:b w:val="false"/>
                <w:i w:val="false"/>
                <w:caps w:val="false"/>
                <w:smallCaps w:val="false"/>
                <w:sz w:val="20"/>
              </w:rPr>
              <w:t>100% (</w:t>
            </w:r>
            <w:bookmarkStart w:id="1227" w:name="xdx_90B_eus-gaap--DerivativeAssetLiabili"/>
            <w:bookmarkEnd w:id="1227"/>
            <w:r>
              <w:rPr>
                <w:rFonts w:ascii="Times New Roman;Times;Serif" w:hAnsi="Times New Roman;Times;Serif"/>
                <w:b w:val="false"/>
                <w:i w:val="false"/>
                <w:caps w:val="false"/>
                <w:smallCaps w:val="false"/>
                <w:sz w:val="20"/>
              </w:rPr>
              <w:t>77%)</w:t>
            </w:r>
          </w:p>
        </w:tc>
      </w:tr>
      <w:tr>
        <w:trPr/>
        <w:tc>
          <w:tcPr>
            <w:tcW w:w="306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investments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28" w:name="xdx_90B_eus-gaap--AssetsFairValueDisclos"/>
            <w:bookmarkEnd w:id="1228"/>
            <w:r>
              <w:rPr>
                <w:rFonts w:ascii="Times New Roman;Times;Serif" w:hAnsi="Times New Roman;Times;Serif"/>
                <w:b w:val="false"/>
                <w:i w:val="false"/>
                <w:caps w:val="false"/>
                <w:smallCaps w:val="false"/>
                <w:sz w:val="20"/>
              </w:rPr>
              <w:t>756,339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49"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29" w:name="xdx_902_ecustom--ValuationTechniqueAndIn"/>
            <w:bookmarkEnd w:id="1229"/>
            <w:r>
              <w:rPr>
                <w:rFonts w:ascii="Times New Roman;Times;Serif" w:hAnsi="Times New Roman;Times;Serif"/>
                <w:b w:val="false"/>
                <w:i w:val="false"/>
                <w:caps w:val="false"/>
                <w:smallCaps w:val="false"/>
                <w:sz w:val="20"/>
              </w:rPr>
              <w:t>Market Approach</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30" w:name="xdx_906_ecustom--UnobservationInputDescr"/>
            <w:bookmarkEnd w:id="1230"/>
            <w:r>
              <w:rPr>
                <w:rFonts w:ascii="Times New Roman;Times;Serif" w:hAnsi="Times New Roman;Times;Serif"/>
                <w:b w:val="false"/>
                <w:i w:val="false"/>
                <w:caps w:val="false"/>
                <w:smallCaps w:val="false"/>
                <w:sz w:val="20"/>
              </w:rPr>
              <w:t>Revenue Multiples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31" w:name="xdx_902_eus-gaap--DerivativeAssetLiabili"/>
            <w:bookmarkEnd w:id="1231"/>
            <w:r>
              <w:rPr>
                <w:rFonts w:ascii="Times New Roman;Times;Serif" w:hAnsi="Times New Roman;Times;Serif"/>
                <w:b w:val="false"/>
                <w:i w:val="false"/>
                <w:caps w:val="false"/>
                <w:smallCaps w:val="false"/>
                <w:sz w:val="20"/>
              </w:rPr>
              <w:t xml:space="preserve">0.57x - </w:t>
            </w:r>
            <w:bookmarkStart w:id="1232" w:name="xdx_907_eus-gaap--DerivativeAssetLiabili"/>
            <w:bookmarkEnd w:id="1232"/>
            <w:r>
              <w:rPr>
                <w:rFonts w:ascii="Times New Roman;Times;Serif" w:hAnsi="Times New Roman;Times;Serif"/>
                <w:b w:val="false"/>
                <w:i w:val="false"/>
                <w:caps w:val="false"/>
                <w:smallCaps w:val="false"/>
                <w:sz w:val="20"/>
              </w:rPr>
              <w:t>5.05x (</w:t>
            </w:r>
            <w:bookmarkStart w:id="1233" w:name="xdx_906_eus-gaap--DerivativeAssetLiabili"/>
            <w:bookmarkEnd w:id="1233"/>
            <w:r>
              <w:rPr>
                <w:rFonts w:ascii="Times New Roman;Times;Serif" w:hAnsi="Times New Roman;Times;Serif"/>
                <w:b w:val="false"/>
                <w:i w:val="false"/>
                <w:caps w:val="false"/>
                <w:smallCaps w:val="false"/>
                <w:sz w:val="20"/>
              </w:rPr>
              <w:t>3.49x)</w:t>
            </w:r>
          </w:p>
        </w:tc>
      </w:tr>
      <w:tr>
        <w:trPr/>
        <w:tc>
          <w:tcPr>
            <w:tcW w:w="306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9"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34" w:name="xdx_901_ecustom--UnobservationInputDescr"/>
            <w:bookmarkEnd w:id="1234"/>
            <w:r>
              <w:rPr>
                <w:rFonts w:ascii="Times New Roman;Times;Serif" w:hAnsi="Times New Roman;Times;Serif"/>
                <w:b w:val="false"/>
                <w:i w:val="false"/>
                <w:caps w:val="false"/>
                <w:smallCaps w:val="false"/>
                <w:sz w:val="20"/>
              </w:rPr>
              <w:t>Precedent Transactions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35" w:name="xdx_908_eus-gaap--DerivativeAssetLiabili"/>
            <w:bookmarkEnd w:id="1235"/>
            <w:r>
              <w:rPr>
                <w:rFonts w:ascii="Times New Roman;Times;Serif" w:hAnsi="Times New Roman;Times;Serif"/>
                <w:b w:val="false"/>
                <w:i w:val="false"/>
                <w:caps w:val="false"/>
                <w:smallCaps w:val="false"/>
                <w:sz w:val="20"/>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36" w:name="xdx_F04_zS3yeqA5fsOc"/>
            <w:bookmarkEnd w:id="1236"/>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37" w:name="xdx_F1C_zY9pGW0s8ZTa"/>
            <w:bookmarkEnd w:id="1237"/>
            <w:r>
              <w:rPr>
                <w:rFonts w:ascii="Times New Roman;Times;Serif" w:hAnsi="Times New Roman;Times;Serif"/>
                <w:b w:val="false"/>
                <w:i w:val="false"/>
                <w:caps w:val="false"/>
                <w:smallCaps w:val="false"/>
                <w:sz w:val="20"/>
              </w:rPr>
              <w:t>As of December 31, 2025,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 for more detail.</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38" w:name="xdx_F0C_zsGzQpChDdcg"/>
            <w:bookmarkEnd w:id="1238"/>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39" w:name="xdx_F15_zs0fXI6laPi9"/>
            <w:bookmarkEnd w:id="1239"/>
            <w:r>
              <w:rPr>
                <w:rFonts w:ascii="Times New Roman;Times;Serif" w:hAnsi="Times New Roman;Times;Serif"/>
                <w:b w:val="false"/>
                <w:i w:val="false"/>
                <w:caps w:val="false"/>
                <w:smallCaps w:val="false"/>
                <w:sz w:val="20"/>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 for more detail.</w:t>
            </w:r>
          </w:p>
        </w:tc>
      </w:tr>
    </w:tbl>
    <w:p>
      <w:pPr>
        <w:pStyle w:val="TextBody"/>
        <w:bidi w:val="0"/>
        <w:spacing w:before="0" w:after="0"/>
        <w:ind w:left="720" w:right="0" w:hanging="72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60"/>
        <w:gridCol w:w="716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40" w:name="xdx_F00_zdWhcdBEDpgd"/>
            <w:bookmarkEnd w:id="1240"/>
            <w:r>
              <w:rPr>
                <w:rFonts w:ascii="Times New Roman;Times;Serif" w:hAnsi="Times New Roman;Times;Serif"/>
                <w:b w:val="false"/>
                <w:i w:val="false"/>
                <w:caps w:val="false"/>
                <w:smallCaps w:val="false"/>
                <w:sz w:val="20"/>
              </w:rPr>
              <w:t>(3)</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41" w:name="xdx_F1F_zZ81yS1e5eUa"/>
            <w:bookmarkEnd w:id="1241"/>
            <w:r>
              <w:rPr>
                <w:rFonts w:ascii="Times New Roman;Times;Serif" w:hAnsi="Times New Roman;Times;Serif"/>
                <w:b w:val="false"/>
                <w:i w:val="false"/>
                <w:caps w:val="false"/>
                <w:smallCaps w:val="false"/>
                <w:sz w:val="20"/>
              </w:rPr>
              <w:t>The weighted averages are calculated based on the fair market value of each investment.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42" w:name="xdx_F04_zfHXKQAb8Ef"/>
            <w:bookmarkEnd w:id="1242"/>
            <w:r>
              <w:rPr>
                <w:rFonts w:ascii="Times New Roman;Times;Serif" w:hAnsi="Times New Roman;Times;Serif"/>
                <w:b w:val="false"/>
                <w:i w:val="false"/>
                <w:caps w:val="false"/>
                <w:smallCaps w:val="false"/>
                <w:sz w:val="20"/>
              </w:rPr>
              <w:t>(4)</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43" w:name="xdx_F1C_zn6qFYzUA6Wf"/>
            <w:bookmarkEnd w:id="1243"/>
            <w:r>
              <w:rPr>
                <w:rFonts w:ascii="Times New Roman;Times;Serif" w:hAnsi="Times New Roman;Times;Serif"/>
                <w:b w:val="false"/>
                <w:i w:val="false"/>
                <w:caps w:val="false"/>
                <w:smallCaps w:val="false"/>
                <w:sz w:val="20"/>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44" w:name="xdx_F00_z8KBZN1Ki3xk"/>
            <w:bookmarkEnd w:id="1244"/>
            <w:r>
              <w:rPr>
                <w:rFonts w:ascii="Times New Roman;Times;Serif" w:hAnsi="Times New Roman;Times;Serif"/>
                <w:b w:val="false"/>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45" w:name="xdx_F10_z1e6qn72vQC"/>
            <w:bookmarkEnd w:id="1245"/>
            <w:r>
              <w:rPr>
                <w:rFonts w:ascii="Times New Roman;Times;Serif" w:hAnsi="Times New Roman;Times;Serif"/>
                <w:b w:val="false"/>
                <w:i w:val="false"/>
                <w:caps w:val="false"/>
                <w:smallCaps w:val="false"/>
                <w:sz w:val="20"/>
              </w:rPr>
              <w:t>Common Stock in Private Portfolio Companies also includes the Company’s Limited Partner Fund Investment in True Global Ventures 4 Plus Pte Ltd. and the Company’s investment in the Class A Interest of CW Opportunity 2 LP which is invested in the Class A Common Stock of CoreWeave,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46" w:name="xdx_F04_zAsQZGAT1FJc"/>
            <w:bookmarkEnd w:id="1246"/>
            <w:r>
              <w:rPr>
                <w:rFonts w:ascii="Times New Roman;Times;Serif" w:hAnsi="Times New Roman;Times;Serif"/>
                <w:b w:val="false"/>
                <w:i w:val="false"/>
                <w:caps w:val="false"/>
                <w:smallCaps w:val="false"/>
                <w:sz w:val="20"/>
              </w:rPr>
              <w:t>(6)</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47" w:name="xdx_F15_zbuIDTP7UrY3"/>
            <w:bookmarkEnd w:id="1247"/>
            <w:r>
              <w:rPr>
                <w:rFonts w:ascii="Times New Roman;Times;Serif" w:hAnsi="Times New Roman;Times;Serif"/>
                <w:b w:val="false"/>
                <w:i w:val="false"/>
                <w:caps w:val="false"/>
                <w:smallCaps w:val="false"/>
                <w:sz w:val="20"/>
              </w:rPr>
              <w:t>Options in Private Portfolio Companies also includes the Company’s investments in the SAFEs of Orchard Technologies, Inc., PayJoy, Inc., and Whoop, Inc.</w:t>
            </w:r>
          </w:p>
        </w:tc>
      </w:tr>
    </w:tbl>
    <w:p>
      <w:pPr>
        <w:pStyle w:val="TextBody"/>
        <w:bidi w:val="0"/>
        <w:spacing w:before="0" w:after="0"/>
        <w:ind w:left="720" w:right="0" w:hanging="72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60"/>
        <w:gridCol w:w="51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48" w:name="xdx_F0B_zJCFwNfz4AE1"/>
            <w:bookmarkEnd w:id="1248"/>
            <w:r>
              <w:rPr>
                <w:rFonts w:ascii="Times New Roman;Times;Serif" w:hAnsi="Times New Roman;Times;Serif"/>
                <w:b w:val="false"/>
                <w:i w:val="false"/>
                <w:caps w:val="false"/>
                <w:smallCaps w:val="false"/>
                <w:sz w:val="20"/>
              </w:rPr>
              <w:t>(7)</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49" w:name="xdx_F11_zPiklvvELDpj"/>
            <w:bookmarkEnd w:id="1249"/>
            <w:r>
              <w:rPr>
                <w:rFonts w:ascii="Times New Roman;Times;Serif" w:hAnsi="Times New Roman;Times;Serif"/>
                <w:b w:val="false"/>
                <w:i w:val="false"/>
                <w:caps w:val="false"/>
                <w:smallCaps w:val="false"/>
                <w:sz w:val="20"/>
              </w:rPr>
              <w:t>Probability-Weighted Expected Return Method, or “PWERM”.</w:t>
            </w:r>
          </w:p>
        </w:tc>
      </w:tr>
    </w:tbl>
    <w:p>
      <w:pPr>
        <w:pStyle w:val="TextBody"/>
        <w:bidi w:val="0"/>
        <w:spacing w:before="0" w:after="0"/>
        <w:ind w:left="720" w:right="0" w:hanging="72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60"/>
        <w:gridCol w:w="371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50" w:name="xdx_F0D_zb7s7h88q1al"/>
            <w:bookmarkEnd w:id="1250"/>
            <w:r>
              <w:rPr>
                <w:rFonts w:ascii="Times New Roman;Times;Serif" w:hAnsi="Times New Roman;Times;Serif"/>
                <w:b w:val="false"/>
                <w:i w:val="false"/>
                <w:caps w:val="false"/>
                <w:smallCaps w:val="false"/>
                <w:sz w:val="20"/>
              </w:rPr>
              <w:t>(8)</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51" w:name="xdx_F11_zV9xjQnqDqzl"/>
            <w:bookmarkEnd w:id="1251"/>
            <w:r>
              <w:rPr>
                <w:rFonts w:ascii="Times New Roman;Times;Serif" w:hAnsi="Times New Roman;Times;Serif"/>
                <w:b w:val="false"/>
                <w:i w:val="false"/>
                <w:caps w:val="false"/>
                <w:smallCaps w:val="false"/>
                <w:sz w:val="20"/>
              </w:rPr>
              <w:t>Adjusted Funds From Operations, or “AFFO”.</w:t>
            </w:r>
          </w:p>
        </w:tc>
      </w:tr>
    </w:tbl>
    <w:p>
      <w:pPr>
        <w:pStyle w:val="TextBody"/>
        <w:bidi w:val="0"/>
        <w:spacing w:before="0" w:after="0"/>
        <w:ind w:left="720" w:right="0" w:hanging="720"/>
        <w:jc w:val="both"/>
        <w:rPr>
          <w:caps w:val="false"/>
          <w:smallCaps w:val="false"/>
        </w:rPr>
      </w:pPr>
      <w:bookmarkStart w:id="1252" w:name="xdx_8AD_z7uINlRnmlj7"/>
      <w:bookmarkEnd w:id="125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253" w:name="xdx_894_eus-gaap--ScheduleOfFairValueAss"/>
      <w:bookmarkEnd w:id="1253"/>
      <w:r>
        <w:rPr>
          <w:rFonts w:ascii="Times New Roman;Times;Serif" w:hAnsi="Times New Roman;Times;Serif"/>
          <w:b w:val="false"/>
          <w:i w:val="false"/>
          <w:caps w:val="false"/>
          <w:smallCaps w:val="false"/>
          <w:sz w:val="20"/>
        </w:rPr>
        <w:t>The aggregate values of Level 3 assets and liabilities changed during the six months ended June 30, 2026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254" w:name="xdx_8B5_zCOuxD4Sjlq1"/>
      <w:bookmarkEnd w:id="1254"/>
      <w:r>
        <w:rPr>
          <w:rFonts w:ascii="Times New Roman;Times;Serif" w:hAnsi="Times New Roman;Times;Serif"/>
          <w:b w:val="false"/>
          <w:i w:val="false"/>
          <w:caps w:val="false"/>
          <w:smallCaps w:val="false"/>
          <w:sz w:val="20"/>
        </w:rPr>
        <w:t>SCHEDULE OF AGGREGATE VALUE OF ASSETS AND LIABILITIES</w:t>
      </w:r>
    </w:p>
    <w:tbl>
      <w:tblPr>
        <w:tblW w:w="10205" w:type="dxa"/>
        <w:jc w:val="left"/>
        <w:tblInd w:w="0" w:type="dxa"/>
        <w:tblLayout w:type="fixed"/>
        <w:tblCellMar>
          <w:top w:w="0" w:type="dxa"/>
          <w:left w:w="0" w:type="dxa"/>
          <w:bottom w:w="0" w:type="dxa"/>
          <w:right w:w="0" w:type="dxa"/>
        </w:tblCellMar>
      </w:tblPr>
      <w:tblGrid>
        <w:gridCol w:w="3175"/>
        <w:gridCol w:w="60"/>
        <w:gridCol w:w="140"/>
        <w:gridCol w:w="1220"/>
        <w:gridCol w:w="95"/>
        <w:gridCol w:w="60"/>
        <w:gridCol w:w="140"/>
        <w:gridCol w:w="1100"/>
        <w:gridCol w:w="95"/>
        <w:gridCol w:w="60"/>
        <w:gridCol w:w="140"/>
        <w:gridCol w:w="1055"/>
        <w:gridCol w:w="95"/>
        <w:gridCol w:w="60"/>
        <w:gridCol w:w="140"/>
        <w:gridCol w:w="980"/>
        <w:gridCol w:w="60"/>
        <w:gridCol w:w="60"/>
        <w:gridCol w:w="140"/>
        <w:gridCol w:w="1220"/>
        <w:gridCol w:w="110"/>
      </w:tblGrid>
      <w:tr>
        <w:trPr/>
        <w:tc>
          <w:tcPr>
            <w:tcW w:w="3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5" w:name="xdx_4B9_us-gaap--FairValueByAssetClassAx"/>
            <w:bookmarkEnd w:id="1255"/>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bookmarkStart w:id="1256" w:name="xdx_F50_zcsY2F8hPNrg"/>
            <w:bookmarkEnd w:id="1256"/>
            <w:r>
              <w:rPr>
                <w:rFonts w:ascii="Times New Roman;Times;Serif" w:hAnsi="Times New Roman;Times;Serif"/>
                <w:b/>
                <w:i w:val="false"/>
                <w:caps w:val="false"/>
                <w:smallCaps w:val="false"/>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7" w:name="xdx_4B1_us-gaap--FairValueByAssetClassAx"/>
            <w:bookmarkEnd w:id="1257"/>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bookmarkStart w:id="1258" w:name="xdx_F5F_zewyRYCqd8Bh"/>
            <w:bookmarkEnd w:id="1258"/>
            <w:r>
              <w:rPr>
                <w:rFonts w:ascii="Times New Roman;Times;Serif" w:hAnsi="Times New Roman;Times;Serif"/>
                <w:b/>
                <w:i w:val="false"/>
                <w:caps w:val="false"/>
                <w:smallCaps w:val="false"/>
                <w:sz w:val="20"/>
              </w:rPr>
              <w:t>(2)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9" w:name="xdx_4BE_us-gaap--FairValueByAssetClassAx"/>
            <w:bookmarkEnd w:id="1259"/>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bookmarkStart w:id="1260" w:name="xdx_F50_zi1PyeKq0Lal"/>
            <w:bookmarkEnd w:id="1260"/>
            <w:r>
              <w:rPr>
                <w:rFonts w:ascii="Times New Roman;Times;Serif" w:hAnsi="Times New Roman;Times;Serif"/>
                <w:b/>
                <w:sz w:val="20"/>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1" w:name="xdx_4B9_us-gaap--FairValueByAssetClassAx"/>
            <w:bookmarkEnd w:id="1261"/>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2" w:name="xdx_4BD_zzXCGypMn8Q"/>
            <w:bookmarkEnd w:id="1262"/>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2026</w:t>
            </w:r>
          </w:p>
        </w:tc>
        <w:tc>
          <w:tcPr>
            <w:tcW w:w="110" w:type="dxa"/>
            <w:tcBorders/>
            <w:vAlign w:val="center"/>
          </w:tcPr>
          <w:p>
            <w:pPr>
              <w:pStyle w:val="TableContents"/>
              <w:bidi w:val="0"/>
              <w:spacing w:before="0" w:after="283"/>
              <w:jc w:val="left"/>
              <w:rPr/>
            </w:pPr>
            <w:r>
              <w:rPr/>
              <w:t> </w:t>
            </w:r>
          </w:p>
        </w:tc>
      </w:tr>
      <w:tr>
        <w:trPr/>
        <w:tc>
          <w:tcPr>
            <w:tcW w:w="3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r>
              <w:rPr>
                <w:rFonts w:ascii="Times New Roman;Times;Serif" w:hAnsi="Times New Roman;Times;Serif"/>
                <w:b/>
                <w:i w:val="false"/>
                <w:caps w:val="false"/>
                <w:smallCaps w:val="false"/>
                <w:position w:val="7"/>
                <w:sz w:val="16"/>
                <w:sz w:val="20"/>
              </w:rPr>
              <w:t>(2)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r>
              <w:rPr>
                <w:rFonts w:ascii="Times New Roman;Times;Serif" w:hAnsi="Times New Roman;Times;Serif"/>
                <w:b/>
                <w:position w:val="7"/>
                <w:sz w:val="16"/>
                <w:sz w:val="20"/>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1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3" w:name="xdx_430_c20260101__20260630_eus-gaap--As"/>
            <w:bookmarkEnd w:id="1263"/>
          </w:p>
        </w:tc>
      </w:tr>
      <w:tr>
        <w:trPr/>
        <w:tc>
          <w:tcPr>
            <w:tcW w:w="3175" w:type="dxa"/>
            <w:tcBorders/>
            <w:shd w:fill="FFFFFF" w:val="clear"/>
            <w:vAlign w:val="center"/>
          </w:tcPr>
          <w:p>
            <w:pPr>
              <w:pStyle w:val="TableContents"/>
              <w:bidi w:val="0"/>
              <w:spacing w:before="0" w:after="283"/>
              <w:jc w:val="left"/>
              <w:rPr/>
            </w:pPr>
            <w:r>
              <w:rPr/>
              <w:t>Fair Value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169,631,231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46,713,129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4,201,543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756,339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221,302,242</w:t>
            </w:r>
          </w:p>
        </w:tc>
        <w:tc>
          <w:tcPr>
            <w:tcW w:w="110" w:type="dxa"/>
            <w:tcBorders/>
            <w:shd w:fill="FFFFFF" w:val="clear"/>
            <w:vAlign w:val="center"/>
          </w:tcPr>
          <w:p>
            <w:pPr>
              <w:pStyle w:val="TableContents"/>
              <w:bidi w:val="0"/>
              <w:spacing w:before="0" w:after="283"/>
              <w:jc w:val="left"/>
              <w:rPr/>
            </w:pPr>
            <w:r>
              <w:rPr/>
              <w:t> </w:t>
            </w:r>
            <w:bookmarkStart w:id="1264" w:name="xdx_431_c20260101__20260630_eus-gaap--As"/>
            <w:bookmarkEnd w:id="1264"/>
          </w:p>
        </w:tc>
      </w:tr>
      <w:tr>
        <w:trPr/>
        <w:tc>
          <w:tcPr>
            <w:tcW w:w="3175" w:type="dxa"/>
            <w:tcBorders/>
            <w:shd w:fill="FFFFFF" w:val="clear"/>
            <w:vAlign w:val="center"/>
          </w:tcPr>
          <w:p>
            <w:pPr>
              <w:pStyle w:val="TableContents"/>
              <w:bidi w:val="0"/>
              <w:spacing w:before="0" w:after="283"/>
              <w:jc w:val="left"/>
              <w:rPr/>
            </w:pPr>
            <w:r>
              <w:rPr/>
              <w:t>Fair Value, Beginning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169,631,231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46,713,129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4,201,543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756,339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221,302,242</w:t>
            </w:r>
          </w:p>
        </w:tc>
        <w:tc>
          <w:tcPr>
            <w:tcW w:w="110" w:type="dxa"/>
            <w:tcBorders/>
            <w:shd w:fill="FFFFFF" w:val="clear"/>
            <w:vAlign w:val="center"/>
          </w:tcPr>
          <w:p>
            <w:pPr>
              <w:pStyle w:val="TableContents"/>
              <w:bidi w:val="0"/>
              <w:spacing w:before="0" w:after="283"/>
              <w:jc w:val="left"/>
              <w:rPr/>
            </w:pPr>
            <w:r>
              <w:rPr/>
              <w:t> </w:t>
            </w:r>
            <w:bookmarkStart w:id="1265" w:name="xdx_40E_ecustom--Transfers_zmCWT9YLpcJk"/>
            <w:bookmarkEnd w:id="1265"/>
          </w:p>
        </w:tc>
      </w:tr>
      <w:tr>
        <w:trPr/>
        <w:tc>
          <w:tcPr>
            <w:tcW w:w="3175" w:type="dxa"/>
            <w:tcBorders/>
            <w:shd w:fill="FFFFFF" w:val="clear"/>
            <w:vAlign w:val="center"/>
          </w:tcPr>
          <w:p>
            <w:pPr>
              <w:pStyle w:val="TableContents"/>
              <w:bidi w:val="0"/>
              <w:spacing w:before="0" w:after="283"/>
              <w:jc w:val="left"/>
              <w:rPr/>
            </w:pPr>
            <w:r>
              <w:rPr/>
              <w:t> </w:t>
            </w:r>
            <w:r>
              <w:rPr/>
              <w:t xml:space="preserve">Transfers out of Level 3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66" w:name="xdx_40A_eus-gaap--FairValueMeasurementWi"/>
            <w:bookmarkEnd w:id="1266"/>
          </w:p>
        </w:tc>
      </w:tr>
      <w:tr>
        <w:trPr/>
        <w:tc>
          <w:tcPr>
            <w:tcW w:w="3175" w:type="dxa"/>
            <w:tcBorders/>
            <w:shd w:fill="CCEEFF" w:val="clear"/>
            <w:vAlign w:val="center"/>
          </w:tcPr>
          <w:p>
            <w:pPr>
              <w:pStyle w:val="TableContents"/>
              <w:bidi w:val="0"/>
              <w:spacing w:before="0" w:after="283"/>
              <w:jc w:val="left"/>
              <w:rPr/>
            </w:pPr>
            <w:r>
              <w:rPr/>
              <w:t>Purchases, capitalized fees and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24,579,252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229,296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5,012,250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29,820,798</w:t>
            </w:r>
          </w:p>
        </w:tc>
        <w:tc>
          <w:tcPr>
            <w:tcW w:w="110" w:type="dxa"/>
            <w:tcBorders/>
            <w:shd w:fill="CCEEFF" w:val="clear"/>
            <w:vAlign w:val="center"/>
          </w:tcPr>
          <w:p>
            <w:pPr>
              <w:pStyle w:val="TableContents"/>
              <w:bidi w:val="0"/>
              <w:spacing w:before="0" w:after="283"/>
              <w:jc w:val="left"/>
              <w:rPr/>
            </w:pPr>
            <w:r>
              <w:rPr/>
              <w:t> </w:t>
            </w:r>
            <w:bookmarkStart w:id="1267" w:name="xdx_40F_eus-gaap--FairValueMeasurementWi"/>
            <w:bookmarkEnd w:id="1267"/>
          </w:p>
        </w:tc>
      </w:tr>
      <w:tr>
        <w:trPr/>
        <w:tc>
          <w:tcPr>
            <w:tcW w:w="3175" w:type="dxa"/>
            <w:tcBorders/>
            <w:shd w:fill="FFFFFF" w:val="clear"/>
            <w:vAlign w:val="center"/>
          </w:tcPr>
          <w:p>
            <w:pPr>
              <w:pStyle w:val="TableContents"/>
              <w:bidi w:val="0"/>
              <w:spacing w:before="0" w:after="283"/>
              <w:jc w:val="left"/>
              <w:rPr/>
            </w:pPr>
            <w:r>
              <w:rPr/>
              <w:t>Sales/Redemptions of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(5,150,810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(6,715,466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(11,866,276</w:t>
            </w:r>
          </w:p>
        </w:tc>
        <w:tc>
          <w:tcPr>
            <w:tcW w:w="110" w:type="dxa"/>
            <w:tcBorders/>
            <w:shd w:fill="FFFFFF" w:val="clear"/>
            <w:vAlign w:val="center"/>
          </w:tcPr>
          <w:p>
            <w:pPr>
              <w:pStyle w:val="TableContents"/>
              <w:bidi w:val="0"/>
              <w:spacing w:before="0" w:after="283"/>
              <w:jc w:val="left"/>
              <w:rPr/>
            </w:pPr>
            <w:r>
              <w:rPr/>
              <w:t>)</w:t>
            </w:r>
            <w:bookmarkStart w:id="1268" w:name="xdx_408_ecustom--FairValueMeasurementWit"/>
            <w:bookmarkEnd w:id="1268"/>
          </w:p>
        </w:tc>
      </w:tr>
      <w:tr>
        <w:trPr/>
        <w:tc>
          <w:tcPr>
            <w:tcW w:w="3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Exercises and conversions</w:t>
            </w:r>
            <w:bookmarkStart w:id="1269" w:name="xdx_F4D_ze448qULkWAl"/>
            <w:bookmarkEnd w:id="1269"/>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(2,886,779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8,982,241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(6,095,462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70" w:name="xdx_40E_eus-gaap--EquitySecuritiesFvNiGa"/>
            <w:bookmarkEnd w:id="1270"/>
          </w:p>
        </w:tc>
      </w:tr>
      <w:tr>
        <w:trPr/>
        <w:tc>
          <w:tcPr>
            <w:tcW w:w="3175" w:type="dxa"/>
            <w:tcBorders/>
            <w:shd w:fill="FFFFFF" w:val="clear"/>
            <w:vAlign w:val="center"/>
          </w:tcPr>
          <w:p>
            <w:pPr>
              <w:pStyle w:val="TableContents"/>
              <w:bidi w:val="0"/>
              <w:spacing w:before="0" w:after="283"/>
              <w:jc w:val="left"/>
              <w:rPr/>
            </w:pPr>
            <w:r>
              <w:rPr/>
              <w:t>Realized gains/(losses)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4,638,846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4,683,513</w:t>
            </w:r>
          </w:p>
        </w:tc>
        <w:tc>
          <w:tcPr>
            <w:tcW w:w="110" w:type="dxa"/>
            <w:tcBorders/>
            <w:shd w:fill="FFFFFF" w:val="clear"/>
            <w:vAlign w:val="center"/>
          </w:tcPr>
          <w:p>
            <w:pPr>
              <w:pStyle w:val="TableContents"/>
              <w:bidi w:val="0"/>
              <w:spacing w:before="0" w:after="283"/>
              <w:jc w:val="left"/>
              <w:rPr/>
            </w:pPr>
            <w:r>
              <w:rPr/>
              <w:t> </w:t>
            </w:r>
            <w:bookmarkStart w:id="1271" w:name="xdx_40C_ecustom--FairValueAssetsMeasured"/>
            <w:bookmarkEnd w:id="1271"/>
          </w:p>
        </w:tc>
      </w:tr>
      <w:tr>
        <w:trPr/>
        <w:tc>
          <w:tcPr>
            <w:tcW w:w="3175" w:type="dxa"/>
            <w:tcBorders/>
            <w:shd w:fill="CCEEFF" w:val="clear"/>
            <w:vAlign w:val="center"/>
          </w:tcPr>
          <w:p>
            <w:pPr>
              <w:pStyle w:val="TableContents"/>
              <w:bidi w:val="0"/>
              <w:spacing w:before="0" w:after="283"/>
              <w:jc w:val="left"/>
              <w:rPr/>
            </w:pPr>
            <w:r>
              <w:rPr/>
              <w:t>Net change in unrealized appreciation/(depreciation) included in earnings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168,618,551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(8,457,820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(404,699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435,936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160,191,968</w:t>
            </w:r>
          </w:p>
        </w:tc>
        <w:tc>
          <w:tcPr>
            <w:tcW w:w="110" w:type="dxa"/>
            <w:tcBorders/>
            <w:shd w:fill="CCEEFF" w:val="clear"/>
            <w:vAlign w:val="center"/>
          </w:tcPr>
          <w:p>
            <w:pPr>
              <w:pStyle w:val="TableContents"/>
              <w:bidi w:val="0"/>
              <w:spacing w:before="0" w:after="283"/>
              <w:jc w:val="left"/>
              <w:rPr/>
            </w:pPr>
            <w:r>
              <w:rPr/>
              <w:t> </w:t>
            </w:r>
            <w:bookmarkStart w:id="1272" w:name="xdx_436_c20260101__20260630_eus-gaap--As"/>
            <w:bookmarkEnd w:id="1272"/>
          </w:p>
        </w:tc>
      </w:tr>
      <w:tr>
        <w:trPr/>
        <w:tc>
          <w:tcPr>
            <w:tcW w:w="3175" w:type="dxa"/>
            <w:tcBorders/>
            <w:shd w:fill="FFFFFF" w:val="clear"/>
            <w:vAlign w:val="center"/>
          </w:tcPr>
          <w:p>
            <w:pPr>
              <w:pStyle w:val="TableContents"/>
              <w:bidi w:val="0"/>
              <w:spacing w:before="0" w:after="283"/>
              <w:jc w:val="left"/>
              <w:rPr/>
            </w:pPr>
            <w:r>
              <w:rPr/>
              <w:t>Fair Value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354,836,112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45,390,226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2,713,632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1,192,275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404,132,245</w:t>
            </w:r>
          </w:p>
        </w:tc>
        <w:tc>
          <w:tcPr>
            <w:tcW w:w="110" w:type="dxa"/>
            <w:tcBorders/>
            <w:shd w:fill="FFFFFF" w:val="clear"/>
            <w:vAlign w:val="center"/>
          </w:tcPr>
          <w:p>
            <w:pPr>
              <w:pStyle w:val="TableContents"/>
              <w:bidi w:val="0"/>
              <w:spacing w:before="0" w:after="283"/>
              <w:jc w:val="left"/>
              <w:rPr/>
            </w:pPr>
            <w:r>
              <w:rPr/>
              <w:t> </w:t>
            </w:r>
            <w:bookmarkStart w:id="1273" w:name="xdx_438_c20260101__20260630_eus-gaap--As"/>
            <w:bookmarkEnd w:id="1273"/>
          </w:p>
        </w:tc>
      </w:tr>
      <w:tr>
        <w:trPr/>
        <w:tc>
          <w:tcPr>
            <w:tcW w:w="3175" w:type="dxa"/>
            <w:tcBorders/>
            <w:shd w:fill="FFFFFF" w:val="clear"/>
            <w:vAlign w:val="center"/>
          </w:tcPr>
          <w:p>
            <w:pPr>
              <w:pStyle w:val="TableContents"/>
              <w:bidi w:val="0"/>
              <w:spacing w:before="0" w:after="283"/>
              <w:jc w:val="left"/>
              <w:rPr/>
            </w:pPr>
            <w:r>
              <w:rPr/>
              <w:t>Fair Value,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354,836,112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45,390,226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2,713,632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1,192,275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404,132,245</w:t>
            </w:r>
          </w:p>
        </w:tc>
        <w:tc>
          <w:tcPr>
            <w:tcW w:w="110" w:type="dxa"/>
            <w:tcBorders/>
            <w:shd w:fill="FFFFFF" w:val="clear"/>
            <w:vAlign w:val="center"/>
          </w:tcPr>
          <w:p>
            <w:pPr>
              <w:pStyle w:val="TableContents"/>
              <w:bidi w:val="0"/>
              <w:spacing w:before="0" w:after="283"/>
              <w:jc w:val="left"/>
              <w:rPr/>
            </w:pPr>
            <w:r>
              <w:rPr/>
              <w:t> </w:t>
            </w:r>
            <w:bookmarkStart w:id="1274" w:name="xdx_406_ecustom--FairValueAssetRecurring"/>
            <w:bookmarkEnd w:id="1274"/>
          </w:p>
        </w:tc>
      </w:tr>
      <w:tr>
        <w:trPr/>
        <w:tc>
          <w:tcPr>
            <w:tcW w:w="3175" w:type="dxa"/>
            <w:tcBorders/>
            <w:shd w:fill="CCEEFF" w:val="clear"/>
            <w:vAlign w:val="center"/>
          </w:tcPr>
          <w:p>
            <w:pPr>
              <w:pStyle w:val="TableContents"/>
              <w:bidi w:val="0"/>
              <w:spacing w:before="0" w:after="283"/>
              <w:jc w:val="left"/>
              <w:rPr/>
            </w:pPr>
            <w:r>
              <w:rPr/>
              <w:t>Net change in unrealized appreciation/ (depreciation) of Level 3 investments still held 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157,818,704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(8,457,820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(407,112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435,936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149,389,708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75" w:name="xdx_F03_zzEqGG82Nzcd"/>
            <w:bookmarkEnd w:id="1275"/>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76" w:name="xdx_F17_z52dNmCXfRfb"/>
            <w:bookmarkEnd w:id="1276"/>
            <w:r>
              <w:rPr>
                <w:rFonts w:ascii="Times New Roman;Times;Serif" w:hAnsi="Times New Roman;Times;Serif"/>
                <w:b w:val="false"/>
                <w:i w:val="false"/>
                <w:caps w:val="false"/>
                <w:smallCaps w:val="false"/>
                <w:sz w:val="20"/>
              </w:rPr>
              <w:t>Preferred Stock also includes the Company’s investment in the Class A Interest of ARK Type One Deep Ventures Fund LLC which is invested in the Series A-2 Preferred Shares of OpenAI Global, LLC, the Company’s investment in the Membership Interest of IH10, LLC which is invested in the Series B Preferred Shares of VAST Data, Ltd. through an SPV, and the Company’s investment in the Class A Interest and Class B Interest of Magnetar Opportunity 2025-4 LP which is invested in the Series B Preferred Shares of TensorWave, Inc.</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77" w:name="xdx_F0F_zo1mWSmJ7853"/>
            <w:bookmarkEnd w:id="1277"/>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78" w:name="xdx_F10_zZ1J7mI3Dk18"/>
            <w:bookmarkEnd w:id="1278"/>
            <w:r>
              <w:rPr>
                <w:rFonts w:ascii="Times New Roman;Times;Serif" w:hAnsi="Times New Roman;Times;Serif"/>
                <w:b w:val="false"/>
                <w:i w:val="false"/>
                <w:caps w:val="false"/>
                <w:smallCaps w:val="false"/>
                <w:sz w:val="20"/>
              </w:rPr>
              <w:t>Common Stock in Private Portfolio Companies also includes the Company’s Limited Partner Fund Investment in True Global Ventures 4 Plus Pte Ltd. and the Company’s investment in the Class A Interest of CW Opportunity 2 LP which is invested in Class A Common Stock of CoreWeave, Inc.</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79" w:name="xdx_F08_zU93WoX0zxR"/>
            <w:bookmarkEnd w:id="1279"/>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80" w:name="xdx_F17_ztcBdbO45I2k"/>
            <w:bookmarkEnd w:id="1280"/>
            <w:r>
              <w:rPr>
                <w:rFonts w:ascii="Times New Roman;Times;Serif" w:hAnsi="Times New Roman;Times;Serif"/>
                <w:b w:val="false"/>
                <w:i w:val="false"/>
                <w:caps w:val="false"/>
                <w:smallCaps w:val="false"/>
                <w:sz w:val="20"/>
              </w:rPr>
              <w:t>Options in Private Portfolio Companies also includes the Company’s investment in the SAFE of PayJoy, Inc.</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81" w:name="xdx_F00_zwBZmgTLs1Be"/>
            <w:bookmarkEnd w:id="1281"/>
            <w:r>
              <w:rPr>
                <w:rFonts w:ascii="Times New Roman;Times;Serif" w:hAnsi="Times New Roman;Times;Serif"/>
                <w:b w:val="false"/>
                <w:i w:val="false"/>
                <w:caps w:val="false"/>
                <w:smallCaps w:val="false"/>
                <w:sz w:val="20"/>
              </w:rPr>
              <w:t>(4)</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82" w:name="xdx_F12_zsc3ADrVqkDl"/>
            <w:bookmarkEnd w:id="1282"/>
            <w:r>
              <w:rPr>
                <w:rFonts w:ascii="Times New Roman;Times;Serif" w:hAnsi="Times New Roman;Times;Serif"/>
                <w:b w:val="false"/>
                <w:i w:val="false"/>
                <w:caps w:val="false"/>
                <w:smallCaps w:val="false"/>
                <w:sz w:val="20"/>
              </w:rPr>
              <w:t>During the six months ended June 30, 2026, the Company’s portfolio investments had the following corporate actions which are reflected below:</w:t>
            </w:r>
          </w:p>
        </w:tc>
      </w:tr>
    </w:tbl>
    <w:p>
      <w:pPr>
        <w:pStyle w:val="TextBody"/>
        <w:bidi w:val="0"/>
        <w:spacing w:before="0" w:after="283"/>
        <w:jc w:val="left"/>
        <w:rPr/>
      </w:pPr>
      <w:r>
        <w:rPr/>
        <w:t> </w:t>
      </w:r>
    </w:p>
    <w:tbl>
      <w:tblPr>
        <w:tblW w:w="8865" w:type="dxa"/>
        <w:jc w:val="left"/>
        <w:tblInd w:w="0" w:type="dxa"/>
        <w:tblLayout w:type="fixed"/>
        <w:tblCellMar>
          <w:top w:w="0" w:type="dxa"/>
          <w:left w:w="0" w:type="dxa"/>
          <w:bottom w:w="28" w:type="dxa"/>
          <w:right w:w="0" w:type="dxa"/>
        </w:tblCellMar>
      </w:tblPr>
      <w:tblGrid>
        <w:gridCol w:w="2765"/>
        <w:gridCol w:w="60"/>
        <w:gridCol w:w="2960"/>
        <w:gridCol w:w="60"/>
        <w:gridCol w:w="3020"/>
      </w:tblGrid>
      <w:tr>
        <w:trPr/>
        <w:tc>
          <w:tcPr>
            <w:tcW w:w="27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from</w:t>
            </w:r>
          </w:p>
        </w:tc>
        <w:tc>
          <w:tcPr>
            <w:tcW w:w="60"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to</w:t>
            </w:r>
          </w:p>
        </w:tc>
      </w:tr>
      <w:tr>
        <w:trPr/>
        <w:tc>
          <w:tcPr>
            <w:tcW w:w="27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Whoop, Inc.</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Series G-2 (Level 3)</w:t>
            </w:r>
          </w:p>
        </w:tc>
      </w:tr>
      <w:tr>
        <w:trPr/>
        <w:tc>
          <w:tcPr>
            <w:tcW w:w="27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Orchard Technologies, Inc.</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60" w:type="dxa"/>
            <w:tcBorders/>
            <w:shd w:fill="FFFFFF" w:val="clear"/>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Preferred Shares, Series 1</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Preferred Shares, Series 2</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Series 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20" w:type="dxa"/>
            <w:tcBorders/>
            <w:shd w:fill="FFFF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(Level 3)</w:t>
            </w:r>
          </w:p>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Series E-1 (Level 3)</w:t>
            </w:r>
          </w:p>
        </w:tc>
      </w:tr>
      <w:tr>
        <w:trPr/>
        <w:tc>
          <w:tcPr>
            <w:tcW w:w="27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Series B (Level 3)</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values of Level 3 assets and liabilities changed during the year ended December 31, 2025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0"/>
        <w:gridCol w:w="60"/>
        <w:gridCol w:w="140"/>
        <w:gridCol w:w="1220"/>
        <w:gridCol w:w="95"/>
        <w:gridCol w:w="60"/>
        <w:gridCol w:w="140"/>
        <w:gridCol w:w="1175"/>
        <w:gridCol w:w="95"/>
        <w:gridCol w:w="60"/>
        <w:gridCol w:w="140"/>
        <w:gridCol w:w="1055"/>
        <w:gridCol w:w="95"/>
        <w:gridCol w:w="60"/>
        <w:gridCol w:w="152"/>
        <w:gridCol w:w="873"/>
        <w:gridCol w:w="95"/>
        <w:gridCol w:w="60"/>
        <w:gridCol w:w="140"/>
        <w:gridCol w:w="1220"/>
        <w:gridCol w:w="110"/>
      </w:tblGrid>
      <w:tr>
        <w:trPr/>
        <w:tc>
          <w:tcPr>
            <w:tcW w:w="3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3" w:name="xdx_4B0_us-gaap--FairValueByAssetClassAx"/>
            <w:bookmarkEnd w:id="1283"/>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bookmarkStart w:id="1284" w:name="xdx_F52_zXpuNcjOGsyj"/>
            <w:bookmarkEnd w:id="1284"/>
            <w:r>
              <w:rPr>
                <w:rFonts w:ascii="Times New Roman;Times;Serif" w:hAnsi="Times New Roman;Times;Serif"/>
                <w:b/>
                <w:i w:val="false"/>
                <w:caps w:val="false"/>
                <w:smallCaps w:val="false"/>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5" w:name="xdx_4B1_us-gaap--FairValueByAssetClassAx"/>
            <w:bookmarkEnd w:id="1285"/>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bookmarkStart w:id="1286" w:name="xdx_F52_zuD1wx6AJw6j"/>
            <w:bookmarkEnd w:id="1286"/>
            <w:r>
              <w:rPr>
                <w:rFonts w:ascii="Times New Roman;Times;Serif" w:hAnsi="Times New Roman;Times;Serif"/>
                <w:b/>
                <w:i w:val="false"/>
                <w:caps w:val="false"/>
                <w:smallCaps w:val="false"/>
                <w:sz w:val="20"/>
              </w:rPr>
              <w:t>(2)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7" w:name="xdx_4B0_us-gaap--FairValueByAssetClassAx"/>
            <w:bookmarkEnd w:id="1287"/>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bookmarkStart w:id="1288" w:name="xdx_F51_zOOJICi94Jxg"/>
            <w:bookmarkEnd w:id="1288"/>
            <w:r>
              <w:rPr>
                <w:rFonts w:ascii="Times New Roman;Times;Serif" w:hAnsi="Times New Roman;Times;Serif"/>
                <w:b/>
                <w:sz w:val="20"/>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9" w:name="xdx_4BC_us-gaap--FairValueByAssetClassAx"/>
            <w:bookmarkEnd w:id="1289"/>
          </w:p>
        </w:tc>
        <w:tc>
          <w:tcPr>
            <w:tcW w:w="10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0" w:name="xdx_4BD_zwYBcE6PCHMa"/>
            <w:bookmarkEnd w:id="1290"/>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7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2025</w:t>
            </w:r>
          </w:p>
        </w:tc>
        <w:tc>
          <w:tcPr>
            <w:tcW w:w="110" w:type="dxa"/>
            <w:tcBorders/>
            <w:vAlign w:val="center"/>
          </w:tcPr>
          <w:p>
            <w:pPr>
              <w:pStyle w:val="TableContents"/>
              <w:bidi w:val="0"/>
              <w:spacing w:before="0" w:after="283"/>
              <w:jc w:val="left"/>
              <w:rPr/>
            </w:pPr>
            <w:r>
              <w:rPr/>
              <w:t> </w:t>
            </w:r>
          </w:p>
        </w:tc>
      </w:tr>
      <w:tr>
        <w:trPr/>
        <w:tc>
          <w:tcPr>
            <w:tcW w:w="3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r>
              <w:rPr>
                <w:rFonts w:ascii="Times New Roman;Times;Serif" w:hAnsi="Times New Roman;Times;Serif"/>
                <w:b/>
                <w:i w:val="false"/>
                <w:caps w:val="false"/>
                <w:smallCaps w:val="false"/>
                <w:position w:val="7"/>
                <w:sz w:val="16"/>
                <w:sz w:val="20"/>
              </w:rPr>
              <w:t>(2)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r>
              <w:rPr>
                <w:rFonts w:ascii="Times New Roman;Times;Serif" w:hAnsi="Times New Roman;Times;Serif"/>
                <w:b/>
                <w:position w:val="7"/>
                <w:sz w:val="16"/>
                <w:sz w:val="20"/>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16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91" w:name="xdx_433_c20250101__20251231_eus-gaap--As"/>
            <w:bookmarkEnd w:id="1291"/>
          </w:p>
        </w:tc>
      </w:tr>
      <w:tr>
        <w:trPr/>
        <w:tc>
          <w:tcPr>
            <w:tcW w:w="3160" w:type="dxa"/>
            <w:tcBorders/>
            <w:shd w:fill="FFFFFF" w:val="clear"/>
            <w:vAlign w:val="center"/>
          </w:tcPr>
          <w:p>
            <w:pPr>
              <w:pStyle w:val="TableContents"/>
              <w:bidi w:val="0"/>
              <w:spacing w:before="0" w:after="283"/>
              <w:jc w:val="left"/>
              <w:rPr/>
            </w:pPr>
            <w:r>
              <w:rPr/>
              <w:t>Fair Value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151,003,991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35,922,154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4,357,138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873" w:type="dxa"/>
            <w:tcBorders/>
            <w:shd w:fill="FFFFFF" w:val="clear"/>
            <w:vAlign w:val="center"/>
          </w:tcPr>
          <w:p>
            <w:pPr>
              <w:pStyle w:val="TableContents"/>
              <w:bidi w:val="0"/>
              <w:spacing w:before="0" w:after="283"/>
              <w:jc w:val="right"/>
              <w:rPr/>
            </w:pPr>
            <w:r>
              <w:rPr/>
              <w:t>506,339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191,789,622</w:t>
            </w:r>
          </w:p>
        </w:tc>
        <w:tc>
          <w:tcPr>
            <w:tcW w:w="110" w:type="dxa"/>
            <w:tcBorders/>
            <w:shd w:fill="FFFFFF" w:val="clear"/>
            <w:vAlign w:val="center"/>
          </w:tcPr>
          <w:p>
            <w:pPr>
              <w:pStyle w:val="TableContents"/>
              <w:bidi w:val="0"/>
              <w:spacing w:before="0" w:after="283"/>
              <w:jc w:val="left"/>
              <w:rPr/>
            </w:pPr>
            <w:r>
              <w:rPr/>
              <w:t> </w:t>
            </w:r>
            <w:bookmarkStart w:id="1292" w:name="xdx_430_c20250101__20251231_eus-gaap--As"/>
            <w:bookmarkEnd w:id="1292"/>
          </w:p>
        </w:tc>
      </w:tr>
      <w:tr>
        <w:trPr/>
        <w:tc>
          <w:tcPr>
            <w:tcW w:w="3160" w:type="dxa"/>
            <w:tcBorders/>
            <w:shd w:fill="FFFFFF" w:val="clear"/>
            <w:vAlign w:val="center"/>
          </w:tcPr>
          <w:p>
            <w:pPr>
              <w:pStyle w:val="TableContents"/>
              <w:bidi w:val="0"/>
              <w:spacing w:before="0" w:after="283"/>
              <w:jc w:val="left"/>
              <w:rPr/>
            </w:pPr>
            <w:r>
              <w:rPr/>
              <w:t>Fair Value, Beginning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151,003,991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35,922,154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4,357,138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873" w:type="dxa"/>
            <w:tcBorders/>
            <w:shd w:fill="FFFFFF" w:val="clear"/>
            <w:vAlign w:val="center"/>
          </w:tcPr>
          <w:p>
            <w:pPr>
              <w:pStyle w:val="TableContents"/>
              <w:bidi w:val="0"/>
              <w:spacing w:before="0" w:after="283"/>
              <w:jc w:val="right"/>
              <w:rPr/>
            </w:pPr>
            <w:r>
              <w:rPr/>
              <w:t>506,339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191,789,622</w:t>
            </w:r>
          </w:p>
        </w:tc>
        <w:tc>
          <w:tcPr>
            <w:tcW w:w="110" w:type="dxa"/>
            <w:tcBorders/>
            <w:shd w:fill="FFFFFF" w:val="clear"/>
            <w:vAlign w:val="center"/>
          </w:tcPr>
          <w:p>
            <w:pPr>
              <w:pStyle w:val="TableContents"/>
              <w:bidi w:val="0"/>
              <w:spacing w:before="0" w:after="283"/>
              <w:jc w:val="left"/>
              <w:rPr/>
            </w:pPr>
            <w:r>
              <w:rPr/>
              <w:t> </w:t>
            </w:r>
            <w:bookmarkStart w:id="1293" w:name="xdx_40F_ecustom--Transfers_z6gQhlC6tEsk"/>
            <w:bookmarkEnd w:id="1293"/>
          </w:p>
        </w:tc>
      </w:tr>
      <w:tr>
        <w:trPr/>
        <w:tc>
          <w:tcPr>
            <w:tcW w:w="3160" w:type="dxa"/>
            <w:tcBorders/>
            <w:shd w:fill="CCEEFF" w:val="clear"/>
            <w:vAlign w:val="center"/>
          </w:tcPr>
          <w:p>
            <w:pPr>
              <w:pStyle w:val="TableContents"/>
              <w:bidi w:val="0"/>
              <w:spacing w:before="0" w:after="283"/>
              <w:jc w:val="left"/>
              <w:rPr/>
            </w:pPr>
            <w:r>
              <w:rPr/>
              <w:t>Transfers out of Level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(5,221,824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(6,323,519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(498,305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(12,043,648</w:t>
            </w:r>
          </w:p>
        </w:tc>
        <w:tc>
          <w:tcPr>
            <w:tcW w:w="110" w:type="dxa"/>
            <w:tcBorders/>
            <w:shd w:fill="CCEEFF" w:val="clear"/>
            <w:vAlign w:val="center"/>
          </w:tcPr>
          <w:p>
            <w:pPr>
              <w:pStyle w:val="TableContents"/>
              <w:bidi w:val="0"/>
              <w:spacing w:before="0" w:after="283"/>
              <w:jc w:val="left"/>
              <w:rPr/>
            </w:pPr>
            <w:r>
              <w:rPr/>
              <w:t>)</w:t>
            </w:r>
            <w:bookmarkStart w:id="1294" w:name="xdx_40A_eus-gaap--FairValueMeasurementWi"/>
            <w:bookmarkEnd w:id="1294"/>
          </w:p>
        </w:tc>
      </w:tr>
      <w:tr>
        <w:trPr/>
        <w:tc>
          <w:tcPr>
            <w:tcW w:w="3160" w:type="dxa"/>
            <w:tcBorders/>
            <w:shd w:fill="FFFFFF" w:val="clear"/>
            <w:vAlign w:val="center"/>
          </w:tcPr>
          <w:p>
            <w:pPr>
              <w:pStyle w:val="TableContents"/>
              <w:bidi w:val="0"/>
              <w:spacing w:before="0" w:after="283"/>
              <w:jc w:val="left"/>
              <w:rPr/>
            </w:pPr>
            <w:r>
              <w:rPr/>
              <w:t>Purchases, capitalized fees and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5,330,509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5,395,541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1,083,211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252,363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12,061,624</w:t>
            </w:r>
          </w:p>
        </w:tc>
        <w:tc>
          <w:tcPr>
            <w:tcW w:w="110" w:type="dxa"/>
            <w:tcBorders/>
            <w:shd w:fill="FFFFFF" w:val="clear"/>
            <w:vAlign w:val="center"/>
          </w:tcPr>
          <w:p>
            <w:pPr>
              <w:pStyle w:val="TableContents"/>
              <w:bidi w:val="0"/>
              <w:spacing w:before="0" w:after="283"/>
              <w:jc w:val="left"/>
              <w:rPr/>
            </w:pPr>
            <w:r>
              <w:rPr/>
              <w:t> </w:t>
            </w:r>
            <w:bookmarkStart w:id="1295" w:name="xdx_40F_eus-gaap--FairValueMeasurementWi"/>
            <w:bookmarkEnd w:id="1295"/>
          </w:p>
        </w:tc>
      </w:tr>
      <w:tr>
        <w:trPr/>
        <w:tc>
          <w:tcPr>
            <w:tcW w:w="3160" w:type="dxa"/>
            <w:tcBorders/>
            <w:shd w:fill="CCEEFF" w:val="clear"/>
            <w:vAlign w:val="center"/>
          </w:tcPr>
          <w:p>
            <w:pPr>
              <w:pStyle w:val="TableContents"/>
              <w:bidi w:val="0"/>
              <w:spacing w:before="0" w:after="283"/>
              <w:jc w:val="left"/>
              <w:rPr/>
            </w:pPr>
            <w:r>
              <w:rPr/>
              <w:t>Sales/Redemptions of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(16,324,378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(16,324,378</w:t>
            </w:r>
          </w:p>
        </w:tc>
        <w:tc>
          <w:tcPr>
            <w:tcW w:w="110" w:type="dxa"/>
            <w:tcBorders/>
            <w:shd w:fill="CCEEFF" w:val="clear"/>
            <w:vAlign w:val="center"/>
          </w:tcPr>
          <w:p>
            <w:pPr>
              <w:pStyle w:val="TableContents"/>
              <w:bidi w:val="0"/>
              <w:spacing w:before="0" w:after="283"/>
              <w:jc w:val="left"/>
              <w:rPr/>
            </w:pPr>
            <w:r>
              <w:rPr/>
              <w:t>)</w:t>
            </w:r>
            <w:bookmarkStart w:id="1296" w:name="xdx_408_ecustom--FairValueMeasurementWit"/>
            <w:bookmarkEnd w:id="1296"/>
          </w:p>
        </w:tc>
      </w:tr>
      <w:tr>
        <w:trPr/>
        <w:tc>
          <w:tcPr>
            <w:tcW w:w="3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Exercises and conversions</w:t>
            </w:r>
            <w:bookmarkStart w:id="1297" w:name="xdx_F41_zTpnTKACzhUa"/>
            <w:bookmarkEnd w:id="1297"/>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(15,768,763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17,775,155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(2,006,392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98" w:name="xdx_402_eus-gaap--EquitySecuritiesFvNiGa"/>
            <w:bookmarkEnd w:id="1298"/>
          </w:p>
        </w:tc>
      </w:tr>
      <w:tr>
        <w:trPr/>
        <w:tc>
          <w:tcPr>
            <w:tcW w:w="3160" w:type="dxa"/>
            <w:tcBorders/>
            <w:shd w:fill="CCEEFF" w:val="clear"/>
            <w:vAlign w:val="center"/>
          </w:tcPr>
          <w:p>
            <w:pPr>
              <w:pStyle w:val="TableContents"/>
              <w:bidi w:val="0"/>
              <w:spacing w:before="0" w:after="283"/>
              <w:jc w:val="left"/>
              <w:rPr/>
            </w:pPr>
            <w:r>
              <w:rPr/>
              <w:t>Realized gains/(losses)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(1,002,755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11,395,780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10,393,025</w:t>
            </w:r>
          </w:p>
        </w:tc>
        <w:tc>
          <w:tcPr>
            <w:tcW w:w="110" w:type="dxa"/>
            <w:tcBorders/>
            <w:shd w:fill="CCEEFF" w:val="clear"/>
            <w:vAlign w:val="center"/>
          </w:tcPr>
          <w:p>
            <w:pPr>
              <w:pStyle w:val="TableContents"/>
              <w:bidi w:val="0"/>
              <w:spacing w:before="0" w:after="283"/>
              <w:jc w:val="left"/>
              <w:rPr/>
            </w:pPr>
            <w:r>
              <w:rPr/>
              <w:t> </w:t>
            </w:r>
            <w:bookmarkStart w:id="1299" w:name="xdx_402_ecustom--FairValueAssetsMeasured"/>
            <w:bookmarkEnd w:id="1299"/>
          </w:p>
        </w:tc>
      </w:tr>
      <w:tr>
        <w:trPr/>
        <w:tc>
          <w:tcPr>
            <w:tcW w:w="3160" w:type="dxa"/>
            <w:tcBorders/>
            <w:shd w:fill="FFFFFF" w:val="clear"/>
            <w:vAlign w:val="center"/>
          </w:tcPr>
          <w:p>
            <w:pPr>
              <w:pStyle w:val="TableContents"/>
              <w:bidi w:val="0"/>
              <w:spacing w:before="0" w:after="283"/>
              <w:jc w:val="left"/>
              <w:rPr/>
            </w:pPr>
            <w:r>
              <w:rPr/>
              <w:t>Net change in unrealized appreciation/(depreciation) included in earnings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35,290,073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(1,127,604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1,265,891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(2,363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35,425,997</w:t>
            </w:r>
          </w:p>
        </w:tc>
        <w:tc>
          <w:tcPr>
            <w:tcW w:w="110" w:type="dxa"/>
            <w:tcBorders/>
            <w:shd w:fill="FFFFFF" w:val="clear"/>
            <w:vAlign w:val="center"/>
          </w:tcPr>
          <w:p>
            <w:pPr>
              <w:pStyle w:val="TableContents"/>
              <w:bidi w:val="0"/>
              <w:spacing w:before="0" w:after="283"/>
              <w:jc w:val="left"/>
              <w:rPr/>
            </w:pPr>
            <w:r>
              <w:rPr/>
              <w:t> </w:t>
            </w:r>
            <w:bookmarkStart w:id="1300" w:name="xdx_431_c20250101__20251231_eus-gaap--As"/>
            <w:bookmarkEnd w:id="1300"/>
          </w:p>
        </w:tc>
      </w:tr>
      <w:tr>
        <w:trPr/>
        <w:tc>
          <w:tcPr>
            <w:tcW w:w="3160" w:type="dxa"/>
            <w:tcBorders/>
            <w:shd w:fill="CCEEFF" w:val="clear"/>
            <w:vAlign w:val="center"/>
          </w:tcPr>
          <w:p>
            <w:pPr>
              <w:pStyle w:val="TableContents"/>
              <w:bidi w:val="0"/>
              <w:spacing w:before="0" w:after="283"/>
              <w:jc w:val="left"/>
              <w:rPr/>
            </w:pPr>
            <w:r>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169,631,231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46,713,129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4,201,543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pPr>
            <w:r>
              <w:rPr/>
              <w:t>756,339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221,302,242</w:t>
            </w:r>
          </w:p>
        </w:tc>
        <w:tc>
          <w:tcPr>
            <w:tcW w:w="110" w:type="dxa"/>
            <w:tcBorders/>
            <w:shd w:fill="CCEEFF" w:val="clear"/>
            <w:vAlign w:val="center"/>
          </w:tcPr>
          <w:p>
            <w:pPr>
              <w:pStyle w:val="TableContents"/>
              <w:bidi w:val="0"/>
              <w:spacing w:before="0" w:after="283"/>
              <w:jc w:val="left"/>
              <w:rPr/>
            </w:pPr>
            <w:r>
              <w:rPr/>
              <w:t> </w:t>
            </w:r>
            <w:bookmarkStart w:id="1301" w:name="xdx_430_c20250101__20251231_eus-gaap--As"/>
            <w:bookmarkEnd w:id="1301"/>
          </w:p>
        </w:tc>
      </w:tr>
      <w:tr>
        <w:trPr/>
        <w:tc>
          <w:tcPr>
            <w:tcW w:w="3160" w:type="dxa"/>
            <w:tcBorders/>
            <w:shd w:fill="CCEEFF" w:val="clear"/>
            <w:vAlign w:val="center"/>
          </w:tcPr>
          <w:p>
            <w:pPr>
              <w:pStyle w:val="TableContents"/>
              <w:bidi w:val="0"/>
              <w:spacing w:before="0" w:after="283"/>
              <w:jc w:val="left"/>
              <w:rPr/>
            </w:pPr>
            <w:r>
              <w:rPr/>
              <w:t>Fair Value, Ending 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169,631,231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46,713,129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4,201,543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pPr>
            <w:r>
              <w:rPr/>
              <w:t>756,339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221,302,242</w:t>
            </w:r>
          </w:p>
        </w:tc>
        <w:tc>
          <w:tcPr>
            <w:tcW w:w="110" w:type="dxa"/>
            <w:tcBorders/>
            <w:shd w:fill="CCEEFF" w:val="clear"/>
            <w:vAlign w:val="center"/>
          </w:tcPr>
          <w:p>
            <w:pPr>
              <w:pStyle w:val="TableContents"/>
              <w:bidi w:val="0"/>
              <w:spacing w:before="0" w:after="283"/>
              <w:jc w:val="left"/>
              <w:rPr/>
            </w:pPr>
            <w:r>
              <w:rPr/>
              <w:t> </w:t>
            </w:r>
            <w:bookmarkStart w:id="1302" w:name="xdx_406_ecustom--FairValueAssetRecurring"/>
            <w:bookmarkEnd w:id="1302"/>
          </w:p>
        </w:tc>
      </w:tr>
      <w:tr>
        <w:trPr/>
        <w:tc>
          <w:tcPr>
            <w:tcW w:w="3160" w:type="dxa"/>
            <w:tcBorders/>
            <w:shd w:fill="FFFFFF" w:val="clear"/>
            <w:vAlign w:val="center"/>
          </w:tcPr>
          <w:p>
            <w:pPr>
              <w:pStyle w:val="TableContents"/>
              <w:bidi w:val="0"/>
              <w:spacing w:before="0" w:after="283"/>
              <w:jc w:val="left"/>
              <w:rPr/>
            </w:pPr>
            <w:r>
              <w:rPr/>
              <w:t>Net change in unrealized appreciation/ (depreciation) of Level 3 investments still held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34,444,974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(1,127,603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1,121,861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pPr>
            <w:r>
              <w:rPr/>
              <w:t>(2,363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34,436,869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03" w:name="xdx_F03_zV79qcEF9mFi"/>
            <w:bookmarkEnd w:id="1303"/>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04" w:name="xdx_F1E_zr8i1rIzF2ga"/>
            <w:bookmarkEnd w:id="1304"/>
            <w:r>
              <w:rPr>
                <w:rFonts w:ascii="Times New Roman;Times;Serif" w:hAnsi="Times New Roman;Times;Serif"/>
                <w:b w:val="false"/>
                <w:i w:val="false"/>
                <w:caps w:val="false"/>
                <w:smallCaps w:val="false"/>
                <w:sz w:val="20"/>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05" w:name="xdx_F09_zEHVYLBuEAY4"/>
            <w:bookmarkEnd w:id="1305"/>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06" w:name="xdx_F1E_zcvD5Tr8Rntj"/>
            <w:bookmarkEnd w:id="1306"/>
            <w:r>
              <w:rPr>
                <w:rFonts w:ascii="Times New Roman;Times;Serif" w:hAnsi="Times New Roman;Times;Serif"/>
                <w:b w:val="false"/>
                <w:i w:val="false"/>
                <w:caps w:val="false"/>
                <w:smallCaps w:val="false"/>
                <w:sz w:val="20"/>
              </w:rPr>
              <w:t>Common Stock in Private Portfolio Companies also includes the Company’s Limited Partner Fund Investment in True Global Ventures 4 Plus Pte Ltd. and the Company’s investment in the Class A Interest of CW Opportunity 2 LP which is invested in Class A Common Stock of CoreWeave, Inc.</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07" w:name="xdx_F05_zbCrdLk8t7e7"/>
            <w:bookmarkEnd w:id="1307"/>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08" w:name="xdx_F12_znfXeRddN3tl"/>
            <w:bookmarkEnd w:id="1308"/>
            <w:r>
              <w:rPr>
                <w:rFonts w:ascii="Times New Roman;Times;Serif" w:hAnsi="Times New Roman;Times;Serif"/>
                <w:b w:val="false"/>
                <w:i w:val="false"/>
                <w:caps w:val="false"/>
                <w:smallCaps w:val="false"/>
                <w:sz w:val="20"/>
              </w:rPr>
              <w:t>Options in Private Portfolio Companies also includes the Company’s investments in the SAFEs of Orchard Technologies, Inc., PayJoy, Inc., and Whoop, Inc.</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09" w:name="xdx_F00_zjz3Uw0lcbBj"/>
            <w:bookmarkEnd w:id="1309"/>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10" w:name="xdx_F15_zwhMek75E4Fk"/>
            <w:bookmarkEnd w:id="1310"/>
            <w:r>
              <w:rPr>
                <w:rFonts w:ascii="Times New Roman;Times;Serif" w:hAnsi="Times New Roman;Times;Serif"/>
                <w:b w:val="false"/>
                <w:i w:val="false"/>
                <w:caps w:val="false"/>
                <w:smallCaps w:val="false"/>
                <w:sz w:val="20"/>
              </w:rPr>
              <w:t>During the year ended December 31, 2025, the Company’s portfolio investments had the following corporate actions which are reflected below: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3685"/>
        <w:gridCol w:w="60"/>
        <w:gridCol w:w="2445"/>
        <w:gridCol w:w="60"/>
        <w:gridCol w:w="3955"/>
      </w:tblGrid>
      <w:tr>
        <w:trPr/>
        <w:tc>
          <w:tcPr>
            <w:tcW w:w="36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2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from</w:t>
            </w:r>
          </w:p>
        </w:tc>
        <w:tc>
          <w:tcPr>
            <w:tcW w:w="60"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39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to</w:t>
            </w:r>
          </w:p>
        </w:tc>
      </w:tr>
      <w:tr>
        <w:trPr/>
        <w:tc>
          <w:tcPr>
            <w:tcW w:w="3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CoreWeave,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Series 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(Level 2)</w:t>
            </w:r>
          </w:p>
        </w:tc>
      </w:tr>
      <w:tr>
        <w:trPr/>
        <w:tc>
          <w:tcPr>
            <w:tcW w:w="3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Series 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(Level 3)</w:t>
            </w:r>
          </w:p>
        </w:tc>
      </w:tr>
      <w:tr>
        <w:trPr/>
        <w:tc>
          <w:tcPr>
            <w:tcW w:w="3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Streaming Solutions Inc. (d/b/a BettorView)</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Class A-1 (Level 3)</w:t>
            </w:r>
          </w:p>
        </w:tc>
      </w:tr>
      <w:tr>
        <w:trPr/>
        <w:tc>
          <w:tcPr>
            <w:tcW w:w="3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Colombier Sponsor II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Units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W Units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GrabAGun Digital Holdings Inc. Common Shares (Level 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GrabAGun Digital Holdings Inc. Common Warrants (Level 1)</w:t>
            </w:r>
          </w:p>
        </w:tc>
      </w:tr>
      <w:tr>
        <w:trPr/>
        <w:tc>
          <w:tcPr>
            <w:tcW w:w="3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Stake Trade, Inc. (d/b/a Prophet Exchange)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Series B-IV (Level 3)</w:t>
            </w:r>
          </w:p>
        </w:tc>
      </w:tr>
    </w:tbl>
    <w:p>
      <w:pPr>
        <w:pStyle w:val="TextBody"/>
        <w:bidi w:val="0"/>
        <w:spacing w:before="0" w:after="0"/>
        <w:ind w:left="720" w:right="0" w:hanging="720"/>
        <w:jc w:val="both"/>
        <w:rPr>
          <w:caps w:val="false"/>
          <w:smallCaps w:val="false"/>
        </w:rPr>
      </w:pPr>
      <w:bookmarkStart w:id="1311" w:name="xdx_8A6_zFaUMHVYz6V6"/>
      <w:bookmarkEnd w:id="131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Investments In, and Advances to,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12" w:name="xdx_89D_eus-gaap--ScheduleOfInvestmentsI"/>
      <w:bookmarkEnd w:id="1312"/>
      <w:r>
        <w:rPr>
          <w:rFonts w:ascii="Times New Roman;Times;Serif" w:hAnsi="Times New Roman;Times;Serif"/>
          <w:b w:val="false"/>
          <w:i w:val="false"/>
          <w:caps w:val="false"/>
          <w:smallCaps w:val="false"/>
          <w:sz w:val="20"/>
        </w:rPr>
        <w:t>Transactions during the six months ended June 30, 2026 involving the Company’s controlled investments and non-controlled/affiliate investments were as follows: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1313" w:name="xdx_8B8_zo6fOOZjPslg"/>
      <w:bookmarkEnd w:id="1313"/>
      <w:r>
        <w:rPr>
          <w:rFonts w:ascii="Times New Roman;Times;Serif" w:hAnsi="Times New Roman;Times;Serif"/>
          <w:b w:val="false"/>
          <w:i w:val="false"/>
          <w:caps w:val="false"/>
          <w:smallCaps w:val="false"/>
          <w:sz w:val="20"/>
        </w:rPr>
        <w:t>SCHEDULE OF INVESTMENTS IN AND ADVANCES TO AFFILIATES</w:t>
      </w:r>
    </w:p>
    <w:tbl>
      <w:tblPr>
        <w:tblW w:w="10205" w:type="dxa"/>
        <w:jc w:val="left"/>
        <w:tblInd w:w="0" w:type="dxa"/>
        <w:tblLayout w:type="fixed"/>
        <w:tblCellMar>
          <w:top w:w="0" w:type="dxa"/>
          <w:left w:w="0" w:type="dxa"/>
          <w:bottom w:w="28" w:type="dxa"/>
          <w:right w:w="0" w:type="dxa"/>
        </w:tblCellMar>
      </w:tblPr>
      <w:tblGrid>
        <w:gridCol w:w="2473"/>
        <w:gridCol w:w="60"/>
        <w:gridCol w:w="61"/>
        <w:gridCol w:w="1136"/>
        <w:gridCol w:w="60"/>
        <w:gridCol w:w="60"/>
        <w:gridCol w:w="163"/>
        <w:gridCol w:w="1142"/>
        <w:gridCol w:w="60"/>
        <w:gridCol w:w="60"/>
        <w:gridCol w:w="199"/>
        <w:gridCol w:w="798"/>
        <w:gridCol w:w="60"/>
        <w:gridCol w:w="60"/>
        <w:gridCol w:w="142"/>
        <w:gridCol w:w="891"/>
        <w:gridCol w:w="95"/>
        <w:gridCol w:w="60"/>
        <w:gridCol w:w="157"/>
        <w:gridCol w:w="1103"/>
        <w:gridCol w:w="60"/>
        <w:gridCol w:w="60"/>
        <w:gridCol w:w="115"/>
        <w:gridCol w:w="850"/>
        <w:gridCol w:w="280"/>
      </w:tblGrid>
      <w:tr>
        <w:trPr/>
        <w:tc>
          <w:tcPr>
            <w:tcW w:w="2473" w:type="dxa"/>
            <w:tcBorders>
              <w:bottom w:val="single" w:sz="8" w:space="0" w:color="000000"/>
            </w:tcBorders>
            <w:vAlign w:val="center"/>
          </w:tcPr>
          <w:p>
            <w:pPr>
              <w:pStyle w:val="TableContents"/>
              <w:bidi w:val="0"/>
              <w:spacing w:before="0" w:after="283"/>
              <w:jc w:val="left"/>
              <w:rPr>
                <w:b/>
              </w:rPr>
            </w:pPr>
            <w:r>
              <w:rPr>
                <w:b/>
              </w:rPr>
              <w:t>Type/Industry/Portfolio Company/Investment</w:t>
            </w:r>
          </w:p>
        </w:tc>
        <w:tc>
          <w:tcPr>
            <w:tcW w:w="60" w:type="dxa"/>
            <w:tcBorders/>
            <w:tcMar>
              <w:bottom w:w="0" w:type="dxa"/>
            </w:tcMar>
            <w:vAlign w:val="center"/>
          </w:tcPr>
          <w:p>
            <w:pPr>
              <w:pStyle w:val="TableContents"/>
              <w:bidi w:val="0"/>
              <w:spacing w:before="0" w:after="283"/>
              <w:jc w:val="left"/>
              <w:rPr/>
            </w:pPr>
            <w:r>
              <w:rPr/>
              <w:t> </w:t>
            </w:r>
          </w:p>
        </w:tc>
        <w:tc>
          <w:tcPr>
            <w:tcW w:w="119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Principal/Quantity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5" w:type="dxa"/>
            <w:gridSpan w:val="2"/>
            <w:tcBorders>
              <w:bottom w:val="single" w:sz="8" w:space="0" w:color="000000"/>
            </w:tcBorders>
            <w:vAlign w:val="center"/>
          </w:tcPr>
          <w:p>
            <w:pPr>
              <w:pStyle w:val="TableContents"/>
              <w:bidi w:val="0"/>
              <w:spacing w:before="0" w:after="283"/>
              <w:jc w:val="center"/>
              <w:rPr>
                <w:b/>
              </w:rPr>
            </w:pPr>
            <w:r>
              <w:rPr>
                <w:b/>
              </w:rPr>
              <w:t>Fair Value at December 31,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7" w:type="dxa"/>
            <w:gridSpan w:val="2"/>
            <w:tcBorders>
              <w:bottom w:val="single" w:sz="8" w:space="0" w:color="000000"/>
            </w:tcBorders>
            <w:vAlign w:val="center"/>
          </w:tcPr>
          <w:p>
            <w:pPr>
              <w:pStyle w:val="TableContents"/>
              <w:bidi w:val="0"/>
              <w:spacing w:before="0" w:after="283"/>
              <w:jc w:val="center"/>
              <w:rPr>
                <w:b/>
              </w:rPr>
            </w:pPr>
            <w:r>
              <w:rPr>
                <w:b/>
              </w:rPr>
              <w:t>Transfer In/ (Out)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Gains/(Losses)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0" w:type="dxa"/>
            <w:gridSpan w:val="2"/>
            <w:tcBorders>
              <w:bottom w:val="single" w:sz="8" w:space="0" w:color="000000"/>
            </w:tcBorders>
            <w:vAlign w:val="center"/>
          </w:tcPr>
          <w:p>
            <w:pPr>
              <w:pStyle w:val="TableContents"/>
              <w:bidi w:val="0"/>
              <w:spacing w:before="0" w:after="283"/>
              <w:jc w:val="center"/>
              <w:rPr>
                <w:b/>
              </w:rPr>
            </w:pPr>
            <w:r>
              <w:rPr>
                <w:b/>
              </w:rPr>
              <w:t>Fair Value at 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280" w:type="dxa"/>
            <w:tcBorders/>
            <w:tcMar>
              <w:bottom w:w="0" w:type="dxa"/>
            </w:tcMar>
            <w:vAlign w:val="center"/>
          </w:tcPr>
          <w:p>
            <w:pPr>
              <w:pStyle w:val="TableContents"/>
              <w:bidi w:val="0"/>
              <w:spacing w:before="0" w:after="283"/>
              <w:jc w:val="left"/>
              <w:rPr/>
            </w:pPr>
            <w:r>
              <w:rPr/>
              <w:t> </w:t>
            </w:r>
          </w:p>
        </w:tc>
      </w:tr>
      <w:tr>
        <w:trPr/>
        <w:tc>
          <w:tcPr>
            <w:tcW w:w="2473"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NON-CONTROLLED/AFFILIATE INVESTMENTS*</w:t>
            </w:r>
            <w:r>
              <w:rPr>
                <w:rFonts w:ascii="Times New Roman;Times;Serif" w:hAnsi="Times New Roman;Times;Serif"/>
                <w:b/>
                <w:position w:val="7"/>
                <w:sz w:val="16"/>
                <w:sz w:val="20"/>
                <w:u w:val="single"/>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473" w:type="dxa"/>
            <w:tcBorders/>
            <w:shd w:fill="FFFFFF" w:val="clear"/>
            <w:tcMar>
              <w:bottom w:w="0" w:type="dxa"/>
            </w:tcMar>
            <w:vAlign w:val="center"/>
          </w:tcPr>
          <w:p>
            <w:pPr>
              <w:pStyle w:val="TableContents"/>
              <w:bidi w:val="0"/>
              <w:spacing w:before="0" w:after="283"/>
              <w:jc w:val="left"/>
              <w:rPr>
                <w:b/>
              </w:rPr>
            </w:pPr>
            <w:r>
              <w:rPr>
                <w:b/>
              </w:rPr>
              <w:t>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79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0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r>
      <w:tr>
        <w:trPr/>
        <w:tc>
          <w:tcPr>
            <w:tcW w:w="2473" w:type="dxa"/>
            <w:tcBorders/>
            <w:shd w:fill="CCEEFF" w:val="clear"/>
            <w:tcMar>
              <w:bottom w:w="0" w:type="dxa"/>
            </w:tcMar>
            <w:vAlign w:val="center"/>
          </w:tcPr>
          <w:p>
            <w:pPr>
              <w:pStyle w:val="TableContents"/>
              <w:bidi w:val="0"/>
              <w:spacing w:before="0" w:after="283"/>
              <w:jc w:val="left"/>
              <w:rPr>
                <w:i/>
              </w:rPr>
            </w:pPr>
            <w:r>
              <w:rPr>
                <w:i/>
              </w:rPr>
              <w:t>Interactive Media &amp;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473" w:type="dxa"/>
            <w:tcBorders/>
            <w:shd w:fill="FFFFFF" w:val="clear"/>
            <w:tcMar>
              <w:bottom w:w="0" w:type="dxa"/>
            </w:tcMar>
            <w:vAlign w:val="center"/>
          </w:tcPr>
          <w:p>
            <w:pPr>
              <w:pStyle w:val="TableContents"/>
              <w:bidi w:val="0"/>
              <w:spacing w:before="0" w:after="283"/>
              <w:jc w:val="left"/>
              <w:rPr/>
            </w:pPr>
            <w:r>
              <w:rPr/>
              <w:t>Commercial Streaming Solutions Inc. (d/b/a BettorView)–Preferred Shares, Series A-1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bookmarkStart w:id="1314" w:name="xdx_98B_eus-gaap--InvestmentOwnedBalance"/>
            <w:bookmarkEnd w:id="1314"/>
          </w:p>
        </w:tc>
        <w:tc>
          <w:tcPr>
            <w:tcW w:w="1136" w:type="dxa"/>
            <w:tcBorders/>
            <w:shd w:fill="FFFFFF" w:val="clear"/>
            <w:tcMar>
              <w:bottom w:w="0" w:type="dxa"/>
            </w:tcMar>
            <w:vAlign w:val="center"/>
          </w:tcPr>
          <w:p>
            <w:pPr>
              <w:pStyle w:val="TableContents"/>
              <w:bidi w:val="0"/>
              <w:spacing w:before="0" w:after="283"/>
              <w:jc w:val="right"/>
              <w:rPr/>
            </w:pPr>
            <w:r>
              <w:rPr/>
              <w:t>10,548,522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bookmarkStart w:id="1315" w:name="xdx_98A_eus-gaap--InvestmentOwnedAtFairV"/>
            <w:bookmarkEnd w:id="1315"/>
          </w:p>
        </w:tc>
        <w:tc>
          <w:tcPr>
            <w:tcW w:w="1142"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w:t>
            </w:r>
            <w:bookmarkStart w:id="1316" w:name="xdx_98F_ecustom--TransferOfInAndOutInves"/>
            <w:bookmarkEnd w:id="1316"/>
          </w:p>
        </w:tc>
        <w:tc>
          <w:tcPr>
            <w:tcW w:w="79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bookmarkStart w:id="1317" w:name="xdx_98F_eus-gaap--UnrealizedGainLossOnIn"/>
            <w:bookmarkEnd w:id="1317"/>
          </w:p>
        </w:tc>
        <w:tc>
          <w:tcPr>
            <w:tcW w:w="891" w:type="dxa"/>
            <w:tcBorders/>
            <w:shd w:fill="FFFFFF" w:val="clear"/>
            <w:tcMar>
              <w:bottom w:w="0" w:type="dxa"/>
            </w:tcMar>
            <w:vAlign w:val="center"/>
          </w:tcPr>
          <w:p>
            <w:pPr>
              <w:pStyle w:val="TableContents"/>
              <w:bidi w:val="0"/>
              <w:spacing w:before="0" w:after="283"/>
              <w:jc w:val="right"/>
              <w:rPr/>
            </w:pPr>
            <w:r>
              <w:rPr/>
              <w:t>(350,000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w:t>
            </w:r>
            <w:bookmarkStart w:id="1318" w:name="xdx_985_eus-gaap--InvestmentOwnedAtFairV"/>
            <w:bookmarkEnd w:id="1318"/>
          </w:p>
        </w:tc>
        <w:tc>
          <w:tcPr>
            <w:tcW w:w="11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bookmarkStart w:id="1319" w:name="xdx_90C_eus-gaap--InvestmentOwnedPercent"/>
            <w:bookmarkEnd w:id="1319"/>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i/>
              </w:rPr>
            </w:pPr>
            <w:r>
              <w:rPr>
                <w:i/>
              </w:rPr>
              <w:t>Knowledge Networks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473" w:type="dxa"/>
            <w:tcBorders/>
            <w:shd w:fill="FFFFFF" w:val="clear"/>
            <w:tcMar>
              <w:bottom w:w="0" w:type="dxa"/>
            </w:tcMar>
            <w:vAlign w:val="center"/>
          </w:tcPr>
          <w:p>
            <w:pPr>
              <w:pStyle w:val="TableContents"/>
              <w:bidi w:val="0"/>
              <w:spacing w:before="0" w:after="283"/>
              <w:jc w:val="left"/>
              <w:rPr/>
            </w:pPr>
            <w:r>
              <w:rPr/>
              <w:t>Maven Research, Inc.–Preferred Shares, Series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bookmarkStart w:id="1320" w:name="xdx_983_eus-gaap--InvestmentOwnedBalance"/>
            <w:bookmarkEnd w:id="1320"/>
          </w:p>
        </w:tc>
        <w:tc>
          <w:tcPr>
            <w:tcW w:w="1136" w:type="dxa"/>
            <w:tcBorders/>
            <w:shd w:fill="FFFFFF" w:val="clear"/>
            <w:tcMar>
              <w:bottom w:w="0" w:type="dxa"/>
            </w:tcMar>
            <w:vAlign w:val="center"/>
          </w:tcPr>
          <w:p>
            <w:pPr>
              <w:pStyle w:val="TableContents"/>
              <w:bidi w:val="0"/>
              <w:spacing w:before="0" w:after="283"/>
              <w:jc w:val="right"/>
              <w:rPr/>
            </w:pPr>
            <w:r>
              <w:rPr/>
              <w:t>318,979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bookmarkStart w:id="1321" w:name="xdx_98B_eus-gaap--InvestmentOwnedAtFairV"/>
            <w:bookmarkEnd w:id="1321"/>
          </w:p>
        </w:tc>
        <w:tc>
          <w:tcPr>
            <w:tcW w:w="11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bookmarkStart w:id="1322" w:name="xdx_98C_ecustom--TransferOfInAndOutInves"/>
            <w:bookmarkEnd w:id="1322"/>
          </w:p>
        </w:tc>
        <w:tc>
          <w:tcPr>
            <w:tcW w:w="79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bookmarkStart w:id="1323" w:name="xdx_988_eus-gaap--UnrealizedGainLossOnIn"/>
            <w:bookmarkEnd w:id="1323"/>
          </w:p>
        </w:tc>
        <w:tc>
          <w:tcPr>
            <w:tcW w:w="8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bookmarkStart w:id="1324" w:name="xdx_981_eus-gaap--InvestmentOwnedAtFairV"/>
            <w:bookmarkEnd w:id="1324"/>
          </w:p>
        </w:tc>
        <w:tc>
          <w:tcPr>
            <w:tcW w:w="11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325" w:name="xdx_98F_eus-gaap--InvestmentOwnedPercent"/>
            <w:bookmarkEnd w:id="1325"/>
          </w:p>
        </w:tc>
        <w:tc>
          <w:tcPr>
            <w:tcW w:w="850" w:type="dxa"/>
            <w:tcBorders/>
            <w:shd w:fill="FFFFFF" w:val="clear"/>
            <w:tcMar>
              <w:bottom w:w="0" w:type="dxa"/>
            </w:tcM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pPr>
            <w:r>
              <w:rPr/>
              <w:t>Maven Research, Inc.–Preferred Shares, Series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bookmarkStart w:id="1326" w:name="xdx_983_eus-gaap--InvestmentOwnedBalance"/>
            <w:bookmarkEnd w:id="1326"/>
          </w:p>
        </w:tc>
        <w:tc>
          <w:tcPr>
            <w:tcW w:w="1136" w:type="dxa"/>
            <w:tcBorders/>
            <w:shd w:fill="CCEEFF" w:val="clear"/>
            <w:tcMar>
              <w:bottom w:w="0" w:type="dxa"/>
            </w:tcMar>
            <w:vAlign w:val="center"/>
          </w:tcPr>
          <w:p>
            <w:pPr>
              <w:pStyle w:val="TableContents"/>
              <w:bidi w:val="0"/>
              <w:spacing w:before="0" w:after="283"/>
              <w:jc w:val="right"/>
              <w:rPr/>
            </w:pPr>
            <w:r>
              <w:rPr/>
              <w:t>49,505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vAlign w:val="center"/>
          </w:tcPr>
          <w:p>
            <w:pPr>
              <w:pStyle w:val="TableContents"/>
              <w:bidi w:val="0"/>
              <w:spacing w:before="0" w:after="283"/>
              <w:jc w:val="left"/>
              <w:rPr/>
            </w:pPr>
            <w:r>
              <w:rPr/>
              <w:t> </w:t>
            </w:r>
            <w:bookmarkStart w:id="1327" w:name="xdx_98F_eus-gaap--InvestmentOwnedAtFairV"/>
            <w:bookmarkEnd w:id="1327"/>
          </w:p>
        </w:tc>
        <w:tc>
          <w:tcPr>
            <w:tcW w:w="1142"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8" w:space="0" w:color="000000"/>
            </w:tcBorders>
            <w:shd w:fill="CCEEFF" w:val="clear"/>
            <w:vAlign w:val="center"/>
          </w:tcPr>
          <w:p>
            <w:pPr>
              <w:pStyle w:val="TableContents"/>
              <w:bidi w:val="0"/>
              <w:spacing w:before="0" w:after="283"/>
              <w:jc w:val="left"/>
              <w:rPr/>
            </w:pPr>
            <w:r>
              <w:rPr/>
              <w:t> </w:t>
            </w:r>
            <w:bookmarkStart w:id="1328" w:name="xdx_988_ecustom--TransferOfInAndOutInves"/>
            <w:bookmarkEnd w:id="1328"/>
          </w:p>
        </w:tc>
        <w:tc>
          <w:tcPr>
            <w:tcW w:w="798"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bookmarkStart w:id="1329" w:name="xdx_984_eus-gaap--UnrealizedGainLossOnIn"/>
            <w:bookmarkEnd w:id="1329"/>
          </w:p>
        </w:tc>
        <w:tc>
          <w:tcPr>
            <w:tcW w:w="891"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vAlign w:val="center"/>
          </w:tcPr>
          <w:p>
            <w:pPr>
              <w:pStyle w:val="TableContents"/>
              <w:bidi w:val="0"/>
              <w:spacing w:before="0" w:after="283"/>
              <w:jc w:val="left"/>
              <w:rPr/>
            </w:pPr>
            <w:r>
              <w:rPr/>
              <w:t> </w:t>
            </w:r>
            <w:bookmarkStart w:id="1330" w:name="xdx_98D_eus-gaap--InvestmentOwnedAtFairV"/>
            <w:bookmarkEnd w:id="1330"/>
          </w:p>
        </w:tc>
        <w:tc>
          <w:tcPr>
            <w:tcW w:w="110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1331" w:name="xdx_986_eus-gaap--InvestmentOwnedPercent"/>
            <w:bookmarkEnd w:id="1331"/>
          </w:p>
        </w:tc>
        <w:tc>
          <w:tcPr>
            <w:tcW w:w="850" w:type="dxa"/>
            <w:tcBorders>
              <w:bottom w:val="single" w:sz="8" w:space="0" w:color="000000"/>
            </w:tcBorders>
            <w:shd w:fill="CCEEFF" w:val="clear"/>
            <w:vAlign w:val="center"/>
          </w:tcPr>
          <w:p>
            <w:pPr>
              <w:pStyle w:val="TableContents"/>
              <w:bidi w:val="0"/>
              <w:spacing w:before="0" w:after="283"/>
              <w:jc w:val="right"/>
              <w:rPr/>
            </w:pPr>
            <w:r>
              <w:rPr/>
              <w:t>—</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shd w:fill="FFFFFF" w:val="clear"/>
            <w:tcMar>
              <w:bottom w:w="0" w:type="dxa"/>
            </w:tcMar>
            <w:vAlign w:val="center"/>
          </w:tcPr>
          <w:p>
            <w:pPr>
              <w:pStyle w:val="TableContents"/>
              <w:bidi w:val="0"/>
              <w:spacing w:before="0" w:after="283"/>
              <w:jc w:val="left"/>
              <w:rPr>
                <w:i/>
              </w:rPr>
            </w:pPr>
            <w:r>
              <w:rPr>
                <w:i/>
              </w:rPr>
              <w:t>Total Knowledge Networks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bookmarkStart w:id="1332" w:name="xdx_98A_eus-gaap--InvestmentOwnedAtFairV"/>
            <w:bookmarkEnd w:id="1332"/>
          </w:p>
        </w:tc>
        <w:tc>
          <w:tcPr>
            <w:tcW w:w="11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bookmarkStart w:id="1333" w:name="xdx_983_ecustom--TransferOfInAndOutInves"/>
            <w:bookmarkEnd w:id="1333"/>
          </w:p>
        </w:tc>
        <w:tc>
          <w:tcPr>
            <w:tcW w:w="79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bookmarkStart w:id="1334" w:name="xdx_98F_eus-gaap--UnrealizedGainLossOnIn"/>
            <w:bookmarkEnd w:id="1334"/>
          </w:p>
        </w:tc>
        <w:tc>
          <w:tcPr>
            <w:tcW w:w="8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bookmarkStart w:id="1335" w:name="xdx_98C_eus-gaap--InvestmentOwnedAtFairV"/>
            <w:bookmarkEnd w:id="1335"/>
          </w:p>
        </w:tc>
        <w:tc>
          <w:tcPr>
            <w:tcW w:w="11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336" w:name="xdx_98E_eus-gaap--InvestmentOwnedPercent"/>
            <w:bookmarkEnd w:id="1336"/>
          </w:p>
        </w:tc>
        <w:tc>
          <w:tcPr>
            <w:tcW w:w="850" w:type="dxa"/>
            <w:tcBorders/>
            <w:shd w:fill="FFFFFF" w:val="clear"/>
            <w:tcMar>
              <w:bottom w:w="0" w:type="dxa"/>
            </w:tcM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i/>
              </w:rPr>
            </w:pPr>
            <w:r>
              <w:rPr>
                <w:i/>
              </w:rPr>
              <w:t>Interactive Learning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4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StormWind, LLC</w:t>
            </w:r>
            <w:r>
              <w:rPr>
                <w:rFonts w:ascii="Times New Roman;Times;Serif" w:hAnsi="Times New Roman;Times;Serif"/>
                <w:position w:val="7"/>
                <w:sz w:val="16"/>
                <w:sz w:val="20"/>
              </w:rPr>
              <w:t xml:space="preserve">(2) </w:t>
            </w:r>
            <w:r>
              <w:rPr>
                <w:rFonts w:ascii="Times New Roman;Times;Serif" w:hAnsi="Times New Roman;Times;Serif"/>
                <w:sz w:val="20"/>
              </w:rPr>
              <w:t>– Preferred Shares, Series D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bookmarkStart w:id="1337" w:name="xdx_98F_eus-gaap--InvestmentOwnedBalance"/>
            <w:bookmarkEnd w:id="1337"/>
          </w:p>
        </w:tc>
        <w:tc>
          <w:tcPr>
            <w:tcW w:w="1136" w:type="dxa"/>
            <w:tcBorders/>
            <w:shd w:fill="FFFFFF" w:val="clear"/>
            <w:tcMar>
              <w:bottom w:w="0" w:type="dxa"/>
            </w:tcMar>
            <w:vAlign w:val="center"/>
          </w:tcPr>
          <w:p>
            <w:pPr>
              <w:pStyle w:val="TableContents"/>
              <w:bidi w:val="0"/>
              <w:spacing w:before="0" w:after="283"/>
              <w:jc w:val="right"/>
              <w:rPr/>
            </w:pPr>
            <w:r>
              <w:rPr/>
              <w:t>329,337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bookmarkStart w:id="1338" w:name="xdx_988_eus-gaap--InvestmentOwnedAtFairV"/>
            <w:bookmarkEnd w:id="1338"/>
          </w:p>
        </w:tc>
        <w:tc>
          <w:tcPr>
            <w:tcW w:w="1142" w:type="dxa"/>
            <w:tcBorders/>
            <w:shd w:fill="FFFFFF" w:val="clear"/>
            <w:tcMar>
              <w:bottom w:w="0" w:type="dxa"/>
            </w:tcMar>
            <w:vAlign w:val="center"/>
          </w:tcPr>
          <w:p>
            <w:pPr>
              <w:pStyle w:val="TableContents"/>
              <w:bidi w:val="0"/>
              <w:spacing w:before="0" w:after="283"/>
              <w:jc w:val="right"/>
              <w:rPr/>
            </w:pPr>
            <w:r>
              <w:rPr/>
              <w:t>435,806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bookmarkStart w:id="1339" w:name="xdx_986_ecustom--TransferOfInAndOutInves"/>
            <w:bookmarkEnd w:id="1339"/>
          </w:p>
        </w:tc>
        <w:tc>
          <w:tcPr>
            <w:tcW w:w="79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bookmarkStart w:id="1340" w:name="xdx_981_eus-gaap--UnrealizedGainLossOnIn"/>
            <w:bookmarkEnd w:id="1340"/>
          </w:p>
        </w:tc>
        <w:tc>
          <w:tcPr>
            <w:tcW w:w="891" w:type="dxa"/>
            <w:tcBorders/>
            <w:shd w:fill="FFFFFF" w:val="clear"/>
            <w:tcMar>
              <w:bottom w:w="0" w:type="dxa"/>
            </w:tcMar>
            <w:vAlign w:val="center"/>
          </w:tcPr>
          <w:p>
            <w:pPr>
              <w:pStyle w:val="TableContents"/>
              <w:bidi w:val="0"/>
              <w:spacing w:before="0" w:after="283"/>
              <w:jc w:val="right"/>
              <w:rPr/>
            </w:pPr>
            <w:r>
              <w:rPr/>
              <w:t>34,329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bookmarkStart w:id="1341" w:name="xdx_98E_eus-gaap--InvestmentOwnedAtFairV"/>
            <w:bookmarkEnd w:id="1341"/>
          </w:p>
        </w:tc>
        <w:tc>
          <w:tcPr>
            <w:tcW w:w="1103" w:type="dxa"/>
            <w:tcBorders/>
            <w:shd w:fill="FFFFFF" w:val="clear"/>
            <w:tcMar>
              <w:bottom w:w="0" w:type="dxa"/>
            </w:tcMar>
            <w:vAlign w:val="center"/>
          </w:tcPr>
          <w:p>
            <w:pPr>
              <w:pStyle w:val="TableContents"/>
              <w:bidi w:val="0"/>
              <w:spacing w:before="0" w:after="283"/>
              <w:jc w:val="right"/>
              <w:rPr/>
            </w:pPr>
            <w:r>
              <w:rPr/>
              <w:t>470,135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342" w:name="xdx_98C_eus-gaap--InvestmentOwnedPercent"/>
            <w:bookmarkEnd w:id="1342"/>
          </w:p>
        </w:tc>
        <w:tc>
          <w:tcPr>
            <w:tcW w:w="850" w:type="dxa"/>
            <w:tcBorders/>
            <w:shd w:fill="FFFFFF" w:val="clear"/>
            <w:tcMar>
              <w:bottom w:w="0" w:type="dxa"/>
            </w:tcMar>
            <w:vAlign w:val="center"/>
          </w:tcPr>
          <w:p>
            <w:pPr>
              <w:pStyle w:val="TableContents"/>
              <w:bidi w:val="0"/>
              <w:spacing w:before="0" w:after="283"/>
              <w:jc w:val="right"/>
              <w:rPr/>
            </w:pPr>
            <w:r>
              <w:rPr/>
              <w:t>0.13</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StormWind, LLC</w:t>
            </w:r>
            <w:r>
              <w:rPr>
                <w:rFonts w:ascii="Times New Roman;Times;Serif" w:hAnsi="Times New Roman;Times;Serif"/>
                <w:position w:val="7"/>
                <w:sz w:val="16"/>
                <w:sz w:val="20"/>
              </w:rPr>
              <w:t xml:space="preserve">(2) </w:t>
            </w:r>
            <w:r>
              <w:rPr>
                <w:rFonts w:ascii="Times New Roman;Times;Serif" w:hAnsi="Times New Roman;Times;Serif"/>
                <w:sz w:val="20"/>
              </w:rPr>
              <w:t>– Preferred Shares, Series C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bookmarkStart w:id="1343" w:name="xdx_984_eus-gaap--InvestmentOwnedBalance"/>
            <w:bookmarkEnd w:id="1343"/>
          </w:p>
        </w:tc>
        <w:tc>
          <w:tcPr>
            <w:tcW w:w="1136" w:type="dxa"/>
            <w:tcBorders/>
            <w:shd w:fill="CCEEFF" w:val="clear"/>
            <w:tcMar>
              <w:bottom w:w="0" w:type="dxa"/>
            </w:tcMar>
            <w:vAlign w:val="center"/>
          </w:tcPr>
          <w:p>
            <w:pPr>
              <w:pStyle w:val="TableContents"/>
              <w:bidi w:val="0"/>
              <w:spacing w:before="0" w:after="283"/>
              <w:jc w:val="right"/>
              <w:rPr/>
            </w:pPr>
            <w:r>
              <w:rPr/>
              <w:t>2,779,134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bookmarkStart w:id="1344" w:name="xdx_983_eus-gaap--InvestmentOwnedAtFairV"/>
            <w:bookmarkEnd w:id="1344"/>
          </w:p>
        </w:tc>
        <w:tc>
          <w:tcPr>
            <w:tcW w:w="1142" w:type="dxa"/>
            <w:tcBorders/>
            <w:shd w:fill="CCEEFF" w:val="clear"/>
            <w:tcMar>
              <w:bottom w:w="0" w:type="dxa"/>
            </w:tcMar>
            <w:vAlign w:val="center"/>
          </w:tcPr>
          <w:p>
            <w:pPr>
              <w:pStyle w:val="TableContents"/>
              <w:bidi w:val="0"/>
              <w:spacing w:before="0" w:after="283"/>
              <w:jc w:val="right"/>
              <w:rPr/>
            </w:pPr>
            <w:r>
              <w:rPr/>
              <w:t>4,760,083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bookmarkStart w:id="1345" w:name="xdx_98B_ecustom--TransferOfInAndOutInves"/>
            <w:bookmarkEnd w:id="1345"/>
          </w:p>
        </w:tc>
        <w:tc>
          <w:tcPr>
            <w:tcW w:w="79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bookmarkStart w:id="1346" w:name="xdx_98C_eus-gaap--UnrealizedGainLossOnIn"/>
            <w:bookmarkEnd w:id="1346"/>
          </w:p>
        </w:tc>
        <w:tc>
          <w:tcPr>
            <w:tcW w:w="891" w:type="dxa"/>
            <w:tcBorders/>
            <w:shd w:fill="CCEEFF" w:val="clear"/>
            <w:tcMar>
              <w:bottom w:w="0" w:type="dxa"/>
            </w:tcMar>
            <w:vAlign w:val="center"/>
          </w:tcPr>
          <w:p>
            <w:pPr>
              <w:pStyle w:val="TableContents"/>
              <w:bidi w:val="0"/>
              <w:spacing w:before="0" w:after="283"/>
              <w:jc w:val="right"/>
              <w:rPr/>
            </w:pPr>
            <w:r>
              <w:rPr/>
              <w:t>251,438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bookmarkStart w:id="1347" w:name="xdx_986_eus-gaap--InvestmentOwnedAtFairV"/>
            <w:bookmarkEnd w:id="1347"/>
          </w:p>
        </w:tc>
        <w:tc>
          <w:tcPr>
            <w:tcW w:w="1103" w:type="dxa"/>
            <w:tcBorders/>
            <w:shd w:fill="CCEEFF" w:val="clear"/>
            <w:tcMar>
              <w:bottom w:w="0" w:type="dxa"/>
            </w:tcMar>
            <w:vAlign w:val="center"/>
          </w:tcPr>
          <w:p>
            <w:pPr>
              <w:pStyle w:val="TableContents"/>
              <w:bidi w:val="0"/>
              <w:spacing w:before="0" w:after="283"/>
              <w:jc w:val="right"/>
              <w:rPr/>
            </w:pPr>
            <w:r>
              <w:rPr/>
              <w:t>5,011,521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1348" w:name="xdx_98C_eus-gaap--InvestmentOwnedPercent"/>
            <w:bookmarkEnd w:id="1348"/>
          </w:p>
        </w:tc>
        <w:tc>
          <w:tcPr>
            <w:tcW w:w="850" w:type="dxa"/>
            <w:tcBorders/>
            <w:shd w:fill="CCEEFF" w:val="clear"/>
            <w:tcMar>
              <w:bottom w:w="0" w:type="dxa"/>
            </w:tcMar>
            <w:vAlign w:val="center"/>
          </w:tcPr>
          <w:p>
            <w:pPr>
              <w:pStyle w:val="TableContents"/>
              <w:bidi w:val="0"/>
              <w:spacing w:before="0" w:after="283"/>
              <w:jc w:val="right"/>
              <w:rPr/>
            </w:pPr>
            <w:r>
              <w:rPr/>
              <w:t>1.41</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StormWind, LLC</w:t>
            </w:r>
            <w:r>
              <w:rPr>
                <w:rFonts w:ascii="Times New Roman;Times;Serif" w:hAnsi="Times New Roman;Times;Serif"/>
                <w:position w:val="7"/>
                <w:sz w:val="16"/>
                <w:sz w:val="20"/>
              </w:rPr>
              <w:t xml:space="preserve">(2) </w:t>
            </w:r>
            <w:r>
              <w:rPr>
                <w:rFonts w:ascii="Times New Roman;Times;Serif" w:hAnsi="Times New Roman;Times;Serif"/>
                <w:sz w:val="20"/>
              </w:rPr>
              <w:t>– Preferred Shares, Series B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bookmarkStart w:id="1349" w:name="xdx_98D_eus-gaap--InvestmentOwnedBalance"/>
            <w:bookmarkEnd w:id="1349"/>
          </w:p>
        </w:tc>
        <w:tc>
          <w:tcPr>
            <w:tcW w:w="1136" w:type="dxa"/>
            <w:tcBorders/>
            <w:shd w:fill="FFFFFF" w:val="clear"/>
            <w:tcMar>
              <w:bottom w:w="0" w:type="dxa"/>
            </w:tcMar>
            <w:vAlign w:val="center"/>
          </w:tcPr>
          <w:p>
            <w:pPr>
              <w:pStyle w:val="TableContents"/>
              <w:bidi w:val="0"/>
              <w:spacing w:before="0" w:after="283"/>
              <w:jc w:val="right"/>
              <w:rPr/>
            </w:pPr>
            <w:r>
              <w:rPr/>
              <w:t>3,279,629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bookmarkStart w:id="1350" w:name="xdx_985_eus-gaap--InvestmentOwnedAtFairV"/>
            <w:bookmarkEnd w:id="1350"/>
          </w:p>
        </w:tc>
        <w:tc>
          <w:tcPr>
            <w:tcW w:w="1142" w:type="dxa"/>
            <w:tcBorders/>
            <w:shd w:fill="FFFFFF" w:val="clear"/>
            <w:tcMar>
              <w:bottom w:w="0" w:type="dxa"/>
            </w:tcMar>
            <w:vAlign w:val="center"/>
          </w:tcPr>
          <w:p>
            <w:pPr>
              <w:pStyle w:val="TableContents"/>
              <w:bidi w:val="0"/>
              <w:spacing w:before="0" w:after="283"/>
              <w:jc w:val="right"/>
              <w:rPr/>
            </w:pPr>
            <w:r>
              <w:rPr/>
              <w:t>2,578,473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bookmarkStart w:id="1351" w:name="xdx_989_ecustom--TransferOfInAndOutInves"/>
            <w:bookmarkEnd w:id="1351"/>
          </w:p>
        </w:tc>
        <w:tc>
          <w:tcPr>
            <w:tcW w:w="79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bookmarkStart w:id="1352" w:name="xdx_987_eus-gaap--UnrealizedGainLossOnIn"/>
            <w:bookmarkEnd w:id="1352"/>
          </w:p>
        </w:tc>
        <w:tc>
          <w:tcPr>
            <w:tcW w:w="891" w:type="dxa"/>
            <w:tcBorders/>
            <w:shd w:fill="FFFFFF" w:val="clear"/>
            <w:tcMar>
              <w:bottom w:w="0" w:type="dxa"/>
            </w:tcMar>
            <w:vAlign w:val="center"/>
          </w:tcPr>
          <w:p>
            <w:pPr>
              <w:pStyle w:val="TableContents"/>
              <w:bidi w:val="0"/>
              <w:spacing w:before="0" w:after="283"/>
              <w:jc w:val="right"/>
              <w:rPr/>
            </w:pPr>
            <w:r>
              <w:rPr/>
              <w:t>285,585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bookmarkStart w:id="1353" w:name="xdx_985_eus-gaap--InvestmentOwnedAtFairV"/>
            <w:bookmarkEnd w:id="1353"/>
          </w:p>
        </w:tc>
        <w:tc>
          <w:tcPr>
            <w:tcW w:w="1103" w:type="dxa"/>
            <w:tcBorders/>
            <w:shd w:fill="FFFFFF" w:val="clear"/>
            <w:tcMar>
              <w:bottom w:w="0" w:type="dxa"/>
            </w:tcMar>
            <w:vAlign w:val="center"/>
          </w:tcPr>
          <w:p>
            <w:pPr>
              <w:pStyle w:val="TableContents"/>
              <w:bidi w:val="0"/>
              <w:spacing w:before="0" w:after="283"/>
              <w:jc w:val="right"/>
              <w:rPr/>
            </w:pPr>
            <w:r>
              <w:rPr/>
              <w:t>2,864,058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354" w:name="xdx_987_eus-gaap--InvestmentOwnedPercent"/>
            <w:bookmarkEnd w:id="1354"/>
          </w:p>
        </w:tc>
        <w:tc>
          <w:tcPr>
            <w:tcW w:w="850" w:type="dxa"/>
            <w:tcBorders/>
            <w:shd w:fill="FFFFFF" w:val="clear"/>
            <w:tcMar>
              <w:bottom w:w="0" w:type="dxa"/>
            </w:tcMar>
            <w:vAlign w:val="center"/>
          </w:tcPr>
          <w:p>
            <w:pPr>
              <w:pStyle w:val="TableContents"/>
              <w:bidi w:val="0"/>
              <w:spacing w:before="0" w:after="283"/>
              <w:jc w:val="right"/>
              <w:rPr/>
            </w:pPr>
            <w:r>
              <w:rPr/>
              <w:t>0.80</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StormWind, LLC</w:t>
            </w:r>
            <w:r>
              <w:rPr>
                <w:rFonts w:ascii="Times New Roman;Times;Serif" w:hAnsi="Times New Roman;Times;Serif"/>
                <w:position w:val="7"/>
                <w:sz w:val="16"/>
                <w:sz w:val="20"/>
              </w:rPr>
              <w:t xml:space="preserve">(2) </w:t>
            </w:r>
            <w:r>
              <w:rPr>
                <w:rFonts w:ascii="Times New Roman;Times;Serif" w:hAnsi="Times New Roman;Times;Serif"/>
                <w:sz w:val="20"/>
              </w:rPr>
              <w:t>– Preferred Shares, Series A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bookmarkStart w:id="1355" w:name="xdx_98F_eus-gaap--InvestmentOwnedBalance"/>
            <w:bookmarkEnd w:id="1355"/>
          </w:p>
        </w:tc>
        <w:tc>
          <w:tcPr>
            <w:tcW w:w="1136" w:type="dxa"/>
            <w:tcBorders/>
            <w:shd w:fill="CCEEFF" w:val="clear"/>
            <w:tcMar>
              <w:bottom w:w="0" w:type="dxa"/>
            </w:tcMar>
            <w:vAlign w:val="center"/>
          </w:tcPr>
          <w:p>
            <w:pPr>
              <w:pStyle w:val="TableContents"/>
              <w:bidi w:val="0"/>
              <w:spacing w:before="0" w:after="283"/>
              <w:jc w:val="right"/>
              <w:rPr/>
            </w:pPr>
            <w:r>
              <w:rPr/>
              <w:t>366,666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vAlign w:val="center"/>
          </w:tcPr>
          <w:p>
            <w:pPr>
              <w:pStyle w:val="TableContents"/>
              <w:bidi w:val="0"/>
              <w:spacing w:before="0" w:after="283"/>
              <w:jc w:val="left"/>
              <w:rPr/>
            </w:pPr>
            <w:r>
              <w:rPr/>
              <w:t> </w:t>
            </w:r>
            <w:bookmarkStart w:id="1356" w:name="xdx_985_eus-gaap--InvestmentOwnedAtFairV"/>
            <w:bookmarkEnd w:id="1356"/>
          </w:p>
        </w:tc>
        <w:tc>
          <w:tcPr>
            <w:tcW w:w="1142" w:type="dxa"/>
            <w:tcBorders>
              <w:bottom w:val="single" w:sz="8" w:space="0" w:color="000000"/>
            </w:tcBorders>
            <w:shd w:fill="CCEEFF" w:val="clear"/>
            <w:vAlign w:val="center"/>
          </w:tcPr>
          <w:p>
            <w:pPr>
              <w:pStyle w:val="TableContents"/>
              <w:bidi w:val="0"/>
              <w:spacing w:before="0" w:after="283"/>
              <w:jc w:val="right"/>
              <w:rPr/>
            </w:pPr>
            <w:r>
              <w:rPr/>
              <w:t>83,005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8" w:space="0" w:color="000000"/>
            </w:tcBorders>
            <w:shd w:fill="CCEEFF" w:val="clear"/>
            <w:vAlign w:val="center"/>
          </w:tcPr>
          <w:p>
            <w:pPr>
              <w:pStyle w:val="TableContents"/>
              <w:bidi w:val="0"/>
              <w:spacing w:before="0" w:after="283"/>
              <w:jc w:val="left"/>
              <w:rPr/>
            </w:pPr>
            <w:r>
              <w:rPr/>
              <w:t> </w:t>
            </w:r>
            <w:bookmarkStart w:id="1357" w:name="xdx_986_ecustom--TransferOfInAndOutInves"/>
            <w:bookmarkEnd w:id="1357"/>
          </w:p>
        </w:tc>
        <w:tc>
          <w:tcPr>
            <w:tcW w:w="798"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bookmarkStart w:id="1358" w:name="xdx_98A_eus-gaap--UnrealizedGainLossOnIn"/>
            <w:bookmarkEnd w:id="1358"/>
          </w:p>
        </w:tc>
        <w:tc>
          <w:tcPr>
            <w:tcW w:w="891" w:type="dxa"/>
            <w:tcBorders>
              <w:bottom w:val="single" w:sz="8" w:space="0" w:color="000000"/>
            </w:tcBorders>
            <w:shd w:fill="CCEEFF" w:val="clear"/>
            <w:vAlign w:val="center"/>
          </w:tcPr>
          <w:p>
            <w:pPr>
              <w:pStyle w:val="TableContents"/>
              <w:bidi w:val="0"/>
              <w:spacing w:before="0" w:after="283"/>
              <w:jc w:val="right"/>
              <w:rPr/>
            </w:pPr>
            <w:r>
              <w:rPr/>
              <w:t>41,248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vAlign w:val="center"/>
          </w:tcPr>
          <w:p>
            <w:pPr>
              <w:pStyle w:val="TableContents"/>
              <w:bidi w:val="0"/>
              <w:spacing w:before="0" w:after="283"/>
              <w:jc w:val="left"/>
              <w:rPr/>
            </w:pPr>
            <w:r>
              <w:rPr/>
              <w:t> </w:t>
            </w:r>
            <w:bookmarkStart w:id="1359" w:name="xdx_988_eus-gaap--InvestmentOwnedAtFairV"/>
            <w:bookmarkEnd w:id="1359"/>
          </w:p>
        </w:tc>
        <w:tc>
          <w:tcPr>
            <w:tcW w:w="1103" w:type="dxa"/>
            <w:tcBorders>
              <w:bottom w:val="single" w:sz="8" w:space="0" w:color="000000"/>
            </w:tcBorders>
            <w:shd w:fill="CCEEFF" w:val="clear"/>
            <w:vAlign w:val="center"/>
          </w:tcPr>
          <w:p>
            <w:pPr>
              <w:pStyle w:val="TableContents"/>
              <w:bidi w:val="0"/>
              <w:spacing w:before="0" w:after="283"/>
              <w:jc w:val="right"/>
              <w:rPr/>
            </w:pPr>
            <w:r>
              <w:rPr/>
              <w:t>124,253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1360" w:name="xdx_980_eus-gaap--InvestmentOwnedPercent"/>
            <w:bookmarkEnd w:id="1360"/>
          </w:p>
        </w:tc>
        <w:tc>
          <w:tcPr>
            <w:tcW w:w="850" w:type="dxa"/>
            <w:tcBorders>
              <w:bottom w:val="single" w:sz="8" w:space="0" w:color="000000"/>
            </w:tcBorders>
            <w:shd w:fill="CCEEFF" w:val="clear"/>
            <w:vAlign w:val="center"/>
          </w:tcPr>
          <w:p>
            <w:pPr>
              <w:pStyle w:val="TableContents"/>
              <w:bidi w:val="0"/>
              <w:spacing w:before="0" w:after="283"/>
              <w:jc w:val="right"/>
              <w:rPr/>
            </w:pPr>
            <w:r>
              <w:rPr/>
              <w:t>0.03</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shd w:fill="FFFFFF" w:val="clear"/>
            <w:tcMar>
              <w:bottom w:w="0" w:type="dxa"/>
            </w:tcMar>
            <w:vAlign w:val="center"/>
          </w:tcPr>
          <w:p>
            <w:pPr>
              <w:pStyle w:val="TableContents"/>
              <w:bidi w:val="0"/>
              <w:spacing w:before="0" w:after="283"/>
              <w:jc w:val="left"/>
              <w:rPr>
                <w:i/>
              </w:rPr>
            </w:pPr>
            <w:r>
              <w:rPr>
                <w:i/>
              </w:rPr>
              <w:t>Total Interactive Learning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bookmarkStart w:id="1361" w:name="xdx_98F_eus-gaap--InvestmentOwnedAtFairV"/>
            <w:bookmarkEnd w:id="1361"/>
          </w:p>
        </w:tc>
        <w:tc>
          <w:tcPr>
            <w:tcW w:w="1142" w:type="dxa"/>
            <w:tcBorders/>
            <w:shd w:fill="FFFFFF" w:val="clear"/>
            <w:tcMar>
              <w:bottom w:w="0" w:type="dxa"/>
            </w:tcMar>
            <w:vAlign w:val="center"/>
          </w:tcPr>
          <w:p>
            <w:pPr>
              <w:pStyle w:val="TableContents"/>
              <w:bidi w:val="0"/>
              <w:spacing w:before="0" w:after="283"/>
              <w:jc w:val="right"/>
              <w:rPr/>
            </w:pPr>
            <w:r>
              <w:rPr/>
              <w:t>7,857,367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bookmarkStart w:id="1362" w:name="xdx_987_ecustom--TransferOfInAndOutInves"/>
            <w:bookmarkEnd w:id="1362"/>
          </w:p>
        </w:tc>
        <w:tc>
          <w:tcPr>
            <w:tcW w:w="79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bookmarkStart w:id="1363" w:name="xdx_987_eus-gaap--UnrealizedGainLossOnIn"/>
            <w:bookmarkEnd w:id="1363"/>
          </w:p>
        </w:tc>
        <w:tc>
          <w:tcPr>
            <w:tcW w:w="891" w:type="dxa"/>
            <w:tcBorders/>
            <w:shd w:fill="FFFFFF" w:val="clear"/>
            <w:tcMar>
              <w:bottom w:w="0" w:type="dxa"/>
            </w:tcMar>
            <w:vAlign w:val="center"/>
          </w:tcPr>
          <w:p>
            <w:pPr>
              <w:pStyle w:val="TableContents"/>
              <w:bidi w:val="0"/>
              <w:spacing w:before="0" w:after="283"/>
              <w:jc w:val="right"/>
              <w:rPr/>
            </w:pPr>
            <w:r>
              <w:rPr/>
              <w:t>612,600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bookmarkStart w:id="1364" w:name="xdx_985_eus-gaap--InvestmentOwnedAtFairV"/>
            <w:bookmarkEnd w:id="1364"/>
          </w:p>
        </w:tc>
        <w:tc>
          <w:tcPr>
            <w:tcW w:w="1103" w:type="dxa"/>
            <w:tcBorders/>
            <w:shd w:fill="FFFFFF" w:val="clear"/>
            <w:tcMar>
              <w:bottom w:w="0" w:type="dxa"/>
            </w:tcMar>
            <w:vAlign w:val="center"/>
          </w:tcPr>
          <w:p>
            <w:pPr>
              <w:pStyle w:val="TableContents"/>
              <w:bidi w:val="0"/>
              <w:spacing w:before="0" w:after="283"/>
              <w:jc w:val="right"/>
              <w:rPr/>
            </w:pPr>
            <w:r>
              <w:rPr/>
              <w:t>8,469,967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365" w:name="xdx_984_eus-gaap--InvestmentOwnedPercent"/>
            <w:bookmarkEnd w:id="1365"/>
          </w:p>
        </w:tc>
        <w:tc>
          <w:tcPr>
            <w:tcW w:w="850" w:type="dxa"/>
            <w:tcBorders/>
            <w:shd w:fill="FFFFFF" w:val="clear"/>
            <w:tcMar>
              <w:bottom w:w="0" w:type="dxa"/>
            </w:tcMar>
            <w:vAlign w:val="center"/>
          </w:tcPr>
          <w:p>
            <w:pPr>
              <w:pStyle w:val="TableContents"/>
              <w:bidi w:val="0"/>
              <w:spacing w:before="0" w:after="283"/>
              <w:jc w:val="right"/>
              <w:rPr/>
            </w:pPr>
            <w:r>
              <w:rPr/>
              <w:t>2.38</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b/>
              </w:rPr>
            </w:pPr>
            <w:r>
              <w:rPr>
                <w:b/>
              </w:rPr>
              <w:t>Total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bookmarkStart w:id="1366" w:name="xdx_984_eus-gaap--InvestmentOwnedAtFairV"/>
            <w:bookmarkEnd w:id="1366"/>
          </w:p>
        </w:tc>
        <w:tc>
          <w:tcPr>
            <w:tcW w:w="1142" w:type="dxa"/>
            <w:tcBorders/>
            <w:shd w:fill="CCEEFF" w:val="clear"/>
            <w:tcMar>
              <w:bottom w:w="0" w:type="dxa"/>
            </w:tcMar>
            <w:vAlign w:val="center"/>
          </w:tcPr>
          <w:p>
            <w:pPr>
              <w:pStyle w:val="TableContents"/>
              <w:bidi w:val="0"/>
              <w:spacing w:before="0" w:after="283"/>
              <w:jc w:val="right"/>
              <w:rPr/>
            </w:pPr>
            <w:r>
              <w:rPr/>
              <w:t>8,207,367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bookmarkStart w:id="1367" w:name="xdx_98B_ecustom--TransferOfInAndOutInves"/>
            <w:bookmarkEnd w:id="1367"/>
          </w:p>
        </w:tc>
        <w:tc>
          <w:tcPr>
            <w:tcW w:w="79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bookmarkStart w:id="1368" w:name="xdx_98B_eus-gaap--UnrealizedGainLossOnIn"/>
            <w:bookmarkEnd w:id="1368"/>
          </w:p>
        </w:tc>
        <w:tc>
          <w:tcPr>
            <w:tcW w:w="891" w:type="dxa"/>
            <w:tcBorders/>
            <w:shd w:fill="CCEEFF" w:val="clear"/>
            <w:tcMar>
              <w:bottom w:w="0" w:type="dxa"/>
            </w:tcMar>
            <w:vAlign w:val="center"/>
          </w:tcPr>
          <w:p>
            <w:pPr>
              <w:pStyle w:val="TableContents"/>
              <w:bidi w:val="0"/>
              <w:spacing w:before="0" w:after="283"/>
              <w:jc w:val="right"/>
              <w:rPr/>
            </w:pPr>
            <w:r>
              <w:rPr/>
              <w:t>262,600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bookmarkStart w:id="1369" w:name="xdx_989_eus-gaap--InvestmentOwnedAtFairV"/>
            <w:bookmarkEnd w:id="1369"/>
          </w:p>
        </w:tc>
        <w:tc>
          <w:tcPr>
            <w:tcW w:w="1103" w:type="dxa"/>
            <w:tcBorders/>
            <w:shd w:fill="CCEEFF" w:val="clear"/>
            <w:tcMar>
              <w:bottom w:w="0" w:type="dxa"/>
            </w:tcMar>
            <w:vAlign w:val="center"/>
          </w:tcPr>
          <w:p>
            <w:pPr>
              <w:pStyle w:val="TableContents"/>
              <w:bidi w:val="0"/>
              <w:spacing w:before="0" w:after="283"/>
              <w:jc w:val="right"/>
              <w:rPr/>
            </w:pPr>
            <w:r>
              <w:rPr/>
              <w:t>8,469,967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1370" w:name="xdx_98D_eus-gaap--InvestmentOwnedPercent"/>
            <w:bookmarkEnd w:id="1370"/>
          </w:p>
        </w:tc>
        <w:tc>
          <w:tcPr>
            <w:tcW w:w="850" w:type="dxa"/>
            <w:tcBorders/>
            <w:shd w:fill="CCEEFF" w:val="clear"/>
            <w:tcMar>
              <w:bottom w:w="0" w:type="dxa"/>
            </w:tcMar>
            <w:vAlign w:val="center"/>
          </w:tcPr>
          <w:p>
            <w:pPr>
              <w:pStyle w:val="TableContents"/>
              <w:bidi w:val="0"/>
              <w:spacing w:before="0" w:after="283"/>
              <w:jc w:val="right"/>
              <w:rPr/>
            </w:pPr>
            <w:r>
              <w:rPr/>
              <w:t>2.38</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shd w:fill="FFFFFF" w:val="clear"/>
            <w:tcMar>
              <w:bottom w:w="0" w:type="dxa"/>
            </w:tcMar>
            <w:vAlign w:val="center"/>
          </w:tcPr>
          <w:p>
            <w:pPr>
              <w:pStyle w:val="TableContents"/>
              <w:bidi w:val="0"/>
              <w:spacing w:before="0" w:after="283"/>
              <w:jc w:val="left"/>
              <w:rPr>
                <w:b/>
              </w:rPr>
            </w:pPr>
            <w:r>
              <w:rPr>
                <w:b/>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79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0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r>
      <w:tr>
        <w:trPr/>
        <w:tc>
          <w:tcPr>
            <w:tcW w:w="2473" w:type="dxa"/>
            <w:tcBorders/>
            <w:shd w:fill="CCEEFF" w:val="clear"/>
            <w:tcMar>
              <w:bottom w:w="0" w:type="dxa"/>
            </w:tcMar>
            <w:vAlign w:val="center"/>
          </w:tcPr>
          <w:p>
            <w:pPr>
              <w:pStyle w:val="TableContents"/>
              <w:bidi w:val="0"/>
              <w:spacing w:before="0" w:after="283"/>
              <w:jc w:val="left"/>
              <w:rPr>
                <w:i/>
              </w:rPr>
            </w:pPr>
            <w:r>
              <w:rPr>
                <w:i/>
              </w:rPr>
              <w:t>Online Education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473" w:type="dxa"/>
            <w:tcBorders/>
            <w:shd w:fill="FFFFFF" w:val="clear"/>
            <w:tcMar>
              <w:bottom w:w="0" w:type="dxa"/>
            </w:tcMar>
            <w:vAlign w:val="center"/>
          </w:tcPr>
          <w:p>
            <w:pPr>
              <w:pStyle w:val="TableContents"/>
              <w:bidi w:val="0"/>
              <w:spacing w:before="0" w:after="283"/>
              <w:jc w:val="left"/>
              <w:rPr/>
            </w:pPr>
            <w:r>
              <w:rPr/>
              <w:t>Curious.com, Inc.–Common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bookmarkStart w:id="1371" w:name="xdx_98F_eus-gaap--InvestmentOwnedBalance"/>
            <w:bookmarkEnd w:id="1371"/>
          </w:p>
        </w:tc>
        <w:tc>
          <w:tcPr>
            <w:tcW w:w="1136" w:type="dxa"/>
            <w:tcBorders/>
            <w:shd w:fill="FFFFFF" w:val="clear"/>
            <w:tcMar>
              <w:bottom w:w="0" w:type="dxa"/>
            </w:tcMar>
            <w:vAlign w:val="center"/>
          </w:tcPr>
          <w:p>
            <w:pPr>
              <w:pStyle w:val="TableContents"/>
              <w:bidi w:val="0"/>
              <w:spacing w:before="0" w:after="283"/>
              <w:jc w:val="right"/>
              <w:rPr/>
            </w:pPr>
            <w:r>
              <w:rPr/>
              <w:t>1,135,944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bookmarkStart w:id="1372" w:name="xdx_985_eus-gaap--InvestmentOwnedAtFairV"/>
            <w:bookmarkEnd w:id="1372"/>
          </w:p>
        </w:tc>
        <w:tc>
          <w:tcPr>
            <w:tcW w:w="11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bookmarkStart w:id="1373" w:name="xdx_98F_ecustom--TransferOfInAndOutInves"/>
            <w:bookmarkEnd w:id="1373"/>
          </w:p>
        </w:tc>
        <w:tc>
          <w:tcPr>
            <w:tcW w:w="79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bookmarkStart w:id="1374" w:name="xdx_983_eus-gaap--UnrealizedGainLossOnIn"/>
            <w:bookmarkEnd w:id="1374"/>
          </w:p>
        </w:tc>
        <w:tc>
          <w:tcPr>
            <w:tcW w:w="8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bookmarkStart w:id="1375" w:name="xdx_985_eus-gaap--InvestmentOwnedAtFairV"/>
            <w:bookmarkEnd w:id="1375"/>
          </w:p>
        </w:tc>
        <w:tc>
          <w:tcPr>
            <w:tcW w:w="11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376" w:name="xdx_989_eus-gaap--InvestmentOwnedPercent"/>
            <w:bookmarkEnd w:id="1376"/>
          </w:p>
        </w:tc>
        <w:tc>
          <w:tcPr>
            <w:tcW w:w="850" w:type="dxa"/>
            <w:tcBorders/>
            <w:shd w:fill="FFFFFF" w:val="clear"/>
            <w:tcMar>
              <w:bottom w:w="0" w:type="dxa"/>
            </w:tcM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b/>
              </w:rPr>
            </w:pPr>
            <w:r>
              <w:rPr>
                <w:b/>
              </w:rPr>
              <w:t>Total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vAlign w:val="center"/>
          </w:tcPr>
          <w:p>
            <w:pPr>
              <w:pStyle w:val="TableContents"/>
              <w:bidi w:val="0"/>
              <w:spacing w:before="0" w:after="283"/>
              <w:jc w:val="left"/>
              <w:rPr/>
            </w:pPr>
            <w:r>
              <w:rPr/>
              <w:t> </w:t>
            </w:r>
            <w:bookmarkStart w:id="1377" w:name="xdx_989_eus-gaap--InvestmentOwnedAtFairV"/>
            <w:bookmarkEnd w:id="1377"/>
          </w:p>
        </w:tc>
        <w:tc>
          <w:tcPr>
            <w:tcW w:w="1142"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8" w:space="0" w:color="000000"/>
            </w:tcBorders>
            <w:shd w:fill="CCEEFF" w:val="clear"/>
            <w:vAlign w:val="center"/>
          </w:tcPr>
          <w:p>
            <w:pPr>
              <w:pStyle w:val="TableContents"/>
              <w:bidi w:val="0"/>
              <w:spacing w:before="0" w:after="283"/>
              <w:jc w:val="left"/>
              <w:rPr/>
            </w:pPr>
            <w:r>
              <w:rPr/>
              <w:t> </w:t>
            </w:r>
            <w:bookmarkStart w:id="1378" w:name="xdx_988_ecustom--TransferOfInAndOutInves"/>
            <w:bookmarkEnd w:id="1378"/>
          </w:p>
        </w:tc>
        <w:tc>
          <w:tcPr>
            <w:tcW w:w="798"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bookmarkStart w:id="1379" w:name="xdx_98C_eus-gaap--UnrealizedGainLossOnIn"/>
            <w:bookmarkEnd w:id="1379"/>
          </w:p>
        </w:tc>
        <w:tc>
          <w:tcPr>
            <w:tcW w:w="891"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vAlign w:val="center"/>
          </w:tcPr>
          <w:p>
            <w:pPr>
              <w:pStyle w:val="TableContents"/>
              <w:bidi w:val="0"/>
              <w:spacing w:before="0" w:after="283"/>
              <w:jc w:val="left"/>
              <w:rPr/>
            </w:pPr>
            <w:r>
              <w:rPr/>
              <w:t> </w:t>
            </w:r>
            <w:bookmarkStart w:id="1380" w:name="xdx_989_eus-gaap--InvestmentOwnedAtFairV"/>
            <w:bookmarkEnd w:id="1380"/>
          </w:p>
        </w:tc>
        <w:tc>
          <w:tcPr>
            <w:tcW w:w="110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1381" w:name="xdx_98E_eus-gaap--InvestmentOwnedPercent"/>
            <w:bookmarkEnd w:id="1381"/>
          </w:p>
        </w:tc>
        <w:tc>
          <w:tcPr>
            <w:tcW w:w="850" w:type="dxa"/>
            <w:tcBorders>
              <w:bottom w:val="single" w:sz="8" w:space="0" w:color="000000"/>
            </w:tcBorders>
            <w:shd w:fill="CCEEFF" w:val="clear"/>
            <w:vAlign w:val="center"/>
          </w:tcPr>
          <w:p>
            <w:pPr>
              <w:pStyle w:val="TableContents"/>
              <w:bidi w:val="0"/>
              <w:spacing w:before="0" w:after="283"/>
              <w:jc w:val="right"/>
              <w:rPr/>
            </w:pPr>
            <w:r>
              <w:rPr/>
              <w:t>—</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NON-CONTROLLED/AFFILIATE INVESTMENTS*</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vAlign w:val="center"/>
          </w:tcPr>
          <w:p>
            <w:pPr>
              <w:pStyle w:val="TableContents"/>
              <w:bidi w:val="0"/>
              <w:spacing w:before="0" w:after="283"/>
              <w:jc w:val="left"/>
              <w:rPr>
                <w:b/>
              </w:rPr>
            </w:pPr>
            <w:r>
              <w:rPr>
                <w:b/>
              </w:rPr>
              <w:t>$</w:t>
            </w:r>
            <w:bookmarkStart w:id="1382" w:name="xdx_98C_eus-gaap--InvestmentOwnedAtFairV"/>
            <w:bookmarkEnd w:id="1382"/>
          </w:p>
        </w:tc>
        <w:tc>
          <w:tcPr>
            <w:tcW w:w="1142" w:type="dxa"/>
            <w:tcBorders>
              <w:bottom w:val="double" w:sz="6" w:space="0" w:color="000000"/>
            </w:tcBorders>
            <w:shd w:fill="FFFFFF" w:val="clear"/>
            <w:vAlign w:val="center"/>
          </w:tcPr>
          <w:p>
            <w:pPr>
              <w:pStyle w:val="TableContents"/>
              <w:bidi w:val="0"/>
              <w:spacing w:before="0" w:after="283"/>
              <w:jc w:val="right"/>
              <w:rPr>
                <w:b/>
              </w:rPr>
            </w:pPr>
            <w:r>
              <w:rPr>
                <w:b/>
              </w:rPr>
              <w:t>8,207,367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vAlign w:val="center"/>
          </w:tcPr>
          <w:p>
            <w:pPr>
              <w:pStyle w:val="TableContents"/>
              <w:bidi w:val="0"/>
              <w:spacing w:before="0" w:after="283"/>
              <w:jc w:val="left"/>
              <w:rPr>
                <w:b/>
              </w:rPr>
            </w:pPr>
            <w:r>
              <w:rPr>
                <w:b/>
              </w:rPr>
              <w:t>$</w:t>
            </w:r>
            <w:bookmarkStart w:id="1383" w:name="xdx_989_ecustom--TransferOfInAndOutInves"/>
            <w:bookmarkEnd w:id="1383"/>
          </w:p>
        </w:tc>
        <w:tc>
          <w:tcPr>
            <w:tcW w:w="798"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6" w:space="0" w:color="000000"/>
            </w:tcBorders>
            <w:shd w:fill="FFFFFF" w:val="clear"/>
            <w:vAlign w:val="center"/>
          </w:tcPr>
          <w:p>
            <w:pPr>
              <w:pStyle w:val="TableContents"/>
              <w:bidi w:val="0"/>
              <w:spacing w:before="0" w:after="283"/>
              <w:jc w:val="left"/>
              <w:rPr>
                <w:b/>
              </w:rPr>
            </w:pPr>
            <w:r>
              <w:rPr>
                <w:b/>
              </w:rPr>
              <w:t>$</w:t>
            </w:r>
            <w:bookmarkStart w:id="1384" w:name="xdx_980_eus-gaap--UnrealizedGainLossOnIn"/>
            <w:bookmarkEnd w:id="1384"/>
          </w:p>
        </w:tc>
        <w:tc>
          <w:tcPr>
            <w:tcW w:w="891" w:type="dxa"/>
            <w:tcBorders>
              <w:bottom w:val="double" w:sz="6" w:space="0" w:color="000000"/>
            </w:tcBorders>
            <w:shd w:fill="FFFFFF" w:val="clear"/>
            <w:vAlign w:val="center"/>
          </w:tcPr>
          <w:p>
            <w:pPr>
              <w:pStyle w:val="TableContents"/>
              <w:bidi w:val="0"/>
              <w:spacing w:before="0" w:after="283"/>
              <w:jc w:val="right"/>
              <w:rPr>
                <w:b/>
              </w:rPr>
            </w:pPr>
            <w:r>
              <w:rPr>
                <w:b/>
              </w:rPr>
              <w:t>262,600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vAlign w:val="center"/>
          </w:tcPr>
          <w:p>
            <w:pPr>
              <w:pStyle w:val="TableContents"/>
              <w:bidi w:val="0"/>
              <w:spacing w:before="0" w:after="283"/>
              <w:jc w:val="left"/>
              <w:rPr>
                <w:b/>
              </w:rPr>
            </w:pPr>
            <w:r>
              <w:rPr>
                <w:b/>
              </w:rPr>
              <w:t>$</w:t>
            </w:r>
            <w:bookmarkStart w:id="1385" w:name="xdx_98E_eus-gaap--InvestmentOwnedAtFairV"/>
            <w:bookmarkEnd w:id="1385"/>
          </w:p>
        </w:tc>
        <w:tc>
          <w:tcPr>
            <w:tcW w:w="1103" w:type="dxa"/>
            <w:tcBorders>
              <w:bottom w:val="double" w:sz="6" w:space="0" w:color="000000"/>
            </w:tcBorders>
            <w:shd w:fill="FFFFFF" w:val="clear"/>
            <w:vAlign w:val="center"/>
          </w:tcPr>
          <w:p>
            <w:pPr>
              <w:pStyle w:val="TableContents"/>
              <w:bidi w:val="0"/>
              <w:spacing w:before="0" w:after="283"/>
              <w:jc w:val="right"/>
              <w:rPr>
                <w:b/>
              </w:rPr>
            </w:pPr>
            <w:r>
              <w:rPr>
                <w:b/>
              </w:rPr>
              <w:t>8,469,967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double" w:sz="6" w:space="0" w:color="000000"/>
            </w:tcBorders>
            <w:shd w:fill="FFFFFF" w:val="clear"/>
            <w:vAlign w:val="center"/>
          </w:tcPr>
          <w:p>
            <w:pPr>
              <w:pStyle w:val="TableContents"/>
              <w:bidi w:val="0"/>
              <w:spacing w:before="0" w:after="283"/>
              <w:jc w:val="left"/>
              <w:rPr/>
            </w:pPr>
            <w:r>
              <w:rPr/>
              <w:t> </w:t>
            </w:r>
            <w:bookmarkStart w:id="1386" w:name="xdx_980_eus-gaap--InvestmentOwnedPercent"/>
            <w:bookmarkEnd w:id="1386"/>
          </w:p>
        </w:tc>
        <w:tc>
          <w:tcPr>
            <w:tcW w:w="850" w:type="dxa"/>
            <w:tcBorders>
              <w:bottom w:val="double" w:sz="6" w:space="0" w:color="000000"/>
            </w:tcBorders>
            <w:shd w:fill="FFFFFF" w:val="clear"/>
            <w:vAlign w:val="center"/>
          </w:tcPr>
          <w:p>
            <w:pPr>
              <w:pStyle w:val="TableContents"/>
              <w:bidi w:val="0"/>
              <w:spacing w:before="0" w:after="283"/>
              <w:jc w:val="right"/>
              <w:rPr>
                <w:b/>
              </w:rPr>
            </w:pPr>
            <w:r>
              <w:rPr>
                <w:b/>
              </w:rPr>
              <w:t>2.38</w:t>
            </w:r>
          </w:p>
        </w:tc>
        <w:tc>
          <w:tcPr>
            <w:tcW w:w="28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87" w:name="xdx_F00_zSsUxwrg9rl3"/>
            <w:bookmarkEnd w:id="1387"/>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88" w:name="xdx_F19_zeGSiCjS79Ng"/>
            <w:bookmarkEnd w:id="1388"/>
            <w:r>
              <w:rPr>
                <w:rFonts w:ascii="Times New Roman;Times;Serif" w:hAnsi="Times New Roman;Times;Serif"/>
                <w:b w:val="false"/>
                <w:i w:val="false"/>
                <w:caps w:val="false"/>
                <w:smallCaps w:val="false"/>
                <w:sz w:val="20"/>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89" w:name="xdx_F04_zgd7nthDlsR3"/>
            <w:bookmarkEnd w:id="1389"/>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caps w:val="false"/>
                <w:smallCaps w:val="false"/>
              </w:rPr>
            </w:pPr>
            <w:bookmarkStart w:id="1390" w:name="xdx_F1B_zrbiymnDZy39"/>
            <w:bookmarkEnd w:id="1390"/>
            <w:r>
              <w:rPr>
                <w:caps w:val="false"/>
                <w:smallCaps w:val="false"/>
              </w:rPr>
              <w:t>“</w:t>
            </w:r>
            <w:r>
              <w:rPr>
                <w:rFonts w:ascii="Times New Roman;Times;Serif" w:hAnsi="Times New Roman;Times;Serif"/>
                <w:b w:val="false"/>
                <w:i w:val="false"/>
                <w:caps w:val="false"/>
                <w:smallCaps w:val="false"/>
                <w:sz w:val="20"/>
              </w:rPr>
              <w:t>Affiliate Investments” are investments in those companies that are “Affiliated Companies” of Neostellar Capital, as defined in the 1940 Act. In general, a company is deemed to be an “Affiliate” of Neostellar Capital if Neostellar Capital beneficially owns, directly or indirectly, between 5% and 25% of the voting securities (i.e., securities with the right to elect directors) of such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91" w:name="xdx_F0D_zrO9O0LvW6X6"/>
            <w:bookmarkEnd w:id="1391"/>
            <w:r>
              <w:rPr>
                <w:rFonts w:ascii="Times New Roman;Times;Serif" w:hAnsi="Times New Roman;Times;Serif"/>
                <w:b w:val="false"/>
                <w:i w:val="false"/>
                <w:caps w:val="false"/>
                <w:smallCaps w:val="false"/>
                <w:sz w:val="20"/>
              </w:rPr>
              <w:t>(2)</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92" w:name="xdx_F1D_zHTy6LD1ZYa5"/>
            <w:bookmarkEnd w:id="1392"/>
            <w:r>
              <w:rPr>
                <w:rFonts w:ascii="Times New Roman;Times;Serif" w:hAnsi="Times New Roman;Times;Serif"/>
                <w:b w:val="false"/>
                <w:i w:val="false"/>
                <w:caps w:val="false"/>
                <w:smallCaps w:val="false"/>
                <w:sz w:val="20"/>
              </w:rPr>
              <w:t>Neostellar Capital’s investments in StormWind, LLC are held through Neostellar Capital Corp.’s wholly owned subsidiary, GSVC SW Holdings, Inc.</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Investments In, and Advances to, Affiliates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during the year ended December 31, 2025 involving the Company’s controlled investments and non-controlled/affiliate investments were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12"/>
        <w:gridCol w:w="60"/>
        <w:gridCol w:w="60"/>
        <w:gridCol w:w="1118"/>
        <w:gridCol w:w="60"/>
        <w:gridCol w:w="60"/>
        <w:gridCol w:w="151"/>
        <w:gridCol w:w="1060"/>
        <w:gridCol w:w="60"/>
        <w:gridCol w:w="60"/>
        <w:gridCol w:w="143"/>
        <w:gridCol w:w="1079"/>
        <w:gridCol w:w="95"/>
        <w:gridCol w:w="60"/>
        <w:gridCol w:w="140"/>
        <w:gridCol w:w="1056"/>
        <w:gridCol w:w="95"/>
        <w:gridCol w:w="60"/>
        <w:gridCol w:w="151"/>
        <w:gridCol w:w="1060"/>
        <w:gridCol w:w="60"/>
        <w:gridCol w:w="60"/>
        <w:gridCol w:w="115"/>
        <w:gridCol w:w="850"/>
        <w:gridCol w:w="280"/>
      </w:tblGrid>
      <w:tr>
        <w:trPr/>
        <w:tc>
          <w:tcPr>
            <w:tcW w:w="2212" w:type="dxa"/>
            <w:tcBorders>
              <w:bottom w:val="single" w:sz="8" w:space="0" w:color="000000"/>
            </w:tcBorders>
            <w:vAlign w:val="center"/>
          </w:tcPr>
          <w:p>
            <w:pPr>
              <w:pStyle w:val="TableContents"/>
              <w:bidi w:val="0"/>
              <w:spacing w:before="0" w:after="283"/>
              <w:jc w:val="left"/>
              <w:rPr>
                <w:b/>
              </w:rPr>
            </w:pPr>
            <w:r>
              <w:rPr>
                <w:b/>
              </w:rPr>
              <w:t>Type/Industry/Portfolio Company/Investment</w:t>
            </w:r>
          </w:p>
        </w:tc>
        <w:tc>
          <w:tcPr>
            <w:tcW w:w="60" w:type="dxa"/>
            <w:tcBorders/>
            <w:tcMar>
              <w:bottom w:w="0" w:type="dxa"/>
            </w:tcMar>
            <w:vAlign w:val="center"/>
          </w:tcPr>
          <w:p>
            <w:pPr>
              <w:pStyle w:val="TableContents"/>
              <w:bidi w:val="0"/>
              <w:spacing w:before="0" w:after="283"/>
              <w:jc w:val="left"/>
              <w:rPr/>
            </w:pPr>
            <w:r>
              <w:rPr/>
              <w:t> </w:t>
            </w:r>
          </w:p>
        </w:tc>
        <w:tc>
          <w:tcPr>
            <w:tcW w:w="11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Principal/Quantity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1" w:type="dxa"/>
            <w:gridSpan w:val="2"/>
            <w:tcBorders>
              <w:bottom w:val="single" w:sz="8" w:space="0" w:color="000000"/>
            </w:tcBorders>
            <w:vAlign w:val="center"/>
          </w:tcPr>
          <w:p>
            <w:pPr>
              <w:pStyle w:val="TableContents"/>
              <w:bidi w:val="0"/>
              <w:spacing w:before="0" w:after="283"/>
              <w:jc w:val="center"/>
              <w:rPr>
                <w:b/>
              </w:rPr>
            </w:pPr>
            <w:r>
              <w:rPr>
                <w:b/>
              </w:rPr>
              <w:t>Fair Value at December 31, 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2" w:type="dxa"/>
            <w:gridSpan w:val="2"/>
            <w:tcBorders>
              <w:bottom w:val="single" w:sz="8" w:space="0" w:color="000000"/>
            </w:tcBorders>
            <w:vAlign w:val="center"/>
          </w:tcPr>
          <w:p>
            <w:pPr>
              <w:pStyle w:val="TableContents"/>
              <w:bidi w:val="0"/>
              <w:spacing w:before="0" w:after="283"/>
              <w:jc w:val="center"/>
              <w:rPr>
                <w:b/>
              </w:rPr>
            </w:pPr>
            <w:r>
              <w:rPr>
                <w:b/>
              </w:rPr>
              <w:t>Transfer In/ (Out)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6"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Gains/(Losses)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1" w:type="dxa"/>
            <w:gridSpan w:val="2"/>
            <w:tcBorders>
              <w:bottom w:val="single" w:sz="8" w:space="0" w:color="000000"/>
            </w:tcBorders>
            <w:vAlign w:val="center"/>
          </w:tcPr>
          <w:p>
            <w:pPr>
              <w:pStyle w:val="TableContents"/>
              <w:bidi w:val="0"/>
              <w:spacing w:before="0" w:after="283"/>
              <w:jc w:val="center"/>
              <w:rPr>
                <w:b/>
              </w:rPr>
            </w:pPr>
            <w:r>
              <w:rPr>
                <w:b/>
              </w:rPr>
              <w:t>Fair Value at December 31,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280" w:type="dxa"/>
            <w:tcBorders/>
            <w:tcMar>
              <w:bottom w:w="0" w:type="dxa"/>
            </w:tcMar>
            <w:vAlign w:val="center"/>
          </w:tcPr>
          <w:p>
            <w:pPr>
              <w:pStyle w:val="TableContents"/>
              <w:bidi w:val="0"/>
              <w:spacing w:before="0" w:after="283"/>
              <w:jc w:val="left"/>
              <w:rPr/>
            </w:pPr>
            <w:r>
              <w:rPr/>
              <w:t> </w:t>
            </w:r>
          </w:p>
        </w:tc>
      </w:tr>
      <w:tr>
        <w:trPr/>
        <w:tc>
          <w:tcPr>
            <w:tcW w:w="221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CONTROLLED INVESTMENTS*</w:t>
            </w:r>
            <w:r>
              <w:rPr>
                <w:rFonts w:ascii="Times New Roman;Times;Serif" w:hAnsi="Times New Roman;Times;Serif"/>
                <w:b/>
                <w:position w:val="7"/>
                <w:sz w:val="16"/>
                <w:sz w:val="20"/>
                <w:u w:val="single"/>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212" w:type="dxa"/>
            <w:tcBorders/>
            <w:shd w:fill="FFFFFF" w:val="clear"/>
            <w:tcMar>
              <w:bottom w:w="0" w:type="dxa"/>
            </w:tcMar>
            <w:vAlign w:val="center"/>
          </w:tcPr>
          <w:p>
            <w:pPr>
              <w:pStyle w:val="TableContents"/>
              <w:bidi w:val="0"/>
              <w:spacing w:before="0" w:after="283"/>
              <w:jc w:val="left"/>
              <w:rPr>
                <w:b/>
              </w:rPr>
            </w:pPr>
            <w:r>
              <w:rPr>
                <w:b/>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r>
      <w:tr>
        <w:trPr/>
        <w:tc>
          <w:tcPr>
            <w:tcW w:w="2212" w:type="dxa"/>
            <w:tcBorders/>
            <w:shd w:fill="CCEEFF" w:val="clear"/>
            <w:tcMar>
              <w:bottom w:w="0" w:type="dxa"/>
            </w:tcMar>
            <w:vAlign w:val="center"/>
          </w:tcPr>
          <w:p>
            <w:pPr>
              <w:pStyle w:val="TableContents"/>
              <w:bidi w:val="0"/>
              <w:spacing w:before="0" w:after="283"/>
              <w:jc w:val="left"/>
              <w:rPr>
                <w:i/>
              </w:rPr>
            </w:pPr>
            <w:r>
              <w:rPr>
                <w:i/>
              </w:rPr>
              <w:t>Special Purpose Acquisition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Colombier Sponsor II LLC**</w:t>
            </w:r>
            <w:r>
              <w:rPr>
                <w:rFonts w:ascii="Times New Roman;Times;Serif" w:hAnsi="Times New Roman;Times;Serif"/>
                <w:position w:val="7"/>
                <w:sz w:val="16"/>
                <w:sz w:val="20"/>
              </w:rPr>
              <w:t>(3)</w:t>
            </w:r>
            <w:r>
              <w:rPr>
                <w:rFonts w:ascii="Times New Roman;Times;Serif" w:hAnsi="Times New Roman;Times;Serif"/>
                <w:sz w:val="20"/>
              </w:rPr>
              <w:t>–Class B Units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1393" w:name="xdx_98C_eus-gaap--InvestmentOwnedBalance"/>
            <w:bookmarkEnd w:id="1393"/>
          </w:p>
        </w:tc>
        <w:tc>
          <w:tcPr>
            <w:tcW w:w="111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bookmarkStart w:id="1394" w:name="xdx_981_eus-gaap--InvestmentOwnedAtFairV"/>
            <w:bookmarkEnd w:id="1394"/>
          </w:p>
        </w:tc>
        <w:tc>
          <w:tcPr>
            <w:tcW w:w="1060" w:type="dxa"/>
            <w:tcBorders/>
            <w:shd w:fill="FFFFFF" w:val="clear"/>
            <w:tcMar>
              <w:bottom w:w="0" w:type="dxa"/>
            </w:tcMar>
            <w:vAlign w:val="center"/>
          </w:tcPr>
          <w:p>
            <w:pPr>
              <w:pStyle w:val="TableContents"/>
              <w:bidi w:val="0"/>
              <w:spacing w:before="0" w:after="283"/>
              <w:jc w:val="right"/>
              <w:rPr/>
            </w:pPr>
            <w:r>
              <w:rPr/>
              <w:t>1,101,695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bookmarkStart w:id="1395" w:name="xdx_986_ecustom--TransferOfInAndOutInves"/>
            <w:bookmarkEnd w:id="1395"/>
          </w:p>
        </w:tc>
        <w:tc>
          <w:tcPr>
            <w:tcW w:w="1079" w:type="dxa"/>
            <w:tcBorders/>
            <w:shd w:fill="FFFFFF" w:val="clear"/>
            <w:tcMar>
              <w:bottom w:w="0" w:type="dxa"/>
            </w:tcMar>
            <w:vAlign w:val="center"/>
          </w:tcPr>
          <w:p>
            <w:pPr>
              <w:pStyle w:val="TableContents"/>
              <w:bidi w:val="0"/>
              <w:spacing w:before="0" w:after="283"/>
              <w:jc w:val="right"/>
              <w:rPr/>
            </w:pPr>
            <w:r>
              <w:rPr/>
              <w:t>(1,103,719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1396" w:name="xdx_98B_eus-gaap--UnrealizedGainLossOnIn"/>
            <w:bookmarkEnd w:id="1396"/>
          </w:p>
        </w:tc>
        <w:tc>
          <w:tcPr>
            <w:tcW w:w="1056" w:type="dxa"/>
            <w:tcBorders/>
            <w:shd w:fill="FFFFFF" w:val="clear"/>
            <w:tcMar>
              <w:bottom w:w="0" w:type="dxa"/>
            </w:tcMar>
            <w:vAlign w:val="center"/>
          </w:tcPr>
          <w:p>
            <w:pPr>
              <w:pStyle w:val="TableContents"/>
              <w:bidi w:val="0"/>
              <w:spacing w:before="0" w:after="283"/>
              <w:jc w:val="right"/>
              <w:rPr/>
            </w:pPr>
            <w:r>
              <w:rPr/>
              <w:t>2,024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bookmarkStart w:id="1397" w:name="xdx_98F_eus-gaap--InvestmentOwnedAtFairV"/>
            <w:bookmarkEnd w:id="1397"/>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398" w:name="xdx_988_eus-gaap--InvestmentOwnedPercent"/>
            <w:bookmarkEnd w:id="1398"/>
          </w:p>
        </w:tc>
        <w:tc>
          <w:tcPr>
            <w:tcW w:w="850" w:type="dxa"/>
            <w:tcBorders/>
            <w:shd w:fill="FFFFFF" w:val="clear"/>
            <w:tcMar>
              <w:bottom w:w="0" w:type="dxa"/>
            </w:tcM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b/>
              </w:rPr>
            </w:pPr>
            <w:r>
              <w:rPr>
                <w:b/>
              </w:rPr>
              <w:t>Total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bookmarkStart w:id="1399" w:name="xdx_981_eus-gaap--InvestmentOwnedAtFairV"/>
            <w:bookmarkEnd w:id="1399"/>
          </w:p>
        </w:tc>
        <w:tc>
          <w:tcPr>
            <w:tcW w:w="1060" w:type="dxa"/>
            <w:tcBorders/>
            <w:shd w:fill="CCEEFF" w:val="clear"/>
            <w:tcMar>
              <w:bottom w:w="0" w:type="dxa"/>
            </w:tcMar>
            <w:vAlign w:val="center"/>
          </w:tcPr>
          <w:p>
            <w:pPr>
              <w:pStyle w:val="TableContents"/>
              <w:bidi w:val="0"/>
              <w:spacing w:before="0" w:after="283"/>
              <w:jc w:val="right"/>
              <w:rPr/>
            </w:pPr>
            <w:r>
              <w:rPr/>
              <w:t>1,101,695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bookmarkStart w:id="1400" w:name="xdx_984_ecustom--TransferOfInAndOutInves"/>
            <w:bookmarkEnd w:id="1400"/>
          </w:p>
        </w:tc>
        <w:tc>
          <w:tcPr>
            <w:tcW w:w="1079" w:type="dxa"/>
            <w:tcBorders/>
            <w:shd w:fill="CCEEFF" w:val="clear"/>
            <w:tcMar>
              <w:bottom w:w="0" w:type="dxa"/>
            </w:tcMar>
            <w:vAlign w:val="center"/>
          </w:tcPr>
          <w:p>
            <w:pPr>
              <w:pStyle w:val="TableContents"/>
              <w:bidi w:val="0"/>
              <w:spacing w:before="0" w:after="283"/>
              <w:jc w:val="right"/>
              <w:rPr/>
            </w:pPr>
            <w:r>
              <w:rPr/>
              <w:t>(1,103,719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401" w:name="xdx_984_eus-gaap--UnrealizedGainLossOnIn"/>
            <w:bookmarkEnd w:id="1401"/>
          </w:p>
        </w:tc>
        <w:tc>
          <w:tcPr>
            <w:tcW w:w="1056" w:type="dxa"/>
            <w:tcBorders/>
            <w:shd w:fill="CCEEFF" w:val="clear"/>
            <w:tcMar>
              <w:bottom w:w="0" w:type="dxa"/>
            </w:tcMar>
            <w:vAlign w:val="center"/>
          </w:tcPr>
          <w:p>
            <w:pPr>
              <w:pStyle w:val="TableContents"/>
              <w:bidi w:val="0"/>
              <w:spacing w:before="0" w:after="283"/>
              <w:jc w:val="right"/>
              <w:rPr/>
            </w:pPr>
            <w:r>
              <w:rPr/>
              <w:t>2,024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bookmarkStart w:id="1402" w:name="xdx_98E_eus-gaap--InvestmentOwnedAtFairV"/>
            <w:bookmarkEnd w:id="1402"/>
          </w:p>
        </w:tc>
        <w:tc>
          <w:tcPr>
            <w:tcW w:w="1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1403" w:name="xdx_986_eus-gaap--InvestmentOwnedPercent"/>
            <w:bookmarkEnd w:id="1403"/>
          </w:p>
        </w:tc>
        <w:tc>
          <w:tcPr>
            <w:tcW w:w="850" w:type="dxa"/>
            <w:tcBorders/>
            <w:shd w:fill="CCEEFF" w:val="clear"/>
            <w:tcMar>
              <w:bottom w:w="0" w:type="dxa"/>
            </w:tcMar>
            <w:vAlign w:val="center"/>
          </w:tcPr>
          <w:p>
            <w:pPr>
              <w:pStyle w:val="TableContents"/>
              <w:bidi w:val="0"/>
              <w:spacing w:before="0" w:after="283"/>
              <w:jc w:val="right"/>
              <w:rPr/>
            </w:pPr>
            <w:r>
              <w:rPr/>
              <w:t>—</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212" w:type="dxa"/>
            <w:tcBorders/>
            <w:shd w:fill="FFFFFF" w:val="clear"/>
            <w:tcMar>
              <w:bottom w:w="0" w:type="dxa"/>
            </w:tcMar>
            <w:vAlign w:val="center"/>
          </w:tcPr>
          <w:p>
            <w:pPr>
              <w:pStyle w:val="TableContents"/>
              <w:bidi w:val="0"/>
              <w:spacing w:before="0" w:after="283"/>
              <w:jc w:val="left"/>
              <w:rPr>
                <w:b/>
              </w:rPr>
            </w:pPr>
            <w:r>
              <w:rPr>
                <w:b/>
              </w:rPr>
              <w:t>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r>
      <w:tr>
        <w:trPr/>
        <w:tc>
          <w:tcPr>
            <w:tcW w:w="2212" w:type="dxa"/>
            <w:tcBorders/>
            <w:shd w:fill="CCEEFF" w:val="clear"/>
            <w:tcMar>
              <w:bottom w:w="0" w:type="dxa"/>
            </w:tcMar>
            <w:vAlign w:val="center"/>
          </w:tcPr>
          <w:p>
            <w:pPr>
              <w:pStyle w:val="TableContents"/>
              <w:bidi w:val="0"/>
              <w:spacing w:before="0" w:after="283"/>
              <w:jc w:val="left"/>
              <w:rPr>
                <w:i/>
              </w:rPr>
            </w:pPr>
            <w:r>
              <w:rPr>
                <w:i/>
              </w:rPr>
              <w:t>Special Purpose Acquisition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Colombier Sponsor II LLC**</w:t>
            </w:r>
            <w:r>
              <w:rPr>
                <w:rFonts w:ascii="Times New Roman;Times;Serif" w:hAnsi="Times New Roman;Times;Serif"/>
                <w:position w:val="7"/>
                <w:sz w:val="16"/>
                <w:sz w:val="20"/>
              </w:rPr>
              <w:t>(3)</w:t>
            </w:r>
            <w:r>
              <w:rPr>
                <w:rFonts w:ascii="Times New Roman;Times;Serif" w:hAnsi="Times New Roman;Times;Serif"/>
                <w:sz w:val="20"/>
              </w:rPr>
              <w:t>–Class W Units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1404" w:name="xdx_986_eus-gaap--InvestmentOwnedBalance"/>
            <w:bookmarkEnd w:id="1404"/>
          </w:p>
        </w:tc>
        <w:tc>
          <w:tcPr>
            <w:tcW w:w="111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05" w:name="xdx_985_eus-gaap--InvestmentOwnedAtFairV"/>
            <w:bookmarkEnd w:id="1405"/>
          </w:p>
        </w:tc>
        <w:tc>
          <w:tcPr>
            <w:tcW w:w="1060" w:type="dxa"/>
            <w:tcBorders/>
            <w:shd w:fill="FFFFFF" w:val="clear"/>
            <w:tcMar>
              <w:bottom w:w="0" w:type="dxa"/>
            </w:tcMar>
            <w:vAlign w:val="center"/>
          </w:tcPr>
          <w:p>
            <w:pPr>
              <w:pStyle w:val="TableContents"/>
              <w:bidi w:val="0"/>
              <w:spacing w:before="0" w:after="283"/>
              <w:jc w:val="right"/>
              <w:rPr/>
            </w:pPr>
            <w:r>
              <w:rPr/>
              <w:t>498,305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bookmarkStart w:id="1406" w:name="xdx_988_ecustom--TransferOfInAndOutInves"/>
            <w:bookmarkEnd w:id="1406"/>
          </w:p>
        </w:tc>
        <w:tc>
          <w:tcPr>
            <w:tcW w:w="1079" w:type="dxa"/>
            <w:tcBorders/>
            <w:shd w:fill="FFFFFF" w:val="clear"/>
            <w:tcMar>
              <w:bottom w:w="0" w:type="dxa"/>
            </w:tcMar>
            <w:vAlign w:val="center"/>
          </w:tcPr>
          <w:p>
            <w:pPr>
              <w:pStyle w:val="TableContents"/>
              <w:bidi w:val="0"/>
              <w:spacing w:before="0" w:after="283"/>
              <w:jc w:val="right"/>
              <w:rPr/>
            </w:pPr>
            <w:r>
              <w:rPr/>
              <w:t>(499,221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07" w:name="xdx_98F_eus-gaap--UnrealizedGainLossOnIn"/>
            <w:bookmarkEnd w:id="1407"/>
          </w:p>
        </w:tc>
        <w:tc>
          <w:tcPr>
            <w:tcW w:w="1056" w:type="dxa"/>
            <w:tcBorders/>
            <w:shd w:fill="FFFFFF" w:val="clear"/>
            <w:tcMar>
              <w:bottom w:w="0" w:type="dxa"/>
            </w:tcMar>
            <w:vAlign w:val="center"/>
          </w:tcPr>
          <w:p>
            <w:pPr>
              <w:pStyle w:val="TableContents"/>
              <w:bidi w:val="0"/>
              <w:spacing w:before="0" w:after="283"/>
              <w:jc w:val="right"/>
              <w:rPr/>
            </w:pPr>
            <w:r>
              <w:rPr/>
              <w:t>916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08" w:name="xdx_985_eus-gaap--InvestmentOwnedAtFairV"/>
            <w:bookmarkEnd w:id="1408"/>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409" w:name="xdx_989_eus-gaap--InvestmentOwnedPercent"/>
            <w:bookmarkEnd w:id="1409"/>
          </w:p>
        </w:tc>
        <w:tc>
          <w:tcPr>
            <w:tcW w:w="850" w:type="dxa"/>
            <w:tcBorders/>
            <w:shd w:fill="FFFFFF" w:val="clear"/>
            <w:tcMar>
              <w:bottom w:w="0" w:type="dxa"/>
            </w:tcM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b/>
              </w:rPr>
            </w:pPr>
            <w:r>
              <w:rPr>
                <w:b/>
              </w:rPr>
              <w:t>Total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bookmarkStart w:id="1410" w:name="xdx_986_eus-gaap--InvestmentOwnedAtFairV"/>
            <w:bookmarkEnd w:id="1410"/>
          </w:p>
        </w:tc>
        <w:tc>
          <w:tcPr>
            <w:tcW w:w="1060" w:type="dxa"/>
            <w:tcBorders>
              <w:bottom w:val="single" w:sz="8" w:space="0" w:color="000000"/>
            </w:tcBorders>
            <w:shd w:fill="CCEEFF" w:val="clear"/>
            <w:vAlign w:val="center"/>
          </w:tcPr>
          <w:p>
            <w:pPr>
              <w:pStyle w:val="TableContents"/>
              <w:bidi w:val="0"/>
              <w:spacing w:before="0" w:after="283"/>
              <w:jc w:val="right"/>
              <w:rPr/>
            </w:pPr>
            <w:r>
              <w:rPr/>
              <w:t>498,305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8" w:space="0" w:color="000000"/>
            </w:tcBorders>
            <w:shd w:fill="CCEEFF" w:val="clear"/>
            <w:vAlign w:val="center"/>
          </w:tcPr>
          <w:p>
            <w:pPr>
              <w:pStyle w:val="TableContents"/>
              <w:bidi w:val="0"/>
              <w:spacing w:before="0" w:after="283"/>
              <w:jc w:val="left"/>
              <w:rPr/>
            </w:pPr>
            <w:r>
              <w:rPr/>
              <w:t> </w:t>
            </w:r>
            <w:bookmarkStart w:id="1411" w:name="xdx_986_ecustom--TransferOfInAndOutInves"/>
            <w:bookmarkEnd w:id="1411"/>
          </w:p>
        </w:tc>
        <w:tc>
          <w:tcPr>
            <w:tcW w:w="1079" w:type="dxa"/>
            <w:tcBorders>
              <w:bottom w:val="single" w:sz="8" w:space="0" w:color="000000"/>
            </w:tcBorders>
            <w:shd w:fill="CCEEFF" w:val="clear"/>
            <w:vAlign w:val="center"/>
          </w:tcPr>
          <w:p>
            <w:pPr>
              <w:pStyle w:val="TableContents"/>
              <w:bidi w:val="0"/>
              <w:spacing w:before="0" w:after="283"/>
              <w:jc w:val="right"/>
              <w:rPr/>
            </w:pPr>
            <w:r>
              <w:rPr/>
              <w:t>(499,221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1412" w:name="xdx_98C_eus-gaap--UnrealizedGainLossOnIn"/>
            <w:bookmarkEnd w:id="1412"/>
          </w:p>
        </w:tc>
        <w:tc>
          <w:tcPr>
            <w:tcW w:w="1056" w:type="dxa"/>
            <w:tcBorders>
              <w:bottom w:val="single" w:sz="8" w:space="0" w:color="000000"/>
            </w:tcBorders>
            <w:shd w:fill="CCEEFF" w:val="clear"/>
            <w:vAlign w:val="center"/>
          </w:tcPr>
          <w:p>
            <w:pPr>
              <w:pStyle w:val="TableContents"/>
              <w:bidi w:val="0"/>
              <w:spacing w:before="0" w:after="283"/>
              <w:jc w:val="right"/>
              <w:rPr/>
            </w:pPr>
            <w:r>
              <w:rPr/>
              <w:t>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bookmarkStart w:id="1413" w:name="xdx_98E_eus-gaap--InvestmentOwnedAtFairV"/>
            <w:bookmarkEnd w:id="1413"/>
          </w:p>
        </w:tc>
        <w:tc>
          <w:tcPr>
            <w:tcW w:w="106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1414" w:name="xdx_981_eus-gaap--InvestmentOwnedPercent"/>
            <w:bookmarkEnd w:id="1414"/>
          </w:p>
        </w:tc>
        <w:tc>
          <w:tcPr>
            <w:tcW w:w="850" w:type="dxa"/>
            <w:tcBorders>
              <w:bottom w:val="single" w:sz="8" w:space="0" w:color="000000"/>
            </w:tcBorders>
            <w:shd w:fill="CCEEFF" w:val="clear"/>
            <w:vAlign w:val="center"/>
          </w:tcPr>
          <w:p>
            <w:pPr>
              <w:pStyle w:val="TableContents"/>
              <w:bidi w:val="0"/>
              <w:spacing w:before="0" w:after="283"/>
              <w:jc w:val="right"/>
              <w:rPr/>
            </w:pPr>
            <w:r>
              <w:rPr/>
              <w:t>—</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212"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CONTROLLED INVESTMENTS*</w:t>
            </w:r>
            <w:r>
              <w:rPr>
                <w:rFonts w:ascii="Times New Roman;Times;Serif" w:hAnsi="Times New Roman;Times;Serif"/>
                <w:b/>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vAlign w:val="center"/>
          </w:tcPr>
          <w:p>
            <w:pPr>
              <w:pStyle w:val="TableContents"/>
              <w:bidi w:val="0"/>
              <w:spacing w:before="0" w:after="283"/>
              <w:jc w:val="left"/>
              <w:rPr>
                <w:b/>
              </w:rPr>
            </w:pPr>
            <w:r>
              <w:rPr>
                <w:b/>
              </w:rPr>
              <w:t>$</w:t>
            </w:r>
            <w:bookmarkStart w:id="1415" w:name="xdx_988_eus-gaap--InvestmentOwnedAtFairV"/>
            <w:bookmarkEnd w:id="1415"/>
          </w:p>
        </w:tc>
        <w:tc>
          <w:tcPr>
            <w:tcW w:w="1060" w:type="dxa"/>
            <w:tcBorders>
              <w:bottom w:val="double" w:sz="6" w:space="0" w:color="000000"/>
            </w:tcBorders>
            <w:shd w:fill="FFFFFF" w:val="clear"/>
            <w:vAlign w:val="center"/>
          </w:tcPr>
          <w:p>
            <w:pPr>
              <w:pStyle w:val="TableContents"/>
              <w:bidi w:val="0"/>
              <w:spacing w:before="0" w:after="283"/>
              <w:jc w:val="right"/>
              <w:rPr>
                <w:b/>
              </w:rPr>
            </w:pPr>
            <w:r>
              <w:rPr>
                <w:b/>
              </w:rPr>
              <w:t>1,600,000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double" w:sz="6" w:space="0" w:color="000000"/>
            </w:tcBorders>
            <w:shd w:fill="FFFFFF" w:val="clear"/>
            <w:vAlign w:val="center"/>
          </w:tcPr>
          <w:p>
            <w:pPr>
              <w:pStyle w:val="TableContents"/>
              <w:bidi w:val="0"/>
              <w:spacing w:before="0" w:after="283"/>
              <w:jc w:val="left"/>
              <w:rPr>
                <w:b/>
              </w:rPr>
            </w:pPr>
            <w:r>
              <w:rPr>
                <w:b/>
              </w:rPr>
              <w:t>$</w:t>
            </w:r>
            <w:bookmarkStart w:id="1416" w:name="xdx_980_ecustom--TransferOfInAndOutInves"/>
            <w:bookmarkEnd w:id="1416"/>
          </w:p>
        </w:tc>
        <w:tc>
          <w:tcPr>
            <w:tcW w:w="1079" w:type="dxa"/>
            <w:tcBorders>
              <w:bottom w:val="double" w:sz="6" w:space="0" w:color="000000"/>
            </w:tcBorders>
            <w:shd w:fill="FFFFFF" w:val="clear"/>
            <w:vAlign w:val="center"/>
          </w:tcPr>
          <w:p>
            <w:pPr>
              <w:pStyle w:val="TableContents"/>
              <w:bidi w:val="0"/>
              <w:spacing w:before="0" w:after="283"/>
              <w:jc w:val="right"/>
              <w:rPr>
                <w:b/>
              </w:rPr>
            </w:pPr>
            <w:r>
              <w:rPr>
                <w:b/>
              </w:rPr>
              <w:t>(1,602,940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bookmarkStart w:id="1417" w:name="xdx_983_eus-gaap--UnrealizedGainLossOnIn"/>
            <w:bookmarkEnd w:id="1417"/>
          </w:p>
        </w:tc>
        <w:tc>
          <w:tcPr>
            <w:tcW w:w="1056" w:type="dxa"/>
            <w:tcBorders>
              <w:bottom w:val="double" w:sz="6" w:space="0" w:color="000000"/>
            </w:tcBorders>
            <w:shd w:fill="FFFFFF" w:val="clear"/>
            <w:vAlign w:val="center"/>
          </w:tcPr>
          <w:p>
            <w:pPr>
              <w:pStyle w:val="TableContents"/>
              <w:bidi w:val="0"/>
              <w:spacing w:before="0" w:after="283"/>
              <w:jc w:val="right"/>
              <w:rPr>
                <w:b/>
              </w:rPr>
            </w:pPr>
            <w:r>
              <w:rPr>
                <w:b/>
              </w:rPr>
              <w:t>2,940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vAlign w:val="center"/>
          </w:tcPr>
          <w:p>
            <w:pPr>
              <w:pStyle w:val="TableContents"/>
              <w:bidi w:val="0"/>
              <w:spacing w:before="0" w:after="283"/>
              <w:jc w:val="left"/>
              <w:rPr>
                <w:b/>
              </w:rPr>
            </w:pPr>
            <w:r>
              <w:rPr>
                <w:b/>
              </w:rPr>
              <w:t>$</w:t>
            </w:r>
            <w:bookmarkStart w:id="1418" w:name="xdx_989_eus-gaap--InvestmentOwnedAtFairV"/>
            <w:bookmarkEnd w:id="1418"/>
          </w:p>
        </w:tc>
        <w:tc>
          <w:tcPr>
            <w:tcW w:w="1060"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double" w:sz="6" w:space="0" w:color="000000"/>
            </w:tcBorders>
            <w:shd w:fill="FFFFFF" w:val="clear"/>
            <w:vAlign w:val="center"/>
          </w:tcPr>
          <w:p>
            <w:pPr>
              <w:pStyle w:val="TableContents"/>
              <w:bidi w:val="0"/>
              <w:spacing w:before="0" w:after="283"/>
              <w:jc w:val="left"/>
              <w:rPr/>
            </w:pPr>
            <w:r>
              <w:rPr/>
              <w:t> </w:t>
            </w:r>
            <w:bookmarkStart w:id="1419" w:name="xdx_983_eus-gaap--InvestmentOwnedPercent"/>
            <w:bookmarkEnd w:id="1419"/>
          </w:p>
        </w:tc>
        <w:tc>
          <w:tcPr>
            <w:tcW w:w="850" w:type="dxa"/>
            <w:tcBorders>
              <w:bottom w:val="double" w:sz="6" w:space="0" w:color="000000"/>
            </w:tcBorders>
            <w:shd w:fill="FFFFFF" w:val="cle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b/>
              </w:rPr>
            </w:pPr>
            <w:r>
              <w:rPr>
                <w:b/>
              </w:rPr>
              <w:t>%</w:t>
            </w:r>
          </w:p>
        </w:tc>
      </w:tr>
      <w:tr>
        <w:trPr/>
        <w:tc>
          <w:tcPr>
            <w:tcW w:w="221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NON-CONTROLLED/AFFILIATE INVESTMENTS*</w:t>
            </w:r>
            <w:r>
              <w:rPr>
                <w:rFonts w:ascii="Times New Roman;Times;Serif" w:hAnsi="Times New Roman;Times;Serif"/>
                <w:b/>
                <w:position w:val="7"/>
                <w:sz w:val="16"/>
                <w:sz w:val="20"/>
                <w:u w:val="single"/>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212" w:type="dxa"/>
            <w:tcBorders/>
            <w:shd w:fill="FFFFFF" w:val="clear"/>
            <w:tcMar>
              <w:bottom w:w="0" w:type="dxa"/>
            </w:tcMar>
            <w:vAlign w:val="center"/>
          </w:tcPr>
          <w:p>
            <w:pPr>
              <w:pStyle w:val="TableContents"/>
              <w:bidi w:val="0"/>
              <w:spacing w:before="0" w:after="283"/>
              <w:jc w:val="left"/>
              <w:rPr>
                <w:b/>
              </w:rPr>
            </w:pPr>
            <w:r>
              <w:rPr>
                <w:b/>
              </w:rPr>
              <w:t>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r>
      <w:tr>
        <w:trPr/>
        <w:tc>
          <w:tcPr>
            <w:tcW w:w="2212" w:type="dxa"/>
            <w:tcBorders/>
            <w:shd w:fill="CCEEFF" w:val="clear"/>
            <w:tcMar>
              <w:bottom w:w="0" w:type="dxa"/>
            </w:tcMar>
            <w:vAlign w:val="center"/>
          </w:tcPr>
          <w:p>
            <w:pPr>
              <w:pStyle w:val="TableContents"/>
              <w:bidi w:val="0"/>
              <w:spacing w:before="0" w:after="283"/>
              <w:jc w:val="left"/>
              <w:rPr>
                <w:i/>
              </w:rPr>
            </w:pPr>
            <w:r>
              <w:rPr>
                <w:i/>
              </w:rPr>
              <w:t>Interactive Media &amp;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212" w:type="dxa"/>
            <w:tcBorders/>
            <w:shd w:fill="FFFFFF" w:val="clear"/>
            <w:tcMar>
              <w:bottom w:w="0" w:type="dxa"/>
            </w:tcMar>
            <w:vAlign w:val="center"/>
          </w:tcPr>
          <w:p>
            <w:pPr>
              <w:pStyle w:val="TableContents"/>
              <w:bidi w:val="0"/>
              <w:spacing w:before="0" w:after="283"/>
              <w:jc w:val="left"/>
              <w:rPr/>
            </w:pPr>
            <w:r>
              <w:rPr/>
              <w:t>Commercial Streaming Solutions Inc. (d/b/a BettorView)–Preferred Shares, Series A-1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1420" w:name="xdx_98A_eus-gaap--InvestmentOwnedBalance"/>
            <w:bookmarkEnd w:id="1420"/>
          </w:p>
        </w:tc>
        <w:tc>
          <w:tcPr>
            <w:tcW w:w="1118" w:type="dxa"/>
            <w:tcBorders/>
            <w:shd w:fill="FFFFFF" w:val="clear"/>
            <w:tcMar>
              <w:bottom w:w="0" w:type="dxa"/>
            </w:tcMar>
            <w:vAlign w:val="center"/>
          </w:tcPr>
          <w:p>
            <w:pPr>
              <w:pStyle w:val="TableContents"/>
              <w:bidi w:val="0"/>
              <w:spacing w:before="0" w:after="283"/>
              <w:jc w:val="right"/>
              <w:rPr/>
            </w:pPr>
            <w:r>
              <w:rPr/>
              <w:t>10,548,522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bookmarkStart w:id="1421" w:name="xdx_984_eus-gaap--InvestmentOwnedAtFairV"/>
            <w:bookmarkEnd w:id="1421"/>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bookmarkStart w:id="1422" w:name="xdx_98F_ecustom--TransferOfInAndOutInves"/>
            <w:bookmarkEnd w:id="1422"/>
          </w:p>
        </w:tc>
        <w:tc>
          <w:tcPr>
            <w:tcW w:w="1079" w:type="dxa"/>
            <w:tcBorders/>
            <w:shd w:fill="FFFFFF" w:val="clear"/>
            <w:tcMar>
              <w:bottom w:w="0" w:type="dxa"/>
            </w:tcMar>
            <w:vAlign w:val="center"/>
          </w:tcPr>
          <w:p>
            <w:pPr>
              <w:pStyle w:val="TableContents"/>
              <w:bidi w:val="0"/>
              <w:spacing w:before="0" w:after="283"/>
              <w:jc w:val="right"/>
              <w:rPr/>
            </w:pPr>
            <w:r>
              <w:rPr/>
              <w:t>1,000,000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1423" w:name="xdx_981_eus-gaap--UnrealizedGainLossOnIn"/>
            <w:bookmarkEnd w:id="1423"/>
          </w:p>
        </w:tc>
        <w:tc>
          <w:tcPr>
            <w:tcW w:w="1056" w:type="dxa"/>
            <w:tcBorders/>
            <w:shd w:fill="FFFFFF" w:val="clear"/>
            <w:tcMar>
              <w:bottom w:w="0" w:type="dxa"/>
            </w:tcMar>
            <w:vAlign w:val="center"/>
          </w:tcPr>
          <w:p>
            <w:pPr>
              <w:pStyle w:val="TableContents"/>
              <w:bidi w:val="0"/>
              <w:spacing w:before="0" w:after="283"/>
              <w:jc w:val="right"/>
              <w:rPr/>
            </w:pPr>
            <w:r>
              <w:rPr/>
              <w:t>(650,000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bookmarkStart w:id="1424" w:name="xdx_985_eus-gaap--InvestmentOwnedAtFairV"/>
            <w:bookmarkEnd w:id="1424"/>
          </w:p>
        </w:tc>
        <w:tc>
          <w:tcPr>
            <w:tcW w:w="1060"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bookmarkStart w:id="1425" w:name="xdx_900_eus-gaap--InvestmentOwnedPercent"/>
            <w:bookmarkEnd w:id="1425"/>
            <w:r>
              <w:rPr/>
              <w:t>0.17</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i/>
              </w:rPr>
            </w:pPr>
            <w:r>
              <w:rPr>
                <w:i/>
              </w:rPr>
              <w:t>Knowledge Networks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212" w:type="dxa"/>
            <w:tcBorders/>
            <w:shd w:fill="FFFFFF" w:val="clear"/>
            <w:tcMar>
              <w:bottom w:w="0" w:type="dxa"/>
            </w:tcMar>
            <w:vAlign w:val="center"/>
          </w:tcPr>
          <w:p>
            <w:pPr>
              <w:pStyle w:val="TableContents"/>
              <w:bidi w:val="0"/>
              <w:spacing w:before="0" w:after="283"/>
              <w:jc w:val="left"/>
              <w:rPr/>
            </w:pPr>
            <w:r>
              <w:rPr/>
              <w:t>Maven Research, Inc.–Preferred Shares, Series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1426" w:name="xdx_985_eus-gaap--InvestmentOwnedBalance"/>
            <w:bookmarkEnd w:id="1426"/>
          </w:p>
        </w:tc>
        <w:tc>
          <w:tcPr>
            <w:tcW w:w="1118" w:type="dxa"/>
            <w:tcBorders/>
            <w:shd w:fill="FFFFFF" w:val="clear"/>
            <w:tcMar>
              <w:bottom w:w="0" w:type="dxa"/>
            </w:tcMar>
            <w:vAlign w:val="center"/>
          </w:tcPr>
          <w:p>
            <w:pPr>
              <w:pStyle w:val="TableContents"/>
              <w:bidi w:val="0"/>
              <w:spacing w:before="0" w:after="283"/>
              <w:jc w:val="right"/>
              <w:rPr/>
            </w:pPr>
            <w:r>
              <w:rPr/>
              <w:t>318,979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27" w:name="xdx_980_eus-gaap--InvestmentOwnedAtFairV"/>
            <w:bookmarkEnd w:id="1427"/>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bookmarkStart w:id="1428" w:name="xdx_980_ecustom--TransferOfInAndOutInves"/>
            <w:bookmarkEnd w:id="1428"/>
          </w:p>
        </w:tc>
        <w:tc>
          <w:tcPr>
            <w:tcW w:w="107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29" w:name="xdx_988_eus-gaap--UnrealizedGainLossOnIn"/>
            <w:bookmarkEnd w:id="1429"/>
          </w:p>
        </w:tc>
        <w:tc>
          <w:tcPr>
            <w:tcW w:w="10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30" w:name="xdx_98F_eus-gaap--InvestmentOwnedAtFairV"/>
            <w:bookmarkEnd w:id="1430"/>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431" w:name="xdx_988_eus-gaap--InvestmentOwnedPercent"/>
            <w:bookmarkEnd w:id="1431"/>
          </w:p>
        </w:tc>
        <w:tc>
          <w:tcPr>
            <w:tcW w:w="850" w:type="dxa"/>
            <w:tcBorders/>
            <w:shd w:fill="FFFFFF" w:val="clear"/>
            <w:tcMar>
              <w:bottom w:w="0" w:type="dxa"/>
            </w:tcM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pPr>
            <w:r>
              <w:rPr/>
              <w:t>Maven Research, Inc.–Preferred Shares, Series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1432" w:name="xdx_985_eus-gaap--InvestmentOwnedBalance"/>
            <w:bookmarkEnd w:id="1432"/>
          </w:p>
        </w:tc>
        <w:tc>
          <w:tcPr>
            <w:tcW w:w="1118" w:type="dxa"/>
            <w:tcBorders/>
            <w:shd w:fill="CCEEFF" w:val="clear"/>
            <w:tcMar>
              <w:bottom w:w="0" w:type="dxa"/>
            </w:tcMar>
            <w:vAlign w:val="center"/>
          </w:tcPr>
          <w:p>
            <w:pPr>
              <w:pStyle w:val="TableContents"/>
              <w:bidi w:val="0"/>
              <w:spacing w:before="0" w:after="283"/>
              <w:jc w:val="right"/>
              <w:rPr/>
            </w:pPr>
            <w:r>
              <w:rPr/>
              <w:t>49,505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bookmarkStart w:id="1433" w:name="xdx_98F_eus-gaap--InvestmentOwnedAtFairV"/>
            <w:bookmarkEnd w:id="1433"/>
          </w:p>
        </w:tc>
        <w:tc>
          <w:tcPr>
            <w:tcW w:w="106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8" w:space="0" w:color="000000"/>
            </w:tcBorders>
            <w:shd w:fill="CCEEFF" w:val="clear"/>
            <w:vAlign w:val="center"/>
          </w:tcPr>
          <w:p>
            <w:pPr>
              <w:pStyle w:val="TableContents"/>
              <w:bidi w:val="0"/>
              <w:spacing w:before="0" w:after="283"/>
              <w:jc w:val="left"/>
              <w:rPr/>
            </w:pPr>
            <w:r>
              <w:rPr/>
              <w:t> </w:t>
            </w:r>
            <w:bookmarkStart w:id="1434" w:name="xdx_986_ecustom--TransferOfInAndOutInves"/>
            <w:bookmarkEnd w:id="1434"/>
          </w:p>
        </w:tc>
        <w:tc>
          <w:tcPr>
            <w:tcW w:w="107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1435" w:name="xdx_98E_eus-gaap--UnrealizedGainLossOnIn"/>
            <w:bookmarkEnd w:id="1435"/>
          </w:p>
        </w:tc>
        <w:tc>
          <w:tcPr>
            <w:tcW w:w="1056"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bookmarkStart w:id="1436" w:name="xdx_982_eus-gaap--InvestmentOwnedAtFairV"/>
            <w:bookmarkEnd w:id="1436"/>
          </w:p>
        </w:tc>
        <w:tc>
          <w:tcPr>
            <w:tcW w:w="106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1437" w:name="xdx_980_eus-gaap--InvestmentOwnedPercent"/>
            <w:bookmarkEnd w:id="1437"/>
          </w:p>
        </w:tc>
        <w:tc>
          <w:tcPr>
            <w:tcW w:w="850" w:type="dxa"/>
            <w:tcBorders>
              <w:bottom w:val="single" w:sz="8" w:space="0" w:color="000000"/>
            </w:tcBorders>
            <w:shd w:fill="CCEEFF" w:val="clear"/>
            <w:vAlign w:val="center"/>
          </w:tcPr>
          <w:p>
            <w:pPr>
              <w:pStyle w:val="TableContents"/>
              <w:bidi w:val="0"/>
              <w:spacing w:before="0" w:after="283"/>
              <w:jc w:val="right"/>
              <w:rPr/>
            </w:pPr>
            <w:r>
              <w:rPr/>
              <w:t>—</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212" w:type="dxa"/>
            <w:tcBorders/>
            <w:shd w:fill="FFFFFF" w:val="clear"/>
            <w:tcMar>
              <w:bottom w:w="0" w:type="dxa"/>
            </w:tcMar>
            <w:vAlign w:val="center"/>
          </w:tcPr>
          <w:p>
            <w:pPr>
              <w:pStyle w:val="TableContents"/>
              <w:bidi w:val="0"/>
              <w:spacing w:before="0" w:after="283"/>
              <w:jc w:val="left"/>
              <w:rPr>
                <w:i/>
              </w:rPr>
            </w:pPr>
            <w:r>
              <w:rPr>
                <w:i/>
              </w:rPr>
              <w:t>Total Knowledge Networks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38" w:name="xdx_980_eus-gaap--InvestmentOwnedAtFairV"/>
            <w:bookmarkEnd w:id="1438"/>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bookmarkStart w:id="1439" w:name="xdx_980_ecustom--TransferOfInAndOutInves"/>
            <w:bookmarkEnd w:id="1439"/>
          </w:p>
        </w:tc>
        <w:tc>
          <w:tcPr>
            <w:tcW w:w="107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40" w:name="xdx_98F_eus-gaap--UnrealizedGainLossOnIn"/>
            <w:bookmarkEnd w:id="1440"/>
          </w:p>
        </w:tc>
        <w:tc>
          <w:tcPr>
            <w:tcW w:w="10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41" w:name="xdx_98E_eus-gaap--InvestmentOwnedAtFairV"/>
            <w:bookmarkEnd w:id="1441"/>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442" w:name="xdx_98A_eus-gaap--InvestmentOwnedPercent"/>
            <w:bookmarkEnd w:id="1442"/>
          </w:p>
        </w:tc>
        <w:tc>
          <w:tcPr>
            <w:tcW w:w="850" w:type="dxa"/>
            <w:tcBorders/>
            <w:shd w:fill="FFFFFF" w:val="clear"/>
            <w:tcMar>
              <w:bottom w:w="0" w:type="dxa"/>
            </w:tcM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i/>
              </w:rPr>
            </w:pPr>
            <w:r>
              <w:rPr>
                <w:i/>
              </w:rPr>
              <w:t>Interactive Learning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StormWind, LLC</w:t>
            </w:r>
            <w:r>
              <w:rPr>
                <w:rFonts w:ascii="Times New Roman;Times;Serif" w:hAnsi="Times New Roman;Times;Serif"/>
                <w:position w:val="7"/>
                <w:sz w:val="16"/>
                <w:sz w:val="20"/>
              </w:rPr>
              <w:t xml:space="preserve">(4) </w:t>
            </w:r>
            <w:r>
              <w:rPr>
                <w:rFonts w:ascii="Times New Roman;Times;Serif" w:hAnsi="Times New Roman;Times;Serif"/>
                <w:sz w:val="20"/>
              </w:rPr>
              <w:t>– Preferred Shares, Series D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1443" w:name="xdx_986_eus-gaap--InvestmentOwnedBalance"/>
            <w:bookmarkEnd w:id="1443"/>
          </w:p>
        </w:tc>
        <w:tc>
          <w:tcPr>
            <w:tcW w:w="1118" w:type="dxa"/>
            <w:tcBorders/>
            <w:shd w:fill="FFFFFF" w:val="clear"/>
            <w:tcMar>
              <w:bottom w:w="0" w:type="dxa"/>
            </w:tcMar>
            <w:vAlign w:val="center"/>
          </w:tcPr>
          <w:p>
            <w:pPr>
              <w:pStyle w:val="TableContents"/>
              <w:bidi w:val="0"/>
              <w:spacing w:before="0" w:after="283"/>
              <w:jc w:val="right"/>
              <w:rPr/>
            </w:pPr>
            <w:r>
              <w:rPr/>
              <w:t>329,337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44" w:name="xdx_989_eus-gaap--InvestmentOwnedAtFairV"/>
            <w:bookmarkEnd w:id="1444"/>
          </w:p>
        </w:tc>
        <w:tc>
          <w:tcPr>
            <w:tcW w:w="1060" w:type="dxa"/>
            <w:tcBorders/>
            <w:shd w:fill="FFFFFF" w:val="clear"/>
            <w:tcMar>
              <w:bottom w:w="0" w:type="dxa"/>
            </w:tcMar>
            <w:vAlign w:val="center"/>
          </w:tcPr>
          <w:p>
            <w:pPr>
              <w:pStyle w:val="TableContents"/>
              <w:bidi w:val="0"/>
              <w:spacing w:before="0" w:after="283"/>
              <w:jc w:val="right"/>
              <w:rPr/>
            </w:pPr>
            <w:r>
              <w:rPr/>
              <w:t>501,626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bookmarkStart w:id="1445" w:name="xdx_98B_ecustom--TransferOfInAndOutInves"/>
            <w:bookmarkEnd w:id="1445"/>
          </w:p>
        </w:tc>
        <w:tc>
          <w:tcPr>
            <w:tcW w:w="107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46" w:name="xdx_98B_eus-gaap--UnrealizedGainLossOnIn"/>
            <w:bookmarkEnd w:id="1446"/>
          </w:p>
        </w:tc>
        <w:tc>
          <w:tcPr>
            <w:tcW w:w="1056" w:type="dxa"/>
            <w:tcBorders/>
            <w:shd w:fill="FFFFFF" w:val="clear"/>
            <w:tcMar>
              <w:bottom w:w="0" w:type="dxa"/>
            </w:tcMar>
            <w:vAlign w:val="center"/>
          </w:tcPr>
          <w:p>
            <w:pPr>
              <w:pStyle w:val="TableContents"/>
              <w:bidi w:val="0"/>
              <w:spacing w:before="0" w:after="283"/>
              <w:jc w:val="right"/>
              <w:rPr/>
            </w:pPr>
            <w:r>
              <w:rPr/>
              <w:t>(65,820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47" w:name="xdx_980_eus-gaap--InvestmentOwnedAtFairV"/>
            <w:bookmarkEnd w:id="1447"/>
          </w:p>
        </w:tc>
        <w:tc>
          <w:tcPr>
            <w:tcW w:w="1060" w:type="dxa"/>
            <w:tcBorders/>
            <w:shd w:fill="FFFFFF" w:val="clear"/>
            <w:tcMar>
              <w:bottom w:w="0" w:type="dxa"/>
            </w:tcMar>
            <w:vAlign w:val="center"/>
          </w:tcPr>
          <w:p>
            <w:pPr>
              <w:pStyle w:val="TableContents"/>
              <w:bidi w:val="0"/>
              <w:spacing w:before="0" w:after="283"/>
              <w:jc w:val="right"/>
              <w:rPr/>
            </w:pPr>
            <w:r>
              <w:rPr/>
              <w:t>435,806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448" w:name="xdx_983_eus-gaap--InvestmentOwnedPercent"/>
            <w:bookmarkEnd w:id="1448"/>
          </w:p>
        </w:tc>
        <w:tc>
          <w:tcPr>
            <w:tcW w:w="850" w:type="dxa"/>
            <w:tcBorders/>
            <w:shd w:fill="FFFFFF" w:val="clear"/>
            <w:tcMar>
              <w:bottom w:w="0" w:type="dxa"/>
            </w:tcMar>
            <w:vAlign w:val="center"/>
          </w:tcPr>
          <w:p>
            <w:pPr>
              <w:pStyle w:val="TableContents"/>
              <w:bidi w:val="0"/>
              <w:spacing w:before="0" w:after="283"/>
              <w:jc w:val="right"/>
              <w:rPr/>
            </w:pPr>
            <w:r>
              <w:rPr/>
              <w:t>0.21</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StormWind, LLC</w:t>
            </w:r>
            <w:r>
              <w:rPr>
                <w:rFonts w:ascii="Times New Roman;Times;Serif" w:hAnsi="Times New Roman;Times;Serif"/>
                <w:position w:val="7"/>
                <w:sz w:val="16"/>
                <w:sz w:val="20"/>
              </w:rPr>
              <w:t xml:space="preserve">(4) </w:t>
            </w:r>
            <w:r>
              <w:rPr>
                <w:rFonts w:ascii="Times New Roman;Times;Serif" w:hAnsi="Times New Roman;Times;Serif"/>
                <w:sz w:val="20"/>
              </w:rPr>
              <w:t>– Preferred Shares, Series C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1449" w:name="xdx_98B_eus-gaap--InvestmentOwnedBalance"/>
            <w:bookmarkEnd w:id="1449"/>
          </w:p>
        </w:tc>
        <w:tc>
          <w:tcPr>
            <w:tcW w:w="1118" w:type="dxa"/>
            <w:tcBorders/>
            <w:shd w:fill="CCEEFF" w:val="clear"/>
            <w:tcMar>
              <w:bottom w:w="0" w:type="dxa"/>
            </w:tcMar>
            <w:vAlign w:val="center"/>
          </w:tcPr>
          <w:p>
            <w:pPr>
              <w:pStyle w:val="TableContents"/>
              <w:bidi w:val="0"/>
              <w:spacing w:before="0" w:after="283"/>
              <w:jc w:val="right"/>
              <w:rPr/>
            </w:pPr>
            <w:r>
              <w:rPr/>
              <w:t>2,779,134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bookmarkStart w:id="1450" w:name="xdx_98D_eus-gaap--InvestmentOwnedAtFairV"/>
            <w:bookmarkEnd w:id="1450"/>
          </w:p>
        </w:tc>
        <w:tc>
          <w:tcPr>
            <w:tcW w:w="1060" w:type="dxa"/>
            <w:tcBorders/>
            <w:shd w:fill="CCEEFF" w:val="clear"/>
            <w:tcMar>
              <w:bottom w:w="0" w:type="dxa"/>
            </w:tcMar>
            <w:vAlign w:val="center"/>
          </w:tcPr>
          <w:p>
            <w:pPr>
              <w:pStyle w:val="TableContents"/>
              <w:bidi w:val="0"/>
              <w:spacing w:before="0" w:after="283"/>
              <w:jc w:val="right"/>
              <w:rPr/>
            </w:pPr>
            <w:r>
              <w:rPr/>
              <w:t>5,376,994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bookmarkStart w:id="1451" w:name="xdx_980_ecustom--TransferOfInAndOutInves"/>
            <w:bookmarkEnd w:id="1451"/>
          </w:p>
        </w:tc>
        <w:tc>
          <w:tcPr>
            <w:tcW w:w="107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452" w:name="xdx_988_eus-gaap--UnrealizedGainLossOnIn"/>
            <w:bookmarkEnd w:id="1452"/>
          </w:p>
        </w:tc>
        <w:tc>
          <w:tcPr>
            <w:tcW w:w="1056" w:type="dxa"/>
            <w:tcBorders/>
            <w:shd w:fill="CCEEFF" w:val="clear"/>
            <w:tcMar>
              <w:bottom w:w="0" w:type="dxa"/>
            </w:tcMar>
            <w:vAlign w:val="center"/>
          </w:tcPr>
          <w:p>
            <w:pPr>
              <w:pStyle w:val="TableContents"/>
              <w:bidi w:val="0"/>
              <w:spacing w:before="0" w:after="283"/>
              <w:jc w:val="right"/>
              <w:rPr/>
            </w:pPr>
            <w:r>
              <w:rPr/>
              <w:t>(616,911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bookmarkStart w:id="1453" w:name="xdx_98B_eus-gaap--InvestmentOwnedAtFairV"/>
            <w:bookmarkEnd w:id="1453"/>
          </w:p>
        </w:tc>
        <w:tc>
          <w:tcPr>
            <w:tcW w:w="1060" w:type="dxa"/>
            <w:tcBorders/>
            <w:shd w:fill="CCEEFF" w:val="clear"/>
            <w:tcMar>
              <w:bottom w:w="0" w:type="dxa"/>
            </w:tcMar>
            <w:vAlign w:val="center"/>
          </w:tcPr>
          <w:p>
            <w:pPr>
              <w:pStyle w:val="TableContents"/>
              <w:bidi w:val="0"/>
              <w:spacing w:before="0" w:after="283"/>
              <w:jc w:val="right"/>
              <w:rPr/>
            </w:pPr>
            <w:r>
              <w:rPr/>
              <w:t>4,760,083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1454" w:name="xdx_988_eus-gaap--InvestmentOwnedPercent"/>
            <w:bookmarkEnd w:id="1454"/>
          </w:p>
        </w:tc>
        <w:tc>
          <w:tcPr>
            <w:tcW w:w="850" w:type="dxa"/>
            <w:tcBorders/>
            <w:shd w:fill="CCEEFF" w:val="clear"/>
            <w:tcMar>
              <w:bottom w:w="0" w:type="dxa"/>
            </w:tcMar>
            <w:vAlign w:val="center"/>
          </w:tcPr>
          <w:p>
            <w:pPr>
              <w:pStyle w:val="TableContents"/>
              <w:bidi w:val="0"/>
              <w:spacing w:before="0" w:after="283"/>
              <w:jc w:val="right"/>
              <w:rPr/>
            </w:pPr>
            <w:r>
              <w:rPr/>
              <w:t>2.32</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StormWind, LLC</w:t>
            </w:r>
            <w:r>
              <w:rPr>
                <w:rFonts w:ascii="Times New Roman;Times;Serif" w:hAnsi="Times New Roman;Times;Serif"/>
                <w:position w:val="7"/>
                <w:sz w:val="16"/>
                <w:sz w:val="20"/>
              </w:rPr>
              <w:t xml:space="preserve">(4) </w:t>
            </w:r>
            <w:r>
              <w:rPr>
                <w:rFonts w:ascii="Times New Roman;Times;Serif" w:hAnsi="Times New Roman;Times;Serif"/>
                <w:sz w:val="20"/>
              </w:rPr>
              <w:t>– Preferred Shares, Series B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1455" w:name="xdx_987_eus-gaap--InvestmentOwnedBalance"/>
            <w:bookmarkEnd w:id="1455"/>
          </w:p>
        </w:tc>
        <w:tc>
          <w:tcPr>
            <w:tcW w:w="1118" w:type="dxa"/>
            <w:tcBorders/>
            <w:shd w:fill="FFFFFF" w:val="clear"/>
            <w:tcMar>
              <w:bottom w:w="0" w:type="dxa"/>
            </w:tcMar>
            <w:vAlign w:val="center"/>
          </w:tcPr>
          <w:p>
            <w:pPr>
              <w:pStyle w:val="TableContents"/>
              <w:bidi w:val="0"/>
              <w:spacing w:before="0" w:after="283"/>
              <w:jc w:val="right"/>
              <w:rPr/>
            </w:pPr>
            <w:r>
              <w:rPr/>
              <w:t>3,279,629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56" w:name="xdx_98F_eus-gaap--InvestmentOwnedAtFairV"/>
            <w:bookmarkEnd w:id="1456"/>
          </w:p>
        </w:tc>
        <w:tc>
          <w:tcPr>
            <w:tcW w:w="1060" w:type="dxa"/>
            <w:tcBorders/>
            <w:shd w:fill="FFFFFF" w:val="clear"/>
            <w:tcMar>
              <w:bottom w:w="0" w:type="dxa"/>
            </w:tcMar>
            <w:vAlign w:val="center"/>
          </w:tcPr>
          <w:p>
            <w:pPr>
              <w:pStyle w:val="TableContents"/>
              <w:bidi w:val="0"/>
              <w:spacing w:before="0" w:after="283"/>
              <w:jc w:val="right"/>
              <w:rPr/>
            </w:pPr>
            <w:r>
              <w:rPr/>
              <w:t>3,233,922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bookmarkStart w:id="1457" w:name="xdx_985_ecustom--TransferOfInAndOutInves"/>
            <w:bookmarkEnd w:id="1457"/>
          </w:p>
        </w:tc>
        <w:tc>
          <w:tcPr>
            <w:tcW w:w="107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58" w:name="xdx_981_eus-gaap--UnrealizedGainLossOnIn"/>
            <w:bookmarkEnd w:id="1458"/>
          </w:p>
        </w:tc>
        <w:tc>
          <w:tcPr>
            <w:tcW w:w="1056" w:type="dxa"/>
            <w:tcBorders/>
            <w:shd w:fill="FFFFFF" w:val="clear"/>
            <w:tcMar>
              <w:bottom w:w="0" w:type="dxa"/>
            </w:tcMar>
            <w:vAlign w:val="center"/>
          </w:tcPr>
          <w:p>
            <w:pPr>
              <w:pStyle w:val="TableContents"/>
              <w:bidi w:val="0"/>
              <w:spacing w:before="0" w:after="283"/>
              <w:jc w:val="right"/>
              <w:rPr/>
            </w:pPr>
            <w:r>
              <w:rPr/>
              <w:t>(655,449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59" w:name="xdx_982_eus-gaap--InvestmentOwnedAtFairV"/>
            <w:bookmarkEnd w:id="1459"/>
          </w:p>
        </w:tc>
        <w:tc>
          <w:tcPr>
            <w:tcW w:w="1060" w:type="dxa"/>
            <w:tcBorders/>
            <w:shd w:fill="FFFFFF" w:val="clear"/>
            <w:tcMar>
              <w:bottom w:w="0" w:type="dxa"/>
            </w:tcMar>
            <w:vAlign w:val="center"/>
          </w:tcPr>
          <w:p>
            <w:pPr>
              <w:pStyle w:val="TableContents"/>
              <w:bidi w:val="0"/>
              <w:spacing w:before="0" w:after="283"/>
              <w:jc w:val="right"/>
              <w:rPr/>
            </w:pPr>
            <w:r>
              <w:rPr/>
              <w:t>2,578,473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460" w:name="xdx_98D_eus-gaap--InvestmentOwnedPercent"/>
            <w:bookmarkEnd w:id="1460"/>
          </w:p>
        </w:tc>
        <w:tc>
          <w:tcPr>
            <w:tcW w:w="850" w:type="dxa"/>
            <w:tcBorders/>
            <w:shd w:fill="FFFFFF" w:val="clear"/>
            <w:tcMar>
              <w:bottom w:w="0" w:type="dxa"/>
            </w:tcMar>
            <w:vAlign w:val="center"/>
          </w:tcPr>
          <w:p>
            <w:pPr>
              <w:pStyle w:val="TableContents"/>
              <w:bidi w:val="0"/>
              <w:spacing w:before="0" w:after="283"/>
              <w:jc w:val="right"/>
              <w:rPr/>
            </w:pPr>
            <w:r>
              <w:rPr/>
              <w:t>1.26</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StormWind, LLC</w:t>
            </w:r>
            <w:r>
              <w:rPr>
                <w:rFonts w:ascii="Times New Roman;Times;Serif" w:hAnsi="Times New Roman;Times;Serif"/>
                <w:position w:val="7"/>
                <w:sz w:val="16"/>
                <w:sz w:val="20"/>
              </w:rPr>
              <w:t xml:space="preserve">(4) </w:t>
            </w:r>
            <w:r>
              <w:rPr>
                <w:rFonts w:ascii="Times New Roman;Times;Serif" w:hAnsi="Times New Roman;Times;Serif"/>
                <w:sz w:val="20"/>
              </w:rPr>
              <w:t>– Preferred Shares, Series A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1461" w:name="xdx_986_eus-gaap--InvestmentOwnedBalance"/>
            <w:bookmarkEnd w:id="1461"/>
          </w:p>
        </w:tc>
        <w:tc>
          <w:tcPr>
            <w:tcW w:w="1118" w:type="dxa"/>
            <w:tcBorders/>
            <w:shd w:fill="CCEEFF" w:val="clear"/>
            <w:tcMar>
              <w:bottom w:w="0" w:type="dxa"/>
            </w:tcMar>
            <w:vAlign w:val="center"/>
          </w:tcPr>
          <w:p>
            <w:pPr>
              <w:pStyle w:val="TableContents"/>
              <w:bidi w:val="0"/>
              <w:spacing w:before="0" w:after="283"/>
              <w:jc w:val="right"/>
              <w:rPr/>
            </w:pPr>
            <w:r>
              <w:rPr/>
              <w:t>366,666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bookmarkStart w:id="1462" w:name="xdx_98C_eus-gaap--InvestmentOwnedAtFairV"/>
            <w:bookmarkEnd w:id="1462"/>
          </w:p>
        </w:tc>
        <w:tc>
          <w:tcPr>
            <w:tcW w:w="1060" w:type="dxa"/>
            <w:tcBorders>
              <w:bottom w:val="single" w:sz="8" w:space="0" w:color="000000"/>
            </w:tcBorders>
            <w:shd w:fill="CCEEFF" w:val="clear"/>
            <w:vAlign w:val="center"/>
          </w:tcPr>
          <w:p>
            <w:pPr>
              <w:pStyle w:val="TableContents"/>
              <w:bidi w:val="0"/>
              <w:spacing w:before="0" w:after="283"/>
              <w:jc w:val="right"/>
              <w:rPr/>
            </w:pPr>
            <w:r>
              <w:rPr/>
              <w:t>156,285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8" w:space="0" w:color="000000"/>
            </w:tcBorders>
            <w:shd w:fill="CCEEFF" w:val="clear"/>
            <w:vAlign w:val="center"/>
          </w:tcPr>
          <w:p>
            <w:pPr>
              <w:pStyle w:val="TableContents"/>
              <w:bidi w:val="0"/>
              <w:spacing w:before="0" w:after="283"/>
              <w:jc w:val="left"/>
              <w:rPr/>
            </w:pPr>
            <w:r>
              <w:rPr/>
              <w:t> </w:t>
            </w:r>
            <w:bookmarkStart w:id="1463" w:name="xdx_98A_ecustom--TransferOfInAndOutInves"/>
            <w:bookmarkEnd w:id="1463"/>
          </w:p>
        </w:tc>
        <w:tc>
          <w:tcPr>
            <w:tcW w:w="107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1464" w:name="xdx_987_eus-gaap--UnrealizedGainLossOnIn"/>
            <w:bookmarkEnd w:id="1464"/>
          </w:p>
        </w:tc>
        <w:tc>
          <w:tcPr>
            <w:tcW w:w="1056" w:type="dxa"/>
            <w:tcBorders>
              <w:bottom w:val="single" w:sz="8" w:space="0" w:color="000000"/>
            </w:tcBorders>
            <w:shd w:fill="CCEEFF" w:val="clear"/>
            <w:vAlign w:val="center"/>
          </w:tcPr>
          <w:p>
            <w:pPr>
              <w:pStyle w:val="TableContents"/>
              <w:bidi w:val="0"/>
              <w:spacing w:before="0" w:after="283"/>
              <w:jc w:val="right"/>
              <w:rPr/>
            </w:pPr>
            <w:r>
              <w:rPr/>
              <w:t>(73,280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bookmarkStart w:id="1465" w:name="xdx_98E_eus-gaap--InvestmentOwnedAtFairV"/>
            <w:bookmarkEnd w:id="1465"/>
          </w:p>
        </w:tc>
        <w:tc>
          <w:tcPr>
            <w:tcW w:w="1060" w:type="dxa"/>
            <w:tcBorders>
              <w:bottom w:val="single" w:sz="8" w:space="0" w:color="000000"/>
            </w:tcBorders>
            <w:shd w:fill="CCEEFF" w:val="clear"/>
            <w:vAlign w:val="center"/>
          </w:tcPr>
          <w:p>
            <w:pPr>
              <w:pStyle w:val="TableContents"/>
              <w:bidi w:val="0"/>
              <w:spacing w:before="0" w:after="283"/>
              <w:jc w:val="right"/>
              <w:rPr/>
            </w:pPr>
            <w:r>
              <w:rPr/>
              <w:t>83,005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1466" w:name="xdx_98B_eus-gaap--InvestmentOwnedPercent"/>
            <w:bookmarkEnd w:id="1466"/>
          </w:p>
        </w:tc>
        <w:tc>
          <w:tcPr>
            <w:tcW w:w="850" w:type="dxa"/>
            <w:tcBorders>
              <w:bottom w:val="single" w:sz="8" w:space="0" w:color="000000"/>
            </w:tcBorders>
            <w:shd w:fill="CCEEFF" w:val="clear"/>
            <w:vAlign w:val="center"/>
          </w:tcPr>
          <w:p>
            <w:pPr>
              <w:pStyle w:val="TableContents"/>
              <w:bidi w:val="0"/>
              <w:spacing w:before="0" w:after="283"/>
              <w:jc w:val="right"/>
              <w:rPr/>
            </w:pPr>
            <w:r>
              <w:rPr/>
              <w:t>0.04</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212" w:type="dxa"/>
            <w:tcBorders/>
            <w:shd w:fill="FFFFFF" w:val="clear"/>
            <w:tcMar>
              <w:bottom w:w="0" w:type="dxa"/>
            </w:tcMar>
            <w:vAlign w:val="center"/>
          </w:tcPr>
          <w:p>
            <w:pPr>
              <w:pStyle w:val="TableContents"/>
              <w:bidi w:val="0"/>
              <w:spacing w:before="0" w:after="283"/>
              <w:jc w:val="left"/>
              <w:rPr>
                <w:i/>
              </w:rPr>
            </w:pPr>
            <w:r>
              <w:rPr>
                <w:i/>
              </w:rPr>
              <w:t>Total Interactive Learning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67" w:name="xdx_981_eus-gaap--InvestmentOwnedAtFairV"/>
            <w:bookmarkEnd w:id="1467"/>
          </w:p>
        </w:tc>
        <w:tc>
          <w:tcPr>
            <w:tcW w:w="1060" w:type="dxa"/>
            <w:tcBorders/>
            <w:shd w:fill="FFFFFF" w:val="clear"/>
            <w:tcMar>
              <w:bottom w:w="0" w:type="dxa"/>
            </w:tcMar>
            <w:vAlign w:val="center"/>
          </w:tcPr>
          <w:p>
            <w:pPr>
              <w:pStyle w:val="TableContents"/>
              <w:bidi w:val="0"/>
              <w:spacing w:before="0" w:after="283"/>
              <w:jc w:val="right"/>
              <w:rPr/>
            </w:pPr>
            <w:r>
              <w:rPr/>
              <w:t>9,268,827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bookmarkStart w:id="1468" w:name="xdx_985_ecustom--TransferOfInAndOutInves"/>
            <w:bookmarkEnd w:id="1468"/>
          </w:p>
        </w:tc>
        <w:tc>
          <w:tcPr>
            <w:tcW w:w="107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69" w:name="xdx_981_eus-gaap--UnrealizedGainLossOnIn"/>
            <w:bookmarkEnd w:id="1469"/>
          </w:p>
        </w:tc>
        <w:tc>
          <w:tcPr>
            <w:tcW w:w="1056" w:type="dxa"/>
            <w:tcBorders/>
            <w:shd w:fill="FFFFFF" w:val="clear"/>
            <w:tcMar>
              <w:bottom w:w="0" w:type="dxa"/>
            </w:tcMar>
            <w:vAlign w:val="center"/>
          </w:tcPr>
          <w:p>
            <w:pPr>
              <w:pStyle w:val="TableContents"/>
              <w:bidi w:val="0"/>
              <w:spacing w:before="0" w:after="283"/>
              <w:jc w:val="right"/>
              <w:rPr/>
            </w:pPr>
            <w:r>
              <w:rPr/>
              <w:t>(1,411,460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70" w:name="xdx_98F_eus-gaap--InvestmentOwnedAtFairV"/>
            <w:bookmarkEnd w:id="1470"/>
          </w:p>
        </w:tc>
        <w:tc>
          <w:tcPr>
            <w:tcW w:w="1060" w:type="dxa"/>
            <w:tcBorders/>
            <w:shd w:fill="FFFFFF" w:val="clear"/>
            <w:tcMar>
              <w:bottom w:w="0" w:type="dxa"/>
            </w:tcMar>
            <w:vAlign w:val="center"/>
          </w:tcPr>
          <w:p>
            <w:pPr>
              <w:pStyle w:val="TableContents"/>
              <w:bidi w:val="0"/>
              <w:spacing w:before="0" w:after="283"/>
              <w:jc w:val="right"/>
              <w:rPr/>
            </w:pPr>
            <w:r>
              <w:rPr/>
              <w:t>7,857,367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471" w:name="xdx_98A_eus-gaap--InvestmentOwnedPercent"/>
            <w:bookmarkEnd w:id="1471"/>
          </w:p>
        </w:tc>
        <w:tc>
          <w:tcPr>
            <w:tcW w:w="850" w:type="dxa"/>
            <w:tcBorders/>
            <w:shd w:fill="FFFFFF" w:val="clear"/>
            <w:tcMar>
              <w:bottom w:w="0" w:type="dxa"/>
            </w:tcMar>
            <w:vAlign w:val="center"/>
          </w:tcPr>
          <w:p>
            <w:pPr>
              <w:pStyle w:val="TableContents"/>
              <w:bidi w:val="0"/>
              <w:spacing w:before="0" w:after="283"/>
              <w:jc w:val="right"/>
              <w:rPr/>
            </w:pPr>
            <w:r>
              <w:rPr/>
              <w:t>3.83</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b/>
              </w:rPr>
            </w:pPr>
            <w:r>
              <w:rPr>
                <w:b/>
              </w:rPr>
              <w:t>Total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bookmarkStart w:id="1472" w:name="xdx_988_eus-gaap--InvestmentOwnedAtFairV"/>
            <w:bookmarkEnd w:id="1472"/>
          </w:p>
        </w:tc>
        <w:tc>
          <w:tcPr>
            <w:tcW w:w="1060" w:type="dxa"/>
            <w:tcBorders/>
            <w:shd w:fill="CCEEFF" w:val="clear"/>
            <w:tcMar>
              <w:bottom w:w="0" w:type="dxa"/>
            </w:tcMar>
            <w:vAlign w:val="center"/>
          </w:tcPr>
          <w:p>
            <w:pPr>
              <w:pStyle w:val="TableContents"/>
              <w:bidi w:val="0"/>
              <w:spacing w:before="0" w:after="283"/>
              <w:jc w:val="right"/>
              <w:rPr/>
            </w:pPr>
            <w:r>
              <w:rPr/>
              <w:t>9,268,827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bookmarkStart w:id="1473" w:name="xdx_98B_ecustom--TransferOfInAndOutInves"/>
            <w:bookmarkEnd w:id="1473"/>
          </w:p>
        </w:tc>
        <w:tc>
          <w:tcPr>
            <w:tcW w:w="1079" w:type="dxa"/>
            <w:tcBorders/>
            <w:shd w:fill="CCEEFF" w:val="clear"/>
            <w:tcMar>
              <w:bottom w:w="0" w:type="dxa"/>
            </w:tcMar>
            <w:vAlign w:val="center"/>
          </w:tcPr>
          <w:p>
            <w:pPr>
              <w:pStyle w:val="TableContents"/>
              <w:bidi w:val="0"/>
              <w:spacing w:before="0" w:after="283"/>
              <w:jc w:val="right"/>
              <w:rPr/>
            </w:pPr>
            <w:r>
              <w:rPr/>
              <w:t>1,000,000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474" w:name="xdx_985_eus-gaap--UnrealizedGainLossOnIn"/>
            <w:bookmarkEnd w:id="1474"/>
          </w:p>
        </w:tc>
        <w:tc>
          <w:tcPr>
            <w:tcW w:w="1056" w:type="dxa"/>
            <w:tcBorders/>
            <w:shd w:fill="CCEEFF" w:val="clear"/>
            <w:tcMar>
              <w:bottom w:w="0" w:type="dxa"/>
            </w:tcMar>
            <w:vAlign w:val="center"/>
          </w:tcPr>
          <w:p>
            <w:pPr>
              <w:pStyle w:val="TableContents"/>
              <w:bidi w:val="0"/>
              <w:spacing w:before="0" w:after="283"/>
              <w:jc w:val="right"/>
              <w:rPr/>
            </w:pPr>
            <w:r>
              <w:rPr/>
              <w:t>(2,061,460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bookmarkStart w:id="1475" w:name="xdx_982_eus-gaap--InvestmentOwnedAtFairV"/>
            <w:bookmarkEnd w:id="1475"/>
          </w:p>
        </w:tc>
        <w:tc>
          <w:tcPr>
            <w:tcW w:w="1060" w:type="dxa"/>
            <w:tcBorders/>
            <w:shd w:fill="CCEEFF" w:val="clear"/>
            <w:tcMar>
              <w:bottom w:w="0" w:type="dxa"/>
            </w:tcMar>
            <w:vAlign w:val="center"/>
          </w:tcPr>
          <w:p>
            <w:pPr>
              <w:pStyle w:val="TableContents"/>
              <w:bidi w:val="0"/>
              <w:spacing w:before="0" w:after="283"/>
              <w:jc w:val="right"/>
              <w:rPr/>
            </w:pPr>
            <w:r>
              <w:rPr/>
              <w:t>8,207,367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1476" w:name="xdx_984_eus-gaap--InvestmentOwnedPercent"/>
            <w:bookmarkEnd w:id="1476"/>
          </w:p>
        </w:tc>
        <w:tc>
          <w:tcPr>
            <w:tcW w:w="850" w:type="dxa"/>
            <w:tcBorders/>
            <w:shd w:fill="CCEEFF" w:val="clear"/>
            <w:tcMar>
              <w:bottom w:w="0" w:type="dxa"/>
            </w:tcMar>
            <w:vAlign w:val="center"/>
          </w:tcPr>
          <w:p>
            <w:pPr>
              <w:pStyle w:val="TableContents"/>
              <w:bidi w:val="0"/>
              <w:spacing w:before="0" w:after="283"/>
              <w:jc w:val="right"/>
              <w:rPr/>
            </w:pPr>
            <w:r>
              <w:rPr/>
              <w:t>4.00</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212" w:type="dxa"/>
            <w:tcBorders/>
            <w:shd w:fill="FFFFFF" w:val="clear"/>
            <w:tcMar>
              <w:bottom w:w="0" w:type="dxa"/>
            </w:tcMar>
            <w:vAlign w:val="center"/>
          </w:tcPr>
          <w:p>
            <w:pPr>
              <w:pStyle w:val="TableContents"/>
              <w:bidi w:val="0"/>
              <w:spacing w:before="0" w:after="283"/>
              <w:jc w:val="left"/>
              <w:rPr>
                <w:b/>
              </w:rPr>
            </w:pPr>
            <w:r>
              <w:rPr>
                <w:b/>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r>
      <w:tr>
        <w:trPr/>
        <w:tc>
          <w:tcPr>
            <w:tcW w:w="2212" w:type="dxa"/>
            <w:tcBorders/>
            <w:shd w:fill="CCEEFF" w:val="clear"/>
            <w:tcMar>
              <w:bottom w:w="0" w:type="dxa"/>
            </w:tcMar>
            <w:vAlign w:val="center"/>
          </w:tcPr>
          <w:p>
            <w:pPr>
              <w:pStyle w:val="TableContents"/>
              <w:bidi w:val="0"/>
              <w:spacing w:before="0" w:after="283"/>
              <w:jc w:val="left"/>
              <w:rPr>
                <w:i/>
              </w:rPr>
            </w:pPr>
            <w:r>
              <w:rPr>
                <w:i/>
              </w:rPr>
              <w:t>Online Education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r>
      <w:tr>
        <w:trPr/>
        <w:tc>
          <w:tcPr>
            <w:tcW w:w="2212" w:type="dxa"/>
            <w:tcBorders/>
            <w:shd w:fill="FFFFFF" w:val="clear"/>
            <w:tcMar>
              <w:bottom w:w="0" w:type="dxa"/>
            </w:tcMar>
            <w:vAlign w:val="center"/>
          </w:tcPr>
          <w:p>
            <w:pPr>
              <w:pStyle w:val="TableContents"/>
              <w:bidi w:val="0"/>
              <w:spacing w:before="0" w:after="283"/>
              <w:jc w:val="left"/>
              <w:rPr/>
            </w:pPr>
            <w:r>
              <w:rPr/>
              <w:t>Curious.com, Inc.–Common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1477" w:name="xdx_98F_eus-gaap--InvestmentOwnedBalance"/>
            <w:bookmarkEnd w:id="1477"/>
          </w:p>
        </w:tc>
        <w:tc>
          <w:tcPr>
            <w:tcW w:w="1118" w:type="dxa"/>
            <w:tcBorders/>
            <w:shd w:fill="FFFFFF" w:val="clear"/>
            <w:tcMar>
              <w:bottom w:w="0" w:type="dxa"/>
            </w:tcMar>
            <w:vAlign w:val="center"/>
          </w:tcPr>
          <w:p>
            <w:pPr>
              <w:pStyle w:val="TableContents"/>
              <w:bidi w:val="0"/>
              <w:spacing w:before="0" w:after="283"/>
              <w:jc w:val="right"/>
              <w:rPr/>
            </w:pPr>
            <w:r>
              <w:rPr/>
              <w:t>1,135,944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78" w:name="xdx_98E_eus-gaap--InvestmentOwnedAtFairV"/>
            <w:bookmarkEnd w:id="1478"/>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bookmarkStart w:id="1479" w:name="xdx_980_ecustom--TransferOfInAndOutInves"/>
            <w:bookmarkEnd w:id="1479"/>
          </w:p>
        </w:tc>
        <w:tc>
          <w:tcPr>
            <w:tcW w:w="107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80" w:name="xdx_985_eus-gaap--UnrealizedGainLossOnIn"/>
            <w:bookmarkEnd w:id="1480"/>
          </w:p>
        </w:tc>
        <w:tc>
          <w:tcPr>
            <w:tcW w:w="10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bookmarkStart w:id="1481" w:name="xdx_98E_eus-gaap--InvestmentOwnedAtFairV"/>
            <w:bookmarkEnd w:id="1481"/>
          </w:p>
        </w:tc>
        <w:tc>
          <w:tcPr>
            <w:tcW w:w="1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1482" w:name="xdx_987_eus-gaap--InvestmentOwnedPercent"/>
            <w:bookmarkEnd w:id="1482"/>
          </w:p>
        </w:tc>
        <w:tc>
          <w:tcPr>
            <w:tcW w:w="850" w:type="dxa"/>
            <w:tcBorders/>
            <w:shd w:fill="FFFFFF" w:val="clear"/>
            <w:tcMar>
              <w:bottom w:w="0" w:type="dxa"/>
            </w:tcMar>
            <w:vAlign w:val="center"/>
          </w:tcPr>
          <w:p>
            <w:pPr>
              <w:pStyle w:val="TableContents"/>
              <w:bidi w:val="0"/>
              <w:spacing w:before="0" w:after="283"/>
              <w:jc w:val="right"/>
              <w:rPr/>
            </w:pPr>
            <w:r>
              <w:rPr/>
              <w:t>—</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2212" w:type="dxa"/>
            <w:tcBorders/>
            <w:shd w:fill="CCEEFF" w:val="clear"/>
            <w:tcMar>
              <w:bottom w:w="0" w:type="dxa"/>
            </w:tcMar>
            <w:vAlign w:val="center"/>
          </w:tcPr>
          <w:p>
            <w:pPr>
              <w:pStyle w:val="TableContents"/>
              <w:bidi w:val="0"/>
              <w:spacing w:before="0" w:after="283"/>
              <w:jc w:val="left"/>
              <w:rPr>
                <w:b/>
              </w:rPr>
            </w:pPr>
            <w:r>
              <w:rPr>
                <w:b/>
              </w:rPr>
              <w:t>Total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bookmarkStart w:id="1483" w:name="xdx_986_eus-gaap--InvestmentOwnedAtFairV"/>
            <w:bookmarkEnd w:id="1483"/>
          </w:p>
        </w:tc>
        <w:tc>
          <w:tcPr>
            <w:tcW w:w="106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8" w:space="0" w:color="000000"/>
            </w:tcBorders>
            <w:shd w:fill="CCEEFF" w:val="clear"/>
            <w:vAlign w:val="center"/>
          </w:tcPr>
          <w:p>
            <w:pPr>
              <w:pStyle w:val="TableContents"/>
              <w:bidi w:val="0"/>
              <w:spacing w:before="0" w:after="283"/>
              <w:jc w:val="left"/>
              <w:rPr/>
            </w:pPr>
            <w:r>
              <w:rPr/>
              <w:t> </w:t>
            </w:r>
            <w:bookmarkStart w:id="1484" w:name="xdx_982_ecustom--TransferOfInAndOutInves"/>
            <w:bookmarkEnd w:id="1484"/>
          </w:p>
        </w:tc>
        <w:tc>
          <w:tcPr>
            <w:tcW w:w="107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1485" w:name="xdx_981_eus-gaap--UnrealizedGainLossOnIn"/>
            <w:bookmarkEnd w:id="1485"/>
          </w:p>
        </w:tc>
        <w:tc>
          <w:tcPr>
            <w:tcW w:w="1056"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bookmarkStart w:id="1486" w:name="xdx_984_eus-gaap--InvestmentOwnedAtFairV"/>
            <w:bookmarkEnd w:id="1486"/>
          </w:p>
        </w:tc>
        <w:tc>
          <w:tcPr>
            <w:tcW w:w="106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1487" w:name="xdx_98F_eus-gaap--InvestmentOwnedPercent"/>
            <w:bookmarkEnd w:id="1487"/>
          </w:p>
        </w:tc>
        <w:tc>
          <w:tcPr>
            <w:tcW w:w="850" w:type="dxa"/>
            <w:tcBorders>
              <w:bottom w:val="single" w:sz="8" w:space="0" w:color="000000"/>
            </w:tcBorders>
            <w:shd w:fill="CCEEFF" w:val="clear"/>
            <w:vAlign w:val="center"/>
          </w:tcPr>
          <w:p>
            <w:pPr>
              <w:pStyle w:val="TableContents"/>
              <w:bidi w:val="0"/>
              <w:spacing w:before="0" w:after="283"/>
              <w:jc w:val="right"/>
              <w:rPr/>
            </w:pPr>
            <w:r>
              <w:rPr/>
              <w:t>—</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2212"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NON-CONTROLLED/AFFILIATE INVESTMENTS*</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vAlign w:val="center"/>
          </w:tcPr>
          <w:p>
            <w:pPr>
              <w:pStyle w:val="TableContents"/>
              <w:bidi w:val="0"/>
              <w:spacing w:before="0" w:after="283"/>
              <w:jc w:val="left"/>
              <w:rPr>
                <w:b/>
              </w:rPr>
            </w:pPr>
            <w:r>
              <w:rPr>
                <w:b/>
              </w:rPr>
              <w:t>$</w:t>
            </w:r>
            <w:bookmarkStart w:id="1488" w:name="xdx_985_eus-gaap--InvestmentOwnedAtFairV"/>
            <w:bookmarkEnd w:id="1488"/>
          </w:p>
        </w:tc>
        <w:tc>
          <w:tcPr>
            <w:tcW w:w="1060" w:type="dxa"/>
            <w:tcBorders>
              <w:bottom w:val="double" w:sz="6" w:space="0" w:color="000000"/>
            </w:tcBorders>
            <w:shd w:fill="FFFFFF" w:val="clear"/>
            <w:vAlign w:val="center"/>
          </w:tcPr>
          <w:p>
            <w:pPr>
              <w:pStyle w:val="TableContents"/>
              <w:bidi w:val="0"/>
              <w:spacing w:before="0" w:after="283"/>
              <w:jc w:val="right"/>
              <w:rPr>
                <w:b/>
              </w:rPr>
            </w:pPr>
            <w:r>
              <w:rPr>
                <w:b/>
              </w:rPr>
              <w:t>9,268,827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double" w:sz="6" w:space="0" w:color="000000"/>
            </w:tcBorders>
            <w:shd w:fill="FFFFFF" w:val="clear"/>
            <w:vAlign w:val="center"/>
          </w:tcPr>
          <w:p>
            <w:pPr>
              <w:pStyle w:val="TableContents"/>
              <w:bidi w:val="0"/>
              <w:spacing w:before="0" w:after="283"/>
              <w:jc w:val="left"/>
              <w:rPr>
                <w:b/>
              </w:rPr>
            </w:pPr>
            <w:r>
              <w:rPr>
                <w:b/>
              </w:rPr>
              <w:t>$</w:t>
            </w:r>
            <w:bookmarkStart w:id="1489" w:name="xdx_987_ecustom--TransferOfInAndOutInves"/>
            <w:bookmarkEnd w:id="1489"/>
          </w:p>
        </w:tc>
        <w:tc>
          <w:tcPr>
            <w:tcW w:w="1079" w:type="dxa"/>
            <w:tcBorders>
              <w:bottom w:val="double" w:sz="6" w:space="0" w:color="000000"/>
            </w:tcBorders>
            <w:shd w:fill="FFFFFF" w:val="clear"/>
            <w:vAlign w:val="center"/>
          </w:tcPr>
          <w:p>
            <w:pPr>
              <w:pStyle w:val="TableContents"/>
              <w:bidi w:val="0"/>
              <w:spacing w:before="0" w:after="283"/>
              <w:jc w:val="right"/>
              <w:rPr>
                <w:b/>
              </w:rPr>
            </w:pPr>
            <w:r>
              <w:rPr>
                <w:b/>
              </w:rPr>
              <w:t>1,000,000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bookmarkStart w:id="1490" w:name="xdx_989_eus-gaap--UnrealizedGainLossOnIn"/>
            <w:bookmarkEnd w:id="1490"/>
          </w:p>
        </w:tc>
        <w:tc>
          <w:tcPr>
            <w:tcW w:w="1056" w:type="dxa"/>
            <w:tcBorders>
              <w:bottom w:val="double" w:sz="6" w:space="0" w:color="000000"/>
            </w:tcBorders>
            <w:shd w:fill="FFFFFF" w:val="clear"/>
            <w:vAlign w:val="center"/>
          </w:tcPr>
          <w:p>
            <w:pPr>
              <w:pStyle w:val="TableContents"/>
              <w:bidi w:val="0"/>
              <w:spacing w:before="0" w:after="283"/>
              <w:jc w:val="right"/>
              <w:rPr>
                <w:b/>
              </w:rPr>
            </w:pPr>
            <w:r>
              <w:rPr>
                <w:b/>
              </w:rPr>
              <w:t>(2,061,460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vAlign w:val="center"/>
          </w:tcPr>
          <w:p>
            <w:pPr>
              <w:pStyle w:val="TableContents"/>
              <w:bidi w:val="0"/>
              <w:spacing w:before="0" w:after="283"/>
              <w:jc w:val="left"/>
              <w:rPr>
                <w:b/>
              </w:rPr>
            </w:pPr>
            <w:r>
              <w:rPr>
                <w:b/>
              </w:rPr>
              <w:t>$</w:t>
            </w:r>
            <w:bookmarkStart w:id="1491" w:name="xdx_982_eus-gaap--InvestmentOwnedAtFairV"/>
            <w:bookmarkEnd w:id="1491"/>
          </w:p>
        </w:tc>
        <w:tc>
          <w:tcPr>
            <w:tcW w:w="1060" w:type="dxa"/>
            <w:tcBorders>
              <w:bottom w:val="double" w:sz="6" w:space="0" w:color="000000"/>
            </w:tcBorders>
            <w:shd w:fill="FFFFFF" w:val="clear"/>
            <w:vAlign w:val="center"/>
          </w:tcPr>
          <w:p>
            <w:pPr>
              <w:pStyle w:val="TableContents"/>
              <w:bidi w:val="0"/>
              <w:spacing w:before="0" w:after="283"/>
              <w:jc w:val="right"/>
              <w:rPr>
                <w:b/>
              </w:rPr>
            </w:pPr>
            <w:r>
              <w:rPr>
                <w:b/>
              </w:rPr>
              <w:t>8,207,367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double" w:sz="6" w:space="0" w:color="000000"/>
            </w:tcBorders>
            <w:shd w:fill="FFFFFF" w:val="clear"/>
            <w:vAlign w:val="center"/>
          </w:tcPr>
          <w:p>
            <w:pPr>
              <w:pStyle w:val="TableContents"/>
              <w:bidi w:val="0"/>
              <w:spacing w:before="0" w:after="283"/>
              <w:jc w:val="left"/>
              <w:rPr/>
            </w:pPr>
            <w:r>
              <w:rPr/>
              <w:t> </w:t>
            </w:r>
            <w:bookmarkStart w:id="1492" w:name="xdx_980_eus-gaap--InvestmentOwnedPercent"/>
            <w:bookmarkEnd w:id="1492"/>
          </w:p>
        </w:tc>
        <w:tc>
          <w:tcPr>
            <w:tcW w:w="850" w:type="dxa"/>
            <w:tcBorders>
              <w:bottom w:val="double" w:sz="6" w:space="0" w:color="000000"/>
            </w:tcBorders>
            <w:shd w:fill="FFFFFF" w:val="clear"/>
            <w:vAlign w:val="center"/>
          </w:tcPr>
          <w:p>
            <w:pPr>
              <w:pStyle w:val="TableContents"/>
              <w:bidi w:val="0"/>
              <w:spacing w:before="0" w:after="283"/>
              <w:jc w:val="right"/>
              <w:rPr>
                <w:b/>
              </w:rPr>
            </w:pPr>
            <w:r>
              <w:rPr>
                <w:b/>
              </w:rPr>
              <w:t>4.00</w:t>
            </w:r>
          </w:p>
        </w:tc>
        <w:tc>
          <w:tcPr>
            <w:tcW w:w="28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93" w:name="xdx_F03_zEHtXvH6U912"/>
            <w:bookmarkEnd w:id="1493"/>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494" w:name="xdx_F1E_z6Gk6ONS8Y98"/>
            <w:bookmarkEnd w:id="1494"/>
            <w:r>
              <w:rPr>
                <w:rFonts w:ascii="Times New Roman;Times;Serif" w:hAnsi="Times New Roman;Times;Serif"/>
                <w:b w:val="false"/>
                <w:i w:val="false"/>
                <w:caps w:val="false"/>
                <w:smallCaps w:val="false"/>
                <w:sz w:val="20"/>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Times;Serif" w:hAnsi="Times New Roman;Times;Serif"/>
                <w:b w:val="false"/>
                <w:i/>
                <w:caps w:val="false"/>
                <w:smallCaps w:val="false"/>
                <w:sz w:val="20"/>
              </w:rPr>
              <w:t>Investments at Fair Value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both"/>
              <w:rPr>
                <w:rFonts w:ascii="Times New Roman;Times;Serif" w:hAnsi="Times New Roman;Times;Serif"/>
                <w:sz w:val="20"/>
              </w:rPr>
            </w:pPr>
            <w:bookmarkStart w:id="1495" w:name="xdx_F0C_zuFVIQSSnl8l"/>
            <w:bookmarkEnd w:id="1495"/>
            <w:r>
              <w:rPr>
                <w:rFonts w:ascii="Times New Roman;Times;Serif" w:hAnsi="Times New Roman;Times;Serif"/>
                <w:sz w:val="20"/>
              </w:rPr>
              <w:t>**</w:t>
            </w:r>
          </w:p>
        </w:tc>
        <w:tc>
          <w:tcPr>
            <w:tcW w:w="10023" w:type="dxa"/>
            <w:tcBorders/>
            <w:vAlign w:val="center"/>
          </w:tcPr>
          <w:p>
            <w:pPr>
              <w:pStyle w:val="TableContents"/>
              <w:bidi w:val="0"/>
              <w:spacing w:before="0" w:after="283"/>
              <w:jc w:val="both"/>
              <w:rPr>
                <w:rFonts w:ascii="Times New Roman;Times;Serif" w:hAnsi="Times New Roman;Times;Serif"/>
                <w:sz w:val="20"/>
              </w:rPr>
            </w:pPr>
            <w:bookmarkStart w:id="1496" w:name="xdx_F14_zCg4TEcoVbL"/>
            <w:bookmarkEnd w:id="1496"/>
            <w:r>
              <w:rPr>
                <w:rFonts w:ascii="Times New Roman;Times;Serif" w:hAnsi="Times New Roman;Times;Serif"/>
                <w:sz w:val="20"/>
              </w:rPr>
              <w:t xml:space="preserve">Indicates assets that Neostellar Capital believes do not represent “qualifying assets” under Section 55(a) of the 1940 Act. Of the Company’s total investments as of December 31, 2025, </w:t>
            </w:r>
            <w:bookmarkStart w:id="1497" w:name="xdx_90E_eus-gaap--InvestmentOwnedPercent"/>
            <w:bookmarkEnd w:id="1497"/>
            <w:r>
              <w:rPr>
                <w:rFonts w:ascii="Times New Roman;Times;Serif" w:hAnsi="Times New Roman;Times;Serif"/>
                <w:sz w:val="20"/>
              </w:rPr>
              <w:t>32.70% of its total investments are non-qualifying assets, excluding cash and short-term US treasuries.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98" w:name="xdx_F01_z7FP3bAe5te5"/>
            <w:bookmarkEnd w:id="1498"/>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caps w:val="false"/>
                <w:smallCaps w:val="false"/>
              </w:rPr>
            </w:pPr>
            <w:bookmarkStart w:id="1499" w:name="xdx_F11_z8FVs1DTzPPl"/>
            <w:bookmarkEnd w:id="1499"/>
            <w:r>
              <w:rPr>
                <w:caps w:val="false"/>
                <w:smallCaps w:val="false"/>
              </w:rPr>
              <w:t>“</w:t>
            </w:r>
            <w:r>
              <w:rPr>
                <w:rFonts w:ascii="Times New Roman;Times;Serif" w:hAnsi="Times New Roman;Times;Serif"/>
                <w:b w:val="false"/>
                <w:i w:val="false"/>
                <w:caps w:val="false"/>
                <w:smallCaps w:val="false"/>
                <w:sz w:val="20"/>
              </w:rPr>
              <w:t>Affiliate Investments” are investments in those companies that are “Affiliated Companies” of Neostellar Capital, as defined in the 1940 Act. In general, a company is deemed to be an “Affiliate” of Neostellar Capital if Neostellar Capital beneficially owns, directly or indirectly, between 5% and 25% of the voting securities (i.e., securities with the right to elect directors) of such company.</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00" w:name="xdx_F0D_zd8Hom565Ix5"/>
            <w:bookmarkEnd w:id="1500"/>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caps w:val="false"/>
                <w:smallCaps w:val="false"/>
              </w:rPr>
            </w:pPr>
            <w:bookmarkStart w:id="1501" w:name="xdx_F1E_zHWAnwWsuMY"/>
            <w:bookmarkEnd w:id="1501"/>
            <w:r>
              <w:rPr>
                <w:caps w:val="false"/>
                <w:smallCaps w:val="false"/>
              </w:rPr>
              <w:t>“</w:t>
            </w:r>
            <w:r>
              <w:rPr>
                <w:rFonts w:ascii="Times New Roman;Times;Serif" w:hAnsi="Times New Roman;Times;Serif"/>
                <w:b w:val="false"/>
                <w:i w:val="false"/>
                <w:caps w:val="false"/>
                <w:smallCaps w:val="false"/>
                <w:sz w:val="20"/>
              </w:rPr>
              <w:t>Control Investments” are investments in those companies that are “Controlled Companies” of Neostellar Capital,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02" w:name="xdx_F0A_zVjlQ9JHmzr7"/>
            <w:bookmarkEnd w:id="1502"/>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03" w:name="xdx_F1B_zYgeTRXmkgWl"/>
            <w:bookmarkEnd w:id="1503"/>
            <w:r>
              <w:rPr>
                <w:rFonts w:ascii="Times New Roman;Times;Serif" w:hAnsi="Times New Roman;Times;Serif"/>
                <w:b w:val="false"/>
                <w:i w:val="false"/>
                <w:caps w:val="false"/>
                <w:smallCaps w:val="false"/>
                <w:sz w:val="20"/>
              </w:rPr>
              <w:t>Denotes an investment that is the sponsor of a special purpose acquisition company formed for the purpose of effecting a merger, capital stock exchange, asset acquisition, stock purchase, reorganization or similar business combination with one or more businesses.</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04" w:name="xdx_F0E_zUzfhXZ3yRH8"/>
            <w:bookmarkEnd w:id="1504"/>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05" w:name="xdx_F13_zafwdbOi5H39"/>
            <w:bookmarkEnd w:id="1505"/>
            <w:r>
              <w:rPr>
                <w:rFonts w:ascii="Times New Roman;Times;Serif" w:hAnsi="Times New Roman;Times;Serif"/>
                <w:b w:val="false"/>
                <w:i w:val="false"/>
                <w:caps w:val="false"/>
                <w:smallCaps w:val="false"/>
                <w:sz w:val="20"/>
              </w:rPr>
              <w:t>Neostellar Capital’s investments in StormWind, LLC are held through Neostellar Capital Corp.’s wholly owned subsidiary, GSVC SW Holdings, Inc.</w:t>
            </w:r>
          </w:p>
        </w:tc>
      </w:tr>
    </w:tbl>
    <w:p>
      <w:pPr>
        <w:pStyle w:val="TextBody"/>
        <w:bidi w:val="0"/>
        <w:spacing w:before="0" w:after="0"/>
        <w:ind w:left="720" w:right="0" w:hanging="720"/>
        <w:jc w:val="both"/>
        <w:rPr>
          <w:caps w:val="false"/>
          <w:smallCaps w:val="false"/>
        </w:rPr>
      </w:pPr>
      <w:bookmarkStart w:id="1506" w:name="xdx_8AE_zfTVGI5xm979"/>
      <w:bookmarkEnd w:id="150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07" w:name="xdx_80E_eus-gaap--StockholdersEquityNote"/>
      <w:bookmarkEnd w:id="1507"/>
      <w:r>
        <w:rPr>
          <w:rFonts w:ascii="Times New Roman;Times;Serif" w:hAnsi="Times New Roman;Times;Serif"/>
          <w:b/>
          <w:i w:val="false"/>
          <w:caps w:val="false"/>
          <w:smallCaps w:val="false"/>
          <w:sz w:val="20"/>
        </w:rPr>
        <w:t>NOTE 5—</w:t>
      </w:r>
      <w:bookmarkStart w:id="1508" w:name="xdx_82B_zIZdOkNcfPq2"/>
      <w:bookmarkEnd w:id="1508"/>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2017, the Company announced a $</w:t>
      </w:r>
      <w:bookmarkStart w:id="1509" w:name="xdx_90A_esrt--StockRepurchaseProgramAuth"/>
      <w:bookmarkEnd w:id="1509"/>
      <w:r>
        <w:rPr>
          <w:rFonts w:ascii="Times New Roman;Times;Serif" w:hAnsi="Times New Roman;Times;Serif"/>
          <w:b w:val="false"/>
          <w:i w:val="false"/>
          <w:caps w:val="false"/>
          <w:smallCaps w:val="false"/>
          <w:sz w:val="20"/>
        </w:rPr>
        <w:t>5.0 million discretionary open-market share repurchase program of shares of the Company’s common stock, $</w:t>
      </w:r>
      <w:bookmarkStart w:id="1510" w:name="xdx_908_eus-gaap--CommonStockParOrStated"/>
      <w:bookmarkEnd w:id="1510"/>
      <w:r>
        <w:rPr>
          <w:rFonts w:ascii="Times New Roman;Times;Serif" w:hAnsi="Times New Roman;Times;Serif"/>
          <w:b w:val="false"/>
          <w:i w:val="false"/>
          <w:caps w:val="false"/>
          <w:smallCaps w:val="false"/>
          <w:sz w:val="20"/>
        </w:rPr>
        <w:t>0.01 par value per share, of up to $</w:t>
      </w:r>
      <w:bookmarkStart w:id="1511" w:name="xdx_900_esrt--StockRepurchaseProgramAuth"/>
      <w:bookmarkEnd w:id="1511"/>
      <w:r>
        <w:rPr>
          <w:rFonts w:ascii="Times New Roman;Times;Serif" w:hAnsi="Times New Roman;Times;Serif"/>
          <w:b w:val="false"/>
          <w:i w:val="false"/>
          <w:caps w:val="false"/>
          <w:smallCaps w:val="false"/>
          <w:sz w:val="20"/>
        </w:rPr>
        <w:t>5.0 million until the earlier of (i) August 6, 2018 or (ii) the repurchase of $</w:t>
      </w:r>
      <w:bookmarkStart w:id="1512" w:name="xdx_902_esrt--StockRepurchaseProgramAuth"/>
      <w:bookmarkEnd w:id="1512"/>
      <w:r>
        <w:rPr>
          <w:rFonts w:ascii="Times New Roman;Times;Serif" w:hAnsi="Times New Roman;Times;Serif"/>
          <w:b w:val="false"/>
          <w:i w:val="false"/>
          <w:caps w:val="false"/>
          <w:smallCaps w:val="false"/>
          <w:sz w:val="20"/>
        </w:rPr>
        <w:t>5.0 million in aggregate amount of the Company’s common stock (the “Share Repurchase Program”). Following several intervening approvals from the Company’s Board of Directors to increase the amount of shares of the Company’s common stock that may be repurchased under the discretionary Share Repurchase Program and/or to extend the Share Repurchase Program to later expiration dates, on October 29, 2025, the Company’s Board of Directors authorized an extension, and increase in the amount of common shares that may be purchased under, of the Company’s discretionary Share Repurchase Program until the earlier of (i) October 31, 2026 or (ii) the repurchase of $</w:t>
      </w:r>
      <w:bookmarkStart w:id="1513" w:name="xdx_900_esrt--StockRepurchaseProgramAuth"/>
      <w:bookmarkEnd w:id="1513"/>
      <w:r>
        <w:rPr>
          <w:rFonts w:ascii="Times New Roman;Times;Serif" w:hAnsi="Times New Roman;Times;Serif"/>
          <w:b w:val="false"/>
          <w:i w:val="false"/>
          <w:caps w:val="false"/>
          <w:smallCaps w:val="false"/>
          <w:sz w:val="20"/>
        </w:rPr>
        <w:t>64.3 million in aggregate amount of the Company’s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and 2025, the Company did </w:t>
      </w:r>
      <w:bookmarkStart w:id="1514" w:name="xdx_909_eus-gaap--StockRepurchasedDuring"/>
      <w:bookmarkStart w:id="1515" w:name="xdx_909_eus-gaap--StockRepurchasedDuring"/>
      <w:bookmarkEnd w:id="1514"/>
      <w:bookmarkEnd w:id="1515"/>
      <w:r>
        <w:rPr>
          <w:rFonts w:ascii="Times New Roman;Times;Serif" w:hAnsi="Times New Roman;Times;Serif"/>
          <w:b w:val="false"/>
          <w:i w:val="false"/>
          <w:caps w:val="false"/>
          <w:smallCaps w:val="false"/>
          <w:sz w:val="20"/>
        </w:rPr>
        <w:t>not repurchase any shares of the Company’s common stock under the Share Repurchase Program. As of June 30, 2026, the dollar value of shares that remained available to be purchased by the Company under the Share Repurchase Program was approximately $</w:t>
      </w:r>
      <w:bookmarkStart w:id="1516" w:name="xdx_909_eus-gaap--StockRepurchaseProgram"/>
      <w:bookmarkEnd w:id="1516"/>
      <w:r>
        <w:rPr>
          <w:rFonts w:ascii="Times New Roman;Times;Serif" w:hAnsi="Times New Roman;Times;Serif"/>
          <w:b w:val="false"/>
          <w:i w:val="false"/>
          <w:caps w:val="false"/>
          <w:smallCaps w:val="false"/>
          <w:sz w:val="20"/>
        </w:rPr>
        <w:t>25.0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Amended and Restated 2019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11—Stock-Based Compensation” for a description of the Company’s restricted shares of common stock granted under the Second Amended &amp; Restated 2019 Equity Incentive Plan (as defined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At-the-Market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2020, the Company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the Company may, but has no obligation to, issue and sell up to $</w:t>
      </w:r>
      <w:bookmarkStart w:id="1517" w:name="xdx_900_eus-gaap--SaleOfStockConsiderati"/>
      <w:bookmarkEnd w:id="1517"/>
      <w:r>
        <w:rPr>
          <w:rFonts w:ascii="Times New Roman;Times;Serif" w:hAnsi="Times New Roman;Times;Serif"/>
          <w:b w:val="false"/>
          <w:i w:val="false"/>
          <w:caps w:val="false"/>
          <w:smallCaps w:val="false"/>
          <w:sz w:val="20"/>
        </w:rPr>
        <w:t>150.0 million in aggregate amount of shares of its common stock (the “Shares”) from time to time through the Agents or to them as principal for their own account. The Company intends to use the net proceeds from the ATM Program to make investments in portfolio companies in accordance with its investment objective and strategy and for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Agents will receive a commission from the Company equal to up to </w:t>
      </w:r>
      <w:bookmarkStart w:id="1518" w:name="xdx_90D_ecustom--PercentageOfSalesPrice_"/>
      <w:bookmarkEnd w:id="1518"/>
      <w:r>
        <w:rPr>
          <w:rFonts w:ascii="Times New Roman;Times;Serif" w:hAnsi="Times New Roman;Times;Serif"/>
          <w:b w:val="false"/>
          <w:i w:val="false"/>
          <w:caps w:val="false"/>
          <w:smallCaps w:val="false"/>
          <w:sz w:val="20"/>
        </w:rPr>
        <w:t>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Shares under the ATM Program may be made only pursuant to an effective registration statement. On July 30, 2026, the Company filed a new shelf registration statement on Form N-2 with the SEC, which had not been declared effective as of the date of these Condensed Consolidated Financial Statements. Refer to “Note 12—Subsequent Events—Shelf Registration Statement.”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and 2025, the Company did </w:t>
      </w:r>
      <w:bookmarkStart w:id="1519" w:name="xdx_903_eus-gaap--SaleOfStockNumberOfSha"/>
      <w:bookmarkStart w:id="1520" w:name="xdx_901_eus-gaap--SaleOfStockNumberOfSha"/>
      <w:bookmarkStart w:id="1521" w:name="xdx_903_eus-gaap--SaleOfStockNumberOfSha"/>
      <w:bookmarkStart w:id="1522" w:name="xdx_90C_eus-gaap--SaleOfStockNumberOfSha"/>
      <w:bookmarkEnd w:id="1519"/>
      <w:bookmarkEnd w:id="1520"/>
      <w:bookmarkEnd w:id="1521"/>
      <w:bookmarkEnd w:id="1522"/>
      <w:r>
        <w:rPr>
          <w:rFonts w:ascii="Times New Roman;Times;Serif" w:hAnsi="Times New Roman;Times;Serif"/>
          <w:b w:val="false"/>
          <w:i w:val="false"/>
          <w:caps w:val="false"/>
          <w:smallCaps w:val="false"/>
          <w:sz w:val="20"/>
        </w:rPr>
        <w:t>not issue or sell Shares under the ATM Program. As of June 30, 2026, up to approximately $</w:t>
      </w:r>
      <w:bookmarkStart w:id="1523" w:name="xdx_90F_eus-gaap--EquitySecuritiesFvNiCu"/>
      <w:bookmarkEnd w:id="1523"/>
      <w:r>
        <w:rPr>
          <w:rFonts w:ascii="Times New Roman;Times;Serif" w:hAnsi="Times New Roman;Times;Serif"/>
          <w:b w:val="false"/>
          <w:i w:val="false"/>
          <w:caps w:val="false"/>
          <w:smallCaps w:val="false"/>
          <w:sz w:val="20"/>
        </w:rPr>
        <w:t>87.9 million in aggregate amount of the Shares remain available for sale under the ATM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24" w:name="xdx_801_eus-gaap--EarningsPerShareTextBl"/>
      <w:bookmarkEnd w:id="1524"/>
      <w:r>
        <w:rPr>
          <w:rFonts w:ascii="Times New Roman;Times;Serif" w:hAnsi="Times New Roman;Times;Serif"/>
          <w:b/>
          <w:i w:val="false"/>
          <w:caps w:val="false"/>
          <w:smallCaps w:val="false"/>
          <w:sz w:val="20"/>
        </w:rPr>
        <w:t>NOTE 6—</w:t>
      </w:r>
      <w:bookmarkStart w:id="1525" w:name="xdx_826_zaHZapDbAhx6"/>
      <w:bookmarkEnd w:id="1525"/>
      <w:r>
        <w:rPr>
          <w:rFonts w:ascii="Times New Roman;Times;Serif" w:hAnsi="Times New Roman;Times;Serif"/>
          <w:b/>
          <w:i w:val="false"/>
          <w:caps w:val="false"/>
          <w:smallCaps w:val="false"/>
          <w:sz w:val="20"/>
        </w:rPr>
        <w:t>NET CHANGE IN NET ASSETS RESULTING FROM OPERATIONS PER COMMON SHARE—BASIC AND DILUTED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526" w:name="xdx_890_eus-gaap--ScheduleOfEarningsPerS"/>
      <w:bookmarkEnd w:id="1526"/>
      <w:r>
        <w:rPr>
          <w:rFonts w:ascii="Times New Roman;Times;Serif" w:hAnsi="Times New Roman;Times;Serif"/>
          <w:b w:val="false"/>
          <w:i w:val="false"/>
          <w:caps w:val="false"/>
          <w:smallCaps w:val="false"/>
          <w:sz w:val="20"/>
        </w:rPr>
        <w:t>The following information sets forth the computation of basic and diluted net change in net assets resulting from operations per common share, pursuant to ASC 260,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bookmarkStart w:id="1527" w:name="xdx_8BC_zW8JKpw61eck"/>
      <w:bookmarkEnd w:id="1527"/>
      <w:r>
        <w:rPr>
          <w:rFonts w:ascii="Times New Roman;Times;Serif" w:hAnsi="Times New Roman;Times;Serif"/>
          <w:b w:val="false"/>
          <w:i w:val="false"/>
          <w:caps w:val="false"/>
          <w:smallCaps w:val="false"/>
          <w:sz w:val="20"/>
        </w:rPr>
        <w:t>SCHEDULE OF BASIC AND DILUTED COMMON SHARE</w:t>
      </w:r>
    </w:p>
    <w:tbl>
      <w:tblPr>
        <w:tblW w:w="10205" w:type="dxa"/>
        <w:jc w:val="left"/>
        <w:tblInd w:w="0" w:type="dxa"/>
        <w:tblLayout w:type="fixed"/>
        <w:tblCellMar>
          <w:top w:w="0" w:type="dxa"/>
          <w:left w:w="0" w:type="dxa"/>
          <w:bottom w:w="0" w:type="dxa"/>
          <w:right w:w="0" w:type="dxa"/>
        </w:tblCellMar>
      </w:tblPr>
      <w:tblGrid>
        <w:gridCol w:w="4259"/>
        <w:gridCol w:w="60"/>
        <w:gridCol w:w="150"/>
        <w:gridCol w:w="1265"/>
        <w:gridCol w:w="102"/>
        <w:gridCol w:w="64"/>
        <w:gridCol w:w="150"/>
        <w:gridCol w:w="1184"/>
        <w:gridCol w:w="60"/>
        <w:gridCol w:w="60"/>
        <w:gridCol w:w="142"/>
        <w:gridCol w:w="1243"/>
        <w:gridCol w:w="61"/>
        <w:gridCol w:w="61"/>
        <w:gridCol w:w="142"/>
        <w:gridCol w:w="1121"/>
        <w:gridCol w:w="81"/>
      </w:tblGrid>
      <w:tr>
        <w:trPr/>
        <w:tc>
          <w:tcPr>
            <w:tcW w:w="4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28" w:name="xdx_490_20260401__20260630_zdTer4tFV8jg"/>
            <w:bookmarkEnd w:id="1528"/>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1529" w:name="xdx_495_20250401__20250630_zB9KuBTshJd"/>
            <w:bookmarkEnd w:id="1529"/>
          </w:p>
        </w:tc>
        <w:tc>
          <w:tcPr>
            <w:tcW w:w="13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0" w:name="xdx_49A_20260101__20260630_z7huO2nmHZca"/>
            <w:bookmarkEnd w:id="1530"/>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1531" w:name="xdx_492_20250101__20250630_zAQDV3PK6SIi"/>
            <w:bookmarkEnd w:id="1531"/>
          </w:p>
        </w:tc>
        <w:tc>
          <w:tcPr>
            <w:tcW w:w="12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r>
      <w:tr>
        <w:trPr/>
        <w:tc>
          <w:tcPr>
            <w:tcW w:w="4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1" w:type="dxa"/>
            <w:tcBorders/>
            <w:vAlign w:val="center"/>
          </w:tcPr>
          <w:p>
            <w:pPr>
              <w:pStyle w:val="TableContents"/>
              <w:bidi w:val="0"/>
              <w:spacing w:before="0" w:after="283"/>
              <w:jc w:val="left"/>
              <w:rPr/>
            </w:pPr>
            <w:r>
              <w:rPr/>
              <w:t> </w:t>
            </w:r>
          </w:p>
        </w:tc>
      </w:tr>
      <w:tr>
        <w:trPr/>
        <w:tc>
          <w:tcPr>
            <w:tcW w:w="4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r>
      <w:tr>
        <w:trPr/>
        <w:tc>
          <w:tcPr>
            <w:tcW w:w="4259" w:type="dxa"/>
            <w:tcBorders/>
            <w:shd w:fill="CCEEFF" w:val="clear"/>
            <w:vAlign w:val="center"/>
          </w:tcPr>
          <w:p>
            <w:pPr>
              <w:pStyle w:val="TableContents"/>
              <w:bidi w:val="0"/>
              <w:spacing w:before="0" w:after="283"/>
              <w:jc w:val="left"/>
              <w:rPr>
                <w:b/>
                <w:u w:val="single"/>
              </w:rPr>
            </w:pPr>
            <w:r>
              <w:rPr>
                <w:b/>
                <w:u w:val="single"/>
              </w:rPr>
              <w:t>Earnings per common share–basic:</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1532" w:name="xdx_40B_eus-gaap--IncomeLossFromContinui"/>
            <w:bookmarkEnd w:id="1532"/>
          </w:p>
        </w:tc>
      </w:tr>
      <w:tr>
        <w:trPr/>
        <w:tc>
          <w:tcPr>
            <w:tcW w:w="4259" w:type="dxa"/>
            <w:tcBorders/>
            <w:shd w:fill="FFFFFF" w:val="clear"/>
            <w:vAlign w:val="center"/>
          </w:tcPr>
          <w:p>
            <w:pPr>
              <w:pStyle w:val="TableContents"/>
              <w:bidi w:val="0"/>
              <w:spacing w:before="0" w:after="283"/>
              <w:jc w:val="left"/>
              <w:rPr/>
            </w:pPr>
            <w:r>
              <w:rPr/>
              <w:t>Net change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(18,703,673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184" w:type="dxa"/>
            <w:tcBorders/>
            <w:shd w:fill="FFFFFF" w:val="clear"/>
            <w:vAlign w:val="center"/>
          </w:tcPr>
          <w:p>
            <w:pPr>
              <w:pStyle w:val="TableContents"/>
              <w:bidi w:val="0"/>
              <w:spacing w:before="0" w:after="283"/>
              <w:jc w:val="right"/>
              <w:rPr/>
            </w:pPr>
            <w:r>
              <w:rPr/>
              <w:t>62,328,070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243" w:type="dxa"/>
            <w:tcBorders/>
            <w:shd w:fill="FFFFFF" w:val="clear"/>
            <w:vAlign w:val="center"/>
          </w:tcPr>
          <w:p>
            <w:pPr>
              <w:pStyle w:val="TableContents"/>
              <w:bidi w:val="0"/>
              <w:spacing w:before="0" w:after="283"/>
              <w:jc w:val="right"/>
              <w:rPr/>
            </w:pPr>
            <w:r>
              <w:rPr/>
              <w:t>136,932,387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1" w:type="dxa"/>
            <w:tcBorders/>
            <w:shd w:fill="FFFFFF" w:val="clear"/>
            <w:vAlign w:val="center"/>
          </w:tcPr>
          <w:p>
            <w:pPr>
              <w:pStyle w:val="TableContents"/>
              <w:bidi w:val="0"/>
              <w:spacing w:before="0" w:after="283"/>
              <w:jc w:val="right"/>
              <w:rPr/>
            </w:pPr>
            <w:r>
              <w:rPr/>
              <w:t>61,521,355</w:t>
            </w:r>
          </w:p>
        </w:tc>
        <w:tc>
          <w:tcPr>
            <w:tcW w:w="81" w:type="dxa"/>
            <w:tcBorders/>
            <w:shd w:fill="FFFFFF" w:val="clear"/>
            <w:vAlign w:val="center"/>
          </w:tcPr>
          <w:p>
            <w:pPr>
              <w:pStyle w:val="TableContents"/>
              <w:bidi w:val="0"/>
              <w:spacing w:before="0" w:after="283"/>
              <w:jc w:val="left"/>
              <w:rPr/>
            </w:pPr>
            <w:r>
              <w:rPr/>
              <w:t> </w:t>
            </w:r>
            <w:bookmarkStart w:id="1533" w:name="xdx_40B_eus-gaap--WeightedAverageNumberO"/>
            <w:bookmarkEnd w:id="1533"/>
          </w:p>
        </w:tc>
      </w:tr>
      <w:tr>
        <w:trPr/>
        <w:tc>
          <w:tcPr>
            <w:tcW w:w="4259" w:type="dxa"/>
            <w:tcBorders/>
            <w:shd w:fill="CCEEFF" w:val="clear"/>
            <w:vAlign w:val="center"/>
          </w:tcPr>
          <w:p>
            <w:pPr>
              <w:pStyle w:val="TableContents"/>
              <w:bidi w:val="0"/>
              <w:spacing w:before="0" w:after="283"/>
              <w:jc w:val="left"/>
              <w:rPr/>
            </w:pPr>
            <w:r>
              <w:rPr/>
              <w:t>Weighted-average common shares–basic</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25,983,140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23,728,095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25,683,611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23,650,399</w:t>
            </w:r>
          </w:p>
        </w:tc>
        <w:tc>
          <w:tcPr>
            <w:tcW w:w="81" w:type="dxa"/>
            <w:tcBorders/>
            <w:shd w:fill="CCEEFF" w:val="clear"/>
            <w:vAlign w:val="center"/>
          </w:tcPr>
          <w:p>
            <w:pPr>
              <w:pStyle w:val="TableContents"/>
              <w:bidi w:val="0"/>
              <w:spacing w:before="0" w:after="283"/>
              <w:jc w:val="left"/>
              <w:rPr/>
            </w:pPr>
            <w:r>
              <w:rPr/>
              <w:t> </w:t>
            </w:r>
            <w:bookmarkStart w:id="1534" w:name="xdx_40C_eus-gaap--EarningsPerShareBasic_"/>
            <w:bookmarkEnd w:id="1534"/>
          </w:p>
        </w:tc>
      </w:tr>
      <w:tr>
        <w:trPr/>
        <w:tc>
          <w:tcPr>
            <w:tcW w:w="4259" w:type="dxa"/>
            <w:tcBorders/>
            <w:shd w:fill="FFFFFF" w:val="clear"/>
            <w:vAlign w:val="center"/>
          </w:tcPr>
          <w:p>
            <w:pPr>
              <w:pStyle w:val="TableContents"/>
              <w:bidi w:val="0"/>
              <w:spacing w:before="0" w:after="283"/>
              <w:jc w:val="left"/>
              <w:rPr>
                <w:b/>
              </w:rPr>
            </w:pPr>
            <w:r>
              <w:rPr>
                <w:b/>
              </w:rPr>
              <w:t>Earnings per common share–basic</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(0.72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pPr>
            <w:r>
              <w:rPr/>
              <w:t>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pPr>
            <w:r>
              <w:rPr/>
              <w:t>5.33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pPr>
            <w:r>
              <w:rPr/>
              <w:t>2.60</w:t>
            </w:r>
          </w:p>
        </w:tc>
        <w:tc>
          <w:tcPr>
            <w:tcW w:w="81" w:type="dxa"/>
            <w:tcBorders/>
            <w:shd w:fill="FFFFFF" w:val="clear"/>
            <w:vAlign w:val="center"/>
          </w:tcPr>
          <w:p>
            <w:pPr>
              <w:pStyle w:val="TableContents"/>
              <w:bidi w:val="0"/>
              <w:spacing w:before="0" w:after="283"/>
              <w:jc w:val="left"/>
              <w:rPr/>
            </w:pPr>
            <w:r>
              <w:rPr/>
              <w:t> </w:t>
            </w:r>
          </w:p>
        </w:tc>
      </w:tr>
      <w:tr>
        <w:trPr/>
        <w:tc>
          <w:tcPr>
            <w:tcW w:w="4259" w:type="dxa"/>
            <w:tcBorders/>
            <w:shd w:fill="CCEEFF" w:val="clear"/>
            <w:vAlign w:val="center"/>
          </w:tcPr>
          <w:p>
            <w:pPr>
              <w:pStyle w:val="TableContents"/>
              <w:bidi w:val="0"/>
              <w:spacing w:before="0" w:after="283"/>
              <w:jc w:val="left"/>
              <w:rPr>
                <w:b/>
                <w:u w:val="single"/>
              </w:rPr>
            </w:pPr>
            <w:r>
              <w:rPr>
                <w:b/>
                <w:u w:val="single"/>
              </w:rPr>
              <w:t>Earnings per common share–diluted: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1535" w:name="xdx_40F_ecustom--IncomeLossFromContinuin"/>
            <w:bookmarkEnd w:id="1535"/>
          </w:p>
        </w:tc>
      </w:tr>
      <w:tr>
        <w:trPr/>
        <w:tc>
          <w:tcPr>
            <w:tcW w:w="4259" w:type="dxa"/>
            <w:tcBorders/>
            <w:shd w:fill="FFFFFF" w:val="clear"/>
            <w:vAlign w:val="center"/>
          </w:tcPr>
          <w:p>
            <w:pPr>
              <w:pStyle w:val="TableContents"/>
              <w:bidi w:val="0"/>
              <w:spacing w:before="0" w:after="283"/>
              <w:jc w:val="left"/>
              <w:rPr/>
            </w:pPr>
            <w:r>
              <w:rPr/>
              <w:t>Net change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(18,703,673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184" w:type="dxa"/>
            <w:tcBorders/>
            <w:shd w:fill="FFFFFF" w:val="clear"/>
            <w:vAlign w:val="center"/>
          </w:tcPr>
          <w:p>
            <w:pPr>
              <w:pStyle w:val="TableContents"/>
              <w:bidi w:val="0"/>
              <w:spacing w:before="0" w:after="283"/>
              <w:jc w:val="right"/>
              <w:rPr/>
            </w:pPr>
            <w:r>
              <w:rPr/>
              <w:t>62,328,070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243" w:type="dxa"/>
            <w:tcBorders/>
            <w:shd w:fill="FFFFFF" w:val="clear"/>
            <w:vAlign w:val="center"/>
          </w:tcPr>
          <w:p>
            <w:pPr>
              <w:pStyle w:val="TableContents"/>
              <w:bidi w:val="0"/>
              <w:spacing w:before="0" w:after="283"/>
              <w:jc w:val="right"/>
              <w:rPr/>
            </w:pPr>
            <w:r>
              <w:rPr/>
              <w:t>136,932,387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1" w:type="dxa"/>
            <w:tcBorders/>
            <w:shd w:fill="FFFFFF" w:val="clear"/>
            <w:vAlign w:val="center"/>
          </w:tcPr>
          <w:p>
            <w:pPr>
              <w:pStyle w:val="TableContents"/>
              <w:bidi w:val="0"/>
              <w:spacing w:before="0" w:after="283"/>
              <w:jc w:val="right"/>
              <w:rPr/>
            </w:pPr>
            <w:r>
              <w:rPr/>
              <w:t>61,521,355</w:t>
            </w:r>
          </w:p>
        </w:tc>
        <w:tc>
          <w:tcPr>
            <w:tcW w:w="81" w:type="dxa"/>
            <w:tcBorders/>
            <w:shd w:fill="FFFFFF" w:val="clear"/>
            <w:vAlign w:val="center"/>
          </w:tcPr>
          <w:p>
            <w:pPr>
              <w:pStyle w:val="TableContents"/>
              <w:bidi w:val="0"/>
              <w:spacing w:before="0" w:after="283"/>
              <w:jc w:val="left"/>
              <w:rPr/>
            </w:pPr>
            <w:r>
              <w:rPr/>
              <w:t> </w:t>
            </w:r>
            <w:bookmarkStart w:id="1536" w:name="xdx_409_ecustom--AdjustmentForInterestAn"/>
            <w:bookmarkEnd w:id="1536"/>
          </w:p>
        </w:tc>
      </w:tr>
      <w:tr>
        <w:trPr/>
        <w:tc>
          <w:tcPr>
            <w:tcW w:w="4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Adjustment for interest and amortization on </w:t>
            </w:r>
            <w:bookmarkStart w:id="1537" w:name="xdx_90F_ecustom--ConvertibleNotesPercent"/>
            <w:bookmarkStart w:id="1538" w:name="xdx_90A_ecustom--ConvertibleNotesPercent"/>
            <w:bookmarkStart w:id="1539" w:name="xdx_902_ecustom--ConvertibleNotesPercent"/>
            <w:bookmarkStart w:id="1540" w:name="xdx_902_ecustom--ConvertibleNotesPercent"/>
            <w:bookmarkEnd w:id="1537"/>
            <w:bookmarkEnd w:id="1538"/>
            <w:bookmarkEnd w:id="1539"/>
            <w:bookmarkEnd w:id="1540"/>
            <w:r>
              <w:rPr>
                <w:rFonts w:ascii="Times New Roman;Times;Serif" w:hAnsi="Times New Roman;Times;Serif"/>
                <w:sz w:val="20"/>
              </w:rPr>
              <w:t>6.50% Convertible Notes due 2029</w:t>
            </w:r>
            <w:bookmarkStart w:id="1541" w:name="xdx_F4D_zsKwQ58xUKXg"/>
            <w:bookmarkEnd w:id="1541"/>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628,529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1,179,929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1,241,345</w:t>
            </w:r>
          </w:p>
        </w:tc>
        <w:tc>
          <w:tcPr>
            <w:tcW w:w="81" w:type="dxa"/>
            <w:tcBorders/>
            <w:shd w:fill="CCEEFF" w:val="clear"/>
            <w:vAlign w:val="center"/>
          </w:tcPr>
          <w:p>
            <w:pPr>
              <w:pStyle w:val="TableContents"/>
              <w:bidi w:val="0"/>
              <w:spacing w:before="0" w:after="283"/>
              <w:jc w:val="left"/>
              <w:rPr/>
            </w:pPr>
            <w:r>
              <w:rPr/>
              <w:t> </w:t>
            </w:r>
            <w:bookmarkStart w:id="1542" w:name="xdx_401_ecustom--NetChangeInNetAssetsRes"/>
            <w:bookmarkEnd w:id="1542"/>
          </w:p>
        </w:tc>
      </w:tr>
      <w:tr>
        <w:trPr/>
        <w:tc>
          <w:tcPr>
            <w:tcW w:w="4259" w:type="dxa"/>
            <w:tcBorders/>
            <w:shd w:fill="FFFFFF" w:val="clear"/>
            <w:vAlign w:val="center"/>
          </w:tcPr>
          <w:p>
            <w:pPr>
              <w:pStyle w:val="TableContents"/>
              <w:bidi w:val="0"/>
              <w:spacing w:before="0" w:after="283"/>
              <w:jc w:val="left"/>
              <w:rPr/>
            </w:pPr>
            <w:r>
              <w:rPr/>
              <w:t>Net change in net assets resulting from operations, as adjusted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(18,703,673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184" w:type="dxa"/>
            <w:tcBorders/>
            <w:shd w:fill="FFFFFF" w:val="clear"/>
            <w:vAlign w:val="center"/>
          </w:tcPr>
          <w:p>
            <w:pPr>
              <w:pStyle w:val="TableContents"/>
              <w:bidi w:val="0"/>
              <w:spacing w:before="0" w:after="283"/>
              <w:jc w:val="right"/>
              <w:rPr/>
            </w:pPr>
            <w:r>
              <w:rPr/>
              <w:t>62,956,599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243" w:type="dxa"/>
            <w:tcBorders/>
            <w:shd w:fill="FFFFFF" w:val="clear"/>
            <w:vAlign w:val="center"/>
          </w:tcPr>
          <w:p>
            <w:pPr>
              <w:pStyle w:val="TableContents"/>
              <w:bidi w:val="0"/>
              <w:spacing w:before="0" w:after="283"/>
              <w:jc w:val="right"/>
              <w:rPr/>
            </w:pPr>
            <w:r>
              <w:rPr/>
              <w:t>138,112,316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1" w:type="dxa"/>
            <w:tcBorders/>
            <w:shd w:fill="FFFFFF" w:val="clear"/>
            <w:vAlign w:val="center"/>
          </w:tcPr>
          <w:p>
            <w:pPr>
              <w:pStyle w:val="TableContents"/>
              <w:bidi w:val="0"/>
              <w:spacing w:before="0" w:after="283"/>
              <w:jc w:val="right"/>
              <w:rPr/>
            </w:pPr>
            <w:r>
              <w:rPr/>
              <w:t>62,762,700</w:t>
            </w:r>
          </w:p>
        </w:tc>
        <w:tc>
          <w:tcPr>
            <w:tcW w:w="81" w:type="dxa"/>
            <w:tcBorders/>
            <w:shd w:fill="FFFFFF" w:val="clear"/>
            <w:vAlign w:val="center"/>
          </w:tcPr>
          <w:p>
            <w:pPr>
              <w:pStyle w:val="TableContents"/>
              <w:bidi w:val="0"/>
              <w:spacing w:before="0" w:after="283"/>
              <w:jc w:val="left"/>
              <w:rPr/>
            </w:pPr>
            <w:r>
              <w:rPr/>
              <w:t> </w:t>
            </w:r>
            <w:bookmarkStart w:id="1543" w:name="xdx_402_ecustom--AdjustmentForDilutive_z"/>
            <w:bookmarkEnd w:id="1543"/>
          </w:p>
        </w:tc>
      </w:tr>
      <w:tr>
        <w:trPr/>
        <w:tc>
          <w:tcPr>
            <w:tcW w:w="4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Adjustment for dilutive effect of </w:t>
            </w:r>
            <w:bookmarkStart w:id="1544" w:name="xdx_90D_ecustom--ConvertibleNotesPercent"/>
            <w:bookmarkStart w:id="1545" w:name="xdx_90B_ecustom--ConvertibleNotesPercent"/>
            <w:bookmarkStart w:id="1546" w:name="xdx_901_ecustom--ConvertibleNotesPercent"/>
            <w:bookmarkStart w:id="1547" w:name="xdx_906_ecustom--ConvertibleNotesPercent"/>
            <w:bookmarkEnd w:id="1544"/>
            <w:bookmarkEnd w:id="1545"/>
            <w:bookmarkEnd w:id="1546"/>
            <w:bookmarkEnd w:id="1547"/>
            <w:r>
              <w:rPr>
                <w:rFonts w:ascii="Times New Roman;Times;Serif" w:hAnsi="Times New Roman;Times;Serif"/>
                <w:sz w:val="20"/>
              </w:rPr>
              <w:t>6.50% Convertible Notes due 2029</w:t>
            </w:r>
            <w:bookmarkStart w:id="1548" w:name="xdx_F4A_zr51IOJPmw7d"/>
            <w:bookmarkEnd w:id="1548"/>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4,516,130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4,484,558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4,462,664</w:t>
            </w:r>
          </w:p>
        </w:tc>
        <w:tc>
          <w:tcPr>
            <w:tcW w:w="81" w:type="dxa"/>
            <w:tcBorders/>
            <w:shd w:fill="CCEEFF" w:val="clear"/>
            <w:vAlign w:val="center"/>
          </w:tcPr>
          <w:p>
            <w:pPr>
              <w:pStyle w:val="TableContents"/>
              <w:bidi w:val="0"/>
              <w:spacing w:before="0" w:after="283"/>
              <w:jc w:val="left"/>
              <w:rPr/>
            </w:pPr>
            <w:r>
              <w:rPr/>
              <w:t> </w:t>
            </w:r>
            <w:bookmarkStart w:id="1549" w:name="xdx_400_ecustom--WeightedAverageNumberOf"/>
            <w:bookmarkEnd w:id="1549"/>
          </w:p>
        </w:tc>
      </w:tr>
      <w:tr>
        <w:trPr/>
        <w:tc>
          <w:tcPr>
            <w:tcW w:w="4259" w:type="dxa"/>
            <w:tcBorders/>
            <w:shd w:fill="FFFFFF" w:val="clear"/>
            <w:vAlign w:val="center"/>
          </w:tcPr>
          <w:p>
            <w:pPr>
              <w:pStyle w:val="TableContents"/>
              <w:bidi w:val="0"/>
              <w:spacing w:before="0" w:after="283"/>
              <w:jc w:val="left"/>
              <w:rPr/>
            </w:pPr>
            <w:r>
              <w:rPr/>
              <w:t>Weighted-average common shares outstanding–diluted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25,983,140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28,244,225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30,168,169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28,113,063</w:t>
            </w:r>
          </w:p>
        </w:tc>
        <w:tc>
          <w:tcPr>
            <w:tcW w:w="81" w:type="dxa"/>
            <w:tcBorders/>
            <w:shd w:fill="FFFFFF" w:val="clear"/>
            <w:vAlign w:val="center"/>
          </w:tcPr>
          <w:p>
            <w:pPr>
              <w:pStyle w:val="TableContents"/>
              <w:bidi w:val="0"/>
              <w:spacing w:before="0" w:after="283"/>
              <w:jc w:val="left"/>
              <w:rPr/>
            </w:pPr>
            <w:r>
              <w:rPr/>
              <w:t> </w:t>
            </w:r>
            <w:bookmarkStart w:id="1550" w:name="xdx_407_ecustom--EarningsPerShareDiluted"/>
            <w:bookmarkEnd w:id="1550"/>
          </w:p>
        </w:tc>
      </w:tr>
      <w:tr>
        <w:trPr/>
        <w:tc>
          <w:tcPr>
            <w:tcW w:w="4259" w:type="dxa"/>
            <w:tcBorders/>
            <w:shd w:fill="CCEEFF" w:val="clear"/>
            <w:vAlign w:val="center"/>
          </w:tcPr>
          <w:p>
            <w:pPr>
              <w:pStyle w:val="TableContents"/>
              <w:bidi w:val="0"/>
              <w:spacing w:before="0" w:after="283"/>
              <w:jc w:val="left"/>
              <w:rPr>
                <w:b/>
              </w:rPr>
            </w:pPr>
            <w:r>
              <w:rPr>
                <w:b/>
              </w:rPr>
              <w:t>Earnings per common share–diluted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(0.72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4" w:type="dxa"/>
            <w:tcBorders>
              <w:bottom w:val="double" w:sz="6" w:space="0" w:color="000000"/>
            </w:tcBorders>
            <w:shd w:fill="CCEEFF" w:val="clear"/>
            <w:tcMar>
              <w:bottom w:w="28" w:type="dxa"/>
            </w:tcM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pPr>
            <w:r>
              <w:rPr/>
              <w:t>4.58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2.23</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51" w:name="xdx_8A2_zx1F67qSifYk"/>
      <w:bookmarkEnd w:id="1551"/>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52" w:name="xdx_F0C_zEl8ER8Ofofg"/>
            <w:bookmarkEnd w:id="1552"/>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53" w:name="xdx_F18_ze1bGw2m3t21"/>
            <w:bookmarkEnd w:id="1553"/>
            <w:r>
              <w:rPr>
                <w:rFonts w:ascii="Times New Roman;Times;Serif" w:hAnsi="Times New Roman;Times;Serif"/>
                <w:b w:val="false"/>
                <w:i w:val="false"/>
                <w:caps w:val="false"/>
                <w:smallCaps w:val="false"/>
                <w:sz w:val="20"/>
              </w:rPr>
              <w:t>For the three months ended June 30, 2026, 4,192,642 potentially dilutive common shares were excluded from the weighted-average common shares outstanding for diluted net change in net assets resulting from operations per common share because the effect of these shares would have been antidilutive.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54" w:name="xdx_80D_eus-gaap--CommitmentsAndContinge"/>
      <w:bookmarkEnd w:id="1554"/>
      <w:r>
        <w:rPr>
          <w:rFonts w:ascii="Times New Roman;Times;Serif" w:hAnsi="Times New Roman;Times;Serif"/>
          <w:b/>
          <w:i w:val="false"/>
          <w:caps w:val="false"/>
          <w:smallCaps w:val="false"/>
          <w:sz w:val="20"/>
        </w:rPr>
        <w:t>NOTE 7—</w:t>
      </w:r>
      <w:bookmarkStart w:id="1555" w:name="xdx_826_zP4AmlKr2wbk"/>
      <w:bookmarkEnd w:id="1555"/>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enter into investment agreements under which it commits to make an investment in a portfolio company at some future date or over a specified period of time. On December 31, 2025, the Company committed up to $</w:t>
      </w:r>
      <w:bookmarkStart w:id="1556" w:name="xdx_900_ecustom--LossContingencyNonbindi"/>
      <w:bookmarkEnd w:id="1556"/>
      <w:r>
        <w:rPr>
          <w:rFonts w:ascii="Times New Roman;Times;Serif" w:hAnsi="Times New Roman;Times;Serif"/>
          <w:b w:val="false"/>
          <w:i w:val="false"/>
          <w:caps w:val="false"/>
          <w:smallCaps w:val="false"/>
          <w:sz w:val="20"/>
        </w:rPr>
        <w:t>20,000,000 to Magnetar Opportunity 2025-4 LP that required it to make future investments subject to the satisfaction of certain conditions. During the three months ended March 31, 2026, the Company funded $</w:t>
      </w:r>
      <w:bookmarkStart w:id="1557" w:name="xdx_902_eus-gaap--NonconsolidatedLegalEn"/>
      <w:bookmarkEnd w:id="1557"/>
      <w:r>
        <w:rPr>
          <w:rFonts w:ascii="Times New Roman;Times;Serif" w:hAnsi="Times New Roman;Times;Serif"/>
          <w:b w:val="false"/>
          <w:i w:val="false"/>
          <w:caps w:val="false"/>
          <w:smallCaps w:val="false"/>
          <w:sz w:val="20"/>
        </w:rPr>
        <w:t>5,000,000 of the commitment. During the three months ended June 30, 2026, the Company funded the remaining commitment of $</w:t>
      </w:r>
      <w:bookmarkStart w:id="1558" w:name="xdx_90E_eus-gaap--NonconsolidatedLegalEn"/>
      <w:bookmarkEnd w:id="1558"/>
      <w:r>
        <w:rPr>
          <w:rFonts w:ascii="Times New Roman;Times;Serif" w:hAnsi="Times New Roman;Times;Serif"/>
          <w:b w:val="false"/>
          <w:i w:val="false"/>
          <w:caps w:val="false"/>
          <w:smallCaps w:val="false"/>
          <w:sz w:val="20"/>
        </w:rPr>
        <w:t>15,000,000. As of June 30, 2026, the entire commitment to Magnetar Opportunity 2025-4 LP has been funded.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 and Related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one operating lease for office space for which the Company has recorded a right-of-use asset and lease liability for the operating lease obligation. The lease originally commenced on June 3, 2019 and expired on August 31, 2024. On September 1, 2024, the Company extended the previous operating lease for office space for an additional term of three years and three months, with an estimated commencement date of January 1, 2025 and expiring March 31, 2028. On February 7, 2025, the Company executed a commencement letter, upon which the lease term was amended to begin on February 13, 2025 and expiring May 12, 2028. The lease expense is presented as a single lease cost that is amortized on a straight-line basis over the life of the lease.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booked a right-of-use asset and operating lease liability of $</w:t>
      </w:r>
      <w:bookmarkStart w:id="1559" w:name="xdx_900_eus-gaap--OperatingLeaseLiabilit"/>
      <w:bookmarkStart w:id="1560" w:name="xdx_905_eus-gaap--OperatingLeaseRightOfU"/>
      <w:bookmarkEnd w:id="1559"/>
      <w:bookmarkEnd w:id="1560"/>
      <w:r>
        <w:rPr>
          <w:rFonts w:ascii="Times New Roman;Times;Serif" w:hAnsi="Times New Roman;Times;Serif"/>
          <w:b w:val="false"/>
          <w:i w:val="false"/>
          <w:caps w:val="false"/>
          <w:smallCaps w:val="false"/>
          <w:sz w:val="20"/>
        </w:rPr>
        <w:t>262,213 and $</w:t>
      </w:r>
      <w:bookmarkStart w:id="1561" w:name="xdx_90E_eus-gaap--OperatingLeaseLiabilit"/>
      <w:bookmarkStart w:id="1562" w:name="xdx_908_eus-gaap--OperatingLeaseRightOfU"/>
      <w:bookmarkEnd w:id="1561"/>
      <w:bookmarkEnd w:id="1562"/>
      <w:r>
        <w:rPr>
          <w:rFonts w:ascii="Times New Roman;Times;Serif" w:hAnsi="Times New Roman;Times;Serif"/>
          <w:b w:val="false"/>
          <w:i w:val="false"/>
          <w:caps w:val="false"/>
          <w:smallCaps w:val="false"/>
          <w:sz w:val="20"/>
        </w:rPr>
        <w:t xml:space="preserve">327,932, respectively, on the Condensed Consolidated Statements of </w:t>
      </w:r>
      <w:bookmarkStart w:id="1563" w:name="xdx_907_eus-gaap--OperatingLeaseRightOfU"/>
      <w:bookmarkStart w:id="1564" w:name="xdx_90A_eus-gaap--OperatingLeaseRightOfU"/>
      <w:bookmarkEnd w:id="1563"/>
      <w:bookmarkEnd w:id="1564"/>
      <w:r>
        <w:rPr>
          <w:rFonts w:ascii="Times New Roman;Times;Serif" w:hAnsi="Times New Roman;Times;Serif"/>
          <w:b w:val="false"/>
          <w:i w:val="false"/>
          <w:caps w:val="false"/>
          <w:smallCaps w:val="false"/>
          <w:sz w:val="20"/>
        </w:rPr>
        <w:t xml:space="preserve">Assets and </w:t>
      </w:r>
      <w:bookmarkStart w:id="1565" w:name="xdx_903_eus-gaap--OperatingLeaseLiabilit"/>
      <w:bookmarkStart w:id="1566" w:name="xdx_902_eus-gaap--OperatingLeaseLiabilit"/>
      <w:bookmarkEnd w:id="1565"/>
      <w:bookmarkEnd w:id="1566"/>
      <w:r>
        <w:rPr>
          <w:rFonts w:ascii="Times New Roman;Times;Serif" w:hAnsi="Times New Roman;Times;Serif"/>
          <w:b w:val="false"/>
          <w:i w:val="false"/>
          <w:caps w:val="false"/>
          <w:smallCaps w:val="false"/>
          <w:sz w:val="20"/>
        </w:rPr>
        <w:t>Liabilities. As of June 30, 2026 and December 31, 2025, the Company recorded a security deposit of $</w:t>
      </w:r>
      <w:bookmarkStart w:id="1567" w:name="xdx_90D_eus-gaap--SecurityDeposit_iI_c20"/>
      <w:bookmarkEnd w:id="1567"/>
      <w:r>
        <w:rPr>
          <w:rFonts w:ascii="Times New Roman;Times;Serif" w:hAnsi="Times New Roman;Times;Serif"/>
          <w:b w:val="false"/>
          <w:i w:val="false"/>
          <w:caps w:val="false"/>
          <w:smallCaps w:val="false"/>
          <w:sz w:val="20"/>
        </w:rPr>
        <w:t>16,574 and $</w:t>
      </w:r>
      <w:bookmarkStart w:id="1568" w:name="xdx_900_eus-gaap--SecurityDeposit_iI_c20"/>
      <w:bookmarkEnd w:id="1568"/>
      <w:r>
        <w:rPr>
          <w:rFonts w:ascii="Times New Roman;Times;Serif" w:hAnsi="Times New Roman;Times;Serif"/>
          <w:b w:val="false"/>
          <w:i w:val="false"/>
          <w:caps w:val="false"/>
          <w:smallCaps w:val="false"/>
          <w:sz w:val="20"/>
        </w:rPr>
        <w:t>16,574, respectively, on the Condensed Consolidated Statements of Assets and Liabilities. For the three months ended June 30, 2026 and 2025, the Company incurred $</w:t>
      </w:r>
      <w:bookmarkStart w:id="1569" w:name="xdx_901_eus-gaap--OperatingLeaseExpense_"/>
      <w:bookmarkEnd w:id="1569"/>
      <w:r>
        <w:rPr>
          <w:rFonts w:ascii="Times New Roman;Times;Serif" w:hAnsi="Times New Roman;Times;Serif"/>
          <w:b w:val="false"/>
          <w:i w:val="false"/>
          <w:caps w:val="false"/>
          <w:smallCaps w:val="false"/>
          <w:sz w:val="20"/>
        </w:rPr>
        <w:t>36,910 and $</w:t>
      </w:r>
      <w:bookmarkStart w:id="1570" w:name="xdx_907_eus-gaap--OperatingLeaseExpense_"/>
      <w:bookmarkEnd w:id="1570"/>
      <w:r>
        <w:rPr>
          <w:rFonts w:ascii="Times New Roman;Times;Serif" w:hAnsi="Times New Roman;Times;Serif"/>
          <w:b w:val="false"/>
          <w:i w:val="false"/>
          <w:caps w:val="false"/>
          <w:smallCaps w:val="false"/>
          <w:sz w:val="20"/>
        </w:rPr>
        <w:t>34,021, respectively, of operating lease expense. For the six months ended June 30, 2026 and 2025, the Company incurred $</w:t>
      </w:r>
      <w:bookmarkStart w:id="1571" w:name="xdx_907_eus-gaap--OperatingLeaseExpense_"/>
      <w:bookmarkEnd w:id="1571"/>
      <w:r>
        <w:rPr>
          <w:rFonts w:ascii="Times New Roman;Times;Serif" w:hAnsi="Times New Roman;Times;Serif"/>
          <w:b w:val="false"/>
          <w:i w:val="false"/>
          <w:caps w:val="false"/>
          <w:smallCaps w:val="false"/>
          <w:sz w:val="20"/>
        </w:rPr>
        <w:t>73,975 and $</w:t>
      </w:r>
      <w:bookmarkStart w:id="1572" w:name="xdx_900_eus-gaap--OperatingLeaseExpense_"/>
      <w:bookmarkEnd w:id="1572"/>
      <w:r>
        <w:rPr>
          <w:rFonts w:ascii="Times New Roman;Times;Serif" w:hAnsi="Times New Roman;Times;Serif"/>
          <w:b w:val="false"/>
          <w:i w:val="false"/>
          <w:caps w:val="false"/>
          <w:smallCaps w:val="false"/>
          <w:sz w:val="20"/>
        </w:rPr>
        <w:t xml:space="preserve">57,209, respectively, of operating lease expense. The amounts reflected on the Condensed Consolidated Statements of Assets and Liabilities have been discounted using the rate implicit in the lease. As of June 30, 2026, the remaining lease term was </w:t>
      </w:r>
      <w:bookmarkStart w:id="1573" w:name="xdx_90A_eus-gaap--LesseeOperatingLeaseRe"/>
      <w:bookmarkEnd w:id="1573"/>
      <w:r>
        <w:rPr>
          <w:rFonts w:ascii="Times New Roman;Times;Serif" w:hAnsi="Times New Roman;Times;Serif"/>
          <w:b w:val="false"/>
          <w:i w:val="false"/>
          <w:caps w:val="false"/>
          <w:smallCaps w:val="false"/>
          <w:sz w:val="20"/>
        </w:rPr>
        <w:t xml:space="preserve">1.9 years and the discount rate was </w:t>
      </w:r>
      <w:bookmarkStart w:id="1574" w:name="xdx_903_eus-gaap--LesseeOperatingLeaseDi"/>
      <w:bookmarkEnd w:id="1574"/>
      <w:r>
        <w:rPr>
          <w:rFonts w:ascii="Times New Roman;Times;Serif" w:hAnsi="Times New Roman;Times;Serif"/>
          <w:b w:val="false"/>
          <w:i w:val="false"/>
          <w:caps w:val="false"/>
          <w:smallCaps w:val="false"/>
          <w:sz w:val="20"/>
        </w:rPr>
        <w:t>3.00%.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575" w:name="xdx_893_eus-gaap--LesseeOperatingLeaseLi"/>
      <w:bookmarkEnd w:id="1575"/>
      <w:r>
        <w:rPr>
          <w:rFonts w:ascii="Times New Roman;Times;Serif" w:hAnsi="Times New Roman;Times;Serif"/>
          <w:b w:val="false"/>
          <w:i w:val="false"/>
          <w:caps w:val="false"/>
          <w:smallCaps w:val="false"/>
          <w:sz w:val="20"/>
        </w:rPr>
        <w:t>The following table shows future minimum payments under the Company’s operating lease as of June 30, 2026:</w:t>
      </w:r>
    </w:p>
    <w:p>
      <w:pPr>
        <w:pStyle w:val="TextBody"/>
        <w:bidi w:val="0"/>
        <w:spacing w:before="0" w:after="0"/>
        <w:ind w:left="0" w:right="0" w:firstLine="360"/>
        <w:jc w:val="both"/>
        <w:rPr>
          <w:caps w:val="false"/>
          <w:smallCaps w:val="false"/>
        </w:rPr>
      </w:pPr>
      <w:r>
        <w:rPr>
          <w:caps w:val="false"/>
          <w:smallCaps w:val="false"/>
        </w:rPr>
        <w:t> </w:t>
      </w:r>
      <w:bookmarkStart w:id="1576" w:name="xdx_8B7_zcYFCT2KBK02"/>
      <w:bookmarkEnd w:id="1576"/>
      <w:r>
        <w:rPr>
          <w:rFonts w:ascii="Times New Roman;Times;Serif" w:hAnsi="Times New Roman;Times;Serif"/>
          <w:b w:val="false"/>
          <w:i w:val="false"/>
          <w:caps w:val="false"/>
          <w:smallCaps w:val="false"/>
          <w:sz w:val="20"/>
        </w:rPr>
        <w:t>SCHEDULE OF FUTURE MINIMUM PAYMENTS OF OPERATION LEASE</w:t>
      </w:r>
    </w:p>
    <w:tbl>
      <w:tblPr>
        <w:tblW w:w="4620" w:type="dxa"/>
        <w:jc w:val="left"/>
        <w:tblInd w:w="0" w:type="dxa"/>
        <w:tblLayout w:type="fixed"/>
        <w:tblCellMar>
          <w:top w:w="0" w:type="dxa"/>
          <w:left w:w="0" w:type="dxa"/>
          <w:bottom w:w="0" w:type="dxa"/>
          <w:right w:w="0" w:type="dxa"/>
        </w:tblCellMar>
      </w:tblPr>
      <w:tblGrid>
        <w:gridCol w:w="3545"/>
        <w:gridCol w:w="60"/>
        <w:gridCol w:w="140"/>
        <w:gridCol w:w="800"/>
        <w:gridCol w:w="75"/>
      </w:tblGrid>
      <w:tr>
        <w:trPr/>
        <w:tc>
          <w:tcPr>
            <w:tcW w:w="3545" w:type="dxa"/>
            <w:tcBorders/>
            <w:vAlign w:val="center"/>
          </w:tcPr>
          <w:p>
            <w:pPr>
              <w:pStyle w:val="TableContents"/>
              <w:bidi w:val="0"/>
              <w:spacing w:before="0" w:after="283"/>
              <w:jc w:val="left"/>
              <w:rPr>
                <w:b/>
              </w:rPr>
            </w:pPr>
            <w:r>
              <w:rPr>
                <w:b/>
              </w:rPr>
              <w:t>For the Year Ended December 31,</w:t>
            </w:r>
          </w:p>
        </w:tc>
        <w:tc>
          <w:tcPr>
            <w:tcW w:w="60" w:type="dxa"/>
            <w:tcBorders/>
            <w:vAlign w:val="center"/>
          </w:tcPr>
          <w:p>
            <w:pPr>
              <w:pStyle w:val="TableContents"/>
              <w:bidi w:val="0"/>
              <w:spacing w:before="0" w:after="283"/>
              <w:jc w:val="left"/>
              <w:rPr/>
            </w:pPr>
            <w:r>
              <w:rPr/>
              <w:t> </w:t>
            </w:r>
            <w:bookmarkStart w:id="1577" w:name="xdx_491_20260630_zbXeT4Wvf3rd"/>
            <w:bookmarkEnd w:id="1577"/>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1578" w:name="xdx_401_eus-gaap--LesseeOperatingLeaseLi"/>
            <w:bookmarkEnd w:id="1578"/>
          </w:p>
        </w:tc>
      </w:tr>
      <w:tr>
        <w:trPr/>
        <w:tc>
          <w:tcPr>
            <w:tcW w:w="354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77,683</w:t>
            </w:r>
          </w:p>
        </w:tc>
        <w:tc>
          <w:tcPr>
            <w:tcW w:w="75" w:type="dxa"/>
            <w:tcBorders/>
            <w:shd w:fill="CCEEFF" w:val="clear"/>
            <w:vAlign w:val="center"/>
          </w:tcPr>
          <w:p>
            <w:pPr>
              <w:pStyle w:val="TableContents"/>
              <w:bidi w:val="0"/>
              <w:spacing w:before="0" w:after="283"/>
              <w:jc w:val="left"/>
              <w:rPr/>
            </w:pPr>
            <w:r>
              <w:rPr/>
              <w:t> </w:t>
            </w:r>
            <w:bookmarkStart w:id="1579" w:name="xdx_40E_eus-gaap--LesseeOperatingLeaseLi"/>
            <w:bookmarkEnd w:id="1579"/>
          </w:p>
        </w:tc>
      </w:tr>
      <w:tr>
        <w:trPr/>
        <w:tc>
          <w:tcPr>
            <w:tcW w:w="354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159,471</w:t>
            </w:r>
          </w:p>
        </w:tc>
        <w:tc>
          <w:tcPr>
            <w:tcW w:w="75" w:type="dxa"/>
            <w:tcBorders/>
            <w:shd w:fill="FFFFFF" w:val="clear"/>
            <w:vAlign w:val="center"/>
          </w:tcPr>
          <w:p>
            <w:pPr>
              <w:pStyle w:val="TableContents"/>
              <w:bidi w:val="0"/>
              <w:spacing w:before="0" w:after="283"/>
              <w:jc w:val="left"/>
              <w:rPr/>
            </w:pPr>
            <w:r>
              <w:rPr/>
              <w:t> </w:t>
            </w:r>
            <w:bookmarkStart w:id="1580" w:name="xdx_405_eus-gaap--LesseeOperatingLeaseLi"/>
            <w:bookmarkEnd w:id="1580"/>
          </w:p>
        </w:tc>
      </w:tr>
      <w:tr>
        <w:trPr/>
        <w:tc>
          <w:tcPr>
            <w:tcW w:w="354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59,688</w:t>
            </w:r>
          </w:p>
        </w:tc>
        <w:tc>
          <w:tcPr>
            <w:tcW w:w="75" w:type="dxa"/>
            <w:tcBorders/>
            <w:shd w:fill="CCEEFF" w:val="clear"/>
            <w:vAlign w:val="center"/>
          </w:tcPr>
          <w:p>
            <w:pPr>
              <w:pStyle w:val="TableContents"/>
              <w:bidi w:val="0"/>
              <w:spacing w:before="0" w:after="283"/>
              <w:jc w:val="left"/>
              <w:rPr/>
            </w:pPr>
            <w:r>
              <w:rPr/>
              <w:t> </w:t>
            </w:r>
            <w:bookmarkStart w:id="1581" w:name="xdx_409_eus-gaap--LesseeOperatingLeaseLi"/>
            <w:bookmarkEnd w:id="1581"/>
          </w:p>
        </w:tc>
      </w:tr>
      <w:tr>
        <w:trPr/>
        <w:tc>
          <w:tcPr>
            <w:tcW w:w="3545" w:type="dxa"/>
            <w:tcBorders/>
            <w:shd w:fill="FFFFFF" w:val="clear"/>
            <w:vAlign w:val="center"/>
          </w:tcPr>
          <w:p>
            <w:pPr>
              <w:pStyle w:val="TableContents"/>
              <w:bidi w:val="0"/>
              <w:spacing w:before="0" w:after="283"/>
              <w:jc w:val="left"/>
              <w:rPr/>
            </w:pPr>
            <w:r>
              <w:rPr>
                <w:rFonts w:ascii="Times New Roman;Times;Serif" w:hAnsi="Times New Roman;Times;Serif"/>
                <w:sz w:val="20"/>
              </w:rPr>
              <w:t>Total</w:t>
            </w: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296,842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582" w:name="xdx_8A4_zYkoxk01oaIa"/>
      <w:bookmarkEnd w:id="158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83" w:name="xdx_807_eus-gaap--InvestmentCompanyFinan"/>
      <w:bookmarkEnd w:id="1583"/>
      <w:r>
        <w:rPr>
          <w:rFonts w:ascii="Times New Roman;Times;Serif" w:hAnsi="Times New Roman;Times;Serif"/>
          <w:b/>
          <w:i w:val="false"/>
          <w:caps w:val="false"/>
          <w:smallCaps w:val="false"/>
          <w:sz w:val="20"/>
        </w:rPr>
        <w:t>NOTE 8—</w:t>
      </w:r>
      <w:bookmarkStart w:id="1584" w:name="xdx_823_zHCKJeQPCqrf"/>
      <w:bookmarkEnd w:id="1584"/>
      <w:r>
        <w:rPr>
          <w:rFonts w:ascii="Times New Roman;Times;Serif" w:hAnsi="Times New Roman;Times;Serif"/>
          <w:b/>
          <w:i w:val="false"/>
          <w:caps w:val="false"/>
          <w:smallCaps w:val="false"/>
          <w:sz w:val="20"/>
        </w:rPr>
        <w:t>FINANCIAL HIGHLIGHTS</w:t>
      </w:r>
    </w:p>
    <w:p>
      <w:pPr>
        <w:pStyle w:val="TextBody"/>
        <w:bidi w:val="0"/>
        <w:spacing w:before="0" w:after="0"/>
        <w:jc w:val="center"/>
        <w:rPr>
          <w:caps w:val="false"/>
          <w:smallCaps w:val="false"/>
        </w:rPr>
      </w:pPr>
      <w:bookmarkStart w:id="1585" w:name="xdx_899_eus-gaap--InvestmentCompanyFinan"/>
      <w:bookmarkEnd w:id="1585"/>
      <w:r>
        <w:rPr>
          <w:caps w:val="false"/>
          <w:smallCaps w:val="false"/>
        </w:rPr>
        <w:t> </w:t>
      </w:r>
      <w:bookmarkStart w:id="1586" w:name="xdx_8B4_zFDKDn7aYcX5"/>
      <w:bookmarkEnd w:id="1586"/>
      <w:r>
        <w:rPr>
          <w:rFonts w:ascii="Times New Roman;Times;Serif" w:hAnsi="Times New Roman;Times;Serif"/>
          <w:b w:val="false"/>
          <w:i w:val="false"/>
          <w:caps w:val="false"/>
          <w:smallCaps w:val="false"/>
          <w:sz w:val="20"/>
        </w:rPr>
        <w:t>SCHEDULE OF FINANCIAL HIGHLIGHTS</w:t>
      </w:r>
    </w:p>
    <w:tbl>
      <w:tblPr>
        <w:tblW w:w="10205" w:type="dxa"/>
        <w:jc w:val="left"/>
        <w:tblInd w:w="0" w:type="dxa"/>
        <w:tblLayout w:type="fixed"/>
        <w:tblCellMar>
          <w:top w:w="0" w:type="dxa"/>
          <w:left w:w="0" w:type="dxa"/>
          <w:bottom w:w="0" w:type="dxa"/>
          <w:right w:w="0" w:type="dxa"/>
        </w:tblCellMar>
      </w:tblPr>
      <w:tblGrid>
        <w:gridCol w:w="3515"/>
        <w:gridCol w:w="60"/>
        <w:gridCol w:w="140"/>
        <w:gridCol w:w="1228"/>
        <w:gridCol w:w="245"/>
        <w:gridCol w:w="60"/>
        <w:gridCol w:w="140"/>
        <w:gridCol w:w="1228"/>
        <w:gridCol w:w="243"/>
        <w:gridCol w:w="60"/>
        <w:gridCol w:w="140"/>
        <w:gridCol w:w="1220"/>
        <w:gridCol w:w="243"/>
        <w:gridCol w:w="60"/>
        <w:gridCol w:w="140"/>
        <w:gridCol w:w="1220"/>
        <w:gridCol w:w="263"/>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7" w:name="xdx_495_20260401__20260630_zrxwZE4S5OT5"/>
            <w:bookmarkEnd w:id="1587"/>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8" w:name="xdx_49B_20250401__20250630_zas09M5RY8Ri"/>
            <w:bookmarkEnd w:id="1588"/>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9" w:name="xdx_49C_20260101__20260630_z1omDEILUVVd"/>
            <w:bookmarkEnd w:id="1589"/>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0" w:name="xdx_491_20250101__20250630_z9pD8IG4LXeg"/>
            <w:bookmarkEnd w:id="1590"/>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3"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63"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3"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b/>
              </w:rPr>
            </w:pPr>
            <w:r>
              <w:rPr>
                <w:b/>
              </w:rPr>
              <w:t>Per Basic Share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bookmarkStart w:id="1591" w:name="xdx_403_eus-gaap--NetAssetValuePerShare_"/>
            <w:bookmarkEnd w:id="1591"/>
          </w:p>
        </w:tc>
      </w:tr>
      <w:tr>
        <w:trPr/>
        <w:tc>
          <w:tcPr>
            <w:tcW w:w="3515" w:type="dxa"/>
            <w:tcBorders/>
            <w:shd w:fill="FFFFFF" w:val="clear"/>
            <w:vAlign w:val="center"/>
          </w:tcPr>
          <w:p>
            <w:pPr>
              <w:pStyle w:val="TableContents"/>
              <w:bidi w:val="0"/>
              <w:spacing w:before="0" w:after="283"/>
              <w:jc w:val="left"/>
              <w:rPr/>
            </w:pPr>
            <w:r>
              <w:rPr/>
              <w:t>Net asset value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8" w:type="dxa"/>
            <w:tcBorders/>
            <w:shd w:fill="FFFFFF" w:val="clear"/>
            <w:vAlign w:val="center"/>
          </w:tcPr>
          <w:p>
            <w:pPr>
              <w:pStyle w:val="TableContents"/>
              <w:bidi w:val="0"/>
              <w:spacing w:before="0" w:after="283"/>
              <w:jc w:val="right"/>
              <w:rPr/>
            </w:pPr>
            <w:r>
              <w:rPr/>
              <w:t>14.24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8" w:type="dxa"/>
            <w:tcBorders/>
            <w:shd w:fill="FFFFFF" w:val="clear"/>
            <w:vAlign w:val="center"/>
          </w:tcPr>
          <w:p>
            <w:pPr>
              <w:pStyle w:val="TableContents"/>
              <w:bidi w:val="0"/>
              <w:spacing w:before="0" w:after="283"/>
              <w:jc w:val="right"/>
              <w:rPr/>
            </w:pPr>
            <w:r>
              <w:rPr/>
              <w:t>6.66</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8.09</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6.68</w:t>
            </w:r>
          </w:p>
        </w:tc>
        <w:tc>
          <w:tcPr>
            <w:tcW w:w="263" w:type="dxa"/>
            <w:tcBorders/>
            <w:shd w:fill="FFFFFF" w:val="clear"/>
            <w:vAlign w:val="center"/>
          </w:tcPr>
          <w:p>
            <w:pPr>
              <w:pStyle w:val="TableContents"/>
              <w:bidi w:val="0"/>
              <w:spacing w:before="0" w:after="283"/>
              <w:jc w:val="left"/>
              <w:rPr/>
            </w:pPr>
            <w:r>
              <w:rPr/>
              <w:t> </w:t>
            </w:r>
            <w:bookmarkStart w:id="1592" w:name="xdx_402_eus-gaap--InvestmentCompanyGainL"/>
            <w:bookmarkEnd w:id="1592"/>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investment loss</w:t>
            </w:r>
            <w:bookmarkStart w:id="1593" w:name="xdx_F43_zASlAXahWQS4"/>
            <w:bookmarkEnd w:id="1593"/>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(0.90</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(0.16</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(1.06</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(0.31</w:t>
            </w:r>
          </w:p>
        </w:tc>
        <w:tc>
          <w:tcPr>
            <w:tcW w:w="263" w:type="dxa"/>
            <w:tcBorders/>
            <w:shd w:fill="CCEEFF" w:val="clear"/>
            <w:vAlign w:val="center"/>
          </w:tcPr>
          <w:p>
            <w:pPr>
              <w:pStyle w:val="TableContents"/>
              <w:bidi w:val="0"/>
              <w:spacing w:before="0" w:after="283"/>
              <w:jc w:val="left"/>
              <w:rPr/>
            </w:pPr>
            <w:r>
              <w:rPr/>
              <w:t>)</w:t>
            </w:r>
            <w:bookmarkStart w:id="1594" w:name="xdx_40D_eus-gaap--InvestmentCompanyInves"/>
            <w:bookmarkEnd w:id="1594"/>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realized gain on investments</w:t>
            </w:r>
            <w:bookmarkStart w:id="1595" w:name="xdx_F4D_zagS1GY7qZc5"/>
            <w:bookmarkEnd w:id="1595"/>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0.19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0.89</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0.23</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0.90</w:t>
            </w:r>
          </w:p>
        </w:tc>
        <w:tc>
          <w:tcPr>
            <w:tcW w:w="263" w:type="dxa"/>
            <w:tcBorders/>
            <w:shd w:fill="FFFFFF" w:val="clear"/>
            <w:vAlign w:val="center"/>
          </w:tcPr>
          <w:p>
            <w:pPr>
              <w:pStyle w:val="TableContents"/>
              <w:bidi w:val="0"/>
              <w:spacing w:before="0" w:after="283"/>
              <w:jc w:val="left"/>
              <w:rPr/>
            </w:pPr>
            <w:r>
              <w:rPr/>
              <w:t> </w:t>
            </w:r>
            <w:bookmarkStart w:id="1596" w:name="xdx_40F_ecustom--RealizedLossOnPartialRe"/>
            <w:bookmarkEnd w:id="1596"/>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Realized loss on partial repurchase of 6.00% Notes due December 30, 2026</w:t>
            </w:r>
            <w:bookmarkStart w:id="1597" w:name="xdx_F45_zJpEkyU3zK9j"/>
            <w:bookmarkEnd w:id="159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&lt;(0.01)</w:t>
            </w:r>
          </w:p>
        </w:tc>
        <w:tc>
          <w:tcPr>
            <w:tcW w:w="263" w:type="dxa"/>
            <w:tcBorders/>
            <w:shd w:fill="CCEEFF" w:val="clear"/>
            <w:vAlign w:val="center"/>
          </w:tcPr>
          <w:p>
            <w:pPr>
              <w:pStyle w:val="TableContents"/>
              <w:bidi w:val="0"/>
              <w:spacing w:before="0" w:after="283"/>
              <w:jc w:val="left"/>
              <w:rPr/>
            </w:pPr>
            <w:r>
              <w:rPr/>
              <w:t> </w:t>
            </w:r>
            <w:bookmarkStart w:id="1598" w:name="xdx_401_ecustom--InvestmentCompanyUnreal"/>
            <w:bookmarkEnd w:id="1598"/>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unrealized appreciation/(depreciation) of investments</w:t>
            </w:r>
            <w:bookmarkStart w:id="1599" w:name="xdx_F4E_zmIB2znSuio9"/>
            <w:bookmarkEnd w:id="1599"/>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(0.02</w:t>
            </w:r>
          </w:p>
        </w:tc>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1.89</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6.16</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2.02</w:t>
            </w:r>
          </w:p>
        </w:tc>
        <w:tc>
          <w:tcPr>
            <w:tcW w:w="263" w:type="dxa"/>
            <w:tcBorders/>
            <w:shd w:fill="FFFFFF" w:val="clear"/>
            <w:vAlign w:val="center"/>
          </w:tcPr>
          <w:p>
            <w:pPr>
              <w:pStyle w:val="TableContents"/>
              <w:bidi w:val="0"/>
              <w:spacing w:before="0" w:after="283"/>
              <w:jc w:val="left"/>
              <w:rPr/>
            </w:pPr>
            <w:r>
              <w:rPr/>
              <w:t> </w:t>
            </w:r>
            <w:bookmarkStart w:id="1600" w:name="xdx_403_ecustom--InvestmentCompanyConver"/>
            <w:bookmarkEnd w:id="1600"/>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from conversion of 6.50% Convertible Notes due 2029</w:t>
            </w:r>
            <w:bookmarkStart w:id="1601" w:name="xdx_F4C_zMxTLZQ29Ex9"/>
            <w:bookmarkEnd w:id="1601"/>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(0.28</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(0.28</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263" w:type="dxa"/>
            <w:tcBorders/>
            <w:shd w:fill="CCEEFF" w:val="clear"/>
            <w:vAlign w:val="center"/>
          </w:tcPr>
          <w:p>
            <w:pPr>
              <w:pStyle w:val="TableContents"/>
              <w:bidi w:val="0"/>
              <w:spacing w:before="0" w:after="283"/>
              <w:jc w:val="left"/>
              <w:rPr/>
            </w:pPr>
            <w:r>
              <w:rPr/>
              <w:t> </w:t>
            </w:r>
            <w:bookmarkStart w:id="1602" w:name="xdx_407_ecustom--InvestmentCompanyShareB"/>
            <w:bookmarkEnd w:id="1602"/>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bookmarkStart w:id="1603" w:name="xdx_F44_z2K3d3tyFT7c"/>
            <w:bookmarkEnd w:id="1603"/>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pPr>
            <w:r>
              <w:rPr/>
              <w:t>0.21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pPr>
            <w:r>
              <w:rPr/>
              <w:t>(0.10</w:t>
            </w:r>
          </w:p>
        </w:tc>
        <w:tc>
          <w:tcPr>
            <w:tcW w:w="24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0.30</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(0.11</w:t>
            </w:r>
          </w:p>
        </w:tc>
        <w:tc>
          <w:tcPr>
            <w:tcW w:w="263" w:type="dxa"/>
            <w:tcBorders/>
            <w:shd w:fill="FFFFFF" w:val="clear"/>
            <w:vAlign w:val="center"/>
          </w:tcPr>
          <w:p>
            <w:pPr>
              <w:pStyle w:val="TableContents"/>
              <w:bidi w:val="0"/>
              <w:spacing w:before="0" w:after="283"/>
              <w:jc w:val="left"/>
              <w:rPr/>
            </w:pPr>
            <w:r>
              <w:rPr/>
              <w:t>)</w:t>
            </w:r>
            <w:bookmarkStart w:id="1604" w:name="xdx_40F_eus-gaap--NetAssetValuePerShare_"/>
            <w:bookmarkEnd w:id="1604"/>
          </w:p>
        </w:tc>
      </w:tr>
      <w:tr>
        <w:trPr/>
        <w:tc>
          <w:tcPr>
            <w:tcW w:w="3515" w:type="dxa"/>
            <w:tcBorders/>
            <w:shd w:fill="CCEEFF" w:val="clear"/>
            <w:vAlign w:val="center"/>
          </w:tcPr>
          <w:p>
            <w:pPr>
              <w:pStyle w:val="TableContents"/>
              <w:bidi w:val="0"/>
              <w:spacing w:before="0" w:after="283"/>
              <w:jc w:val="left"/>
              <w:rPr/>
            </w:pPr>
            <w:r>
              <w:rPr/>
              <w:t>Net asset value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13.44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9.18</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13.44</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9.18</w:t>
            </w:r>
          </w:p>
        </w:tc>
        <w:tc>
          <w:tcPr>
            <w:tcW w:w="263" w:type="dxa"/>
            <w:tcBorders/>
            <w:shd w:fill="CCEEFF" w:val="clear"/>
            <w:vAlign w:val="center"/>
          </w:tcPr>
          <w:p>
            <w:pPr>
              <w:pStyle w:val="TableContents"/>
              <w:bidi w:val="0"/>
              <w:spacing w:before="0" w:after="283"/>
              <w:jc w:val="left"/>
              <w:rPr/>
            </w:pPr>
            <w:r>
              <w:rPr/>
              <w:t> </w:t>
            </w:r>
            <w:bookmarkStart w:id="1605" w:name="xdx_401_ecustom--MarketValueValuePerShar"/>
            <w:bookmarkEnd w:id="1605"/>
          </w:p>
        </w:tc>
      </w:tr>
      <w:tr>
        <w:trPr/>
        <w:tc>
          <w:tcPr>
            <w:tcW w:w="3515" w:type="dxa"/>
            <w:tcBorders/>
            <w:shd w:fill="FFFFFF" w:val="clear"/>
            <w:vAlign w:val="center"/>
          </w:tcPr>
          <w:p>
            <w:pPr>
              <w:pStyle w:val="TableContents"/>
              <w:bidi w:val="0"/>
              <w:spacing w:before="0" w:after="283"/>
              <w:jc w:val="left"/>
              <w:rPr/>
            </w:pPr>
            <w:r>
              <w:rPr/>
              <w:t>Per share market value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8" w:type="dxa"/>
            <w:tcBorders/>
            <w:shd w:fill="FFFFFF" w:val="clear"/>
            <w:vAlign w:val="center"/>
          </w:tcPr>
          <w:p>
            <w:pPr>
              <w:pStyle w:val="TableContents"/>
              <w:bidi w:val="0"/>
              <w:spacing w:before="0" w:after="283"/>
              <w:jc w:val="right"/>
              <w:rPr/>
            </w:pPr>
            <w:r>
              <w:rPr/>
              <w:t>12.54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8" w:type="dxa"/>
            <w:tcBorders/>
            <w:shd w:fill="FFFFFF" w:val="clear"/>
            <w:vAlign w:val="center"/>
          </w:tcPr>
          <w:p>
            <w:pPr>
              <w:pStyle w:val="TableContents"/>
              <w:bidi w:val="0"/>
              <w:spacing w:before="0" w:after="283"/>
              <w:jc w:val="right"/>
              <w:rPr/>
            </w:pPr>
            <w:r>
              <w:rPr/>
              <w:t>8.21</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12.54</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8.21</w:t>
            </w:r>
          </w:p>
        </w:tc>
        <w:tc>
          <w:tcPr>
            <w:tcW w:w="263" w:type="dxa"/>
            <w:tcBorders/>
            <w:shd w:fill="FFFFFF" w:val="clear"/>
            <w:vAlign w:val="center"/>
          </w:tcPr>
          <w:p>
            <w:pPr>
              <w:pStyle w:val="TableContents"/>
              <w:bidi w:val="0"/>
              <w:spacing w:before="0" w:after="283"/>
              <w:jc w:val="left"/>
              <w:rPr/>
            </w:pPr>
            <w:r>
              <w:rPr/>
              <w:t> </w:t>
            </w:r>
            <w:bookmarkStart w:id="1606" w:name="xdx_404_ecustom--InvestmentCompanyTotalR"/>
            <w:bookmarkEnd w:id="1606"/>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return based on market value</w:t>
            </w:r>
            <w:bookmarkStart w:id="1607" w:name="xdx_F40_z7xiPLjK5OU3"/>
            <w:bookmarkEnd w:id="1607"/>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17.09</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65.19</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32.84</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39.63</w:t>
            </w:r>
          </w:p>
        </w:tc>
        <w:tc>
          <w:tcPr>
            <w:tcW w:w="263" w:type="dxa"/>
            <w:tcBorders/>
            <w:shd w:fill="CCEEFF" w:val="clear"/>
            <w:vAlign w:val="center"/>
          </w:tcPr>
          <w:p>
            <w:pPr>
              <w:pStyle w:val="TableContents"/>
              <w:bidi w:val="0"/>
              <w:spacing w:before="0" w:after="283"/>
              <w:jc w:val="left"/>
              <w:rPr/>
            </w:pPr>
            <w:r>
              <w:rPr/>
              <w:t>%</w:t>
            </w:r>
            <w:bookmarkStart w:id="1608" w:name="xdx_40E_eus-gaap--InvestmentCompanyTotal"/>
            <w:bookmarkEnd w:id="1608"/>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return based on net asset value</w:t>
            </w:r>
            <w:bookmarkStart w:id="1609" w:name="xdx_F4F_zW2FZdCMAQYj"/>
            <w:bookmarkEnd w:id="1609"/>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(5.62</w:t>
            </w:r>
          </w:p>
        </w:tc>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37.84</w:t>
            </w:r>
          </w:p>
        </w:tc>
        <w:tc>
          <w:tcPr>
            <w:tcW w:w="24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66.13</w:t>
            </w:r>
          </w:p>
        </w:tc>
        <w:tc>
          <w:tcPr>
            <w:tcW w:w="24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37.43</w:t>
            </w:r>
          </w:p>
        </w:tc>
        <w:tc>
          <w:tcPr>
            <w:tcW w:w="263" w:type="dxa"/>
            <w:tcBorders/>
            <w:shd w:fill="FFFFFF" w:val="clear"/>
            <w:vAlign w:val="center"/>
          </w:tcPr>
          <w:p>
            <w:pPr>
              <w:pStyle w:val="TableContents"/>
              <w:bidi w:val="0"/>
              <w:spacing w:before="0" w:after="283"/>
              <w:jc w:val="left"/>
              <w:rPr/>
            </w:pPr>
            <w:r>
              <w:rPr/>
              <w:t>%</w:t>
            </w:r>
            <w:bookmarkStart w:id="1610" w:name="xdx_408_eus-gaap--SharesOutstanding_iE_z"/>
            <w:bookmarkEnd w:id="1610"/>
          </w:p>
        </w:tc>
      </w:tr>
      <w:tr>
        <w:trPr/>
        <w:tc>
          <w:tcPr>
            <w:tcW w:w="3515" w:type="dxa"/>
            <w:tcBorders/>
            <w:shd w:fill="CCEEFF" w:val="clear"/>
            <w:vAlign w:val="center"/>
          </w:tcPr>
          <w:p>
            <w:pPr>
              <w:pStyle w:val="TableContents"/>
              <w:bidi w:val="0"/>
              <w:spacing w:before="0" w:after="283"/>
              <w:jc w:val="left"/>
              <w:rPr/>
            </w:pPr>
            <w:r>
              <w:rPr/>
              <w:t>Shares outstanding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26,473,222</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23,888,107</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26,473,222</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23,888,107</w:t>
            </w:r>
          </w:p>
        </w:tc>
        <w:tc>
          <w:tcPr>
            <w:tcW w:w="263"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b/>
              </w:rPr>
            </w:pPr>
            <w:r>
              <w:rPr>
                <w:b/>
              </w:rPr>
              <w:t>Ratios/Supplemental 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bookmarkStart w:id="1611" w:name="xdx_40C_eus-gaap--AssetsNet_iE_zC1EjRw7Z"/>
            <w:bookmarkEnd w:id="1611"/>
          </w:p>
        </w:tc>
      </w:tr>
      <w:tr>
        <w:trPr/>
        <w:tc>
          <w:tcPr>
            <w:tcW w:w="3515" w:type="dxa"/>
            <w:tcBorders/>
            <w:shd w:fill="CCEEFF" w:val="clear"/>
            <w:vAlign w:val="center"/>
          </w:tcPr>
          <w:p>
            <w:pPr>
              <w:pStyle w:val="TableContents"/>
              <w:bidi w:val="0"/>
              <w:spacing w:before="0" w:after="283"/>
              <w:jc w:val="left"/>
              <w:rPr/>
            </w:pPr>
            <w:r>
              <w:rPr/>
              <w:t>Net assets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355,856,986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219,409,595</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355,856,986</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219,409,595</w:t>
            </w:r>
          </w:p>
        </w:tc>
        <w:tc>
          <w:tcPr>
            <w:tcW w:w="263" w:type="dxa"/>
            <w:tcBorders/>
            <w:shd w:fill="CCEEFF" w:val="clear"/>
            <w:vAlign w:val="center"/>
          </w:tcPr>
          <w:p>
            <w:pPr>
              <w:pStyle w:val="TableContents"/>
              <w:bidi w:val="0"/>
              <w:spacing w:before="0" w:after="283"/>
              <w:jc w:val="left"/>
              <w:rPr/>
            </w:pPr>
            <w:r>
              <w:rPr/>
              <w:t> </w:t>
            </w:r>
            <w:bookmarkStart w:id="1612" w:name="xdx_408_ecustom--AverageNetAsset_zE1DF3r"/>
            <w:bookmarkEnd w:id="1612"/>
          </w:p>
        </w:tc>
      </w:tr>
      <w:tr>
        <w:trPr/>
        <w:tc>
          <w:tcPr>
            <w:tcW w:w="3515" w:type="dxa"/>
            <w:tcBorders/>
            <w:shd w:fill="FFFFFF" w:val="clear"/>
            <w:vAlign w:val="center"/>
          </w:tcPr>
          <w:p>
            <w:pPr>
              <w:pStyle w:val="TableContents"/>
              <w:bidi w:val="0"/>
              <w:spacing w:before="0" w:after="283"/>
              <w:jc w:val="left"/>
              <w:rPr/>
            </w:pPr>
            <w:r>
              <w:rPr/>
              <w:t>Average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365,283,999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pPr>
            <w:r>
              <w:rPr/>
              <w:t>160,412,515</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286,289,589</w:t>
            </w:r>
          </w:p>
        </w:tc>
        <w:tc>
          <w:tcPr>
            <w:tcW w:w="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158,444,298</w:t>
            </w:r>
          </w:p>
        </w:tc>
        <w:tc>
          <w:tcPr>
            <w:tcW w:w="263" w:type="dxa"/>
            <w:tcBorders/>
            <w:shd w:fill="FFFFFF" w:val="clear"/>
            <w:vAlign w:val="center"/>
          </w:tcPr>
          <w:p>
            <w:pPr>
              <w:pStyle w:val="TableContents"/>
              <w:bidi w:val="0"/>
              <w:spacing w:before="0" w:after="283"/>
              <w:jc w:val="left"/>
              <w:rPr/>
            </w:pPr>
            <w:r>
              <w:rPr/>
              <w:t> </w:t>
            </w:r>
            <w:bookmarkStart w:id="1613" w:name="xdx_40E_eus-gaap--InvestmentCompanyExpen"/>
            <w:bookmarkEnd w:id="1613"/>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net operating expenses to average net assets</w:t>
            </w:r>
            <w:bookmarkStart w:id="1614" w:name="xdx_F4A_zt7kqLLHcsji"/>
            <w:bookmarkEnd w:id="1614"/>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9.49</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9.73</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12.88</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10.25</w:t>
            </w:r>
          </w:p>
        </w:tc>
        <w:tc>
          <w:tcPr>
            <w:tcW w:w="263" w:type="dxa"/>
            <w:tcBorders/>
            <w:shd w:fill="CCEEFF" w:val="clear"/>
            <w:vAlign w:val="center"/>
          </w:tcPr>
          <w:p>
            <w:pPr>
              <w:pStyle w:val="TableContents"/>
              <w:bidi w:val="0"/>
              <w:spacing w:before="0" w:after="283"/>
              <w:jc w:val="left"/>
              <w:rPr/>
            </w:pPr>
            <w:r>
              <w:rPr/>
              <w:t>%</w:t>
            </w:r>
            <w:bookmarkStart w:id="1615" w:name="xdx_406_eus-gaap--InvestmentCompanyInves"/>
            <w:bookmarkEnd w:id="1615"/>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net investment loss to average net assets</w:t>
            </w:r>
            <w:bookmarkStart w:id="1616" w:name="xdx_F4A_zPyW0rlWxdFi"/>
            <w:bookmarkEnd w:id="1616"/>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(9.16</w:t>
            </w:r>
          </w:p>
        </w:tc>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(9.31</w:t>
            </w:r>
          </w:p>
        </w:tc>
        <w:tc>
          <w:tcPr>
            <w:tcW w:w="24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(12.15</w:t>
            </w:r>
          </w:p>
        </w:tc>
        <w:tc>
          <w:tcPr>
            <w:tcW w:w="24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(9.40</w:t>
            </w:r>
          </w:p>
        </w:tc>
        <w:tc>
          <w:tcPr>
            <w:tcW w:w="263" w:type="dxa"/>
            <w:tcBorders/>
            <w:shd w:fill="FFFFFF" w:val="clear"/>
            <w:vAlign w:val="center"/>
          </w:tcPr>
          <w:p>
            <w:pPr>
              <w:pStyle w:val="TableContents"/>
              <w:bidi w:val="0"/>
              <w:spacing w:before="0" w:after="283"/>
              <w:jc w:val="left"/>
              <w:rPr/>
            </w:pPr>
            <w:r>
              <w:rPr/>
              <w:t>)%</w:t>
            </w:r>
            <w:bookmarkStart w:id="1617" w:name="xdx_403_ecustom--InvestmentCompanyTurnov"/>
            <w:bookmarkEnd w:id="1617"/>
          </w:p>
        </w:tc>
      </w:tr>
      <w:tr>
        <w:trPr/>
        <w:tc>
          <w:tcPr>
            <w:tcW w:w="3515" w:type="dxa"/>
            <w:tcBorders/>
            <w:shd w:fill="CCEEFF" w:val="clear"/>
            <w:vAlign w:val="center"/>
          </w:tcPr>
          <w:p>
            <w:pPr>
              <w:pStyle w:val="TableContents"/>
              <w:bidi w:val="0"/>
              <w:spacing w:before="0" w:after="283"/>
              <w:jc w:val="left"/>
              <w:rPr/>
            </w:pPr>
            <w:r>
              <w:rPr/>
              <w:t>Portfolio Turnover Ratio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3.04</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2.36</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4.03</w:t>
            </w:r>
          </w:p>
        </w:tc>
        <w:tc>
          <w:tcPr>
            <w:tcW w:w="24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3.02</w:t>
            </w:r>
          </w:p>
        </w:tc>
        <w:tc>
          <w:tcPr>
            <w:tcW w:w="263"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618" w:name="xdx_F04_zGQxTUMMhAK6"/>
            <w:bookmarkEnd w:id="1618"/>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619" w:name="xdx_F12_zIz6osyomJn3"/>
            <w:bookmarkEnd w:id="1619"/>
            <w:r>
              <w:rPr>
                <w:rFonts w:ascii="Times New Roman;Times;Serif" w:hAnsi="Times New Roman;Times;Serif"/>
                <w:b w:val="false"/>
                <w:i w:val="false"/>
                <w:caps w:val="false"/>
                <w:smallCaps w:val="false"/>
                <w:sz w:val="20"/>
              </w:rPr>
              <w:t>Based on weighted-average number of shares outstanding for the relevant period.</w:t>
            </w:r>
            <w:bookmarkStart w:id="1620" w:name="xdx_F01_zXSmJPtBI1k9"/>
            <w:bookmarkEnd w:id="1620"/>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1621" w:name="xdx_F19_zo3vx0aunw57"/>
            <w:bookmarkEnd w:id="1621"/>
            <w:r>
              <w:rPr>
                <w:rFonts w:ascii="Times New Roman;Times;Serif" w:hAnsi="Times New Roman;Times;Serif"/>
                <w:b w:val="false"/>
                <w:i w:val="false"/>
                <w:caps w:val="false"/>
                <w:smallCaps w:val="false"/>
                <w:sz w:val="20"/>
              </w:rPr>
              <w:t>Represents stock-based compensation recognized during the period, net of shares withheld to satisfy statutory tax withholding obligations upon the vesting of restricted stock awards.</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622" w:name="xdx_F09_zyDPjzdoygM3"/>
            <w:bookmarkEnd w:id="1622"/>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623" w:name="xdx_F1B_zu7Gx0YXBgTd"/>
            <w:bookmarkEnd w:id="1623"/>
            <w:r>
              <w:rPr>
                <w:rFonts w:ascii="Times New Roman;Times;Serif" w:hAnsi="Times New Roman;Times;Serif"/>
                <w:b w:val="false"/>
                <w:i w:val="false"/>
                <w:caps w:val="false"/>
                <w:smallCaps w:val="false"/>
                <w:sz w:val="20"/>
              </w:rPr>
              <w:t>Total return based on market value is based upon the change in market price per share between the opening and ending market values per share in the period, adjusted for dividends. Total return based on net asset value is based upon the change in net asset value per share between the opening and ending net asset values per share in the period, adjusted for dividends.</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624" w:name="xdx_F06_z6Avw8aLHcxh"/>
            <w:bookmarkEnd w:id="1624"/>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625" w:name="xdx_F16_zG1gyzGp7Ez2"/>
            <w:bookmarkEnd w:id="1625"/>
            <w:r>
              <w:rPr>
                <w:rFonts w:ascii="Times New Roman;Times;Serif" w:hAnsi="Times New Roman;Times;Serif"/>
                <w:b w:val="false"/>
                <w:i w:val="false"/>
                <w:caps w:val="false"/>
                <w:smallCaps w:val="false"/>
                <w:sz w:val="20"/>
              </w:rPr>
              <w:t>Financial highlights for periods of less than one year are annualized and the ratios of operating expenses to average net assets and net investment loss to average net assets are adjusted accordingly. For the three and six months ended June 30, 2026, the annualization of these ratios excludes the effect of approximately $</w:t>
            </w:r>
            <w:bookmarkStart w:id="1626" w:name="xdx_90B_ecustom--NonrecurringExpensesInc"/>
            <w:bookmarkStart w:id="1627" w:name="xdx_90F_ecustom--NonrecurringExpensesInc"/>
            <w:bookmarkEnd w:id="1626"/>
            <w:bookmarkEnd w:id="1627"/>
            <w:r>
              <w:rPr>
                <w:rFonts w:ascii="Times New Roman;Times;Serif" w:hAnsi="Times New Roman;Times;Serif"/>
                <w:b w:val="false"/>
                <w:i w:val="false"/>
                <w:caps w:val="false"/>
                <w:smallCaps w:val="false"/>
                <w:sz w:val="20"/>
              </w:rPr>
              <w:t>20.0 million of accelerated and non-recurring expenses incurred in connection with the Externalization. Because the ratios are calculated for the Company’s common stock taken as a whole, an individual investor’s ratios may vary from these ratios.</w:t>
            </w:r>
          </w:p>
        </w:tc>
      </w:tr>
    </w:tbl>
    <w:p>
      <w:pPr>
        <w:pStyle w:val="TextBody"/>
        <w:bidi w:val="0"/>
        <w:spacing w:before="0" w:after="0"/>
        <w:jc w:val="center"/>
        <w:rPr>
          <w:caps w:val="false"/>
          <w:smallCaps w:val="false"/>
        </w:rPr>
      </w:pPr>
      <w:bookmarkStart w:id="1628" w:name="xdx_8A8_zrNvOKhBfYH8"/>
      <w:bookmarkEnd w:id="162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29" w:name="xdx_808_eus-gaap--IncomeTaxDisclosureTex"/>
      <w:bookmarkEnd w:id="1629"/>
      <w:r>
        <w:rPr>
          <w:rFonts w:ascii="Times New Roman;Times;Serif" w:hAnsi="Times New Roman;Times;Serif"/>
          <w:b/>
          <w:i w:val="false"/>
          <w:caps w:val="false"/>
          <w:smallCaps w:val="false"/>
          <w:sz w:val="20"/>
        </w:rPr>
        <w:t>NOTE 9—</w:t>
      </w:r>
      <w:bookmarkStart w:id="1630" w:name="xdx_821_zcFPBATtOnMb"/>
      <w:bookmarkEnd w:id="1630"/>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to be treated and intends to qualify annually as a RIC under Subchapter M of the Code and, as such, will not be subject to U.S. federal income tax on the portion of taxable income (including gains) timely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qualify as a RIC, the Company is required to meet certain income and asset diversification tests in addition to distributing dividends of an amount generally at least equal to </w:t>
      </w:r>
      <w:bookmarkStart w:id="1631" w:name="xdx_901_eus-gaap--InvestmentCompanyInves"/>
      <w:bookmarkEnd w:id="1631"/>
      <w:r>
        <w:rPr>
          <w:rFonts w:ascii="Times New Roman;Times;Serif" w:hAnsi="Times New Roman;Times;Serif"/>
          <w:b w:val="false"/>
          <w:i w:val="false"/>
          <w:caps w:val="false"/>
          <w:smallCaps w:val="false"/>
          <w:sz w:val="20"/>
        </w:rPr>
        <w:t>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RIC, the Company will be subject to a </w:t>
      </w:r>
      <w:bookmarkStart w:id="1632" w:name="xdx_90F_eus-gaap--EffectiveIncomeTaxRate"/>
      <w:bookmarkEnd w:id="1632"/>
      <w:r>
        <w:rPr>
          <w:rFonts w:ascii="Times New Roman;Times;Serif" w:hAnsi="Times New Roman;Times;Serif"/>
          <w:b w:val="false"/>
          <w:i w:val="false"/>
          <w:caps w:val="false"/>
          <w:smallCaps w:val="false"/>
          <w:sz w:val="20"/>
        </w:rPr>
        <w:t xml:space="preserve">4% nondeductible U.S. federal excise tax on certain undistributed income unless the Company makes distributions treated as dividends for U.S. federal income tax purposes in a timely manner to its stockholders in respect of each calendar year of an amount at least equal to the sum of </w:t>
      </w:r>
      <w:bookmarkStart w:id="1633" w:name="xdx_907_eus-gaap--IncomeTaxExaminationDe"/>
      <w:bookmarkEnd w:id="1633"/>
      <w:r>
        <w:rPr>
          <w:rFonts w:ascii="Times New Roman;Times;Serif" w:hAnsi="Times New Roman;Times;Serif"/>
          <w:b w:val="false"/>
          <w:i w:val="false"/>
          <w:caps w:val="false"/>
          <w:smallCaps w:val="false"/>
          <w:sz w:val="20"/>
        </w:rPr>
        <w:t>(1)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Depending on the level of taxable income earned in a taxable year, the Company may choose to carry over taxable income in excess of current taxable year distributions from such taxable income into the next taxable year and incur a </w:t>
      </w:r>
      <w:bookmarkStart w:id="1634" w:name="xdx_907_eus-gaap--EffectiveIncomeTaxRate"/>
      <w:bookmarkEnd w:id="1634"/>
      <w:r>
        <w:rPr>
          <w:rFonts w:ascii="Times New Roman;Times;Serif" w:hAnsi="Times New Roman;Times;Serif"/>
          <w:b w:val="false"/>
          <w:i w:val="false"/>
          <w:caps w:val="false"/>
          <w:smallCaps w:val="false"/>
          <w:sz w:val="20"/>
        </w:rPr>
        <w:t>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subsidiaries that are classified as corporations for U.S. federal income tax purposes which hold certain portfolio investments in an effort to limit potential legal liability and/or comply with source-income type requirements contained in the RIC tax provisions of the Code. These subsidiaries are consolidated for GAAP and the portfolio investments held by the subsidiaries are included in the Company’s Condensed Consolidated Financial Statements and are recorded at fair value. These subsidiaries are not consolidated with the Company for U.S. federal income tax purposes and may generate income tax expense, or benefit, and tax assets and liabilities as a result of their ownership of certain portfolio investments. Any income generated by these subsidiaries generally would be subject to U.S. federal income tax imposed at corporate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include net deferred tax provision/benefit in calculating its total expenses even though these net deferred taxes are not currently payable/receivable.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the Company and the Taxable Subsidiaries identified their major tax jurisdictions as U.S. federal, New York, and California and may be subject to the taxing authorities’ examination for the tax years 2022–2025 for federal and New York and 2021–2025 in California, respectively. Further, the Company and the Taxable Subsidiaries accrue all interest and penalties related to uncertain tax positions as incurred. As of June 30, 2026, there were no material interest or penalties incurred related to uncertain tax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35" w:name="xdx_80D_eus-gaap--DebtDisclosureTextBloc"/>
      <w:bookmarkEnd w:id="1635"/>
      <w:r>
        <w:rPr>
          <w:rFonts w:ascii="Times New Roman;Times;Serif" w:hAnsi="Times New Roman;Times;Serif"/>
          <w:b/>
          <w:i w:val="false"/>
          <w:caps w:val="false"/>
          <w:smallCaps w:val="false"/>
          <w:sz w:val="20"/>
        </w:rPr>
        <w:t>NOTE 10—</w:t>
      </w:r>
      <w:bookmarkStart w:id="1636" w:name="xdx_823_zZFAds8mbLd2"/>
      <w:bookmarkEnd w:id="1636"/>
      <w:r>
        <w:rPr>
          <w:rFonts w:ascii="Times New Roman;Times;Serif" w:hAnsi="Times New Roman;Times;Serif"/>
          <w:b/>
          <w:i w:val="false"/>
          <w:caps w:val="false"/>
          <w:smallCaps w:val="false"/>
          <w:sz w:val="20"/>
        </w:rPr>
        <w:t>DEBT CAPITAL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Notes due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2021, the Company issued $</w:t>
      </w:r>
      <w:bookmarkStart w:id="1637" w:name="xdx_901_eus-gaap--ProceedsFromIssuanceOf"/>
      <w:bookmarkEnd w:id="1637"/>
      <w:r>
        <w:rPr>
          <w:rFonts w:ascii="Times New Roman;Times;Serif" w:hAnsi="Times New Roman;Times;Serif"/>
          <w:b w:val="false"/>
          <w:i w:val="false"/>
          <w:caps w:val="false"/>
          <w:smallCaps w:val="false"/>
          <w:sz w:val="20"/>
        </w:rPr>
        <w:t xml:space="preserve">70.0 million aggregate principal amount of its 6.00% Notes due 2026 pursuant to an Indenture, dated as of </w:t>
      </w:r>
      <w:bookmarkStart w:id="1638" w:name="xdx_904_eus-gaap--DebtInstrumentIssuance"/>
      <w:bookmarkEnd w:id="1638"/>
      <w:r>
        <w:rPr>
          <w:rFonts w:ascii="Times New Roman;Times;Serif" w:hAnsi="Times New Roman;Times;Serif"/>
          <w:b w:val="false"/>
          <w:i w:val="false"/>
          <w:caps w:val="false"/>
          <w:smallCaps w:val="false"/>
          <w:sz w:val="20"/>
        </w:rPr>
        <w:t>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w:t>
      </w:r>
      <w:bookmarkStart w:id="1639" w:name="xdx_90A_eus-gaap--ProceedsFromIssuanceOf"/>
      <w:bookmarkEnd w:id="1639"/>
      <w:r>
        <w:rPr>
          <w:rFonts w:ascii="Times New Roman;Times;Serif" w:hAnsi="Times New Roman;Times;Serif"/>
          <w:b w:val="false"/>
          <w:i w:val="false"/>
          <w:caps w:val="false"/>
          <w:smallCaps w:val="false"/>
          <w:sz w:val="20"/>
        </w:rPr>
        <w:t xml:space="preserve">5.0 million aggregate principal amount of 6.00% Notes due 2026 pursuant to an overallotment option. The 6.00% Notes due 2026 bear interest at a fixed rate of </w:t>
      </w:r>
      <w:bookmarkStart w:id="1640" w:name="xdx_90A_eus-gaap--DebtInstrumentInterest"/>
      <w:bookmarkEnd w:id="1640"/>
      <w:r>
        <w:rPr>
          <w:rFonts w:ascii="Times New Roman;Times;Serif" w:hAnsi="Times New Roman;Times;Serif"/>
          <w:b w:val="false"/>
          <w:i w:val="false"/>
          <w:caps w:val="false"/>
          <w:smallCaps w:val="false"/>
          <w:sz w:val="20"/>
        </w:rPr>
        <w:t xml:space="preserve">6.00% per year, </w:t>
      </w:r>
      <w:bookmarkStart w:id="1641" w:name="xdx_909_eus-gaap--DebtInstrumentFrequenc"/>
      <w:bookmarkEnd w:id="1641"/>
      <w:r>
        <w:rPr>
          <w:rFonts w:ascii="Times New Roman;Times;Serif" w:hAnsi="Times New Roman;Times;Serif"/>
          <w:b w:val="false"/>
          <w:i w:val="false"/>
          <w:caps w:val="false"/>
          <w:smallCaps w:val="false"/>
          <w:sz w:val="20"/>
        </w:rPr>
        <w:t xml:space="preserve">payable quarterly in arrears on March 30, June 30, September 30, and December 30 of each year, commencing on March 30, 2022. The 6.00% Notes due 2026 have a maturity date of December 30, 2026, unless previously repurchased or redeemed in accordance with their terms. </w:t>
      </w:r>
      <w:bookmarkStart w:id="1642" w:name="xdx_90A_eus-gaap--DebtInstrumentDescript"/>
      <w:bookmarkEnd w:id="1642"/>
      <w:r>
        <w:rPr>
          <w:rFonts w:ascii="Times New Roman;Times;Serif" w:hAnsi="Times New Roman;Times;Serif"/>
          <w:b w:val="false"/>
          <w:i w:val="false"/>
          <w:caps w:val="false"/>
          <w:smallCaps w:val="false"/>
          <w:sz w:val="20"/>
        </w:rPr>
        <w:t>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6.00% Notes due 2026 are direct unsecured obligations of the Company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certain fees and expenses incurred in connection with its 6.00% Notes due 2026 as deferred debt issuance costs. Such costs are reflected in the carrying value of the 6.00% Notes due 2026. As of June 30, 2026 and December 31, 2025, the Company had deferred debt issuance costs of </w:t>
      </w:r>
      <w:bookmarkStart w:id="1643" w:name="xdx_905_eus-gaap--DeferredFinanceCostsGr"/>
      <w:bookmarkEnd w:id="1643"/>
      <w:r>
        <w:rPr>
          <w:rFonts w:ascii="Times New Roman;Times;Serif" w:hAnsi="Times New Roman;Times;Serif"/>
          <w:b w:val="false"/>
          <w:i w:val="false"/>
          <w:caps w:val="false"/>
          <w:smallCaps w:val="false"/>
          <w:sz w:val="20"/>
        </w:rPr>
        <w:t>$94,360 and $</w:t>
      </w:r>
      <w:bookmarkStart w:id="1644" w:name="xdx_90C_eus-gaap--DeferredFinanceCostsGr"/>
      <w:bookmarkEnd w:id="1644"/>
      <w:r>
        <w:rPr>
          <w:rFonts w:ascii="Times New Roman;Times;Serif" w:hAnsi="Times New Roman;Times;Serif"/>
          <w:b w:val="false"/>
          <w:i w:val="false"/>
          <w:caps w:val="false"/>
          <w:smallCaps w:val="false"/>
          <w:sz w:val="20"/>
        </w:rPr>
        <w:t>187,676, respectively, associated with the 6.00% Notes due 2026. The table below shows a reconciliation from the aggregate principal amount of 6.00% Notes due 2026 to the balance shown on the Condensed Consolidated Statements of Assets and Liabilities.</w:t>
      </w:r>
    </w:p>
    <w:p>
      <w:pPr>
        <w:pStyle w:val="TextBody"/>
        <w:bidi w:val="0"/>
        <w:spacing w:before="0" w:after="0"/>
        <w:jc w:val="center"/>
        <w:rPr>
          <w:caps w:val="false"/>
          <w:smallCaps w:val="false"/>
        </w:rPr>
      </w:pPr>
      <w:bookmarkStart w:id="1645" w:name="xdx_896_eus-gaap--ScheduleOfDebtTableTex"/>
      <w:bookmarkEnd w:id="1645"/>
      <w:r>
        <w:rPr>
          <w:caps w:val="false"/>
          <w:smallCaps w:val="false"/>
        </w:rPr>
        <w:t> </w:t>
      </w:r>
      <w:bookmarkStart w:id="1646" w:name="xdx_8BA_zK6ExWY3lL1e"/>
      <w:bookmarkEnd w:id="1646"/>
      <w:r>
        <w:rPr>
          <w:rFonts w:ascii="Times New Roman;Times;Serif" w:hAnsi="Times New Roman;Times;Serif"/>
          <w:b w:val="false"/>
          <w:i w:val="false"/>
          <w:caps w:val="false"/>
          <w:smallCaps w:val="false"/>
          <w:sz w:val="20"/>
        </w:rPr>
        <w:t>SCHEDULE OF RECONCILIATION FROM AGGREGATE PRINCIPAL AMOUNT OF 6.00% NOTES DUE 2026</w:t>
      </w:r>
    </w:p>
    <w:tbl>
      <w:tblPr>
        <w:tblW w:w="8858" w:type="dxa"/>
        <w:jc w:val="left"/>
        <w:tblInd w:w="0" w:type="dxa"/>
        <w:tblLayout w:type="fixed"/>
        <w:tblCellMar>
          <w:top w:w="0" w:type="dxa"/>
          <w:left w:w="0" w:type="dxa"/>
          <w:bottom w:w="0" w:type="dxa"/>
          <w:right w:w="0" w:type="dxa"/>
        </w:tblCellMar>
      </w:tblPr>
      <w:tblGrid>
        <w:gridCol w:w="5165"/>
        <w:gridCol w:w="60"/>
        <w:gridCol w:w="159"/>
        <w:gridCol w:w="1255"/>
        <w:gridCol w:w="95"/>
        <w:gridCol w:w="60"/>
        <w:gridCol w:w="220"/>
        <w:gridCol w:w="1734"/>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7" w:name="xdx_49F_20260630_zV0bpy5jIBwg"/>
            <w:bookmarkEnd w:id="164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8" w:name="xdx_495_20251231_zIPVi6291jY9"/>
            <w:bookmarkEnd w:id="1648"/>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1649" w:name="xdx_40E_eus-gaap--DebtInstrumentFaceAmou"/>
            <w:bookmarkEnd w:id="1649"/>
          </w:p>
        </w:tc>
      </w:tr>
      <w:tr>
        <w:trPr/>
        <w:tc>
          <w:tcPr>
            <w:tcW w:w="5165" w:type="dxa"/>
            <w:tcBorders/>
            <w:shd w:fill="CCEEFF" w:val="clear"/>
            <w:vAlign w:val="center"/>
          </w:tcPr>
          <w:p>
            <w:pPr>
              <w:pStyle w:val="TableContents"/>
              <w:bidi w:val="0"/>
              <w:spacing w:before="0" w:after="283"/>
              <w:jc w:val="left"/>
              <w:rPr/>
            </w:pPr>
            <w:r>
              <w:rPr/>
              <w:t>Aggregate principal amount of 6.00% Notes due 2026</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35,829,825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35,829,825</w:t>
            </w:r>
          </w:p>
        </w:tc>
        <w:tc>
          <w:tcPr>
            <w:tcW w:w="110" w:type="dxa"/>
            <w:tcBorders/>
            <w:shd w:fill="CCEEFF" w:val="clear"/>
            <w:vAlign w:val="center"/>
          </w:tcPr>
          <w:p>
            <w:pPr>
              <w:pStyle w:val="TableContents"/>
              <w:bidi w:val="0"/>
              <w:spacing w:before="0" w:after="283"/>
              <w:jc w:val="left"/>
              <w:rPr/>
            </w:pPr>
            <w:r>
              <w:rPr/>
              <w:t> </w:t>
            </w:r>
            <w:bookmarkStart w:id="1650" w:name="xdx_40F_eus-gaap--AccumulatedAmortizatio"/>
            <w:bookmarkEnd w:id="1650"/>
          </w:p>
        </w:tc>
      </w:tr>
      <w:tr>
        <w:trPr/>
        <w:tc>
          <w:tcPr>
            <w:tcW w:w="5165" w:type="dxa"/>
            <w:tcBorders/>
            <w:shd w:fill="FFFFFF" w:val="clear"/>
            <w:vAlign w:val="center"/>
          </w:tcPr>
          <w:p>
            <w:pPr>
              <w:pStyle w:val="TableContents"/>
              <w:bidi w:val="0"/>
              <w:spacing w:before="0" w:after="283"/>
              <w:jc w:val="left"/>
              <w:rPr/>
            </w:pPr>
            <w:r>
              <w:rPr/>
              <w:t>Direct deduction of deferred debt issuance costs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(94,360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34" w:type="dxa"/>
            <w:tcBorders>
              <w:bottom w:val="single" w:sz="8" w:space="0" w:color="000000"/>
            </w:tcBorders>
            <w:shd w:fill="FFFFFF" w:val="clear"/>
            <w:tcMar>
              <w:bottom w:w="28" w:type="dxa"/>
            </w:tcMar>
            <w:vAlign w:val="center"/>
          </w:tcPr>
          <w:p>
            <w:pPr>
              <w:pStyle w:val="TableContents"/>
              <w:bidi w:val="0"/>
              <w:spacing w:before="0" w:after="283"/>
              <w:jc w:val="right"/>
              <w:rPr/>
            </w:pPr>
            <w:r>
              <w:rPr/>
              <w:t>(187,676</w:t>
            </w:r>
          </w:p>
        </w:tc>
        <w:tc>
          <w:tcPr>
            <w:tcW w:w="110" w:type="dxa"/>
            <w:tcBorders/>
            <w:shd w:fill="FFFFFF" w:val="clear"/>
            <w:vAlign w:val="center"/>
          </w:tcPr>
          <w:p>
            <w:pPr>
              <w:pStyle w:val="TableContents"/>
              <w:bidi w:val="0"/>
              <w:spacing w:before="0" w:after="283"/>
              <w:jc w:val="left"/>
              <w:rPr/>
            </w:pPr>
            <w:r>
              <w:rPr/>
              <w:t>)</w:t>
            </w:r>
            <w:bookmarkStart w:id="1651" w:name="xdx_401_eus-gaap--NotesPayable_iI_hus-ga"/>
            <w:bookmarkEnd w:id="1651"/>
          </w:p>
        </w:tc>
      </w:tr>
      <w:tr>
        <w:trPr/>
        <w:tc>
          <w:tcPr>
            <w:tcW w:w="516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r>
              <w:rPr/>
              <w:t>35,735,465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CCEEFF" w:val="clear"/>
            <w:tcMar>
              <w:bottom w:w="28" w:type="dxa"/>
            </w:tcMar>
            <w:vAlign w:val="center"/>
          </w:tcPr>
          <w:p>
            <w:pPr>
              <w:pStyle w:val="TableContents"/>
              <w:bidi w:val="0"/>
              <w:spacing w:before="0" w:after="283"/>
              <w:jc w:val="right"/>
              <w:rPr/>
            </w:pPr>
            <w:r>
              <w:rPr/>
              <w:t>35,642,149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1652" w:name="xdx_8AF_z3z4UshMqG9i"/>
      <w:bookmarkEnd w:id="165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6.00% Notes due 2026 are listed for trading on the Nasdaq Global Select Market under the symbol “NSLRL”. The reported closing market price of NSLRL on June 30, 2026 and December 31, 2025 was $</w:t>
      </w:r>
      <w:bookmarkStart w:id="1653" w:name="xdx_90D_ecustom--ClosingMarketPricePerNo"/>
      <w:bookmarkEnd w:id="1653"/>
      <w:r>
        <w:rPr>
          <w:rFonts w:ascii="Times New Roman;Times;Serif" w:hAnsi="Times New Roman;Times;Serif"/>
          <w:b w:val="false"/>
          <w:i w:val="false"/>
          <w:caps w:val="false"/>
          <w:smallCaps w:val="false"/>
          <w:sz w:val="20"/>
        </w:rPr>
        <w:t>24.99 and $</w:t>
      </w:r>
      <w:bookmarkStart w:id="1654" w:name="xdx_907_ecustom--ClosingMarketPricePerNo"/>
      <w:bookmarkEnd w:id="1654"/>
      <w:r>
        <w:rPr>
          <w:rFonts w:ascii="Times New Roman;Times;Serif" w:hAnsi="Times New Roman;Times;Serif"/>
          <w:b w:val="false"/>
          <w:i w:val="false"/>
          <w:caps w:val="false"/>
          <w:smallCaps w:val="false"/>
          <w:sz w:val="20"/>
        </w:rPr>
        <w:t>25.00 per note, respectively. As of June 30, 2026 and December 31, 2025, the fair value of the 6.00% Notes due 2026 was $</w:t>
      </w:r>
      <w:bookmarkStart w:id="1655" w:name="xdx_90E_eus-gaap--DebtInstrumentFairValu"/>
      <w:bookmarkEnd w:id="1655"/>
      <w:r>
        <w:rPr>
          <w:rFonts w:ascii="Times New Roman;Times;Serif" w:hAnsi="Times New Roman;Times;Serif"/>
          <w:b w:val="false"/>
          <w:i w:val="false"/>
          <w:caps w:val="false"/>
          <w:smallCaps w:val="false"/>
          <w:sz w:val="20"/>
        </w:rPr>
        <w:t>35.8 million and $</w:t>
      </w:r>
      <w:bookmarkStart w:id="1656" w:name="xdx_90B_eus-gaap--DebtInstrumentFairValu"/>
      <w:bookmarkEnd w:id="1656"/>
      <w:r>
        <w:rPr>
          <w:rFonts w:ascii="Times New Roman;Times;Serif" w:hAnsi="Times New Roman;Times;Serif"/>
          <w:b w:val="false"/>
          <w:i w:val="false"/>
          <w:caps w:val="false"/>
          <w:smallCaps w:val="false"/>
          <w:sz w:val="20"/>
        </w:rPr>
        <w:t>35.8 million, respectively.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2024, the Company’s Board of Directors approved a discretionary note repurchase program (the “Note Repurchase Program”), which allows the Company to repurchase up to $</w:t>
      </w:r>
      <w:bookmarkStart w:id="1657" w:name="xdx_900_eus-gaap--DebtInstrumentRepurcha"/>
      <w:bookmarkEnd w:id="1657"/>
      <w:r>
        <w:rPr>
          <w:rFonts w:ascii="Times New Roman;Times;Serif" w:hAnsi="Times New Roman;Times;Serif"/>
          <w:b w:val="false"/>
          <w:i w:val="false"/>
          <w:caps w:val="false"/>
          <w:smallCaps w:val="false"/>
          <w:sz w:val="20"/>
        </w:rPr>
        <w:t xml:space="preserve">35.0 million of its </w:t>
      </w:r>
      <w:bookmarkStart w:id="1658" w:name="xdx_900_ecustom--DebtInstrumentRepurchas"/>
      <w:bookmarkEnd w:id="1658"/>
      <w:r>
        <w:rPr>
          <w:rFonts w:ascii="Times New Roman;Times;Serif" w:hAnsi="Times New Roman;Times;Serif"/>
          <w:b w:val="false"/>
          <w:i w:val="false"/>
          <w:caps w:val="false"/>
          <w:smallCaps w:val="false"/>
          <w:sz w:val="20"/>
        </w:rPr>
        <w:t>6.00% Notes due 2026 through open market purchases, including block purchases, in such manner as will comply with the provisions of the 1940 Act and the Exchange Act. During the year ended December 31, 2024, the Company repurchased and retired $</w:t>
      </w:r>
      <w:bookmarkStart w:id="1659" w:name="xdx_90F_ecustom--DebtInstrumentRepurchas"/>
      <w:bookmarkEnd w:id="1659"/>
      <w:r>
        <w:rPr>
          <w:rFonts w:ascii="Times New Roman;Times;Serif" w:hAnsi="Times New Roman;Times;Serif"/>
          <w:b w:val="false"/>
          <w:i w:val="false"/>
          <w:caps w:val="false"/>
          <w:smallCaps w:val="false"/>
          <w:sz w:val="20"/>
        </w:rPr>
        <w:t>30.3 million of aggregate principal amount of the 6.00% Notes due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the Company’s Board of Directors approved an extension of the discretionary note repurchase program (the “Note Repurchase Program”) which allows the Company to repurchase up to an additional $</w:t>
      </w:r>
      <w:bookmarkStart w:id="1660" w:name="xdx_90B_eus-gaap--DebtInstrumentRepurcha"/>
      <w:bookmarkEnd w:id="1660"/>
      <w:r>
        <w:rPr>
          <w:rFonts w:ascii="Times New Roman;Times;Serif" w:hAnsi="Times New Roman;Times;Serif"/>
          <w:b w:val="false"/>
          <w:i w:val="false"/>
          <w:caps w:val="false"/>
          <w:smallCaps w:val="false"/>
          <w:sz w:val="20"/>
        </w:rPr>
        <w:t>40.0 million or the remaining aggregate principal amount, of its 6.00% Notes due 2026 through open market purchases, including block purchases, in such manner as will comply with the provisions of the 1940 Act and the Exchange Act. During the year ended December 31, 2025, the Company repurchased and retired $</w:t>
      </w:r>
      <w:bookmarkStart w:id="1661" w:name="xdx_90B_ecustom--DebtInstrumentRepurchas"/>
      <w:bookmarkEnd w:id="1661"/>
      <w:r>
        <w:rPr>
          <w:rFonts w:ascii="Times New Roman;Times;Serif" w:hAnsi="Times New Roman;Times;Serif"/>
          <w:b w:val="false"/>
          <w:i w:val="false"/>
          <w:caps w:val="false"/>
          <w:smallCaps w:val="false"/>
          <w:sz w:val="20"/>
        </w:rPr>
        <w:t>8.8 million aggregate principal amount of the 6.00% Notes due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Convertible Notes due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privately issued $</w:t>
      </w:r>
      <w:bookmarkStart w:id="1662" w:name="xdx_90C_eus-gaap--ProceedsFromIssuanceOf"/>
      <w:bookmarkEnd w:id="1662"/>
      <w:r>
        <w:rPr>
          <w:rFonts w:ascii="Times New Roman;Times;Serif" w:hAnsi="Times New Roman;Times;Serif"/>
          <w:b w:val="false"/>
          <w:i w:val="false"/>
          <w:caps w:val="false"/>
          <w:smallCaps w:val="false"/>
          <w:sz w:val="20"/>
        </w:rPr>
        <w:t>25.0 million aggregate principal amount of its 6.50% Convertible Notes due 2029 (the “Initial Notes”) pursuant to a Notes Purchase Agreement, as Amended and Restated on December 12, 2025 (the “Notes Purchase Agreement”), between the Company and the purchaser identified therein (the “Purchaser”). On October 9, 2024, the Company issued an additional $</w:t>
      </w:r>
      <w:bookmarkStart w:id="1663" w:name="xdx_90D_eus-gaap--ProceedsFromIssuanceOf"/>
      <w:bookmarkEnd w:id="1663"/>
      <w:r>
        <w:rPr>
          <w:rFonts w:ascii="Times New Roman;Times;Serif" w:hAnsi="Times New Roman;Times;Serif"/>
          <w:b w:val="false"/>
          <w:i w:val="false"/>
          <w:caps w:val="false"/>
          <w:smallCaps w:val="false"/>
          <w:sz w:val="20"/>
        </w:rPr>
        <w:t>5.0 million in aggregate principal amount of 6.50% Convertible Notes due 2029 (the “Additional Notes”), which are treated as a single series with the Initial Notes. On January 16, 2025, the Company issued $</w:t>
      </w:r>
      <w:bookmarkStart w:id="1664" w:name="xdx_90D_eus-gaap--ProceedsFromIssuanceOf"/>
      <w:bookmarkEnd w:id="1664"/>
      <w:r>
        <w:rPr>
          <w:rFonts w:ascii="Times New Roman;Times;Serif" w:hAnsi="Times New Roman;Times;Serif"/>
          <w:b w:val="false"/>
          <w:i w:val="false"/>
          <w:caps w:val="false"/>
          <w:smallCaps w:val="false"/>
          <w:sz w:val="20"/>
        </w:rPr>
        <w:t>5.0 million in Additional Notes, which are treated as a single series with the Initial Notes and prior issuances of Additional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6.50% Convertible Notes due 2029 bear interest at a rate of </w:t>
      </w:r>
      <w:bookmarkStart w:id="1665" w:name="xdx_900_eus-gaap--DebtInstrumentInterest"/>
      <w:bookmarkEnd w:id="1665"/>
      <w:r>
        <w:rPr>
          <w:rFonts w:ascii="Times New Roman;Times;Serif" w:hAnsi="Times New Roman;Times;Serif"/>
          <w:b w:val="false"/>
          <w:i w:val="false"/>
          <w:caps w:val="false"/>
          <w:smallCaps w:val="false"/>
          <w:sz w:val="20"/>
        </w:rPr>
        <w:t xml:space="preserve">6.50% per year, </w:t>
      </w:r>
      <w:bookmarkStart w:id="1666" w:name="xdx_900_eus-gaap--DebtInstrumentFrequenc"/>
      <w:bookmarkEnd w:id="1666"/>
      <w:r>
        <w:rPr>
          <w:rFonts w:ascii="Times New Roman;Times;Serif" w:hAnsi="Times New Roman;Times;Serif"/>
          <w:b w:val="false"/>
          <w:i w:val="false"/>
          <w:caps w:val="false"/>
          <w:smallCaps w:val="false"/>
          <w:sz w:val="20"/>
        </w:rPr>
        <w:t xml:space="preserve">payable quarterly in arrears on March 30, June 30, September 30, and December 30 of each year, commencing on September 30, 2024. The 6.50% Convertible Notes due 2029 have a maturity date of </w:t>
      </w:r>
      <w:bookmarkStart w:id="1667" w:name="xdx_90B_eus-gaap--DebtInstrumentMaturity"/>
      <w:bookmarkEnd w:id="1667"/>
      <w:r>
        <w:rPr>
          <w:rFonts w:ascii="Times New Roman;Times;Serif" w:hAnsi="Times New Roman;Times;Serif"/>
          <w:b w:val="false"/>
          <w:i w:val="false"/>
          <w:caps w:val="false"/>
          <w:smallCaps w:val="false"/>
          <w:sz w:val="20"/>
        </w:rPr>
        <w:t>August 14, 2029, unless previously repurchased, redeemed or converted in accordance with the terms of the Notes Purchase Agreement. The Company has the right to redeem the 6.50% Convertible Notes due 2029, in whole or in part, at any time or from time to time, on or after August 6, 2027, upon the fulfillment of certain conditions. The Company has determined that the Conversion Cap Cash Payment feature included in the Convertible Note is an embedded derivative that meets the equity classification criteria. As such, the feature is not bifurcated and is accounted for as part of the debt instrument, which is recorded at amortized cost. The Company continues to assess this feature to determine if a future event would require bifurcation.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668" w:name="xdx_90A_eus-gaap--DebtConversionDescript"/>
      <w:bookmarkEnd w:id="1668"/>
      <w:r>
        <w:rPr>
          <w:rFonts w:ascii="Times New Roman;Times;Serif" w:hAnsi="Times New Roman;Times;Serif"/>
          <w:b w:val="false"/>
          <w:i w:val="false"/>
          <w:caps w:val="false"/>
          <w:smallCaps w:val="false"/>
          <w:sz w:val="20"/>
        </w:rPr>
        <w:t xml:space="preserve">The 6.50% Convertible Notes due 2029 are convertible into shares of our common stock at the Purchaser’s sole discretion at an initial conversion rate of 129.0323 shares of common stock per $1,000 principal amount of the 6.50% Convertible Notes due 2029, subject to adjustment as provided in the Notes Purchase Agreement. Effective as of July 21, 2025, </w:t>
      </w:r>
      <w:bookmarkStart w:id="1669" w:name="xdx_904_eus-gaap--DebtConversionDescript"/>
      <w:bookmarkEnd w:id="1669"/>
      <w:r>
        <w:rPr>
          <w:rFonts w:ascii="Times New Roman;Times;Serif" w:hAnsi="Times New Roman;Times;Serif"/>
          <w:b w:val="false"/>
          <w:i w:val="false"/>
          <w:caps w:val="false"/>
          <w:smallCaps w:val="false"/>
          <w:sz w:val="20"/>
        </w:rPr>
        <w:t xml:space="preserve">the conversion rate applicable to the 6.50% Convertible Notes due 2029 was adjusted to $7.53 per share (132.7530 shares of the Company’s common stock per $1,000 principal amount of the 6.50% Convertible Notes due 2029) from the initial conversion price of $7.75 per share (129.0323 shares of the Company’s common stock per $1,000 principal amount of the 6.50% Convertible Notes due 2029), which had been effective since issuance. The adjustment to the conversion rate of the 6.50% Convertible Notes due 2029 was made pursuant to the Notes Purchase Agreement governing the 6.50% Convertible Notes due 2029 as a result of the Company’s cash dividend of $0.25 per share, paid on July 31, 2025 to stockholders of record as of the close of business on July 21, 2025. Effective as of November 21, 2025, </w:t>
      </w:r>
      <w:bookmarkStart w:id="1670" w:name="xdx_90F_eus-gaap--DebtConversionDescript"/>
      <w:bookmarkEnd w:id="1670"/>
      <w:r>
        <w:rPr>
          <w:rFonts w:ascii="Times New Roman;Times;Serif" w:hAnsi="Times New Roman;Times;Serif"/>
          <w:b w:val="false"/>
          <w:i w:val="false"/>
          <w:caps w:val="false"/>
          <w:smallCaps w:val="false"/>
          <w:sz w:val="20"/>
        </w:rPr>
        <w:t>the conversion rate applicable to the 6.50% Convertible Notes due 2029 was adjusted to $7.32 per share (136.5633 shares of the Company’s common stock per $1,000 principal amount of the 6.50% Convertible Notes due 2029) from the most recent conversion price of $7.53 per share (132.7530 shares of the Company’s common stock per $1,000 principal amount of the 6.50% Convertible Notes due 2029), which had been effective since July 21, 2025. The adjustment to the conversion rate of the 6.50% Convertible Notes due 2029 was made pursuant to the Notes Purchase Agreement governing the 6.50% Convertible Notes due 2029 as a result of the Company’s cash dividend of $</w:t>
      </w:r>
      <w:bookmarkStart w:id="1671" w:name="xdx_909_eus-gaap--DividendsPayableAmount"/>
      <w:bookmarkEnd w:id="1671"/>
      <w:r>
        <w:rPr>
          <w:rFonts w:ascii="Times New Roman;Times;Serif" w:hAnsi="Times New Roman;Times;Serif"/>
          <w:b w:val="false"/>
          <w:i w:val="false"/>
          <w:caps w:val="false"/>
          <w:smallCaps w:val="false"/>
          <w:sz w:val="20"/>
        </w:rPr>
        <w:t>0.25 per share, paid on December 5, 2025 to stockholders of record as of the close of business on November 21, 2025.</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6.50% Convertible Notes due 2029 are direct unsecured obligations of the Company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or equal in right of payment, with any outstanding existing or future unsecured, unsubordinated indebtedness of the Company. The 6.50% Convertible Notes due 2029 are junior in right of payment to any existing or future secured credit facility; provided, however, that if the Company enters into a future credit facility senior in right of payment to the 6.50% Convertible Notes due 2029 (including any secured indebtedness), the interest on the outstanding principal amount of the 6.50% Convertible Notes due 2029 shall increase as of the date of such entry to </w:t>
      </w:r>
      <w:bookmarkStart w:id="1672" w:name="xdx_90C_eus-gaap--DebtInstrumentInterest"/>
      <w:bookmarkEnd w:id="1672"/>
      <w:r>
        <w:rPr>
          <w:rFonts w:ascii="Times New Roman;Times;Serif" w:hAnsi="Times New Roman;Times;Serif"/>
          <w:b w:val="false"/>
          <w:i w:val="false"/>
          <w:caps w:val="false"/>
          <w:smallCaps w:val="false"/>
          <w:sz w:val="20"/>
        </w:rPr>
        <w:t>7.00%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the Company issued </w:t>
      </w:r>
      <w:bookmarkStart w:id="1673" w:name="xdx_901_eus-gaap--DebtConversionConverte"/>
      <w:bookmarkStart w:id="1674" w:name="xdx_901_eus-gaap--DebtConversionConverte"/>
      <w:bookmarkEnd w:id="1673"/>
      <w:bookmarkEnd w:id="1674"/>
      <w:r>
        <w:rPr>
          <w:rFonts w:ascii="Times New Roman;Times;Serif" w:hAnsi="Times New Roman;Times;Serif"/>
          <w:b w:val="false"/>
          <w:i w:val="false"/>
          <w:caps w:val="false"/>
          <w:smallCaps w:val="false"/>
          <w:sz w:val="20"/>
        </w:rPr>
        <w:t>1,092,504 shares of its common stock and paid cash in lieu of fractional shares upon the conversion of $</w:t>
      </w:r>
      <w:bookmarkStart w:id="1675" w:name="xdx_907_eus-gaap--DebtConversionOriginal"/>
      <w:bookmarkEnd w:id="1675"/>
      <w:r>
        <w:rPr>
          <w:rFonts w:ascii="Times New Roman;Times;Serif" w:hAnsi="Times New Roman;Times;Serif"/>
          <w:b w:val="false"/>
          <w:i w:val="false"/>
          <w:caps w:val="false"/>
          <w:smallCaps w:val="false"/>
          <w:sz w:val="20"/>
        </w:rPr>
        <w:t xml:space="preserve">8,000,000 in aggregate principal amount of the </w:t>
      </w:r>
      <w:bookmarkStart w:id="1676" w:name="xdx_909_eus-gaap--DebtInstrumentInterest"/>
      <w:bookmarkEnd w:id="1676"/>
      <w:r>
        <w:rPr>
          <w:rFonts w:ascii="Times New Roman;Times;Serif" w:hAnsi="Times New Roman;Times;Serif"/>
          <w:b w:val="false"/>
          <w:i w:val="false"/>
          <w:caps w:val="false"/>
          <w:smallCaps w:val="false"/>
          <w:sz w:val="20"/>
        </w:rPr>
        <w:t>6.50% Convertible Notes due 2029.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677" w:name="xdx_890_eus-gaap--ConvertibleDebtTableTe"/>
      <w:bookmarkEnd w:id="1677"/>
      <w:r>
        <w:rPr>
          <w:rFonts w:ascii="Times New Roman;Times;Serif" w:hAnsi="Times New Roman;Times;Serif"/>
          <w:b w:val="false"/>
          <w:i w:val="false"/>
          <w:caps w:val="false"/>
          <w:smallCaps w:val="false"/>
          <w:sz w:val="20"/>
        </w:rPr>
        <w:t>The table below shows a reconciliation from the aggregate principal amount of 6.50% Convertible Notes due 2029 to the balance shown on the Condensed Consolidated Statements of Assets and Liabilities.</w:t>
      </w:r>
    </w:p>
    <w:p>
      <w:pPr>
        <w:pStyle w:val="TextBody"/>
        <w:bidi w:val="0"/>
        <w:spacing w:before="0" w:after="0"/>
        <w:ind w:left="0" w:right="0" w:firstLine="360"/>
        <w:jc w:val="both"/>
        <w:rPr>
          <w:caps w:val="false"/>
          <w:smallCaps w:val="false"/>
        </w:rPr>
      </w:pPr>
      <w:r>
        <w:rPr>
          <w:caps w:val="false"/>
          <w:smallCaps w:val="false"/>
        </w:rPr>
        <w:t> </w:t>
      </w:r>
      <w:bookmarkStart w:id="1678" w:name="xdx_8BF_zteZURKDOCD3"/>
      <w:bookmarkEnd w:id="1678"/>
      <w:r>
        <w:rPr>
          <w:rFonts w:ascii="Times New Roman;Times;Serif" w:hAnsi="Times New Roman;Times;Serif"/>
          <w:b w:val="false"/>
          <w:i w:val="false"/>
          <w:caps w:val="false"/>
          <w:smallCaps w:val="false"/>
          <w:sz w:val="20"/>
        </w:rPr>
        <w:t>SCHEDULE OF RECONCILIATION FROM AGGREGATE PRINCIPAL AMOUNT OF 6.50% CONVERTIBLE NOTES DUE 2029</w:t>
      </w:r>
    </w:p>
    <w:tbl>
      <w:tblPr>
        <w:tblW w:w="10028" w:type="dxa"/>
        <w:jc w:val="left"/>
        <w:tblInd w:w="0" w:type="dxa"/>
        <w:tblLayout w:type="fixed"/>
        <w:tblCellMar>
          <w:top w:w="0" w:type="dxa"/>
          <w:left w:w="0" w:type="dxa"/>
          <w:bottom w:w="0" w:type="dxa"/>
          <w:right w:w="0" w:type="dxa"/>
        </w:tblCellMar>
      </w:tblPr>
      <w:tblGrid>
        <w:gridCol w:w="6335"/>
        <w:gridCol w:w="60"/>
        <w:gridCol w:w="159"/>
        <w:gridCol w:w="1255"/>
        <w:gridCol w:w="95"/>
        <w:gridCol w:w="60"/>
        <w:gridCol w:w="220"/>
        <w:gridCol w:w="1734"/>
        <w:gridCol w:w="110"/>
      </w:tblGrid>
      <w:tr>
        <w:trPr/>
        <w:tc>
          <w:tcPr>
            <w:tcW w:w="6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9" w:name="xdx_491_20260630_zPNPF9NgbYMc"/>
            <w:bookmarkEnd w:id="1679"/>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80" w:name="xdx_496_20251231_zz9ptamH0qCg"/>
            <w:bookmarkEnd w:id="1680"/>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center"/>
              <w:rPr/>
            </w:pPr>
            <w:r>
              <w:rPr/>
              <w:t> </w:t>
            </w:r>
            <w:bookmarkStart w:id="1681" w:name="xdx_40D_eus-gaap--DebtInstrumentFaceAmou"/>
            <w:bookmarkEnd w:id="1681"/>
          </w:p>
        </w:tc>
      </w:tr>
      <w:tr>
        <w:trPr/>
        <w:tc>
          <w:tcPr>
            <w:tcW w:w="6335" w:type="dxa"/>
            <w:tcBorders/>
            <w:shd w:fill="CCEEFF" w:val="clear"/>
            <w:vAlign w:val="center"/>
          </w:tcPr>
          <w:p>
            <w:pPr>
              <w:pStyle w:val="TableContents"/>
              <w:bidi w:val="0"/>
              <w:spacing w:before="0" w:after="283"/>
              <w:jc w:val="left"/>
              <w:rPr/>
            </w:pPr>
            <w:r>
              <w:rPr/>
              <w:t>Aggregate principal amount of 6.50% Convertible Notes due 2029</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35,000,000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35,000,000</w:t>
            </w:r>
          </w:p>
        </w:tc>
        <w:tc>
          <w:tcPr>
            <w:tcW w:w="110" w:type="dxa"/>
            <w:tcBorders/>
            <w:shd w:fill="CCEEFF" w:val="clear"/>
            <w:vAlign w:val="center"/>
          </w:tcPr>
          <w:p>
            <w:pPr>
              <w:pStyle w:val="TableContents"/>
              <w:bidi w:val="0"/>
              <w:spacing w:before="0" w:after="283"/>
              <w:jc w:val="left"/>
              <w:rPr/>
            </w:pPr>
            <w:r>
              <w:rPr/>
              <w:t> </w:t>
            </w:r>
            <w:bookmarkStart w:id="1682" w:name="xdx_40F_ecustom--ConversionOfConvertible"/>
            <w:bookmarkEnd w:id="1682"/>
          </w:p>
        </w:tc>
      </w:tr>
      <w:tr>
        <w:trPr/>
        <w:tc>
          <w:tcPr>
            <w:tcW w:w="6335" w:type="dxa"/>
            <w:tcBorders/>
            <w:shd w:fill="FFFFFF" w:val="clear"/>
            <w:vAlign w:val="center"/>
          </w:tcPr>
          <w:p>
            <w:pPr>
              <w:pStyle w:val="TableContents"/>
              <w:bidi w:val="0"/>
              <w:spacing w:before="0" w:after="283"/>
              <w:jc w:val="left"/>
              <w:rPr/>
            </w:pPr>
            <w:r>
              <w:rPr/>
              <w:t>Conversion of 6.50% Convertible Notes due 2029</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(8,000,000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83" w:name="xdx_405_eus-gaap--AccumulatedAmortizatio"/>
            <w:bookmarkEnd w:id="1683"/>
          </w:p>
        </w:tc>
      </w:tr>
      <w:tr>
        <w:trPr/>
        <w:tc>
          <w:tcPr>
            <w:tcW w:w="6335" w:type="dxa"/>
            <w:tcBorders/>
            <w:shd w:fill="CCEEFF" w:val="clear"/>
            <w:vAlign w:val="center"/>
          </w:tcPr>
          <w:p>
            <w:pPr>
              <w:pStyle w:val="TableContents"/>
              <w:bidi w:val="0"/>
              <w:spacing w:before="0" w:after="283"/>
              <w:jc w:val="left"/>
              <w:rPr/>
            </w:pPr>
            <w:r>
              <w:rPr/>
              <w:t>Direct deduction of deferred debt issuance costs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(578,252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8" w:space="0" w:color="000000"/>
            </w:tcBorders>
            <w:shd w:fill="CCEEFF" w:val="clear"/>
            <w:tcMar>
              <w:bottom w:w="28" w:type="dxa"/>
            </w:tcMar>
            <w:vAlign w:val="center"/>
          </w:tcPr>
          <w:p>
            <w:pPr>
              <w:pStyle w:val="TableContents"/>
              <w:bidi w:val="0"/>
              <w:spacing w:before="0" w:after="283"/>
              <w:jc w:val="right"/>
              <w:rPr/>
            </w:pPr>
            <w:r>
              <w:rPr/>
              <w:t>(868,491</w:t>
            </w:r>
          </w:p>
        </w:tc>
        <w:tc>
          <w:tcPr>
            <w:tcW w:w="110" w:type="dxa"/>
            <w:tcBorders/>
            <w:shd w:fill="CCEEFF" w:val="clear"/>
            <w:vAlign w:val="center"/>
          </w:tcPr>
          <w:p>
            <w:pPr>
              <w:pStyle w:val="TableContents"/>
              <w:bidi w:val="0"/>
              <w:spacing w:before="0" w:after="283"/>
              <w:jc w:val="left"/>
              <w:rPr/>
            </w:pPr>
            <w:r>
              <w:rPr/>
              <w:t>)</w:t>
            </w:r>
            <w:bookmarkStart w:id="1684" w:name="xdx_406_ecustom--ConvertibleNotes_iI_hus"/>
            <w:bookmarkEnd w:id="1684"/>
          </w:p>
        </w:tc>
      </w:tr>
      <w:tr>
        <w:trPr/>
        <w:tc>
          <w:tcPr>
            <w:tcW w:w="633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26,421,748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pPr>
            <w:r>
              <w:rPr/>
              <w:t>34,131,509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685" w:name="xdx_8A8_zisdmr0GAgGa"/>
      <w:bookmarkEnd w:id="168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86" w:name="xdx_802_eus-gaap--DisclosureOfCompensati"/>
      <w:bookmarkEnd w:id="1686"/>
      <w:r>
        <w:rPr>
          <w:rFonts w:ascii="Times New Roman;Times;Serif" w:hAnsi="Times New Roman;Times;Serif"/>
          <w:b/>
          <w:i w:val="false"/>
          <w:caps w:val="false"/>
          <w:smallCaps w:val="false"/>
          <w:sz w:val="20"/>
        </w:rPr>
        <w:t>NOTE 11—</w:t>
      </w:r>
      <w:bookmarkStart w:id="1687" w:name="xdx_82F_zvHWcDzVw9Wg"/>
      <w:bookmarkEnd w:id="1687"/>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2019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28, 2025, the Company’s Board of Directors adopted, and the Company’s stockholders approved, an amendment and restatement of the Company’s Amended and Restated 2019 Equity Incentive Plan (the “Second Amended &amp; Restated 2019 Equity Incentive Plan”) under which the Company is authorized to grant equity awards for up to </w:t>
      </w:r>
      <w:bookmarkStart w:id="1688" w:name="xdx_903_eus-gaap--ShareBasedCompensation"/>
      <w:bookmarkEnd w:id="1688"/>
      <w:r>
        <w:rPr>
          <w:rFonts w:ascii="Times New Roman;Times;Serif" w:hAnsi="Times New Roman;Times;Serif"/>
          <w:b w:val="false"/>
          <w:i w:val="false"/>
          <w:caps w:val="false"/>
          <w:smallCaps w:val="false"/>
          <w:sz w:val="20"/>
        </w:rPr>
        <w:t>2,390,186 shares of its common stock. In accordance with the exemptive relief granted to the Company by the SEC on June 16, 2020 with respect to the Second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Second Amended &amp; Restated 2019 Equity Incentive Plan, and (iv) permit the Participants to pay the exercise price of Options granted to them with shares of the Company’s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Second Amended &amp; Restated 2019 Equity Incentive Plan, each non-employee director will receive an annual grant of $</w:t>
      </w:r>
      <w:bookmarkStart w:id="1689" w:name="xdx_904_eus-gaap--StockIssuedDuringPerio"/>
      <w:bookmarkEnd w:id="1689"/>
      <w:r>
        <w:rPr>
          <w:rFonts w:ascii="Times New Roman;Times;Serif" w:hAnsi="Times New Roman;Times;Serif"/>
          <w:b w:val="false"/>
          <w:i w:val="false"/>
          <w:caps w:val="false"/>
          <w:smallCaps w:val="false"/>
          <w:sz w:val="20"/>
        </w:rPr>
        <w:t>50,000 worth of restricted shares of common stock (based on the closing stock price of the common stock on the grant date). Each grant of $</w:t>
      </w:r>
      <w:bookmarkStart w:id="1690" w:name="xdx_905_eus-gaap--StockIssuedDuringPerio"/>
      <w:bookmarkEnd w:id="1690"/>
      <w:r>
        <w:rPr>
          <w:rFonts w:ascii="Times New Roman;Times;Serif" w:hAnsi="Times New Roman;Times;Serif"/>
          <w:b w:val="false"/>
          <w:i w:val="false"/>
          <w:caps w:val="false"/>
          <w:smallCaps w:val="false"/>
          <w:sz w:val="20"/>
        </w:rPr>
        <w:t xml:space="preserve">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six months ended June 30, 2026, the Company granted </w:t>
      </w:r>
      <w:bookmarkStart w:id="1691" w:name="xdx_902_eus-gaap--StockIssuedDuringPerio"/>
      <w:bookmarkEnd w:id="1691"/>
      <w:r>
        <w:rPr>
          <w:rFonts w:ascii="Times New Roman;Times;Serif" w:hAnsi="Times New Roman;Times;Serif"/>
          <w:b w:val="false"/>
          <w:i w:val="false"/>
          <w:caps w:val="false"/>
          <w:smallCaps w:val="false"/>
          <w:sz w:val="20"/>
        </w:rPr>
        <w:t xml:space="preserve">17,680 restricted shares to the Company’s non-employee directors pursuant to the Second Amended &amp; Restated 2019 Equity Incentive Plan. Additionally, on May 28, 2026, </w:t>
      </w:r>
      <w:bookmarkStart w:id="1692" w:name="xdx_90B_eus-gaap--StockIssuedDuringPerio"/>
      <w:bookmarkEnd w:id="1692"/>
      <w:r>
        <w:rPr>
          <w:rFonts w:ascii="Times New Roman;Times;Serif" w:hAnsi="Times New Roman;Times;Serif"/>
          <w:b w:val="false"/>
          <w:i w:val="false"/>
          <w:caps w:val="false"/>
          <w:smallCaps w:val="false"/>
          <w:sz w:val="20"/>
        </w:rPr>
        <w:t>31,248 restricted shares related to the 2025 non-employee director grants vested.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such restricted shares granted to non-employee directors, the Compensation Committee of the Company’s Board of Directors may determine the time or times at which restricted shares and Options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in connection with the Externalization, the Compensation Committee approved grants of </w:t>
      </w:r>
      <w:bookmarkStart w:id="1693" w:name="xdx_906_eus-gaap--StockIssuedDuringPerio"/>
      <w:bookmarkEnd w:id="1693"/>
      <w:r>
        <w:rPr>
          <w:rFonts w:ascii="Times New Roman;Times;Serif" w:hAnsi="Times New Roman;Times;Serif"/>
          <w:b w:val="false"/>
          <w:i w:val="false"/>
          <w:caps w:val="false"/>
          <w:smallCaps w:val="false"/>
          <w:sz w:val="20"/>
        </w:rPr>
        <w:t xml:space="preserve">350,000 and </w:t>
      </w:r>
      <w:bookmarkStart w:id="1694" w:name="xdx_907_eus-gaap--StockIssuedDuringPerio"/>
      <w:bookmarkEnd w:id="1694"/>
      <w:r>
        <w:rPr>
          <w:rFonts w:ascii="Times New Roman;Times;Serif" w:hAnsi="Times New Roman;Times;Serif"/>
          <w:b w:val="false"/>
          <w:i w:val="false"/>
          <w:caps w:val="false"/>
          <w:smallCaps w:val="false"/>
          <w:sz w:val="20"/>
        </w:rPr>
        <w:t>60,000 restricted shares to Mr. Klein and Ms. Green, respectively, and cash bonuses of $</w:t>
      </w:r>
      <w:bookmarkStart w:id="1695" w:name="xdx_906_ecustom--CashBonuses_c20260402__"/>
      <w:bookmarkEnd w:id="1695"/>
      <w:r>
        <w:rPr>
          <w:rFonts w:ascii="Times New Roman;Times;Serif" w:hAnsi="Times New Roman;Times;Serif"/>
          <w:b w:val="false"/>
          <w:i w:val="false"/>
          <w:caps w:val="false"/>
          <w:smallCaps w:val="false"/>
          <w:sz w:val="20"/>
        </w:rPr>
        <w:t>850,000 to Mr. Klein and $</w:t>
      </w:r>
      <w:bookmarkStart w:id="1696" w:name="xdx_905_ecustom--CashBonuses_c20260402__"/>
      <w:bookmarkEnd w:id="1696"/>
      <w:r>
        <w:rPr>
          <w:rFonts w:ascii="Times New Roman;Times;Serif" w:hAnsi="Times New Roman;Times;Serif"/>
          <w:b w:val="false"/>
          <w:i w:val="false"/>
          <w:caps w:val="false"/>
          <w:smallCaps w:val="false"/>
          <w:sz w:val="20"/>
        </w:rPr>
        <w:t xml:space="preserve">500,000 to Ms. Green, in each case contingent on stockholder approval of the Investment Advisory Agreement. The Company’s stockholders approved the Investment Advisory Agreement on June 10, 2026, and the Company granted those restricted shares on June 12, 2026 under the Second Amended &amp; Restated 2019 Equity Incentive Plan. </w:t>
      </w:r>
    </w:p>
    <w:p>
      <w:pPr>
        <w:pStyle w:val="TextBody"/>
        <w:bidi w:val="0"/>
        <w:spacing w:lineRule="auto" w:line="288"/>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Externalization, on June 15, 2026 the Company’s Board of Directors approved the acceleration in full of the vesting of all restricted shares then outstanding and unvested under the Amended and Restated 2019 Equity Incentive Plan and the Second Amended &amp; Restated 2019 Equity Incentive Plan, effective as of June 15, 2026, including the </w:t>
      </w:r>
      <w:bookmarkStart w:id="1697" w:name="xdx_903_eus-gaap--StockIssuedDuringPerio"/>
      <w:bookmarkEnd w:id="1697"/>
      <w:r>
        <w:rPr>
          <w:rFonts w:ascii="Times New Roman;Times;Serif" w:hAnsi="Times New Roman;Times;Serif"/>
          <w:b w:val="false"/>
          <w:i w:val="false"/>
          <w:caps w:val="false"/>
          <w:smallCaps w:val="false"/>
          <w:sz w:val="20"/>
        </w:rPr>
        <w:t>17,680 restricted shares granted to the Company’s non-employee directors in 2026. No restricted shares remained outstanding under either plan as of June 30, 2026.</w:t>
      </w:r>
    </w:p>
    <w:p>
      <w:pPr>
        <w:pStyle w:val="TextBody"/>
        <w:bidi w:val="0"/>
        <w:spacing w:lineRule="auto" w:line="276"/>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acceleration as a Type I, probable-to-probable modification under ASC 718, Stock Compensation. The modification did not otherwise change the underlying economic terms of the awards and did not result in incremental compensation cost because the fair value of the awards immediately before and immediately after the modification was the same. As a result, the Company recognized the remaining unrecognized compensation cost associated with the grant-date fair value of the outstanding awards upon consummation of the Externalization.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recognized stock-based compensation expense of $</w:t>
      </w:r>
      <w:bookmarkStart w:id="1698" w:name="xdx_903_eus-gaap--ShareBasedCompensation"/>
      <w:bookmarkEnd w:id="1698"/>
      <w:r>
        <w:rPr>
          <w:rFonts w:ascii="Times New Roman;Times;Serif" w:hAnsi="Times New Roman;Times;Serif"/>
          <w:b w:val="false"/>
          <w:i w:val="false"/>
          <w:caps w:val="false"/>
          <w:smallCaps w:val="false"/>
          <w:sz w:val="20"/>
        </w:rPr>
        <w:t>11,807,726 (exclusive of $</w:t>
      </w:r>
      <w:bookmarkStart w:id="1699" w:name="xdx_90A_eus-gaap--SharebasedCompensation"/>
      <w:bookmarkEnd w:id="1699"/>
      <w:r>
        <w:rPr>
          <w:rFonts w:ascii="Times New Roman;Times;Serif" w:hAnsi="Times New Roman;Times;Serif"/>
          <w:b w:val="false"/>
          <w:i w:val="false"/>
          <w:caps w:val="false"/>
          <w:smallCaps w:val="false"/>
          <w:sz w:val="20"/>
        </w:rPr>
        <w:t>5,734,365 in aggregate income tax liability paid by the Company on behalf of certain executives as a result of the vesting of certain grants) and $</w:t>
      </w:r>
      <w:bookmarkStart w:id="1700" w:name="xdx_909_eus-gaap--ShareBasedCompensation"/>
      <w:bookmarkEnd w:id="1700"/>
      <w:r>
        <w:rPr>
          <w:rFonts w:ascii="Times New Roman;Times;Serif" w:hAnsi="Times New Roman;Times;Serif"/>
          <w:b w:val="false"/>
          <w:i w:val="false"/>
          <w:caps w:val="false"/>
          <w:smallCaps w:val="false"/>
          <w:sz w:val="20"/>
        </w:rPr>
        <w:t>499,125, respectively, not including executive and employee forfeits. The increase in stock-based compensation expense during the six months ended June 30, 2026 was primarily attributable to (i) the acceleration of vesting for outstanding restricted share awards in connection with the Externalization, resulting in the immediate recognition of the remaining unrecognized compensation cost associated with those awards and (ii) compensation expense recognized for restricted share awards granted to executive officers in connection with the Externalization. As of June 30, 2026 and December 31, 2025, there were approximately $</w:t>
      </w:r>
      <w:bookmarkStart w:id="1701" w:name="xdx_90C_eus-gaap--EmployeeServiceShareBa"/>
      <w:bookmarkEnd w:id="1701"/>
      <w:r>
        <w:rPr>
          <w:rFonts w:ascii="Times New Roman;Times;Serif" w:hAnsi="Times New Roman;Times;Serif"/>
          <w:b w:val="false"/>
          <w:i w:val="false"/>
          <w:caps w:val="false"/>
          <w:smallCaps w:val="false"/>
          <w:sz w:val="20"/>
        </w:rPr>
        <w:t>0 and $</w:t>
      </w:r>
      <w:bookmarkStart w:id="1702" w:name="xdx_903_eus-gaap--EmployeeServiceShareBa"/>
      <w:bookmarkEnd w:id="1702"/>
      <w:r>
        <w:rPr>
          <w:rFonts w:ascii="Times New Roman;Times;Serif" w:hAnsi="Times New Roman;Times;Serif"/>
          <w:b w:val="false"/>
          <w:i w:val="false"/>
          <w:caps w:val="false"/>
          <w:smallCaps w:val="false"/>
          <w:sz w:val="20"/>
        </w:rPr>
        <w:t>5,722,648 (immaterially adjusted from amount previously disclosed), respectively, of total unrecognized compensation costs related to the restricted share grants. Compensation expense associated with the restricted shares is recognized on a quarterly basis over the respective vesting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703" w:name="xdx_898_eus-gaap--ScheduleOfSharebasedCo"/>
      <w:bookmarkEnd w:id="1703"/>
      <w:r>
        <w:rPr>
          <w:rFonts w:ascii="Times New Roman;Times;Serif" w:hAnsi="Times New Roman;Times;Serif"/>
          <w:b w:val="false"/>
          <w:i w:val="false"/>
          <w:caps w:val="false"/>
          <w:smallCaps w:val="false"/>
          <w:sz w:val="20"/>
        </w:rPr>
        <w:t>The following table summarizes the activities for the Company’s restricted share grants for the six months ended June 30, 2026 under the Second Amended &amp; Restated 2019 Equity Incentive Plan:</w:t>
      </w:r>
    </w:p>
    <w:p>
      <w:pPr>
        <w:pStyle w:val="TextBody"/>
        <w:bidi w:val="0"/>
        <w:spacing w:before="0" w:after="0"/>
        <w:ind w:left="0" w:right="0" w:firstLine="360"/>
        <w:jc w:val="both"/>
        <w:rPr>
          <w:caps w:val="false"/>
          <w:smallCaps w:val="false"/>
        </w:rPr>
      </w:pPr>
      <w:r>
        <w:rPr>
          <w:caps w:val="false"/>
          <w:smallCaps w:val="false"/>
        </w:rPr>
        <w:t> </w:t>
      </w:r>
      <w:bookmarkStart w:id="1704" w:name="xdx_8BA_zMxUWBcPZ9ge"/>
      <w:bookmarkEnd w:id="1704"/>
      <w:r>
        <w:rPr>
          <w:rFonts w:ascii="Times New Roman;Times;Serif" w:hAnsi="Times New Roman;Times;Serif"/>
          <w:b w:val="false"/>
          <w:i w:val="false"/>
          <w:caps w:val="false"/>
          <w:smallCaps w:val="false"/>
          <w:sz w:val="20"/>
        </w:rPr>
        <w:t>SCHEDULE OF EQUITY INCENTIVE PLAN</w:t>
      </w:r>
    </w:p>
    <w:tbl>
      <w:tblPr>
        <w:tblW w:w="6539" w:type="dxa"/>
        <w:jc w:val="left"/>
        <w:tblInd w:w="0" w:type="dxa"/>
        <w:tblLayout w:type="fixed"/>
        <w:tblCellMar>
          <w:top w:w="0" w:type="dxa"/>
          <w:left w:w="0" w:type="dxa"/>
          <w:bottom w:w="0" w:type="dxa"/>
          <w:right w:w="0" w:type="dxa"/>
        </w:tblCellMar>
      </w:tblPr>
      <w:tblGrid>
        <w:gridCol w:w="4565"/>
        <w:gridCol w:w="60"/>
        <w:gridCol w:w="97"/>
        <w:gridCol w:w="1707"/>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jc w:val="center"/>
              <w:rPr>
                <w:b/>
              </w:rPr>
            </w:pPr>
            <w:r>
              <w:rPr>
                <w:b/>
              </w:rPr>
              <w:t>Number of</w:t>
            </w:r>
          </w:p>
          <w:p>
            <w:pPr>
              <w:pStyle w:val="TableContents"/>
              <w:bidi w:val="0"/>
              <w:spacing w:before="0" w:after="283"/>
              <w:jc w:val="center"/>
              <w:rPr>
                <w:b/>
              </w:rPr>
            </w:pPr>
            <w:r>
              <w:rPr>
                <w:b/>
              </w:rPr>
              <w:t>Restricted Shares</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as of December 31, 2025</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1705" w:name="xdx_98B_eus-gaap--ShareBasedCompensation"/>
            <w:bookmarkEnd w:id="1705"/>
          </w:p>
        </w:tc>
        <w:tc>
          <w:tcPr>
            <w:tcW w:w="1707" w:type="dxa"/>
            <w:tcBorders/>
            <w:shd w:fill="CCEEFF" w:val="clear"/>
            <w:vAlign w:val="center"/>
          </w:tcPr>
          <w:p>
            <w:pPr>
              <w:pStyle w:val="TableContents"/>
              <w:bidi w:val="0"/>
              <w:spacing w:before="0" w:after="283"/>
              <w:jc w:val="right"/>
              <w:rPr/>
            </w:pPr>
            <w:r>
              <w:rPr/>
              <w:t>957,173</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1706" w:name="xdx_987_eus-gaap--ShareBasedCompensation"/>
            <w:bookmarkEnd w:id="1706"/>
          </w:p>
        </w:tc>
        <w:tc>
          <w:tcPr>
            <w:tcW w:w="1707" w:type="dxa"/>
            <w:tcBorders/>
            <w:shd w:fill="FFFFFF" w:val="clear"/>
            <w:vAlign w:val="center"/>
          </w:tcPr>
          <w:p>
            <w:pPr>
              <w:pStyle w:val="TableContents"/>
              <w:bidi w:val="0"/>
              <w:spacing w:before="0" w:after="283"/>
              <w:jc w:val="right"/>
              <w:rPr/>
            </w:pPr>
            <w:r>
              <w:rPr/>
              <w:t>437,680</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07" w:name="xdx_989_eus-gaap--ShareBasedCompensation"/>
            <w:bookmarkEnd w:id="1707"/>
          </w:p>
        </w:tc>
        <w:tc>
          <w:tcPr>
            <w:tcW w:w="1707" w:type="dxa"/>
            <w:tcBorders>
              <w:bottom w:val="single" w:sz="8" w:space="0" w:color="000000"/>
            </w:tcBorders>
            <w:shd w:fill="CCEEFF" w:val="clear"/>
            <w:tcMar>
              <w:bottom w:w="28" w:type="dxa"/>
            </w:tcMar>
            <w:vAlign w:val="center"/>
          </w:tcPr>
          <w:p>
            <w:pPr>
              <w:pStyle w:val="TableContents"/>
              <w:bidi w:val="0"/>
              <w:spacing w:before="0" w:after="283"/>
              <w:jc w:val="right"/>
              <w:rPr/>
            </w:pPr>
            <w:r>
              <w:rPr/>
              <w:t>(1,394,853</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left"/>
              <w:rPr/>
            </w:pPr>
            <w:r>
              <w:rPr/>
              <w:t>Outstanding as of June 30, 2026</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1708" w:name="xdx_982_eus-gaap--ShareBasedCompensation"/>
            <w:bookmarkEnd w:id="1708"/>
          </w:p>
        </w:tc>
        <w:tc>
          <w:tcPr>
            <w:tcW w:w="170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Total vested since inception as of June 30, 2026</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1709" w:name="xdx_982_ecustom--ShareBasedCompensationA"/>
            <w:bookmarkEnd w:id="1709"/>
          </w:p>
        </w:tc>
        <w:tc>
          <w:tcPr>
            <w:tcW w:w="1707" w:type="dxa"/>
            <w:tcBorders/>
            <w:shd w:fill="CCEEFF" w:val="clear"/>
            <w:vAlign w:val="center"/>
          </w:tcPr>
          <w:p>
            <w:pPr>
              <w:pStyle w:val="TableContents"/>
              <w:bidi w:val="0"/>
              <w:spacing w:before="0" w:after="283"/>
              <w:jc w:val="right"/>
              <w:rPr/>
            </w:pPr>
            <w:r>
              <w:rPr/>
              <w:t>2,563,102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710" w:name="xdx_F0E_zmnys2huKUkd"/>
            <w:bookmarkEnd w:id="1710"/>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11" w:name="xdx_F17_zxogHmPMcE7"/>
            <w:bookmarkEnd w:id="1711"/>
            <w:r>
              <w:rPr>
                <w:rFonts w:ascii="Times New Roman;Times;Serif" w:hAnsi="Times New Roman;Times;Serif"/>
                <w:b w:val="false"/>
                <w:i w:val="false"/>
                <w:caps w:val="false"/>
                <w:smallCaps w:val="false"/>
                <w:sz w:val="20"/>
              </w:rPr>
              <w:t>Not including unvested dividends.</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712" w:name="xdx_F05_z7PqnDLgVYT3"/>
            <w:bookmarkEnd w:id="1712"/>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13" w:name="xdx_F1C_zmESIOG5UJh6"/>
            <w:bookmarkEnd w:id="1713"/>
            <w:r>
              <w:rPr>
                <w:rFonts w:ascii="Times New Roman;Times;Serif" w:hAnsi="Times New Roman;Times;Serif"/>
                <w:b w:val="false"/>
                <w:i w:val="false"/>
                <w:caps w:val="false"/>
                <w:smallCaps w:val="false"/>
                <w:sz w:val="20"/>
              </w:rPr>
              <w:t>The balance of vested shares reflects the total shares vested during the period and has not been reduced for those vested shares forfeited at time of vest related to net share settlement. The Second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tc>
      </w:tr>
    </w:tbl>
    <w:p>
      <w:pPr>
        <w:pStyle w:val="TextBody"/>
        <w:bidi w:val="0"/>
        <w:spacing w:before="0" w:after="0"/>
        <w:jc w:val="center"/>
        <w:rPr>
          <w:caps w:val="false"/>
          <w:smallCaps w:val="false"/>
        </w:rPr>
      </w:pPr>
      <w:bookmarkStart w:id="1714" w:name="xdx_8A7_zl5gw4OFtGv7"/>
      <w:bookmarkEnd w:id="171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15" w:name="xdx_807_eus-gaap--SubsequentEventsTextBl"/>
      <w:bookmarkEnd w:id="1715"/>
      <w:r>
        <w:rPr>
          <w:rFonts w:ascii="Times New Roman;Times;Serif" w:hAnsi="Times New Roman;Times;Serif"/>
          <w:b/>
          <w:i w:val="false"/>
          <w:caps w:val="false"/>
          <w:smallCaps w:val="false"/>
          <w:sz w:val="20"/>
        </w:rPr>
        <w:t>NOTE 12—</w:t>
      </w:r>
      <w:bookmarkStart w:id="1716" w:name="xdx_826_zL8OpSKYkQyb"/>
      <w:bookmarkEnd w:id="171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717" w:name="xdx_899_eus-gaap--SummaryInvestmentHoldi"/>
      <w:bookmarkEnd w:id="1717"/>
      <w:r>
        <w:rPr>
          <w:rFonts w:ascii="Times New Roman;Times;Serif" w:hAnsi="Times New Roman;Times;Serif"/>
          <w:b w:val="false"/>
          <w:i w:val="false"/>
          <w:caps w:val="false"/>
          <w:smallCaps w:val="false"/>
          <w:sz w:val="20"/>
        </w:rPr>
        <w:t>From July 1, 2026 through August 5, 2026, the Company made the following investments (not including capitalized transaction costs).</w:t>
      </w:r>
    </w:p>
    <w:p>
      <w:pPr>
        <w:pStyle w:val="TextBody"/>
        <w:bidi w:val="0"/>
        <w:spacing w:before="0" w:after="0"/>
        <w:ind w:left="0" w:right="0" w:firstLine="360"/>
        <w:jc w:val="both"/>
        <w:rPr>
          <w:caps w:val="false"/>
          <w:smallCaps w:val="false"/>
        </w:rPr>
      </w:pPr>
      <w:r>
        <w:rPr>
          <w:caps w:val="false"/>
          <w:smallCaps w:val="false"/>
        </w:rPr>
        <w:t> </w:t>
      </w:r>
      <w:bookmarkStart w:id="1718" w:name="xdx_8BE_zmQQTdwCZcma"/>
      <w:bookmarkEnd w:id="1718"/>
      <w:r>
        <w:rPr>
          <w:rFonts w:ascii="Times New Roman;Times;Serif" w:hAnsi="Times New Roman;Times;Serif"/>
          <w:b w:val="false"/>
          <w:i w:val="false"/>
          <w:caps w:val="false"/>
          <w:smallCaps w:val="false"/>
          <w:sz w:val="20"/>
        </w:rPr>
        <w:t>SCHEDULE OF INVESTMENTS BY COMPANY</w:t>
      </w:r>
    </w:p>
    <w:tbl>
      <w:tblPr>
        <w:tblW w:w="8644" w:type="dxa"/>
        <w:jc w:val="left"/>
        <w:tblInd w:w="0" w:type="dxa"/>
        <w:tblLayout w:type="fixed"/>
        <w:tblCellMar>
          <w:top w:w="0" w:type="dxa"/>
          <w:left w:w="0" w:type="dxa"/>
          <w:bottom w:w="28" w:type="dxa"/>
          <w:right w:w="0" w:type="dxa"/>
        </w:tblCellMar>
      </w:tblPr>
      <w:tblGrid>
        <w:gridCol w:w="3965"/>
        <w:gridCol w:w="60"/>
        <w:gridCol w:w="60"/>
        <w:gridCol w:w="1595"/>
        <w:gridCol w:w="60"/>
        <w:gridCol w:w="60"/>
        <w:gridCol w:w="190"/>
        <w:gridCol w:w="1599"/>
        <w:gridCol w:w="60"/>
        <w:gridCol w:w="60"/>
        <w:gridCol w:w="231"/>
        <w:gridCol w:w="629"/>
        <w:gridCol w:w="75"/>
      </w:tblGrid>
      <w:tr>
        <w:trPr/>
        <w:tc>
          <w:tcPr>
            <w:tcW w:w="3965" w:type="dxa"/>
            <w:tcBorders>
              <w:bottom w:val="single" w:sz="8" w:space="0" w:color="000000"/>
            </w:tcBorders>
            <w:vAlign w:val="center"/>
          </w:tcPr>
          <w:p>
            <w:pPr>
              <w:pStyle w:val="TableContents"/>
              <w:bidi w:val="0"/>
              <w:spacing w:before="0" w:after="283"/>
              <w:jc w:val="left"/>
              <w:rPr>
                <w:b/>
              </w:rPr>
            </w:pPr>
            <w:r>
              <w:rPr>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655" w:type="dxa"/>
            <w:gridSpan w:val="2"/>
            <w:tcBorders>
              <w:bottom w:val="single" w:sz="8" w:space="0" w:color="000000"/>
            </w:tcBorders>
            <w:vAlign w:val="center"/>
          </w:tcPr>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9" w:type="dxa"/>
            <w:gridSpan w:val="2"/>
            <w:tcBorders>
              <w:bottom w:val="single" w:sz="8" w:space="0" w:color="000000"/>
            </w:tcBorders>
            <w:vAlign w:val="center"/>
          </w:tcPr>
          <w:p>
            <w:pPr>
              <w:pStyle w:val="TableContents"/>
              <w:bidi w:val="0"/>
              <w:spacing w:before="0" w:after="283"/>
              <w:jc w:val="center"/>
              <w:rPr>
                <w:b/>
              </w:rPr>
            </w:pPr>
            <w:r>
              <w:rPr>
                <w:b/>
              </w:rPr>
              <w:t>Transaction Date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pPr>
            <w:r>
              <w:rPr/>
              <w:t>Shogun Enterprises, Inc. (d/b/a Hearth)</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right"/>
              <w:rPr/>
            </w:pPr>
            <w:r>
              <w:rPr/>
              <w:t>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599" w:type="dxa"/>
            <w:tcBorders/>
            <w:shd w:fill="CCEEFF" w:val="clear"/>
            <w:tcMar>
              <w:bottom w:w="0" w:type="dxa"/>
            </w:tcMar>
            <w:vAlign w:val="center"/>
          </w:tcPr>
          <w:p>
            <w:pPr>
              <w:pStyle w:val="TableContents"/>
              <w:bidi w:val="0"/>
              <w:spacing w:before="0" w:after="283"/>
              <w:jc w:val="center"/>
              <w:rPr/>
            </w:pPr>
            <w:r>
              <w:rPr/>
              <w:t>7/10/2026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8" w:space="0" w:color="000000"/>
            </w:tcBorders>
            <w:shd w:fill="CCEEFF" w:val="clear"/>
            <w:vAlign w:val="center"/>
          </w:tcPr>
          <w:p>
            <w:pPr>
              <w:pStyle w:val="TableContents"/>
              <w:bidi w:val="0"/>
              <w:spacing w:before="0" w:after="283"/>
              <w:jc w:val="left"/>
              <w:rPr/>
            </w:pPr>
            <w:r>
              <w:rPr/>
              <w:t>$</w:t>
            </w:r>
          </w:p>
        </w:tc>
        <w:tc>
          <w:tcPr>
            <w:tcW w:w="629" w:type="dxa"/>
            <w:tcBorders>
              <w:bottom w:val="single" w:sz="8" w:space="0" w:color="000000"/>
            </w:tcBorders>
            <w:shd w:fill="CCEEFF" w:val="clear"/>
            <w:vAlign w:val="center"/>
          </w:tcPr>
          <w:p>
            <w:pPr>
              <w:pStyle w:val="TableContents"/>
              <w:bidi w:val="0"/>
              <w:spacing w:before="0" w:after="283"/>
              <w:jc w:val="right"/>
              <w:rPr/>
            </w:pPr>
            <w:bookmarkStart w:id="1719" w:name="xdx_900_eus-gaap--Investments_iI_c202608"/>
            <w:bookmarkEnd w:id="1719"/>
            <w:r>
              <w:rPr/>
              <w:t>861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59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vAlign w:val="center"/>
          </w:tcPr>
          <w:p>
            <w:pPr>
              <w:pStyle w:val="TableContents"/>
              <w:bidi w:val="0"/>
              <w:spacing w:before="0" w:after="283"/>
              <w:jc w:val="right"/>
              <w:rPr>
                <w:b/>
              </w:rPr>
            </w:pPr>
            <w:bookmarkStart w:id="1720" w:name="xdx_909_eus-gaap--Investments_iI_c202608"/>
            <w:bookmarkEnd w:id="1720"/>
            <w:r>
              <w:rPr>
                <w:b/>
              </w:rPr>
              <w:t>861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21" w:name="xdx_F0E_zYY23CQRwv9f"/>
            <w:bookmarkEnd w:id="1721"/>
            <w:r>
              <w:rPr>
                <w:rFonts w:ascii="Times New Roman;Times;Serif" w:hAnsi="Times New Roman;Times;Serif"/>
                <w:b w:val="false"/>
                <w:i w:val="false"/>
                <w:caps w:val="false"/>
                <w:smallCaps w:val="false"/>
                <w:sz w:val="20"/>
              </w:rPr>
              <w:t>(1)</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22" w:name="xdx_F12_zDlQkRSfxRef"/>
            <w:bookmarkEnd w:id="1722"/>
            <w:r>
              <w:rPr>
                <w:rFonts w:ascii="Times New Roman;Times;Serif" w:hAnsi="Times New Roman;Times;Serif"/>
                <w:b w:val="false"/>
                <w:i w:val="false"/>
                <w:caps w:val="false"/>
                <w:smallCaps w:val="false"/>
                <w:sz w:val="20"/>
              </w:rPr>
              <w:t xml:space="preserve">On July 10, 2026, the Company exercised </w:t>
            </w:r>
            <w:bookmarkStart w:id="1723" w:name="xdx_901_eus-gaap--ClassOfWarrantOrRightN"/>
            <w:bookmarkEnd w:id="1723"/>
            <w:r>
              <w:rPr>
                <w:rFonts w:ascii="Times New Roman;Times;Serif" w:hAnsi="Times New Roman;Times;Serif"/>
                <w:b w:val="false"/>
                <w:i w:val="false"/>
                <w:caps w:val="false"/>
                <w:smallCaps w:val="false"/>
                <w:sz w:val="20"/>
              </w:rPr>
              <w:t xml:space="preserve">86,076 warrants and received </w:t>
            </w:r>
            <w:bookmarkStart w:id="1724" w:name="xdx_901_eus-gaap--ClassOfWarrantOrRightN"/>
            <w:bookmarkEnd w:id="1724"/>
            <w:r>
              <w:rPr>
                <w:rFonts w:ascii="Times New Roman;Times;Serif" w:hAnsi="Times New Roman;Times;Serif"/>
                <w:b w:val="false"/>
                <w:i w:val="false"/>
                <w:caps w:val="false"/>
                <w:smallCaps w:val="false"/>
                <w:sz w:val="20"/>
              </w:rPr>
              <w:t xml:space="preserve">86,076 Common Shares of Shogun Enterprises, Inc. (d/b/a Hearth). </w:t>
            </w:r>
          </w:p>
        </w:tc>
      </w:tr>
    </w:tbl>
    <w:p>
      <w:pPr>
        <w:pStyle w:val="TextBody"/>
        <w:bidi w:val="0"/>
        <w:spacing w:before="0" w:after="0"/>
        <w:ind w:left="0" w:right="0" w:hanging="0"/>
        <w:jc w:val="both"/>
        <w:rPr>
          <w:caps w:val="false"/>
          <w:smallCaps w:val="false"/>
        </w:rPr>
      </w:pPr>
      <w:bookmarkStart w:id="1725" w:name="xdx_8A8_zSxCWWraf95e"/>
      <w:bookmarkEnd w:id="1725"/>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726" w:name="xdx_891_ecustom--ScheduleOfInvestmentsTa"/>
      <w:bookmarkEnd w:id="1726"/>
      <w:r>
        <w:rPr>
          <w:rFonts w:ascii="Times New Roman;Times;Serif" w:hAnsi="Times New Roman;Times;Serif"/>
          <w:b w:val="false"/>
          <w:i w:val="false"/>
          <w:caps w:val="false"/>
          <w:smallCaps w:val="false"/>
          <w:sz w:val="20"/>
        </w:rPr>
        <w:t>From July 1, 2026 through August 5, 2026, the Company exited the following investment.</w:t>
      </w:r>
    </w:p>
    <w:p>
      <w:pPr>
        <w:pStyle w:val="TextBody"/>
        <w:bidi w:val="0"/>
        <w:spacing w:before="0" w:after="0"/>
        <w:ind w:left="0" w:right="0" w:hanging="0"/>
        <w:jc w:val="both"/>
        <w:rPr>
          <w:caps w:val="false"/>
          <w:smallCaps w:val="false"/>
        </w:rPr>
      </w:pPr>
      <w:r>
        <w:rPr>
          <w:caps w:val="false"/>
          <w:smallCaps w:val="false"/>
        </w:rPr>
        <w:t> </w:t>
      </w:r>
      <w:bookmarkStart w:id="1727" w:name="xdx_8BB_z3Y2rlRWjub5"/>
      <w:bookmarkEnd w:id="1727"/>
      <w:r>
        <w:rPr>
          <w:rFonts w:ascii="Times New Roman;Times;Serif" w:hAnsi="Times New Roman;Times;Serif"/>
          <w:b w:val="false"/>
          <w:i w:val="false"/>
          <w:caps w:val="false"/>
          <w:smallCaps w:val="false"/>
          <w:sz w:val="20"/>
        </w:rPr>
        <w:t>SCHEDULE OF INVESTMENT</w:t>
      </w:r>
    </w:p>
    <w:tbl>
      <w:tblPr>
        <w:tblW w:w="10205" w:type="dxa"/>
        <w:jc w:val="left"/>
        <w:tblInd w:w="0" w:type="dxa"/>
        <w:tblLayout w:type="fixed"/>
        <w:tblCellMar>
          <w:top w:w="0" w:type="dxa"/>
          <w:left w:w="0" w:type="dxa"/>
          <w:bottom w:w="28" w:type="dxa"/>
          <w:right w:w="0" w:type="dxa"/>
        </w:tblCellMar>
      </w:tblPr>
      <w:tblGrid>
        <w:gridCol w:w="3030"/>
        <w:gridCol w:w="60"/>
        <w:gridCol w:w="1575"/>
        <w:gridCol w:w="60"/>
        <w:gridCol w:w="60"/>
        <w:gridCol w:w="860"/>
        <w:gridCol w:w="60"/>
        <w:gridCol w:w="60"/>
        <w:gridCol w:w="406"/>
        <w:gridCol w:w="1283"/>
        <w:gridCol w:w="60"/>
        <w:gridCol w:w="60"/>
        <w:gridCol w:w="176"/>
        <w:gridCol w:w="1012"/>
        <w:gridCol w:w="60"/>
        <w:gridCol w:w="60"/>
        <w:gridCol w:w="185"/>
        <w:gridCol w:w="1058"/>
        <w:gridCol w:w="80"/>
      </w:tblGrid>
      <w:tr>
        <w:trPr/>
        <w:tc>
          <w:tcPr>
            <w:tcW w:w="3030" w:type="dxa"/>
            <w:tcBorders>
              <w:bottom w:val="single" w:sz="8" w:space="0" w:color="000000"/>
            </w:tcBorders>
            <w:vAlign w:val="center"/>
          </w:tcPr>
          <w:p>
            <w:pPr>
              <w:pStyle w:val="TableContents"/>
              <w:bidi w:val="0"/>
              <w:spacing w:before="0" w:after="283"/>
              <w:jc w:val="left"/>
              <w:rPr>
                <w:b/>
              </w:rPr>
            </w:pPr>
            <w:r>
              <w:rPr>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575" w:type="dxa"/>
            <w:tcBorders>
              <w:bottom w:val="single" w:sz="8" w:space="0" w:color="000000"/>
            </w:tcBorders>
            <w:vAlign w:val="center"/>
          </w:tcPr>
          <w:p>
            <w:pPr>
              <w:pStyle w:val="TableContents"/>
              <w:bidi w:val="0"/>
              <w:spacing w:before="0" w:after="283"/>
              <w:jc w:val="center"/>
              <w:rPr>
                <w:b/>
              </w:rPr>
            </w:pPr>
            <w:r>
              <w:rPr>
                <w:b/>
              </w:rPr>
              <w:t>Transaction Date</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rPr>
            </w:pPr>
            <w:r>
              <w:rPr>
                <w:b/>
              </w:rPr>
              <w:t>Quantity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Net Share Price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8" w:type="dxa"/>
            <w:gridSpan w:val="2"/>
            <w:tcBorders>
              <w:bottom w:val="single" w:sz="8" w:space="0" w:color="000000"/>
            </w:tcBorders>
            <w:vAlign w:val="center"/>
          </w:tcPr>
          <w:p>
            <w:pPr>
              <w:pStyle w:val="TableContents"/>
              <w:bidi w:val="0"/>
              <w:spacing w:before="0" w:after="283"/>
              <w:jc w:val="center"/>
              <w:rPr>
                <w:b/>
              </w:rPr>
            </w:pPr>
            <w:r>
              <w:rPr>
                <w:b/>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3" w:type="dxa"/>
            <w:gridSpan w:val="2"/>
            <w:tcBorders>
              <w:bottom w:val="single" w:sz="8" w:space="0" w:color="000000"/>
            </w:tcBorders>
            <w:vAlign w:val="center"/>
          </w:tcPr>
          <w:p>
            <w:pPr>
              <w:pStyle w:val="TableContents"/>
              <w:bidi w:val="0"/>
              <w:spacing w:before="0" w:after="283"/>
              <w:jc w:val="center"/>
              <w:rPr>
                <w:b/>
              </w:rPr>
            </w:pPr>
            <w:r>
              <w:rPr>
                <w:b/>
              </w:rPr>
              <w:t>Realized Gain</w:t>
            </w:r>
          </w:p>
        </w:tc>
        <w:tc>
          <w:tcPr>
            <w:tcW w:w="80" w:type="dxa"/>
            <w:tcBorders/>
            <w:tcMar>
              <w:bottom w:w="0" w:type="dxa"/>
            </w:tcMar>
            <w:vAlign w:val="center"/>
          </w:tcPr>
          <w:p>
            <w:pPr>
              <w:pStyle w:val="TableContents"/>
              <w:bidi w:val="0"/>
              <w:spacing w:before="0" w:after="283"/>
              <w:jc w:val="left"/>
              <w:rPr/>
            </w:pPr>
            <w:r>
              <w:rPr/>
              <w:t> </w:t>
            </w:r>
          </w:p>
        </w:tc>
      </w:tr>
      <w:tr>
        <w:trPr/>
        <w:tc>
          <w:tcPr>
            <w:tcW w:w="30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GrabAGun Digital Holdings Inc. - Common Shares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bookmarkStart w:id="1728" w:name="xdx_981_eus-gaap--SaleLeasebackTransacti"/>
            <w:bookmarkEnd w:id="1728"/>
          </w:p>
        </w:tc>
        <w:tc>
          <w:tcPr>
            <w:tcW w:w="1575" w:type="dxa"/>
            <w:tcBorders/>
            <w:shd w:fill="CCEEFF" w:val="clear"/>
            <w:tcMar>
              <w:bottom w:w="0" w:type="dxa"/>
            </w:tcMar>
            <w:vAlign w:val="center"/>
          </w:tcPr>
          <w:p>
            <w:pPr>
              <w:pStyle w:val="TableContents"/>
              <w:bidi w:val="0"/>
              <w:spacing w:before="0" w:after="283"/>
              <w:jc w:val="center"/>
              <w:rPr/>
            </w:pPr>
            <w:r>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bookmarkStart w:id="1729" w:name="xdx_90E_ecustom--NumberOfSharesQuantity_"/>
            <w:bookmarkEnd w:id="1729"/>
            <w:r>
              <w:rPr/>
              <w:t>143,655 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6" w:type="dxa"/>
            <w:tcBorders/>
            <w:shd w:fill="CCEEFF" w:val="clear"/>
            <w:tcMar>
              <w:bottom w:w="0" w:type="dxa"/>
            </w:tcMar>
            <w:vAlign w:val="center"/>
          </w:tcPr>
          <w:p>
            <w:pPr>
              <w:pStyle w:val="TableContents"/>
              <w:bidi w:val="0"/>
              <w:spacing w:before="0" w:after="283"/>
              <w:jc w:val="left"/>
              <w:rPr/>
            </w:pPr>
            <w:r>
              <w:rPr/>
              <w:t>$</w:t>
            </w:r>
          </w:p>
        </w:tc>
        <w:tc>
          <w:tcPr>
            <w:tcW w:w="1283" w:type="dxa"/>
            <w:tcBorders/>
            <w:shd w:fill="CCEEFF" w:val="clear"/>
            <w:tcMar>
              <w:bottom w:w="0" w:type="dxa"/>
            </w:tcMar>
            <w:vAlign w:val="center"/>
          </w:tcPr>
          <w:p>
            <w:pPr>
              <w:pStyle w:val="TableContents"/>
              <w:bidi w:val="0"/>
              <w:spacing w:before="0" w:after="283"/>
              <w:jc w:val="right"/>
              <w:rPr/>
            </w:pPr>
            <w:bookmarkStart w:id="1730" w:name="xdx_901_eus-gaap--SharePrice_iI_c2026080"/>
            <w:bookmarkEnd w:id="1730"/>
            <w:r>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w:t>
            </w:r>
          </w:p>
        </w:tc>
        <w:tc>
          <w:tcPr>
            <w:tcW w:w="1012" w:type="dxa"/>
            <w:tcBorders>
              <w:bottom w:val="single" w:sz="8" w:space="0" w:color="000000"/>
            </w:tcBorders>
            <w:shd w:fill="CCEEFF" w:val="clear"/>
            <w:vAlign w:val="center"/>
          </w:tcPr>
          <w:p>
            <w:pPr>
              <w:pStyle w:val="TableContents"/>
              <w:bidi w:val="0"/>
              <w:spacing w:before="0" w:after="283"/>
              <w:jc w:val="right"/>
              <w:rPr/>
            </w:pPr>
            <w:bookmarkStart w:id="1731" w:name="xdx_90E_eus-gaap--ProceedsFromSaleOfLong"/>
            <w:bookmarkEnd w:id="1731"/>
            <w:r>
              <w:rPr/>
              <w:t>447,678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vAlign w:val="center"/>
          </w:tcPr>
          <w:p>
            <w:pPr>
              <w:pStyle w:val="TableContents"/>
              <w:bidi w:val="0"/>
              <w:spacing w:before="0" w:after="283"/>
              <w:jc w:val="left"/>
              <w:rPr/>
            </w:pPr>
            <w:r>
              <w:rPr/>
              <w:t>$</w:t>
            </w:r>
          </w:p>
        </w:tc>
        <w:tc>
          <w:tcPr>
            <w:tcW w:w="1058" w:type="dxa"/>
            <w:tcBorders>
              <w:bottom w:val="single" w:sz="8" w:space="0" w:color="000000"/>
            </w:tcBorders>
            <w:shd w:fill="CCEEFF" w:val="clear"/>
            <w:vAlign w:val="center"/>
          </w:tcPr>
          <w:p>
            <w:pPr>
              <w:pStyle w:val="TableContents"/>
              <w:bidi w:val="0"/>
              <w:spacing w:before="0" w:after="283"/>
              <w:jc w:val="right"/>
              <w:rPr/>
            </w:pPr>
            <w:bookmarkStart w:id="1732" w:name="xdx_909_eus-gaap--RealizedInvestmentGain"/>
            <w:bookmarkEnd w:id="1732"/>
            <w:r>
              <w:rPr/>
              <w:t>295,211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03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6" w:type="dxa"/>
            <w:tcBorders/>
            <w:shd w:fill="FFFFFF" w:val="clear"/>
            <w:tcMar>
              <w:bottom w:w="0" w:type="dxa"/>
            </w:tcMar>
            <w:vAlign w:val="center"/>
          </w:tcPr>
          <w:p>
            <w:pPr>
              <w:pStyle w:val="TableContents"/>
              <w:bidi w:val="0"/>
              <w:spacing w:before="0" w:after="283"/>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vAlign w:val="center"/>
          </w:tcPr>
          <w:p>
            <w:pPr>
              <w:pStyle w:val="TableContents"/>
              <w:bidi w:val="0"/>
              <w:spacing w:before="0" w:after="283"/>
              <w:jc w:val="left"/>
              <w:rPr/>
            </w:pPr>
            <w:r>
              <w:rPr/>
              <w:t>$</w:t>
            </w:r>
            <w:bookmarkStart w:id="1733" w:name="xdx_985_eus-gaap--ProceedsFromSaleOfLong"/>
            <w:bookmarkEnd w:id="1733"/>
          </w:p>
        </w:tc>
        <w:tc>
          <w:tcPr>
            <w:tcW w:w="1012" w:type="dxa"/>
            <w:tcBorders>
              <w:bottom w:val="double" w:sz="6" w:space="0" w:color="000000"/>
            </w:tcBorders>
            <w:shd w:fill="FFFFFF" w:val="clear"/>
            <w:vAlign w:val="center"/>
          </w:tcPr>
          <w:p>
            <w:pPr>
              <w:pStyle w:val="TableContents"/>
              <w:bidi w:val="0"/>
              <w:spacing w:before="0" w:after="283"/>
              <w:jc w:val="right"/>
              <w:rPr/>
            </w:pPr>
            <w:r>
              <w:rPr/>
              <w:t>447,678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vAlign w:val="center"/>
          </w:tcPr>
          <w:p>
            <w:pPr>
              <w:pStyle w:val="TableContents"/>
              <w:bidi w:val="0"/>
              <w:spacing w:before="0" w:after="283"/>
              <w:jc w:val="left"/>
              <w:rPr/>
            </w:pPr>
            <w:r>
              <w:rPr/>
              <w:t>$</w:t>
            </w:r>
            <w:bookmarkStart w:id="1734" w:name="xdx_980_eus-gaap--RealizedInvestmentGain"/>
            <w:bookmarkEnd w:id="1734"/>
          </w:p>
        </w:tc>
        <w:tc>
          <w:tcPr>
            <w:tcW w:w="1058" w:type="dxa"/>
            <w:tcBorders>
              <w:bottom w:val="double" w:sz="6" w:space="0" w:color="000000"/>
            </w:tcBorders>
            <w:shd w:fill="FFFFFF" w:val="clear"/>
            <w:vAlign w:val="center"/>
          </w:tcPr>
          <w:p>
            <w:pPr>
              <w:pStyle w:val="TableContents"/>
              <w:bidi w:val="0"/>
              <w:spacing w:before="0" w:after="283"/>
              <w:jc w:val="right"/>
              <w:rPr/>
            </w:pPr>
            <w:r>
              <w:rPr/>
              <w:t>295,211</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35" w:name="xdx_F0E_zLigMeMlpxkk"/>
            <w:bookmarkEnd w:id="1735"/>
            <w:r>
              <w:rPr>
                <w:rFonts w:ascii="Times New Roman;Times;Serif" w:hAnsi="Times New Roman;Times;Serif"/>
                <w:b w:val="false"/>
                <w:i w:val="false"/>
                <w:caps w:val="false"/>
                <w:smallCaps w:val="false"/>
                <w:sz w:val="20"/>
              </w:rPr>
              <w:t>(1)</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36" w:name="xdx_F17_zcS4UdlK0jYe"/>
            <w:bookmarkEnd w:id="1736"/>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37" w:name="xdx_F08_z0I4S8aLIZUe"/>
            <w:bookmarkEnd w:id="1737"/>
            <w:r>
              <w:rPr>
                <w:rFonts w:ascii="Times New Roman;Times;Serif" w:hAnsi="Times New Roman;Times;Serif"/>
                <w:b w:val="false"/>
                <w:i w:val="false"/>
                <w:caps w:val="false"/>
                <w:smallCaps w:val="false"/>
                <w:sz w:val="20"/>
              </w:rPr>
              <w:t>(2)</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38" w:name="xdx_F10_zKzjP3iQo814"/>
            <w:bookmarkEnd w:id="1738"/>
            <w:r>
              <w:rPr>
                <w:rFonts w:ascii="Times New Roman;Times;Serif" w:hAnsi="Times New Roman;Times;Serif"/>
                <w:b w:val="false"/>
                <w:i w:val="false"/>
                <w:caps w:val="false"/>
                <w:smallCaps w:val="false"/>
                <w:sz w:val="20"/>
              </w:rPr>
              <w:t xml:space="preserve">As of August 5, 2026, we continue to hold </w:t>
            </w:r>
            <w:bookmarkStart w:id="1739" w:name="xdx_900_eus-gaap--CommonStockOtherShares"/>
            <w:bookmarkEnd w:id="1739"/>
            <w:r>
              <w:rPr>
                <w:rFonts w:ascii="Times New Roman;Times;Serif" w:hAnsi="Times New Roman;Times;Serif"/>
                <w:b w:val="false"/>
                <w:i w:val="false"/>
                <w:caps w:val="false"/>
                <w:smallCaps w:val="false"/>
                <w:sz w:val="20"/>
              </w:rPr>
              <w:t>308,964 Common Shares of GrabAGun Digital Holdings, Inc.</w:t>
            </w:r>
          </w:p>
        </w:tc>
      </w:tr>
    </w:tbl>
    <w:p>
      <w:pPr>
        <w:pStyle w:val="TextBody"/>
        <w:bidi w:val="0"/>
        <w:spacing w:before="0" w:after="0"/>
        <w:jc w:val="center"/>
        <w:rPr>
          <w:caps w:val="false"/>
          <w:smallCaps w:val="false"/>
        </w:rPr>
      </w:pPr>
      <w:bookmarkStart w:id="1740" w:name="xdx_8AF_zqjvsKXilck7"/>
      <w:bookmarkEnd w:id="174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Externalization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 special meeting held on June 10, 2026, the Company’s stockholders approved a new investment advisory agreement (the “Investment Advisory Agreement”) with Neostellar Advisors LLC, a Delaware limited liability company and registered investment adviser (the “Adviser”) that is jointly owned by certain members of the Company’s former management team and by Magnetar Holdings LLC. As a result, effective July 15, 2026 (the “Effective Date”), the Company transitioned from an internally managed BDC to an externally managed BDC managed by the Adviser, and changed its name from “SuRo Capital Corp.” to “Neostellar Capital Corp.” (the “Externalization”). The Company’s common stock continues to trade on the Nasdaq Global Select Market, now under the ticker symbol “NSLR.” Under the Investment Advisory Agreement, the Company pays the Adviser a base management fee at an annual rate of </w:t>
      </w:r>
      <w:bookmarkStart w:id="1741" w:name="xdx_909_ecustom--PercentageOfManagementF"/>
      <w:bookmarkEnd w:id="1741"/>
      <w:r>
        <w:rPr>
          <w:rFonts w:ascii="Times New Roman;Times;Serif" w:hAnsi="Times New Roman;Times;Serif"/>
          <w:b w:val="false"/>
          <w:i w:val="false"/>
          <w:caps w:val="false"/>
          <w:smallCaps w:val="false"/>
          <w:sz w:val="20"/>
        </w:rPr>
        <w:t>1.75% of gross assets, payable monthly in arrears, and an incentive fee consisting of an income-based fee and a capital gains fee; no incentive fee is payable with respect to investments held prior to the Effective Date. On the Effective Date, the Company also entered into an administration agreement with Neostellar Administrative Services LLC, an affiliate of the Adviser, and the Board of Directors appointed Erik Falk, a Partner and Head of Strategy of Magnetar, as an interested director. In addition, on July 16, 2026, MCP Investing LLC, an affiliate of Magnetar, purchased from the Company, for $</w:t>
      </w:r>
      <w:bookmarkStart w:id="1742" w:name="xdx_90F_eus-gaap--ProceedsFromIssuanceOf"/>
      <w:bookmarkEnd w:id="1742"/>
      <w:r>
        <w:rPr>
          <w:rFonts w:ascii="Times New Roman;Times;Serif" w:hAnsi="Times New Roman;Times;Serif"/>
          <w:b w:val="false"/>
          <w:i w:val="false"/>
          <w:caps w:val="false"/>
          <w:smallCaps w:val="false"/>
          <w:sz w:val="20"/>
        </w:rPr>
        <w:t xml:space="preserve">20,000,000, a redeemable promissory note bearing interest at </w:t>
      </w:r>
      <w:bookmarkStart w:id="1743" w:name="xdx_904_eus-gaap--DebtInstrumentInterest"/>
      <w:bookmarkEnd w:id="1743"/>
      <w:r>
        <w:rPr>
          <w:rFonts w:ascii="Times New Roman;Times;Serif" w:hAnsi="Times New Roman;Times;Serif"/>
          <w:b w:val="false"/>
          <w:i w:val="false"/>
          <w:caps w:val="false"/>
          <w:smallCaps w:val="false"/>
          <w:sz w:val="20"/>
        </w:rPr>
        <w:t>6.50% per annum (payable semi-annually in cash) and maturing in 2029, pursuant to a Securities Purchase Agreement dated June 26, 2026. In connection with the Externalization, on June 15, 2026, the Board of Directors of the Company approved the acceleration of the vesting of all unvested restricted shares granted under the Amended and Restated 2019 Equity Incentive Plan and the Second Amended and Restated 2019 Equity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share grants and cash bonuses approved in connection with the Externalization, and the acceleration of the vesting of the Company’s outstanding restricted shares, occurred during the quarter ended June 30, 2026 and are described in “Note 11—Stock-Based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Shelf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the Company filed a registration statement on Form N-2 with the SEC pursuant to which the Company may offer, from time to time in one or more offerings, up to $</w:t>
      </w:r>
      <w:bookmarkStart w:id="1744" w:name="xdx_907_ecustom--AggregateAmountRegister"/>
      <w:bookmarkEnd w:id="1744"/>
      <w:r>
        <w:rPr>
          <w:rFonts w:ascii="Times New Roman;Times;Serif" w:hAnsi="Times New Roman;Times;Serif"/>
          <w:b w:val="false"/>
          <w:i w:val="false"/>
          <w:caps w:val="false"/>
          <w:smallCaps w:val="false"/>
          <w:sz w:val="20"/>
        </w:rPr>
        <w:t>500,000,000 of its common stock, preferred stock, subscription rights to purchase shares of its common stock, debt securities, or warrants representing rights to purchase shares of its common stock, preferred stock or debt securities. As of the date of these Condensed Consolidated Financial Statements, the registration statement had not been declared effective, and no securities had been offered or sold thereunder. Fees and expenses incurred in connection with the registration statement are recorded as deferred financing costs. Refer to “Note 2—Significant Accounting Policies—Deferred Financing Costs.”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45" w:name="xdx_807_eus-gaap--AdditionalFinancialInf"/>
      <w:bookmarkEnd w:id="1745"/>
      <w:r>
        <w:rPr>
          <w:rFonts w:ascii="Times New Roman;Times;Serif" w:hAnsi="Times New Roman;Times;Serif"/>
          <w:b/>
          <w:i w:val="false"/>
          <w:caps w:val="false"/>
          <w:smallCaps w:val="false"/>
          <w:sz w:val="20"/>
        </w:rPr>
        <w:t>NOTE 13—</w:t>
      </w:r>
      <w:bookmarkStart w:id="1746" w:name="xdx_82C_zAHIOd9ICiRk"/>
      <w:bookmarkEnd w:id="1746"/>
      <w:r>
        <w:rPr>
          <w:rFonts w:ascii="Times New Roman;Times;Serif" w:hAnsi="Times New Roman;Times;Serif"/>
          <w:b/>
          <w:i w:val="false"/>
          <w:caps w:val="false"/>
          <w:smallCaps w:val="false"/>
          <w:sz w:val="20"/>
        </w:rPr>
        <w:t>SUPPLEMENTAL FINANCIAL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Summarized Financial Information of Unconsolidated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SEC’s Regulation S-X and GAAP,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however, the Company must disclose certain financial information related to any subsidiaries or other entities that are considered to be “significant subsidiaries” under the applicable rules of Regulation S-X.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In accordance with Rules 3-09, 4-08(g), and 10-01(b)(1) of Regulation S-X, the Company must determine if any of its unconsolidated subsidiaries are considered a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controlled portfolio companies as of June 30, 2026. The Company’s controlled portfolio company as of June 30, 2025, Colombier Sponsor II LLC, did not meet the definition of a “significant subsidiary” as set forth in Rule 1-02(w)(2) of Regulation S-X.</w:t>
      </w:r>
    </w:p>
    <w:p>
      <w:pPr>
        <w:pStyle w:val="TextBody"/>
        <w:bidi w:val="0"/>
        <w:spacing w:before="0" w:after="0"/>
        <w:ind w:left="0" w:right="0" w:firstLine="360"/>
        <w:jc w:val="both"/>
        <w:rPr>
          <w:caps w:val="false"/>
          <w:smallCaps w:val="false"/>
        </w:rPr>
      </w:pPr>
      <w:bookmarkStart w:id="1747" w:name="xdx_81F_zXLzyF8lUGeh"/>
      <w:bookmarkEnd w:id="174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48" w:name="px_001"/>
      <w:bookmarkEnd w:id="1748"/>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quarterly report on Form 10-Q involve risks and uncertainties, including, without limitation, statements as to:</w:t>
      </w:r>
    </w:p>
    <w:p>
      <w:pPr>
        <w:pStyle w:val="TextBody"/>
        <w:bidi w:val="0"/>
        <w:spacing w:before="0" w:after="0"/>
        <w:ind w:left="0" w:right="0" w:firstLine="36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operating results;</w:t>
            </w:r>
          </w:p>
        </w:tc>
      </w:tr>
    </w:tbl>
    <w:p>
      <w:pPr>
        <w:pStyle w:val="TextBody"/>
        <w:bidi w:val="0"/>
        <w:spacing w:before="0" w:after="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upon our management team and key investment professionals;</w:t>
            </w:r>
          </w:p>
        </w:tc>
      </w:tr>
    </w:tbl>
    <w:p>
      <w:pPr>
        <w:pStyle w:val="TextBody"/>
        <w:bidi w:val="0"/>
        <w:spacing w:before="0" w:after="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and the prospects of our portfolio companies;</w:t>
            </w:r>
          </w:p>
        </w:tc>
      </w:tr>
    </w:tbl>
    <w:p>
      <w:pPr>
        <w:pStyle w:val="TextBody"/>
        <w:bidi w:val="0"/>
        <w:spacing w:before="0" w:after="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business and future growth;</w:t>
            </w:r>
          </w:p>
        </w:tc>
      </w:tr>
    </w:tbl>
    <w:p>
      <w:pPr>
        <w:pStyle w:val="TextBody"/>
        <w:bidi w:val="0"/>
        <w:spacing w:before="0" w:after="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investments that we expect to make;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investments in growth-stage companies, other venture capital-backed companies, and generally U.S. companies;</w:t>
            </w:r>
          </w:p>
        </w:tc>
      </w:tr>
    </w:tbl>
    <w:p>
      <w:pPr>
        <w:pStyle w:val="TextBody"/>
        <w:bidi w:val="0"/>
        <w:spacing w:before="0" w:after="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arrangements and relationships with third parties;</w:t>
            </w:r>
          </w:p>
        </w:tc>
      </w:tr>
    </w:tbl>
    <w:p>
      <w:pPr>
        <w:pStyle w:val="TextBody"/>
        <w:bidi w:val="0"/>
        <w:spacing w:before="0" w:after="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distributions;</w:t>
            </w:r>
          </w:p>
        </w:tc>
      </w:tr>
    </w:tbl>
    <w:p>
      <w:pPr>
        <w:pStyle w:val="TextBody"/>
        <w:bidi w:val="0"/>
        <w:spacing w:before="0" w:after="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dependence of our future success on the general economy and its impact on the industries in which we invest;</w:t>
            </w:r>
          </w:p>
        </w:tc>
      </w:tr>
    </w:tbl>
    <w:p>
      <w:pPr>
        <w:pStyle w:val="TextBody"/>
        <w:bidi w:val="0"/>
        <w:spacing w:before="0" w:after="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uncertainty of the value of our portfolio investments;</w:t>
            </w:r>
          </w:p>
        </w:tc>
      </w:tr>
    </w:tbl>
    <w:p>
      <w:pPr>
        <w:pStyle w:val="TextBody"/>
        <w:bidi w:val="0"/>
        <w:spacing w:before="0" w:after="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portfolio companies to achieve their objectives;</w:t>
            </w:r>
          </w:p>
        </w:tc>
      </w:tr>
    </w:tbl>
    <w:p>
      <w:pPr>
        <w:pStyle w:val="TextBody"/>
        <w:bidi w:val="0"/>
        <w:spacing w:before="0" w:after="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political, economic or industry conditions;</w:t>
            </w:r>
          </w:p>
        </w:tc>
      </w:tr>
    </w:tbl>
    <w:p>
      <w:pPr>
        <w:pStyle w:val="TextBody"/>
        <w:bidi w:val="0"/>
        <w:spacing w:before="0" w:after="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financings and investments;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changes in laws or regulations (including the interpretation thereof), including tax laws, on our operations and/or the operation of our portfolio companies;</w:t>
            </w:r>
          </w:p>
        </w:tc>
      </w:tr>
    </w:tbl>
    <w:p>
      <w:pPr>
        <w:pStyle w:val="TextBody"/>
        <w:bidi w:val="0"/>
        <w:spacing w:before="0" w:after="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adequacy of our cash resources and working capital;</w:t>
            </w:r>
          </w:p>
        </w:tc>
      </w:tr>
    </w:tbl>
    <w:p>
      <w:pPr>
        <w:pStyle w:val="TextBody"/>
        <w:bidi w:val="0"/>
        <w:spacing w:before="0" w:after="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market volatility, including general price and volume fluctuations in stock markets; and</w:t>
            </w:r>
          </w:p>
        </w:tc>
      </w:tr>
    </w:tbl>
    <w:p>
      <w:pPr>
        <w:pStyle w:val="TextBody"/>
        <w:bidi w:val="0"/>
        <w:spacing w:before="0" w:after="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cash flows, if any, from the operations of our portfolio companies.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economic downturn could impair our portfolio companies’ ability to continue to operate, which could lead to the loss of some or all of our investments in such portfolio companies;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economic downturn could disproportionately impact the market sectors in which a significant portion of our portfolio is concentrated, causing us to suffer losses in our portfolio;</w:t>
            </w:r>
          </w:p>
        </w:tc>
      </w:tr>
    </w:tbl>
    <w:p>
      <w:pPr>
        <w:pStyle w:val="TextBody"/>
        <w:bidi w:val="0"/>
        <w:spacing w:before="0" w:after="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contraction of available credit and/or an inability to access the equity markets could impair our investment activities;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inflation or an inflationary economic environment could adversely affect our portfolio companies’ operating results, causing us to suffer losses in our portfolio;</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volatility could adversely affect our results, particularly because we use leverage as part of our investment strategy;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uncertainties and other factors we identify in the sections entitled “Risk Factors” in our quarterly reports on Form 10-Q, our annual report on Form 10-K, and in our other filings with the SEC.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externally 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 Effective July 15, 2026, we are externally managed by Neostellar Advisors LLC (the “Adviser”), which sources, evaluates and monitors our investments subject to the oversight of our Board of Directors, and we pay the Adviser a base management fee and an incentive fee and reimburse the Administrator for certain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and through investments in special purpose vehicles (“SPVs”) and investment funds that invest directly in the equity or debt of a single private issuer. In addition, we may invest in private credit and in the founders equity, founders warrants, venture capital investment funds, and private investment in public equity (“PIPE”) transactions of special purpose acquisition companies (“SPACs”). We may also invest on an opportunistic basis in select publicly traded equity securities, private equity funds and hedge funds that are excluded from the definition of “investment company” under the 1940 Act by Section 3(c)(1) or 3(c)(7) of the 1940 Act, or certain non-U.S. companies that otherwise meet our investment criteria, subject to applicable requirements of the 1940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philosophy is based on a disciplined approach of identifying promising investments in high-growth, venture-backed companies across several key industry themes which may include, among others, Artificial Intelligence Infrastructure &amp; Applications, Consumer Goods &amp; Services, Software-as-a-Service, Financial Technology &amp; Services, and Logistics &amp; Supply Chain.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we evaluate.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create a low-turnover portfolio that includes investments in companies representing a broad range of investment themes.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formed in 2010 as a Maryland corporation and, until July 15, 2026, operated as an internally managed, non-diversified closed-end management investment company. Our investment activities were supervised by our Board of Directors and managed by our executive officers and investment professionals, all of whom were our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date of inception was January 6, 2011, which is the date we commenced development stage activities. We commenced operations as a BDC upon completion of our IPO in May 2011 and began our investment operations during the second quarter of 2011.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effective March 12, 2019, our Board of Directors approved our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were managed by our employees, rather than the employees of an external investment adviser. On June 10, 2026, our stockholders approved a new investment advisory agreement and, effective July 15, 2026, we transitioned to an externally managed BDC managed by Neostellar Advisors LLC and changed our name to “Neostellar Capital Corp.” As an externally managed BDC, our investment activities are managed by the Adviser, and we no longer have employees. Following the Externalization, we pay a base management fee, an incentive fee and administration expense reimbursements.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and Investment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2026 of all of our portfolio investments was $405,851,701.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funded investments in an aggregate amount of $29,696,170 (not including capitalized transaction costs) as shown in the following table:</w:t>
      </w:r>
    </w:p>
    <w:p>
      <w:pPr>
        <w:pStyle w:val="TextBody"/>
        <w:bidi w:val="0"/>
        <w:spacing w:before="0" w:after="0"/>
        <w:ind w:left="0" w:right="0" w:firstLine="360"/>
        <w:jc w:val="both"/>
        <w:rPr>
          <w:caps w:val="false"/>
          <w:smallCaps w:val="false"/>
        </w:rPr>
      </w:pPr>
      <w:r>
        <w:rPr>
          <w:caps w:val="false"/>
          <w:smallCaps w:val="false"/>
        </w:rPr>
        <w:t> </w:t>
      </w:r>
    </w:p>
    <w:tbl>
      <w:tblPr>
        <w:tblW w:w="9664" w:type="dxa"/>
        <w:jc w:val="left"/>
        <w:tblInd w:w="0" w:type="dxa"/>
        <w:tblLayout w:type="fixed"/>
        <w:tblCellMar>
          <w:top w:w="0" w:type="dxa"/>
          <w:left w:w="0" w:type="dxa"/>
          <w:bottom w:w="28" w:type="dxa"/>
          <w:right w:w="0" w:type="dxa"/>
        </w:tblCellMar>
      </w:tblPr>
      <w:tblGrid>
        <w:gridCol w:w="3455"/>
        <w:gridCol w:w="60"/>
        <w:gridCol w:w="2510"/>
        <w:gridCol w:w="60"/>
        <w:gridCol w:w="1790"/>
        <w:gridCol w:w="60"/>
        <w:gridCol w:w="186"/>
        <w:gridCol w:w="1468"/>
        <w:gridCol w:w="75"/>
      </w:tblGrid>
      <w:tr>
        <w:trPr/>
        <w:tc>
          <w:tcPr>
            <w:tcW w:w="3455" w:type="dxa"/>
            <w:tcBorders>
              <w:bottom w:val="single" w:sz="8" w:space="0" w:color="000000"/>
            </w:tcBorders>
            <w:vAlign w:val="center"/>
          </w:tcPr>
          <w:p>
            <w:pPr>
              <w:pStyle w:val="TableContents"/>
              <w:bidi w:val="0"/>
              <w:spacing w:before="0" w:after="283"/>
              <w:jc w:val="left"/>
              <w:rPr>
                <w:b/>
              </w:rPr>
            </w:pPr>
            <w:r>
              <w:rPr>
                <w:b/>
              </w:rPr>
              <w:t>Portfolio Company</w:t>
            </w:r>
          </w:p>
        </w:tc>
        <w:tc>
          <w:tcPr>
            <w:tcW w:w="60" w:type="dxa"/>
            <w:tcBorders/>
            <w:tcMar>
              <w:bottom w:w="0" w:type="dxa"/>
            </w:tcMar>
            <w:vAlign w:val="center"/>
          </w:tcPr>
          <w:p>
            <w:pPr>
              <w:pStyle w:val="TableContents"/>
              <w:bidi w:val="0"/>
              <w:spacing w:before="0" w:after="283"/>
              <w:jc w:val="left"/>
              <w:rPr/>
            </w:pPr>
            <w:r>
              <w:rPr/>
              <w:t> </w:t>
            </w:r>
          </w:p>
        </w:tc>
        <w:tc>
          <w:tcPr>
            <w:tcW w:w="2510" w:type="dxa"/>
            <w:tcBorders>
              <w:bottom w:val="single" w:sz="8" w:space="0" w:color="000000"/>
            </w:tcBorders>
            <w:vAlign w:val="center"/>
          </w:tcPr>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center"/>
              <w:rPr>
                <w:b/>
              </w:rPr>
            </w:pPr>
            <w:r>
              <w:rPr>
                <w:b/>
              </w:rPr>
              <w:t>Transaction Date</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8" w:space="0" w:color="000000"/>
            </w:tcBorders>
            <w:vAlign w:val="center"/>
          </w:tcPr>
          <w:p>
            <w:pPr>
              <w:pStyle w:val="TableContents"/>
              <w:bidi w:val="0"/>
              <w:spacing w:before="0" w:after="283"/>
              <w:jc w:val="center"/>
              <w:rPr>
                <w:b/>
              </w:rPr>
            </w:pPr>
            <w:r>
              <w:rPr>
                <w:b/>
              </w:rPr>
              <w:t>Gross Payments</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pPr>
            <w:r>
              <w:rPr/>
              <w:t>Magnetar Opportunity 2025-4 LP</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center"/>
              <w:rPr/>
            </w:pPr>
            <w:r>
              <w:rPr/>
              <w:t>Class A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pPr>
            <w:r>
              <w:rPr/>
              <w:t>1/2/2026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468" w:type="dxa"/>
            <w:tcBorders/>
            <w:shd w:fill="CCEEFF" w:val="clear"/>
            <w:tcMar>
              <w:bottom w:w="0" w:type="dxa"/>
            </w:tcMar>
            <w:vAlign w:val="center"/>
          </w:tcPr>
          <w:p>
            <w:pPr>
              <w:pStyle w:val="TableContents"/>
              <w:bidi w:val="0"/>
              <w:spacing w:before="0" w:after="283"/>
              <w:jc w:val="right"/>
              <w:rPr/>
            </w:pPr>
            <w:r>
              <w:rPr/>
              <w:t>5,000,000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pPr>
            <w:r>
              <w:rPr/>
              <w:t>Huntress Labs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center"/>
              <w:rPr/>
            </w:pPr>
            <w:r>
              <w:rPr/>
              <w:t>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center"/>
              <w:rPr/>
            </w:pPr>
            <w:r>
              <w:rPr/>
              <w:t>4/8/2026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468" w:type="dxa"/>
            <w:tcBorders/>
            <w:shd w:fill="FFFFFF" w:val="clear"/>
            <w:tcMar>
              <w:bottom w:w="0" w:type="dxa"/>
            </w:tcMar>
            <w:vAlign w:val="center"/>
          </w:tcPr>
          <w:p>
            <w:pPr>
              <w:pStyle w:val="TableContents"/>
              <w:bidi w:val="0"/>
              <w:spacing w:before="0" w:after="283"/>
              <w:jc w:val="right"/>
              <w:rPr/>
            </w:pPr>
            <w:r>
              <w:rPr/>
              <w:t>225,000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pPr>
            <w:r>
              <w:rPr/>
              <w:t>ClickHouse,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center"/>
              <w:rPr/>
            </w:pPr>
            <w:r>
              <w:rPr/>
              <w:t>Preferred Shares, Series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pPr>
            <w:r>
              <w:rPr/>
              <w:t>4/22/2026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468" w:type="dxa"/>
            <w:tcBorders/>
            <w:shd w:fill="CCEEFF" w:val="clear"/>
            <w:tcMar>
              <w:bottom w:w="0" w:type="dxa"/>
            </w:tcMar>
            <w:vAlign w:val="center"/>
          </w:tcPr>
          <w:p>
            <w:pPr>
              <w:pStyle w:val="TableContents"/>
              <w:bidi w:val="0"/>
              <w:spacing w:before="0" w:after="283"/>
              <w:jc w:val="right"/>
              <w:rPr/>
            </w:pPr>
            <w:r>
              <w:rPr/>
              <w:t>9,471,170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Magnetar Opportunity 2025-4 LP</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center"/>
              <w:rPr/>
            </w:pPr>
            <w:r>
              <w:rPr/>
              <w:t>Class B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center"/>
              <w:rPr/>
            </w:pPr>
            <w:r>
              <w:rPr/>
              <w:t>6/3/2026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1468" w:type="dxa"/>
            <w:tcBorders>
              <w:bottom w:val="single" w:sz="8" w:space="0" w:color="000000"/>
            </w:tcBorders>
            <w:shd w:fill="FFFFFF" w:val="clear"/>
            <w:vAlign w:val="center"/>
          </w:tcPr>
          <w:p>
            <w:pPr>
              <w:pStyle w:val="TableContents"/>
              <w:bidi w:val="0"/>
              <w:spacing w:before="0" w:after="283"/>
              <w:jc w:val="right"/>
              <w:rPr/>
            </w:pPr>
            <w:r>
              <w:rPr/>
              <w:t>15,000,000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468" w:type="dxa"/>
            <w:tcBorders>
              <w:bottom w:val="double" w:sz="6" w:space="0" w:color="000000"/>
            </w:tcBorders>
            <w:shd w:fill="CCEEFF" w:val="clear"/>
            <w:vAlign w:val="center"/>
          </w:tcPr>
          <w:p>
            <w:pPr>
              <w:pStyle w:val="TableContents"/>
              <w:bidi w:val="0"/>
              <w:spacing w:before="0" w:after="283"/>
              <w:jc w:val="right"/>
              <w:rPr>
                <w:b/>
              </w:rPr>
            </w:pPr>
            <w:r>
              <w:rPr>
                <w:b/>
              </w:rPr>
              <w:t>29,696,170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 is an SPV for which the Class A Interest and Class B Interest are invested in the Class B Preferred Shares of TensorWave Inc. Magnetar Opportunity 2025-4 LP does not charge a management fee but does charge an incentive fee of 20%, subject to an annual 15% IRR hurdle rate.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capitalized fees of $124,628.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exited or received proceeds from investments in the amount of $13,746,165, net of transaction costs, and realized a net gain on investments of $5,940,033 (including adjustments to amounts held in escrow receivable) as shown in the following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35"/>
        <w:gridCol w:w="60"/>
        <w:gridCol w:w="1543"/>
        <w:gridCol w:w="60"/>
        <w:gridCol w:w="64"/>
        <w:gridCol w:w="856"/>
        <w:gridCol w:w="60"/>
        <w:gridCol w:w="60"/>
        <w:gridCol w:w="383"/>
        <w:gridCol w:w="1212"/>
        <w:gridCol w:w="60"/>
        <w:gridCol w:w="60"/>
        <w:gridCol w:w="146"/>
        <w:gridCol w:w="1155"/>
        <w:gridCol w:w="60"/>
        <w:gridCol w:w="60"/>
        <w:gridCol w:w="181"/>
        <w:gridCol w:w="1270"/>
        <w:gridCol w:w="80"/>
      </w:tblGrid>
      <w:tr>
        <w:trPr/>
        <w:tc>
          <w:tcPr>
            <w:tcW w:w="2835" w:type="dxa"/>
            <w:tcBorders>
              <w:bottom w:val="single" w:sz="8" w:space="0" w:color="000000"/>
            </w:tcBorders>
            <w:vAlign w:val="center"/>
          </w:tcPr>
          <w:p>
            <w:pPr>
              <w:pStyle w:val="TableContents"/>
              <w:bidi w:val="0"/>
              <w:spacing w:before="0" w:after="283"/>
              <w:jc w:val="left"/>
              <w:rPr>
                <w:b/>
              </w:rPr>
            </w:pPr>
            <w:r>
              <w:rPr>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543" w:type="dxa"/>
            <w:tcBorders>
              <w:bottom w:val="single" w:sz="8" w:space="0" w:color="000000"/>
            </w:tcBorders>
            <w:vAlign w:val="center"/>
          </w:tcPr>
          <w:p>
            <w:pPr>
              <w:pStyle w:val="TableContents"/>
              <w:bidi w:val="0"/>
              <w:spacing w:before="0" w:after="283"/>
              <w:jc w:val="center"/>
              <w:rPr>
                <w:b/>
              </w:rPr>
            </w:pPr>
            <w:r>
              <w:rPr>
                <w:b/>
              </w:rPr>
              <w:t>Transaction Date</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rPr>
            </w:pPr>
            <w:r>
              <w:rPr>
                <w:b/>
              </w:rPr>
              <w:t>Quantity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Net Share Price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1" w:type="dxa"/>
            <w:gridSpan w:val="2"/>
            <w:tcBorders>
              <w:bottom w:val="single" w:sz="8" w:space="0" w:color="000000"/>
            </w:tcBorders>
            <w:vAlign w:val="center"/>
          </w:tcPr>
          <w:p>
            <w:pPr>
              <w:pStyle w:val="TableContents"/>
              <w:bidi w:val="0"/>
              <w:spacing w:before="0" w:after="283"/>
              <w:jc w:val="center"/>
              <w:rPr>
                <w:b/>
              </w:rPr>
            </w:pPr>
            <w:r>
              <w:rPr>
                <w:b/>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1" w:type="dxa"/>
            <w:gridSpan w:val="2"/>
            <w:tcBorders>
              <w:bottom w:val="single" w:sz="8" w:space="0" w:color="000000"/>
            </w:tcBorders>
            <w:vAlign w:val="center"/>
          </w:tcPr>
          <w:p>
            <w:pPr>
              <w:pStyle w:val="TableContents"/>
              <w:bidi w:val="0"/>
              <w:spacing w:before="0" w:after="283"/>
              <w:jc w:val="center"/>
              <w:rPr>
                <w:b/>
              </w:rPr>
            </w:pPr>
            <w:r>
              <w:rPr>
                <w:b/>
              </w:rPr>
              <w:t xml:space="preserve">Realized Gain </w:t>
            </w:r>
            <w:r>
              <w:rPr>
                <w:b/>
                <w:position w:val="8"/>
                <w:sz w:val="19"/>
              </w:rPr>
              <w:t>(2)</w:t>
            </w:r>
          </w:p>
        </w:tc>
        <w:tc>
          <w:tcPr>
            <w:tcW w:w="80" w:type="dxa"/>
            <w:tcBorders/>
            <w:tcMar>
              <w:bottom w:w="0" w:type="dxa"/>
            </w:tcMar>
            <w:vAlign w:val="center"/>
          </w:tcPr>
          <w:p>
            <w:pPr>
              <w:pStyle w:val="TableContents"/>
              <w:bidi w:val="0"/>
              <w:spacing w:before="0" w:after="283"/>
              <w:jc w:val="left"/>
              <w:rPr/>
            </w:pPr>
            <w:r>
              <w:rPr/>
              <w:t> </w:t>
            </w:r>
          </w:p>
        </w:tc>
      </w:tr>
      <w:tr>
        <w:trPr/>
        <w:tc>
          <w:tcPr>
            <w:tcW w:w="2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GrabAGun Digital Holdings Inc. - </w:t>
            </w:r>
            <w:r>
              <w:rPr>
                <w:rFonts w:ascii="Times New Roman;Times;Serif" w:hAnsi="Times New Roman;Times;Serif"/>
                <w:i/>
                <w:sz w:val="20"/>
              </w:rPr>
              <w:t>Common Shares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3" w:type="dxa"/>
            <w:tcBorders/>
            <w:shd w:fill="CCEEFF" w:val="clear"/>
            <w:tcMar>
              <w:bottom w:w="0" w:type="dxa"/>
            </w:tcMar>
            <w:vAlign w:val="center"/>
          </w:tcPr>
          <w:p>
            <w:pPr>
              <w:pStyle w:val="TableContents"/>
              <w:bidi w:val="0"/>
              <w:spacing w:before="0" w:after="283"/>
              <w:jc w:val="center"/>
              <w:rPr/>
            </w:pPr>
            <w:r>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587,381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w:t>
            </w:r>
          </w:p>
        </w:tc>
        <w:tc>
          <w:tcPr>
            <w:tcW w:w="1212" w:type="dxa"/>
            <w:tcBorders/>
            <w:shd w:fill="CCEEFF" w:val="clear"/>
            <w:tcMar>
              <w:bottom w:w="0" w:type="dxa"/>
            </w:tcMar>
            <w:vAlign w:val="center"/>
          </w:tcPr>
          <w:p>
            <w:pPr>
              <w:pStyle w:val="TableContents"/>
              <w:bidi w:val="0"/>
              <w:spacing w:before="0" w:after="283"/>
              <w:jc w:val="right"/>
              <w:rPr/>
            </w:pPr>
            <w:r>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1155" w:type="dxa"/>
            <w:tcBorders/>
            <w:shd w:fill="CCEEFF" w:val="clear"/>
            <w:tcMar>
              <w:bottom w:w="0" w:type="dxa"/>
            </w:tcMar>
            <w:vAlign w:val="center"/>
          </w:tcPr>
          <w:p>
            <w:pPr>
              <w:pStyle w:val="TableContents"/>
              <w:bidi w:val="0"/>
              <w:spacing w:before="0" w:after="283"/>
              <w:jc w:val="right"/>
              <w:rPr/>
            </w:pPr>
            <w:r>
              <w:rPr/>
              <w:t>1,825,041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w:t>
            </w:r>
          </w:p>
        </w:tc>
        <w:tc>
          <w:tcPr>
            <w:tcW w:w="1270" w:type="dxa"/>
            <w:tcBorders/>
            <w:shd w:fill="CCEEFF" w:val="clear"/>
            <w:tcMar>
              <w:bottom w:w="0" w:type="dxa"/>
            </w:tcMar>
            <w:vAlign w:val="center"/>
          </w:tcPr>
          <w:p>
            <w:pPr>
              <w:pStyle w:val="TableContents"/>
              <w:bidi w:val="0"/>
              <w:spacing w:before="0" w:after="283"/>
              <w:jc w:val="right"/>
              <w:rPr/>
            </w:pPr>
            <w:r>
              <w:rPr/>
              <w:t>1,201,672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 Opportunity 2 LP</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3" w:type="dxa"/>
            <w:tcBorders/>
            <w:shd w:fill="FFFFFF" w:val="clear"/>
            <w:tcMar>
              <w:bottom w:w="0" w:type="dxa"/>
            </w:tcMar>
            <w:vAlign w:val="center"/>
          </w:tcPr>
          <w:p>
            <w:pPr>
              <w:pStyle w:val="TableContents"/>
              <w:bidi w:val="0"/>
              <w:spacing w:before="0" w:after="283"/>
              <w:jc w:val="center"/>
              <w:rPr/>
            </w:pPr>
            <w:r>
              <w:rPr/>
              <w:t>Various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 </w:t>
            </w:r>
          </w:p>
        </w:tc>
        <w:tc>
          <w:tcPr>
            <w:tcW w:w="12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155" w:type="dxa"/>
            <w:tcBorders/>
            <w:shd w:fill="FFFFFF" w:val="clear"/>
            <w:tcMar>
              <w:bottom w:w="0" w:type="dxa"/>
            </w:tcMar>
            <w:vAlign w:val="center"/>
          </w:tcPr>
          <w:p>
            <w:pPr>
              <w:pStyle w:val="TableContents"/>
              <w:bidi w:val="0"/>
              <w:spacing w:before="0" w:after="283"/>
              <w:jc w:val="right"/>
              <w:rPr/>
            </w:pPr>
            <w:r>
              <w:rPr/>
              <w:t>6,469,540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4,638,846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True Global Ventures 4 Plus Pte Ltd</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3" w:type="dxa"/>
            <w:tcBorders/>
            <w:shd w:fill="CCEEFF" w:val="clear"/>
            <w:tcMar>
              <w:bottom w:w="0" w:type="dxa"/>
            </w:tcMar>
            <w:vAlign w:val="center"/>
          </w:tcPr>
          <w:p>
            <w:pPr>
              <w:pStyle w:val="TableContents"/>
              <w:bidi w:val="0"/>
              <w:spacing w:before="0" w:after="283"/>
              <w:jc w:val="center"/>
              <w:rPr/>
            </w:pPr>
            <w:r>
              <w:rPr/>
              <w:t>3/5/2026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12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155" w:type="dxa"/>
            <w:tcBorders/>
            <w:shd w:fill="CCEEFF" w:val="clear"/>
            <w:tcMar>
              <w:bottom w:w="0" w:type="dxa"/>
            </w:tcMar>
            <w:vAlign w:val="center"/>
          </w:tcPr>
          <w:p>
            <w:pPr>
              <w:pStyle w:val="TableContents"/>
              <w:bidi w:val="0"/>
              <w:spacing w:before="0" w:after="283"/>
              <w:jc w:val="right"/>
              <w:rPr/>
            </w:pPr>
            <w:r>
              <w:rPr/>
              <w:t>245,926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35" w:type="dxa"/>
            <w:tcBorders/>
            <w:shd w:fill="FFFFFF" w:val="clear"/>
            <w:tcMar>
              <w:bottom w:w="0" w:type="dxa"/>
            </w:tcMar>
            <w:vAlign w:val="center"/>
          </w:tcPr>
          <w:p>
            <w:pPr>
              <w:pStyle w:val="TableContents"/>
              <w:bidi w:val="0"/>
              <w:spacing w:before="0" w:after="283"/>
              <w:jc w:val="left"/>
              <w:rPr/>
            </w:pPr>
            <w:r>
              <w:rPr/>
              <w:t>HL Digital Assets Inc.</w:t>
            </w: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3" w:type="dxa"/>
            <w:tcBorders/>
            <w:shd w:fill="FFFFFF" w:val="clear"/>
            <w:tcMar>
              <w:bottom w:w="0" w:type="dxa"/>
            </w:tcMar>
            <w:vAlign w:val="center"/>
          </w:tcPr>
          <w:p>
            <w:pPr>
              <w:pStyle w:val="TableContents"/>
              <w:bidi w:val="0"/>
              <w:spacing w:before="0" w:after="283"/>
              <w:jc w:val="center"/>
              <w:rPr/>
            </w:pPr>
            <w:r>
              <w:rPr/>
              <w:t>6/5/2026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 </w:t>
            </w:r>
          </w:p>
        </w:tc>
        <w:tc>
          <w:tcPr>
            <w:tcW w:w="1212" w:type="dxa"/>
            <w:tcBorders/>
            <w:shd w:fill="FFFFFF" w:val="clear"/>
            <w:tcMar>
              <w:bottom w:w="0" w:type="dxa"/>
            </w:tcMar>
            <w:vAlign w:val="center"/>
          </w:tcPr>
          <w:p>
            <w:pPr>
              <w:pStyle w:val="TableContents"/>
              <w:bidi w:val="0"/>
              <w:spacing w:before="0" w:after="283"/>
              <w:jc w:val="right"/>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FFFFFF" w:val="clear"/>
            <w:vAlign w:val="center"/>
          </w:tcPr>
          <w:p>
            <w:pPr>
              <w:pStyle w:val="TableContents"/>
              <w:bidi w:val="0"/>
              <w:spacing w:before="0" w:after="283"/>
              <w:jc w:val="left"/>
              <w:rPr/>
            </w:pPr>
            <w:r>
              <w:rPr/>
              <w:t> </w:t>
            </w:r>
          </w:p>
        </w:tc>
        <w:tc>
          <w:tcPr>
            <w:tcW w:w="1155" w:type="dxa"/>
            <w:tcBorders>
              <w:bottom w:val="single" w:sz="8" w:space="0" w:color="000000"/>
            </w:tcBorders>
            <w:shd w:fill="FFFFFF" w:val="clear"/>
            <w:vAlign w:val="center"/>
          </w:tcPr>
          <w:p>
            <w:pPr>
              <w:pStyle w:val="TableContents"/>
              <w:bidi w:val="0"/>
              <w:spacing w:before="0" w:after="283"/>
              <w:jc w:val="right"/>
              <w:rPr/>
            </w:pPr>
            <w:r>
              <w:rPr/>
              <w:t>5,150,810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1270" w:type="dxa"/>
            <w:tcBorders>
              <w:bottom w:val="single" w:sz="8" w:space="0" w:color="000000"/>
            </w:tcBorders>
            <w:shd w:fill="FFFFFF" w:val="clear"/>
            <w:vAlign w:val="center"/>
          </w:tcPr>
          <w:p>
            <w:pPr>
              <w:pStyle w:val="TableContents"/>
              <w:bidi w:val="0"/>
              <w:spacing w:before="0" w:after="283"/>
              <w:jc w:val="right"/>
              <w:rPr/>
            </w:pPr>
            <w:r>
              <w:rPr/>
              <w:t>44,667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3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12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155" w:type="dxa"/>
            <w:tcBorders>
              <w:bottom w:val="double" w:sz="6" w:space="0" w:color="000000"/>
            </w:tcBorders>
            <w:shd w:fill="CCEEFF" w:val="clear"/>
            <w:vAlign w:val="center"/>
          </w:tcPr>
          <w:p>
            <w:pPr>
              <w:pStyle w:val="TableContents"/>
              <w:bidi w:val="0"/>
              <w:spacing w:before="0" w:after="283"/>
              <w:jc w:val="right"/>
              <w:rPr>
                <w:b/>
              </w:rPr>
            </w:pPr>
            <w:r>
              <w:rPr>
                <w:b/>
              </w:rPr>
              <w:t>13,691,317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vAlign w:val="center"/>
          </w:tcPr>
          <w:p>
            <w:pPr>
              <w:pStyle w:val="TableContents"/>
              <w:bidi w:val="0"/>
              <w:spacing w:before="0" w:after="283"/>
              <w:jc w:val="right"/>
              <w:rPr>
                <w:b/>
              </w:rPr>
            </w:pPr>
            <w:r>
              <w:rPr>
                <w:b/>
              </w:rPr>
              <w:t>5,885,185</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 does not include adjustments to amounts held in escrow receivable.</w:t>
            </w:r>
          </w:p>
        </w:tc>
      </w:tr>
      <w:tr>
        <w:trPr/>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Neostellar Capital held 452,619 remaining GrabAGun Digital Holdings Inc. Common Shares.</w:t>
            </w:r>
          </w:p>
        </w:tc>
      </w:tr>
      <w:tr>
        <w:trPr/>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 is an SPV for which the Class A Interest is solely invested in the Class A Common Shares of CoreWeave, Inc. Neostellar Capital is invested in the Class A Common Shares of CoreWeave, Inc. through its investment in the Class A Interest of CW Opportunity 2 LP. CW Opportunity 2 LP does not charge a management fee but does charge an incentive fee of 20%, subject to an annual 15% IRR hurdle rate. As of June 30, 2026, Neostellar Capital retains approximately 55.9% of its investment in CW Opportunity 2 LP.</w:t>
            </w:r>
          </w:p>
        </w:tc>
      </w:tr>
      <w:tr>
        <w:trPr/>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5, 2026, we received a return of capital distribution from our investment in True Global Ventures 4 Plus Pte Ltd. </w:t>
            </w:r>
          </w:p>
        </w:tc>
      </w:tr>
      <w:tr>
        <w:trPr/>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received a distribution reflecting a full exit of our investment in HL Digital Assets Inc. HL Digital Assets Inc.’s primary purpose is to invest in HYPE, the digital token of Hyperliquid.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2025 of all of our portfolio investments was $243,798,547.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we funded investments in an aggregate amount of $6,302,884 (not including capitalized transaction costs) as shown in the following table:</w:t>
      </w:r>
    </w:p>
    <w:p>
      <w:pPr>
        <w:pStyle w:val="TextBody"/>
        <w:bidi w:val="0"/>
        <w:spacing w:before="0" w:after="0"/>
        <w:ind w:left="0" w:right="0" w:firstLine="360"/>
        <w:jc w:val="both"/>
        <w:rPr>
          <w:caps w:val="false"/>
          <w:smallCaps w:val="false"/>
        </w:rPr>
      </w:pPr>
      <w:r>
        <w:rPr>
          <w:caps w:val="false"/>
          <w:smallCaps w:val="false"/>
        </w:rPr>
        <w:t> </w:t>
      </w:r>
    </w:p>
    <w:tbl>
      <w:tblPr>
        <w:tblW w:w="9814" w:type="dxa"/>
        <w:jc w:val="left"/>
        <w:tblInd w:w="0" w:type="dxa"/>
        <w:tblLayout w:type="fixed"/>
        <w:tblCellMar>
          <w:top w:w="0" w:type="dxa"/>
          <w:left w:w="0" w:type="dxa"/>
          <w:bottom w:w="28" w:type="dxa"/>
          <w:right w:w="0" w:type="dxa"/>
        </w:tblCellMar>
      </w:tblPr>
      <w:tblGrid>
        <w:gridCol w:w="2630"/>
        <w:gridCol w:w="60"/>
        <w:gridCol w:w="3485"/>
        <w:gridCol w:w="60"/>
        <w:gridCol w:w="1790"/>
        <w:gridCol w:w="60"/>
        <w:gridCol w:w="206"/>
        <w:gridCol w:w="1448"/>
        <w:gridCol w:w="75"/>
      </w:tblGrid>
      <w:tr>
        <w:trPr/>
        <w:tc>
          <w:tcPr>
            <w:tcW w:w="2630" w:type="dxa"/>
            <w:tcBorders>
              <w:bottom w:val="single" w:sz="8" w:space="0" w:color="000000"/>
            </w:tcBorders>
            <w:vAlign w:val="center"/>
          </w:tcPr>
          <w:p>
            <w:pPr>
              <w:pStyle w:val="TableContents"/>
              <w:bidi w:val="0"/>
              <w:spacing w:before="0" w:after="283"/>
              <w:jc w:val="left"/>
              <w:rPr>
                <w:b/>
              </w:rPr>
            </w:pPr>
            <w:r>
              <w:rPr>
                <w:b/>
              </w:rPr>
              <w:t>Portfolio Company</w:t>
            </w:r>
          </w:p>
        </w:tc>
        <w:tc>
          <w:tcPr>
            <w:tcW w:w="60" w:type="dxa"/>
            <w:tcBorders/>
            <w:tcMar>
              <w:bottom w:w="0" w:type="dxa"/>
            </w:tcMar>
            <w:vAlign w:val="center"/>
          </w:tcPr>
          <w:p>
            <w:pPr>
              <w:pStyle w:val="TableContents"/>
              <w:bidi w:val="0"/>
              <w:spacing w:before="0" w:after="283"/>
              <w:jc w:val="left"/>
              <w:rPr/>
            </w:pPr>
            <w:r>
              <w:rPr/>
              <w:t> </w:t>
            </w:r>
          </w:p>
        </w:tc>
        <w:tc>
          <w:tcPr>
            <w:tcW w:w="3485" w:type="dxa"/>
            <w:tcBorders>
              <w:bottom w:val="single" w:sz="8" w:space="0" w:color="000000"/>
            </w:tcBorders>
            <w:vAlign w:val="center"/>
          </w:tcPr>
          <w:p>
            <w:pPr>
              <w:pStyle w:val="TableContents"/>
              <w:bidi w:val="0"/>
              <w:spacing w:before="0" w:after="283"/>
              <w:jc w:val="center"/>
              <w:rPr>
                <w:b/>
              </w:rPr>
            </w:pPr>
            <w:r>
              <w:rPr>
                <w:b/>
              </w:rPr>
              <w:t>Investment</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center"/>
              <w:rPr>
                <w:b/>
              </w:rPr>
            </w:pPr>
            <w:r>
              <w:rPr>
                <w:b/>
              </w:rPr>
              <w:t>Transaction Date</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8" w:space="0" w:color="000000"/>
            </w:tcBorders>
            <w:vAlign w:val="center"/>
          </w:tcPr>
          <w:p>
            <w:pPr>
              <w:pStyle w:val="TableContents"/>
              <w:bidi w:val="0"/>
              <w:spacing w:before="0" w:after="283"/>
              <w:jc w:val="center"/>
              <w:rPr>
                <w:b/>
              </w:rPr>
            </w:pPr>
            <w:r>
              <w:rPr>
                <w:b/>
              </w:rPr>
              <w:t>Gross Payments</w:t>
            </w:r>
          </w:p>
        </w:tc>
        <w:tc>
          <w:tcPr>
            <w:tcW w:w="7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Orchard Technologies,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5" w:type="dxa"/>
            <w:tcBorders/>
            <w:shd w:fill="CCEEFF" w:val="clear"/>
            <w:tcMar>
              <w:bottom w:w="0" w:type="dxa"/>
            </w:tcMar>
            <w:vAlign w:val="center"/>
          </w:tcPr>
          <w:p>
            <w:pPr>
              <w:pStyle w:val="TableContents"/>
              <w:bidi w:val="0"/>
              <w:spacing w:before="0" w:after="283"/>
              <w:jc w:val="center"/>
              <w:rPr/>
            </w:pPr>
            <w:r>
              <w:rPr/>
              <w:t>Senior Preferred Shares, Series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pPr>
            <w:r>
              <w:rPr/>
              <w:t>1/31/2025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w:t>
            </w:r>
          </w:p>
        </w:tc>
        <w:tc>
          <w:tcPr>
            <w:tcW w:w="1448" w:type="dxa"/>
            <w:tcBorders/>
            <w:shd w:fill="CCEEFF" w:val="clear"/>
            <w:tcMar>
              <w:bottom w:w="0" w:type="dxa"/>
            </w:tcMar>
            <w:vAlign w:val="center"/>
          </w:tcPr>
          <w:p>
            <w:pPr>
              <w:pStyle w:val="TableContents"/>
              <w:bidi w:val="0"/>
              <w:spacing w:before="0" w:after="283"/>
              <w:jc w:val="right"/>
              <w:rPr/>
            </w:pPr>
            <w:r>
              <w:rPr/>
              <w:t>222,210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shd w:fill="FFFFFF" w:val="clear"/>
            <w:tcMar>
              <w:bottom w:w="0" w:type="dxa"/>
            </w:tcMar>
            <w:vAlign w:val="center"/>
          </w:tcPr>
          <w:p>
            <w:pPr>
              <w:pStyle w:val="TableContents"/>
              <w:bidi w:val="0"/>
              <w:spacing w:before="0" w:after="283"/>
              <w:jc w:val="left"/>
              <w:rPr/>
            </w:pPr>
            <w:r>
              <w:rPr/>
              <w:t>Orchard Technologies,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5" w:type="dxa"/>
            <w:tcBorders/>
            <w:shd w:fill="FFFFFF" w:val="clear"/>
            <w:tcMar>
              <w:bottom w:w="0" w:type="dxa"/>
            </w:tcMar>
            <w:vAlign w:val="center"/>
          </w:tcPr>
          <w:p>
            <w:pPr>
              <w:pStyle w:val="TableContents"/>
              <w:bidi w:val="0"/>
              <w:spacing w:before="0" w:after="283"/>
              <w:jc w:val="center"/>
              <w:rPr/>
            </w:pPr>
            <w:r>
              <w:rPr/>
              <w:t>Simple Agreement for Future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center"/>
              <w:rPr/>
            </w:pPr>
            <w:r>
              <w:rPr/>
              <w:t>1/31/2025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448" w:type="dxa"/>
            <w:tcBorders/>
            <w:shd w:fill="FFFFFF" w:val="clear"/>
            <w:tcMar>
              <w:bottom w:w="0" w:type="dxa"/>
            </w:tcMar>
            <w:vAlign w:val="center"/>
          </w:tcPr>
          <w:p>
            <w:pPr>
              <w:pStyle w:val="TableContents"/>
              <w:bidi w:val="0"/>
              <w:spacing w:before="0" w:after="283"/>
              <w:jc w:val="right"/>
              <w:rPr/>
            </w:pPr>
            <w:r>
              <w:rPr/>
              <w:t>80,800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Whoop,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5" w:type="dxa"/>
            <w:tcBorders/>
            <w:shd w:fill="CCEEFF" w:val="clear"/>
            <w:tcMar>
              <w:bottom w:w="0" w:type="dxa"/>
            </w:tcMar>
            <w:vAlign w:val="center"/>
          </w:tcPr>
          <w:p>
            <w:pPr>
              <w:pStyle w:val="TableContents"/>
              <w:bidi w:val="0"/>
              <w:spacing w:before="0" w:after="283"/>
              <w:jc w:val="center"/>
              <w:rPr/>
            </w:pPr>
            <w:r>
              <w:rPr/>
              <w:t>Simple Agreement for Future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pPr>
            <w:r>
              <w:rPr/>
              <w:t>2/6/2025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right"/>
              <w:rPr/>
            </w:pPr>
            <w:r>
              <w:rPr/>
              <w:t>1,000,000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Plaid Inc.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5" w:type="dxa"/>
            <w:tcBorders/>
            <w:shd w:fill="FFFFFF" w:val="clear"/>
            <w:tcMar>
              <w:bottom w:w="0" w:type="dxa"/>
            </w:tcMar>
            <w:vAlign w:val="center"/>
          </w:tcPr>
          <w:p>
            <w:pPr>
              <w:pStyle w:val="TableContents"/>
              <w:bidi w:val="0"/>
              <w:spacing w:before="0" w:after="283"/>
              <w:jc w:val="center"/>
              <w:rPr/>
            </w:pPr>
            <w:r>
              <w:rPr/>
              <w:t>Common Shares, Class 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center"/>
              <w:rPr/>
            </w:pPr>
            <w:r>
              <w:rPr/>
              <w:t>4/4/2025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1448" w:type="dxa"/>
            <w:tcBorders>
              <w:bottom w:val="single" w:sz="8" w:space="0" w:color="000000"/>
            </w:tcBorders>
            <w:shd w:fill="FFFFFF" w:val="clear"/>
            <w:vAlign w:val="center"/>
          </w:tcPr>
          <w:p>
            <w:pPr>
              <w:pStyle w:val="TableContents"/>
              <w:bidi w:val="0"/>
              <w:spacing w:before="0" w:after="283"/>
              <w:jc w:val="right"/>
              <w:rPr/>
            </w:pPr>
            <w:r>
              <w:rPr/>
              <w:t>4,999,874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448" w:type="dxa"/>
            <w:tcBorders>
              <w:bottom w:val="double" w:sz="6" w:space="0" w:color="000000"/>
            </w:tcBorders>
            <w:shd w:fill="CCEEFF" w:val="clear"/>
            <w:vAlign w:val="center"/>
          </w:tcPr>
          <w:p>
            <w:pPr>
              <w:pStyle w:val="TableContents"/>
              <w:bidi w:val="0"/>
              <w:spacing w:before="0" w:after="283"/>
              <w:jc w:val="right"/>
              <w:rPr>
                <w:b/>
              </w:rPr>
            </w:pPr>
            <w:r>
              <w:rPr>
                <w:b/>
              </w:rPr>
              <w:t>6,302,884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Capital’s investment in the Class A Common Shares of Plaid Inc. was made through 1789 Capital Nirvana II LP, an SPV in which Neostellar Capital is the Sole Limited Partner. Neostellar Capital paid a 7% origination fee at the time of investment.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we capitalized fees of $400,237.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we exited or received proceeds from investments in the amount of $41,251,774, net of transaction costs, and realized a net gain on investments of $21,194,660 (including adjustments to amounts held in escrow receivable) as shown in following table:</w:t>
      </w:r>
    </w:p>
    <w:p>
      <w:pPr>
        <w:pStyle w:val="TextBody"/>
        <w:bidi w:val="0"/>
        <w:spacing w:before="0" w:after="0"/>
        <w:ind w:left="0" w:right="0" w:firstLine="360"/>
        <w:jc w:val="both"/>
        <w:rPr>
          <w:caps w:val="false"/>
          <w:smallCaps w:val="false"/>
        </w:rPr>
      </w:pPr>
      <w:r>
        <w:rPr>
          <w:caps w:val="false"/>
          <w:smallCaps w:val="false"/>
        </w:rPr>
        <w:t> </w:t>
      </w:r>
    </w:p>
    <w:tbl>
      <w:tblPr>
        <w:tblW w:w="9252" w:type="dxa"/>
        <w:jc w:val="left"/>
        <w:tblInd w:w="0" w:type="dxa"/>
        <w:tblLayout w:type="fixed"/>
        <w:tblCellMar>
          <w:top w:w="0" w:type="dxa"/>
          <w:left w:w="0" w:type="dxa"/>
          <w:bottom w:w="28" w:type="dxa"/>
          <w:right w:w="0" w:type="dxa"/>
        </w:tblCellMar>
      </w:tblPr>
      <w:tblGrid>
        <w:gridCol w:w="1985"/>
        <w:gridCol w:w="60"/>
        <w:gridCol w:w="1790"/>
        <w:gridCol w:w="60"/>
        <w:gridCol w:w="64"/>
        <w:gridCol w:w="856"/>
        <w:gridCol w:w="60"/>
        <w:gridCol w:w="60"/>
        <w:gridCol w:w="208"/>
        <w:gridCol w:w="1011"/>
        <w:gridCol w:w="60"/>
        <w:gridCol w:w="60"/>
        <w:gridCol w:w="152"/>
        <w:gridCol w:w="1202"/>
        <w:gridCol w:w="60"/>
        <w:gridCol w:w="60"/>
        <w:gridCol w:w="161"/>
        <w:gridCol w:w="1268"/>
        <w:gridCol w:w="75"/>
      </w:tblGrid>
      <w:tr>
        <w:trPr/>
        <w:tc>
          <w:tcPr>
            <w:tcW w:w="1985" w:type="dxa"/>
            <w:tcBorders>
              <w:bottom w:val="single" w:sz="8" w:space="0" w:color="000000"/>
            </w:tcBorders>
            <w:vAlign w:val="center"/>
          </w:tcPr>
          <w:p>
            <w:pPr>
              <w:pStyle w:val="TableContents"/>
              <w:bidi w:val="0"/>
              <w:spacing w:before="0" w:after="283"/>
              <w:jc w:val="left"/>
              <w:rPr>
                <w:b/>
              </w:rPr>
            </w:pPr>
            <w:r>
              <w:rPr>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center"/>
              <w:rPr>
                <w:b/>
              </w:rPr>
            </w:pPr>
            <w:r>
              <w:rPr>
                <w:b/>
              </w:rPr>
              <w:t>Transaction Date</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rPr>
            </w:pPr>
            <w:r>
              <w:rPr>
                <w:b/>
              </w:rPr>
              <w:t>Quantity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Average Net</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Price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8" w:space="0" w:color="000000"/>
            </w:tcBorders>
            <w:vAlign w:val="center"/>
          </w:tcPr>
          <w:p>
            <w:pPr>
              <w:pStyle w:val="TableContents"/>
              <w:bidi w:val="0"/>
              <w:spacing w:before="0" w:after="283"/>
              <w:jc w:val="center"/>
              <w:rPr>
                <w:b/>
              </w:rPr>
            </w:pPr>
            <w:r>
              <w:rPr>
                <w:b/>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Realized Gain</w:t>
            </w:r>
            <w:r>
              <w:rPr>
                <w:rFonts w:ascii="Times New Roman;Times;Serif" w:hAnsi="Times New Roman;Times;Serif"/>
                <w:b/>
                <w:position w:val="7"/>
                <w:sz w:val="16"/>
                <w:sz w:val="20"/>
              </w:rPr>
              <w:t>(2)</w:t>
            </w:r>
          </w:p>
        </w:tc>
        <w:tc>
          <w:tcPr>
            <w:tcW w:w="75" w:type="dxa"/>
            <w:tcBorders/>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CoreWeave, Inc. </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pPr>
            <w:r>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222,240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11" w:type="dxa"/>
            <w:tcBorders/>
            <w:shd w:fill="CCEEFF" w:val="clear"/>
            <w:tcMar>
              <w:bottom w:w="0" w:type="dxa"/>
            </w:tcMar>
            <w:vAlign w:val="center"/>
          </w:tcPr>
          <w:p>
            <w:pPr>
              <w:pStyle w:val="TableContents"/>
              <w:bidi w:val="0"/>
              <w:spacing w:before="0" w:after="283"/>
              <w:jc w:val="right"/>
              <w:rPr/>
            </w:pPr>
            <w:r>
              <w:rPr/>
              <w:t>113.99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w:t>
            </w:r>
          </w:p>
        </w:tc>
        <w:tc>
          <w:tcPr>
            <w:tcW w:w="1202" w:type="dxa"/>
            <w:tcBorders/>
            <w:shd w:fill="CCEEFF" w:val="clear"/>
            <w:tcMar>
              <w:bottom w:w="0" w:type="dxa"/>
            </w:tcMar>
            <w:vAlign w:val="center"/>
          </w:tcPr>
          <w:p>
            <w:pPr>
              <w:pStyle w:val="TableContents"/>
              <w:bidi w:val="0"/>
              <w:spacing w:before="0" w:after="283"/>
              <w:jc w:val="right"/>
              <w:rPr/>
            </w:pPr>
            <w:r>
              <w:rPr/>
              <w:t>25,332,125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268" w:type="dxa"/>
            <w:tcBorders/>
            <w:shd w:fill="CCEEFF" w:val="clear"/>
            <w:tcMar>
              <w:bottom w:w="0" w:type="dxa"/>
            </w:tcMar>
            <w:vAlign w:val="center"/>
          </w:tcPr>
          <w:p>
            <w:pPr>
              <w:pStyle w:val="TableContents"/>
              <w:bidi w:val="0"/>
              <w:spacing w:before="0" w:after="283"/>
              <w:jc w:val="right"/>
              <w:rPr/>
            </w:pPr>
            <w:r>
              <w:rPr/>
              <w:t>15,328,543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ServiceTitan, Inc.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center"/>
              <w:rPr/>
            </w:pPr>
            <w:r>
              <w:rPr/>
              <w:t>Various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151,515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w:t>
            </w:r>
          </w:p>
        </w:tc>
        <w:tc>
          <w:tcPr>
            <w:tcW w:w="1011" w:type="dxa"/>
            <w:tcBorders/>
            <w:shd w:fill="FFFFFF" w:val="clear"/>
            <w:tcMar>
              <w:bottom w:w="0" w:type="dxa"/>
            </w:tcMar>
            <w:vAlign w:val="center"/>
          </w:tcPr>
          <w:p>
            <w:pPr>
              <w:pStyle w:val="TableContents"/>
              <w:bidi w:val="0"/>
              <w:spacing w:before="0" w:after="283"/>
              <w:jc w:val="right"/>
              <w:rPr/>
            </w:pPr>
            <w:r>
              <w:rPr/>
              <w:t>105.07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1202" w:type="dxa"/>
            <w:tcBorders>
              <w:bottom w:val="single" w:sz="8" w:space="0" w:color="000000"/>
            </w:tcBorders>
            <w:shd w:fill="FFFFFF" w:val="clear"/>
            <w:vAlign w:val="center"/>
          </w:tcPr>
          <w:p>
            <w:pPr>
              <w:pStyle w:val="TableContents"/>
              <w:bidi w:val="0"/>
              <w:spacing w:before="0" w:after="283"/>
              <w:jc w:val="right"/>
              <w:rPr/>
            </w:pPr>
            <w:r>
              <w:rPr/>
              <w:t>15,919,649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8" w:space="0" w:color="000000"/>
            </w:tcBorders>
            <w:shd w:fill="FFFFFF" w:val="clear"/>
            <w:vAlign w:val="center"/>
          </w:tcPr>
          <w:p>
            <w:pPr>
              <w:pStyle w:val="TableContents"/>
              <w:bidi w:val="0"/>
              <w:spacing w:before="0" w:after="283"/>
              <w:jc w:val="left"/>
              <w:rPr/>
            </w:pPr>
            <w:r>
              <w:rPr/>
              <w:t> </w:t>
            </w:r>
          </w:p>
        </w:tc>
        <w:tc>
          <w:tcPr>
            <w:tcW w:w="1268" w:type="dxa"/>
            <w:tcBorders>
              <w:bottom w:val="single" w:sz="8" w:space="0" w:color="000000"/>
            </w:tcBorders>
            <w:shd w:fill="FFFFFF" w:val="clear"/>
            <w:vAlign w:val="center"/>
          </w:tcPr>
          <w:p>
            <w:pPr>
              <w:pStyle w:val="TableContents"/>
              <w:bidi w:val="0"/>
              <w:spacing w:before="0" w:after="283"/>
              <w:jc w:val="right"/>
              <w:rPr/>
            </w:pPr>
            <w:r>
              <w:rPr/>
              <w:t>5,911,416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01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202" w:type="dxa"/>
            <w:tcBorders>
              <w:bottom w:val="double" w:sz="6" w:space="0" w:color="000000"/>
            </w:tcBorders>
            <w:shd w:fill="CCEEFF" w:val="clear"/>
            <w:vAlign w:val="center"/>
          </w:tcPr>
          <w:p>
            <w:pPr>
              <w:pStyle w:val="TableContents"/>
              <w:bidi w:val="0"/>
              <w:spacing w:before="0" w:after="283"/>
              <w:jc w:val="right"/>
              <w:rPr>
                <w:b/>
              </w:rPr>
            </w:pPr>
            <w:r>
              <w:rPr>
                <w:b/>
              </w:rPr>
              <w:t>41,251,774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268" w:type="dxa"/>
            <w:tcBorders>
              <w:bottom w:val="double" w:sz="6" w:space="0" w:color="000000"/>
            </w:tcBorders>
            <w:shd w:fill="CCEEFF" w:val="clear"/>
            <w:vAlign w:val="center"/>
          </w:tcPr>
          <w:p>
            <w:pPr>
              <w:pStyle w:val="TableContents"/>
              <w:bidi w:val="0"/>
              <w:spacing w:before="0" w:after="283"/>
              <w:jc w:val="right"/>
              <w:rPr>
                <w:b/>
              </w:rPr>
            </w:pPr>
            <w:r>
              <w:rPr>
                <w:b/>
              </w:rPr>
              <w:t>21,239,959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 does not include adjustments to amounts held in escrow receivable.</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20, 2025, we had sold the entirety of our directly held CoreWeave, Inc. public common shares. As of June 30, 2025, we continue to hold the entirety of our interest in CW Opportunity 2 LP.</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2025, we had sold our entire position in ServiceTitan, Inc. public common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5"/>
        <w:gridCol w:w="60"/>
        <w:gridCol w:w="150"/>
        <w:gridCol w:w="1261"/>
        <w:gridCol w:w="101"/>
        <w:gridCol w:w="64"/>
        <w:gridCol w:w="150"/>
        <w:gridCol w:w="1180"/>
        <w:gridCol w:w="95"/>
        <w:gridCol w:w="60"/>
        <w:gridCol w:w="141"/>
        <w:gridCol w:w="1234"/>
        <w:gridCol w:w="95"/>
        <w:gridCol w:w="60"/>
        <w:gridCol w:w="141"/>
        <w:gridCol w:w="1112"/>
        <w:gridCol w:w="116"/>
      </w:tblGrid>
      <w:tr>
        <w:trPr/>
        <w:tc>
          <w:tcPr>
            <w:tcW w:w="4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6" w:type="dxa"/>
            <w:tcBorders/>
            <w:vAlign w:val="center"/>
          </w:tcPr>
          <w:p>
            <w:pPr>
              <w:pStyle w:val="TableContents"/>
              <w:bidi w:val="0"/>
              <w:spacing w:before="0" w:after="283"/>
              <w:jc w:val="left"/>
              <w:rPr/>
            </w:pPr>
            <w:r>
              <w:rPr/>
              <w:t> </w:t>
            </w:r>
          </w:p>
        </w:tc>
      </w:tr>
      <w:tr>
        <w:trPr/>
        <w:tc>
          <w:tcPr>
            <w:tcW w:w="4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r>
      <w:tr>
        <w:trPr/>
        <w:tc>
          <w:tcPr>
            <w:tcW w:w="4185" w:type="dxa"/>
            <w:tcBorders/>
            <w:shd w:fill="CCEEFF" w:val="clear"/>
            <w:vAlign w:val="center"/>
          </w:tcPr>
          <w:p>
            <w:pPr>
              <w:pStyle w:val="TableContents"/>
              <w:bidi w:val="0"/>
              <w:spacing w:before="0" w:after="283"/>
              <w:jc w:val="left"/>
              <w:rPr>
                <w:b/>
              </w:rPr>
            </w:pPr>
            <w:r>
              <w:rPr>
                <w:b/>
              </w:rPr>
              <w:t>Total Investment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b/>
              </w:rPr>
            </w:pPr>
            <w:r>
              <w:rPr>
                <w:b/>
              </w:rPr>
              <w:t>$</w:t>
            </w:r>
          </w:p>
        </w:tc>
        <w:tc>
          <w:tcPr>
            <w:tcW w:w="1261" w:type="dxa"/>
            <w:tcBorders/>
            <w:shd w:fill="CCEEFF" w:val="clear"/>
            <w:vAlign w:val="center"/>
          </w:tcPr>
          <w:p>
            <w:pPr>
              <w:pStyle w:val="TableContents"/>
              <w:bidi w:val="0"/>
              <w:spacing w:before="0" w:after="283"/>
              <w:jc w:val="right"/>
              <w:rPr>
                <w:b/>
              </w:rPr>
            </w:pPr>
            <w:r>
              <w:rPr>
                <w:b/>
              </w:rPr>
              <w:t>299,650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b/>
              </w:rPr>
            </w:pPr>
            <w:r>
              <w:rPr>
                <w:b/>
              </w:rPr>
              <w:t>$</w:t>
            </w:r>
          </w:p>
        </w:tc>
        <w:tc>
          <w:tcPr>
            <w:tcW w:w="1180" w:type="dxa"/>
            <w:tcBorders/>
            <w:shd w:fill="CCEEFF" w:val="clear"/>
            <w:vAlign w:val="center"/>
          </w:tcPr>
          <w:p>
            <w:pPr>
              <w:pStyle w:val="TableContents"/>
              <w:bidi w:val="0"/>
              <w:spacing w:before="0" w:after="283"/>
              <w:jc w:val="right"/>
              <w:rPr>
                <w:b/>
              </w:rPr>
            </w:pPr>
            <w:r>
              <w:rPr>
                <w:b/>
              </w:rPr>
              <w:t>167,304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1234" w:type="dxa"/>
            <w:tcBorders/>
            <w:shd w:fill="CCEEFF" w:val="clear"/>
            <w:vAlign w:val="center"/>
          </w:tcPr>
          <w:p>
            <w:pPr>
              <w:pStyle w:val="TableContents"/>
              <w:bidi w:val="0"/>
              <w:spacing w:before="0" w:after="283"/>
              <w:jc w:val="right"/>
              <w:rPr>
                <w:b/>
              </w:rPr>
            </w:pPr>
            <w:r>
              <w:rPr>
                <w:b/>
              </w:rPr>
              <w:t>1,031,613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1112" w:type="dxa"/>
            <w:tcBorders/>
            <w:shd w:fill="CCEEFF" w:val="clear"/>
            <w:vAlign w:val="center"/>
          </w:tcPr>
          <w:p>
            <w:pPr>
              <w:pStyle w:val="TableContents"/>
              <w:bidi w:val="0"/>
              <w:spacing w:before="0" w:after="283"/>
              <w:jc w:val="right"/>
              <w:rPr>
                <w:b/>
              </w:rPr>
            </w:pPr>
            <w:r>
              <w:rPr>
                <w:b/>
              </w:rPr>
              <w:t>666,398</w:t>
            </w:r>
          </w:p>
        </w:tc>
        <w:tc>
          <w:tcPr>
            <w:tcW w:w="116" w:type="dxa"/>
            <w:tcBorders/>
            <w:shd w:fill="CCEEFF" w:val="clear"/>
            <w:vAlign w:val="center"/>
          </w:tcPr>
          <w:p>
            <w:pPr>
              <w:pStyle w:val="TableContents"/>
              <w:bidi w:val="0"/>
              <w:spacing w:before="0" w:after="283"/>
              <w:jc w:val="left"/>
              <w:rPr/>
            </w:pPr>
            <w:r>
              <w:rPr/>
              <w:t> </w:t>
            </w:r>
          </w:p>
        </w:tc>
      </w:tr>
      <w:tr>
        <w:trPr/>
        <w:tc>
          <w:tcPr>
            <w:tcW w:w="41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299,650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167,304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687,863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317,951</w:t>
            </w:r>
          </w:p>
        </w:tc>
        <w:tc>
          <w:tcPr>
            <w:tcW w:w="116" w:type="dxa"/>
            <w:tcBorders/>
            <w:shd w:fill="FFFFFF" w:val="clear"/>
            <w:vAlign w:val="center"/>
          </w:tcPr>
          <w:p>
            <w:pPr>
              <w:pStyle w:val="TableContents"/>
              <w:bidi w:val="0"/>
              <w:spacing w:before="0" w:after="283"/>
              <w:jc w:val="left"/>
              <w:rPr/>
            </w:pPr>
            <w:r>
              <w:rPr/>
              <w:t> </w:t>
            </w:r>
          </w:p>
        </w:tc>
      </w:tr>
      <w:tr>
        <w:trPr/>
        <w:tc>
          <w:tcPr>
            <w:tcW w:w="4185" w:type="dxa"/>
            <w:tcBorders/>
            <w:shd w:fill="CCEEFF" w:val="clear"/>
            <w:vAlign w:val="center"/>
          </w:tcPr>
          <w:p>
            <w:pPr>
              <w:pStyle w:val="TableContents"/>
              <w:bidi w:val="0"/>
              <w:spacing w:before="0" w:after="283"/>
              <w:jc w:val="left"/>
              <w:rPr/>
            </w:pPr>
            <w:r>
              <w:rPr/>
              <w:t>Dividend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343,750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348,447</w:t>
            </w:r>
          </w:p>
        </w:tc>
        <w:tc>
          <w:tcPr>
            <w:tcW w:w="116" w:type="dxa"/>
            <w:tcBorders/>
            <w:shd w:fill="CCEEFF" w:val="clear"/>
            <w:vAlign w:val="center"/>
          </w:tcPr>
          <w:p>
            <w:pPr>
              <w:pStyle w:val="TableContents"/>
              <w:bidi w:val="0"/>
              <w:spacing w:before="0" w:after="283"/>
              <w:jc w:val="left"/>
              <w:rPr/>
            </w:pPr>
            <w:r>
              <w:rPr/>
              <w:t> </w:t>
            </w:r>
          </w:p>
        </w:tc>
      </w:tr>
      <w:tr>
        <w:trPr/>
        <w:tc>
          <w:tcPr>
            <w:tcW w:w="418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b/>
              </w:rPr>
            </w:pPr>
            <w:r>
              <w:rPr>
                <w:b/>
              </w:rPr>
              <w:t>$</w:t>
            </w:r>
          </w:p>
        </w:tc>
        <w:tc>
          <w:tcPr>
            <w:tcW w:w="1261" w:type="dxa"/>
            <w:tcBorders/>
            <w:shd w:fill="FFFFFF" w:val="clear"/>
            <w:vAlign w:val="center"/>
          </w:tcPr>
          <w:p>
            <w:pPr>
              <w:pStyle w:val="TableContents"/>
              <w:bidi w:val="0"/>
              <w:spacing w:before="0" w:after="283"/>
              <w:jc w:val="right"/>
              <w:rPr>
                <w:b/>
              </w:rPr>
            </w:pPr>
            <w:r>
              <w:rPr>
                <w:b/>
              </w:rPr>
              <w:t>23,654,334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b/>
              </w:rPr>
            </w:pPr>
            <w:r>
              <w:rPr>
                <w:b/>
              </w:rPr>
              <w:t>$</w:t>
            </w:r>
          </w:p>
        </w:tc>
        <w:tc>
          <w:tcPr>
            <w:tcW w:w="1180" w:type="dxa"/>
            <w:tcBorders/>
            <w:shd w:fill="FFFFFF" w:val="clear"/>
            <w:vAlign w:val="center"/>
          </w:tcPr>
          <w:p>
            <w:pPr>
              <w:pStyle w:val="TableContents"/>
              <w:bidi w:val="0"/>
              <w:spacing w:before="0" w:after="283"/>
              <w:jc w:val="right"/>
              <w:rPr>
                <w:b/>
              </w:rPr>
            </w:pPr>
            <w:r>
              <w:rPr>
                <w:b/>
              </w:rPr>
              <w:t>3,889,464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b/>
              </w:rPr>
            </w:pPr>
            <w:r>
              <w:rPr>
                <w:b/>
              </w:rPr>
              <w:t>$</w:t>
            </w:r>
          </w:p>
        </w:tc>
        <w:tc>
          <w:tcPr>
            <w:tcW w:w="1234" w:type="dxa"/>
            <w:tcBorders/>
            <w:shd w:fill="FFFFFF" w:val="clear"/>
            <w:vAlign w:val="center"/>
          </w:tcPr>
          <w:p>
            <w:pPr>
              <w:pStyle w:val="TableContents"/>
              <w:bidi w:val="0"/>
              <w:spacing w:before="0" w:after="283"/>
              <w:jc w:val="right"/>
              <w:rPr>
                <w:b/>
              </w:rPr>
            </w:pPr>
            <w:r>
              <w:rPr>
                <w:b/>
              </w:rPr>
              <w:t>28,364,789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b/>
              </w:rPr>
            </w:pPr>
            <w:r>
              <w:rPr>
                <w:b/>
              </w:rPr>
              <w:t>$</w:t>
            </w:r>
          </w:p>
        </w:tc>
        <w:tc>
          <w:tcPr>
            <w:tcW w:w="1112" w:type="dxa"/>
            <w:tcBorders/>
            <w:shd w:fill="FFFFFF" w:val="clear"/>
            <w:vAlign w:val="center"/>
          </w:tcPr>
          <w:p>
            <w:pPr>
              <w:pStyle w:val="TableContents"/>
              <w:bidi w:val="0"/>
              <w:spacing w:before="0" w:after="283"/>
              <w:jc w:val="right"/>
              <w:rPr>
                <w:b/>
              </w:rPr>
            </w:pPr>
            <w:r>
              <w:rPr>
                <w:b/>
              </w:rPr>
              <w:t>8,050,327</w:t>
            </w:r>
          </w:p>
        </w:tc>
        <w:tc>
          <w:tcPr>
            <w:tcW w:w="116" w:type="dxa"/>
            <w:tcBorders/>
            <w:shd w:fill="FFFFFF" w:val="clear"/>
            <w:vAlign w:val="center"/>
          </w:tcPr>
          <w:p>
            <w:pPr>
              <w:pStyle w:val="TableContents"/>
              <w:bidi w:val="0"/>
              <w:spacing w:before="0" w:after="283"/>
              <w:jc w:val="left"/>
              <w:rPr/>
            </w:pPr>
            <w:r>
              <w:rPr/>
              <w:t> </w:t>
            </w:r>
          </w:p>
        </w:tc>
      </w:tr>
      <w:tr>
        <w:trPr/>
        <w:tc>
          <w:tcPr>
            <w:tcW w:w="4185" w:type="dxa"/>
            <w:tcBorders/>
            <w:shd w:fill="CCEEFF" w:val="clear"/>
            <w:vAlign w:val="center"/>
          </w:tcPr>
          <w:p>
            <w:pPr>
              <w:pStyle w:val="TableContents"/>
              <w:bidi w:val="0"/>
              <w:spacing w:before="0" w:after="283"/>
              <w:jc w:val="left"/>
              <w:rPr/>
            </w:pPr>
            <w:r>
              <w:rPr/>
              <w:t>Compensation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19,696,322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1,571,856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21,672,574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3,239,691</w:t>
            </w:r>
          </w:p>
        </w:tc>
        <w:tc>
          <w:tcPr>
            <w:tcW w:w="116" w:type="dxa"/>
            <w:tcBorders/>
            <w:shd w:fill="CCEEFF" w:val="clear"/>
            <w:vAlign w:val="center"/>
          </w:tcPr>
          <w:p>
            <w:pPr>
              <w:pStyle w:val="TableContents"/>
              <w:bidi w:val="0"/>
              <w:spacing w:before="0" w:after="283"/>
              <w:jc w:val="left"/>
              <w:rPr/>
            </w:pPr>
            <w:r>
              <w:rPr/>
              <w:t> </w:t>
            </w:r>
          </w:p>
        </w:tc>
      </w:tr>
      <w:tr>
        <w:trPr/>
        <w:tc>
          <w:tcPr>
            <w:tcW w:w="4185" w:type="dxa"/>
            <w:tcBorders/>
            <w:shd w:fill="FFFFFF" w:val="clear"/>
            <w:vAlign w:val="center"/>
          </w:tcPr>
          <w:p>
            <w:pPr>
              <w:pStyle w:val="TableContents"/>
              <w:bidi w:val="0"/>
              <w:spacing w:before="0" w:after="283"/>
              <w:jc w:val="left"/>
              <w:rPr/>
            </w:pPr>
            <w:r>
              <w:rPr/>
              <w:t>Directors’ fees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427,476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175,495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623,038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346,060</w:t>
            </w:r>
          </w:p>
        </w:tc>
        <w:tc>
          <w:tcPr>
            <w:tcW w:w="116" w:type="dxa"/>
            <w:tcBorders/>
            <w:shd w:fill="FFFFFF" w:val="clear"/>
            <w:vAlign w:val="center"/>
          </w:tcPr>
          <w:p>
            <w:pPr>
              <w:pStyle w:val="TableContents"/>
              <w:bidi w:val="0"/>
              <w:spacing w:before="0" w:after="283"/>
              <w:jc w:val="left"/>
              <w:rPr/>
            </w:pPr>
            <w:r>
              <w:rPr/>
              <w:t> </w:t>
            </w:r>
          </w:p>
        </w:tc>
      </w:tr>
      <w:tr>
        <w:trPr/>
        <w:tc>
          <w:tcPr>
            <w:tcW w:w="41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1,136,421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1,275,485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2,353,615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2,535,334</w:t>
            </w:r>
          </w:p>
        </w:tc>
        <w:tc>
          <w:tcPr>
            <w:tcW w:w="116" w:type="dxa"/>
            <w:tcBorders/>
            <w:shd w:fill="CCEEFF" w:val="clear"/>
            <w:vAlign w:val="center"/>
          </w:tcPr>
          <w:p>
            <w:pPr>
              <w:pStyle w:val="TableContents"/>
              <w:bidi w:val="0"/>
              <w:spacing w:before="0" w:after="283"/>
              <w:jc w:val="left"/>
              <w:rPr/>
            </w:pPr>
            <w:r>
              <w:rPr/>
              <w:t> </w:t>
            </w:r>
          </w:p>
        </w:tc>
      </w:tr>
      <w:tr>
        <w:trPr/>
        <w:tc>
          <w:tcPr>
            <w:tcW w:w="418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1,724,438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680,857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2,597,167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1,431,081</w:t>
            </w:r>
          </w:p>
        </w:tc>
        <w:tc>
          <w:tcPr>
            <w:tcW w:w="116" w:type="dxa"/>
            <w:tcBorders/>
            <w:shd w:fill="FFFFFF" w:val="clear"/>
            <w:vAlign w:val="center"/>
          </w:tcPr>
          <w:p>
            <w:pPr>
              <w:pStyle w:val="TableContents"/>
              <w:bidi w:val="0"/>
              <w:spacing w:before="0" w:after="283"/>
              <w:jc w:val="left"/>
              <w:rPr/>
            </w:pPr>
            <w:r>
              <w:rPr/>
              <w:t> </w:t>
            </w:r>
          </w:p>
        </w:tc>
      </w:tr>
      <w:tr>
        <w:trPr/>
        <w:tc>
          <w:tcPr>
            <w:tcW w:w="418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(22,053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(218,745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35,505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(215,949</w:t>
            </w:r>
          </w:p>
        </w:tc>
        <w:tc>
          <w:tcPr>
            <w:tcW w:w="116" w:type="dxa"/>
            <w:tcBorders/>
            <w:shd w:fill="CCEEFF" w:val="clear"/>
            <w:vAlign w:val="center"/>
          </w:tcPr>
          <w:p>
            <w:pPr>
              <w:pStyle w:val="TableContents"/>
              <w:bidi w:val="0"/>
              <w:spacing w:before="0" w:after="283"/>
              <w:jc w:val="left"/>
              <w:rPr/>
            </w:pPr>
            <w:r>
              <w:rPr/>
              <w:t>)</w:t>
            </w:r>
          </w:p>
        </w:tc>
      </w:tr>
      <w:tr>
        <w:trPr/>
        <w:tc>
          <w:tcPr>
            <w:tcW w:w="4185"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691,730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404,516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1,082,890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714,110</w:t>
            </w:r>
          </w:p>
        </w:tc>
        <w:tc>
          <w:tcPr>
            <w:tcW w:w="116" w:type="dxa"/>
            <w:tcBorders/>
            <w:shd w:fill="FFFFFF" w:val="clear"/>
            <w:vAlign w:val="center"/>
          </w:tcPr>
          <w:p>
            <w:pPr>
              <w:pStyle w:val="TableContents"/>
              <w:bidi w:val="0"/>
              <w:spacing w:before="0" w:after="283"/>
              <w:jc w:val="left"/>
              <w:rPr/>
            </w:pPr>
            <w:r>
              <w:rPr/>
              <w:t> </w:t>
            </w:r>
          </w:p>
        </w:tc>
      </w:tr>
      <w:tr>
        <w:trPr/>
        <w:tc>
          <w:tcPr>
            <w:tcW w:w="4185" w:type="dxa"/>
            <w:tcBorders/>
            <w:shd w:fill="CCEEFF" w:val="clear"/>
            <w:vAlign w:val="center"/>
          </w:tcPr>
          <w:p>
            <w:pPr>
              <w:pStyle w:val="TableContents"/>
              <w:bidi w:val="0"/>
              <w:spacing w:before="0" w:after="283"/>
              <w:jc w:val="left"/>
              <w:rPr>
                <w:b/>
              </w:rPr>
            </w:pPr>
            <w:r>
              <w:rPr>
                <w:b/>
              </w:rPr>
              <w:t>Net Investment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b/>
              </w:rPr>
            </w:pPr>
            <w:r>
              <w:rPr>
                <w:b/>
              </w:rPr>
              <w:t>$</w:t>
            </w:r>
          </w:p>
        </w:tc>
        <w:tc>
          <w:tcPr>
            <w:tcW w:w="1261" w:type="dxa"/>
            <w:tcBorders/>
            <w:shd w:fill="CCEEFF" w:val="clear"/>
            <w:vAlign w:val="center"/>
          </w:tcPr>
          <w:p>
            <w:pPr>
              <w:pStyle w:val="TableContents"/>
              <w:bidi w:val="0"/>
              <w:spacing w:before="0" w:after="283"/>
              <w:jc w:val="right"/>
              <w:rPr>
                <w:b/>
              </w:rPr>
            </w:pPr>
            <w:r>
              <w:rPr>
                <w:b/>
              </w:rPr>
              <w:t>(23,354,684</w:t>
            </w:r>
          </w:p>
        </w:tc>
        <w:tc>
          <w:tcPr>
            <w:tcW w:w="101"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b/>
              </w:rPr>
            </w:pPr>
            <w:r>
              <w:rPr>
                <w:b/>
              </w:rPr>
              <w:t>$</w:t>
            </w:r>
          </w:p>
        </w:tc>
        <w:tc>
          <w:tcPr>
            <w:tcW w:w="1180" w:type="dxa"/>
            <w:tcBorders/>
            <w:shd w:fill="CCEEFF" w:val="clear"/>
            <w:vAlign w:val="center"/>
          </w:tcPr>
          <w:p>
            <w:pPr>
              <w:pStyle w:val="TableContents"/>
              <w:bidi w:val="0"/>
              <w:spacing w:before="0" w:after="283"/>
              <w:jc w:val="right"/>
              <w:rPr>
                <w:b/>
              </w:rPr>
            </w:pPr>
            <w:r>
              <w:rPr>
                <w:b/>
              </w:rPr>
              <w:t>(3,722,160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1234" w:type="dxa"/>
            <w:tcBorders/>
            <w:shd w:fill="CCEEFF" w:val="clear"/>
            <w:vAlign w:val="center"/>
          </w:tcPr>
          <w:p>
            <w:pPr>
              <w:pStyle w:val="TableContents"/>
              <w:bidi w:val="0"/>
              <w:spacing w:before="0" w:after="283"/>
              <w:jc w:val="right"/>
              <w:rPr>
                <w:b/>
              </w:rPr>
            </w:pPr>
            <w:r>
              <w:rPr>
                <w:b/>
              </w:rPr>
              <w:t>(27,333,176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1112" w:type="dxa"/>
            <w:tcBorders/>
            <w:shd w:fill="CCEEFF" w:val="clear"/>
            <w:vAlign w:val="center"/>
          </w:tcPr>
          <w:p>
            <w:pPr>
              <w:pStyle w:val="TableContents"/>
              <w:bidi w:val="0"/>
              <w:spacing w:before="0" w:after="283"/>
              <w:jc w:val="right"/>
              <w:rPr>
                <w:b/>
              </w:rPr>
            </w:pPr>
            <w:r>
              <w:rPr>
                <w:b/>
              </w:rPr>
              <w:t>(7,383,929</w:t>
            </w:r>
          </w:p>
        </w:tc>
        <w:tc>
          <w:tcPr>
            <w:tcW w:w="116" w:type="dxa"/>
            <w:tcBorders/>
            <w:shd w:fill="CCEEFF" w:val="clear"/>
            <w:vAlign w:val="center"/>
          </w:tcPr>
          <w:p>
            <w:pPr>
              <w:pStyle w:val="TableContents"/>
              <w:bidi w:val="0"/>
              <w:spacing w:before="0" w:after="283"/>
              <w:jc w:val="left"/>
              <w:rPr>
                <w:b/>
              </w:rPr>
            </w:pPr>
            <w:r>
              <w:rPr>
                <w:b/>
              </w:rPr>
              <w:t>)</w:t>
            </w:r>
          </w:p>
        </w:tc>
      </w:tr>
      <w:tr>
        <w:trPr/>
        <w:tc>
          <w:tcPr>
            <w:tcW w:w="4185" w:type="dxa"/>
            <w:tcBorders/>
            <w:shd w:fill="FFFFFF" w:val="clear"/>
            <w:vAlign w:val="center"/>
          </w:tcPr>
          <w:p>
            <w:pPr>
              <w:pStyle w:val="TableContents"/>
              <w:bidi w:val="0"/>
              <w:spacing w:before="0" w:after="283"/>
              <w:jc w:val="left"/>
              <w:rPr/>
            </w:pPr>
            <w:r>
              <w:rPr/>
              <w:t>Net realized gain on investments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5,049,520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21,212,611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5,940,033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21,194,660</w:t>
            </w:r>
          </w:p>
        </w:tc>
        <w:tc>
          <w:tcPr>
            <w:tcW w:w="116" w:type="dxa"/>
            <w:tcBorders/>
            <w:shd w:fill="FFFFFF" w:val="clear"/>
            <w:vAlign w:val="center"/>
          </w:tcPr>
          <w:p>
            <w:pPr>
              <w:pStyle w:val="TableContents"/>
              <w:bidi w:val="0"/>
              <w:spacing w:before="0" w:after="283"/>
              <w:jc w:val="left"/>
              <w:rPr/>
            </w:pPr>
            <w:r>
              <w:rPr/>
              <w:t> </w:t>
            </w:r>
          </w:p>
        </w:tc>
      </w:tr>
      <w:tr>
        <w:trPr/>
        <w:tc>
          <w:tcPr>
            <w:tcW w:w="4185" w:type="dxa"/>
            <w:tcBorders/>
            <w:shd w:fill="CCEEFF" w:val="clear"/>
            <w:vAlign w:val="center"/>
          </w:tcPr>
          <w:p>
            <w:pPr>
              <w:pStyle w:val="TableContents"/>
              <w:bidi w:val="0"/>
              <w:spacing w:before="0" w:after="283"/>
              <w:jc w:val="left"/>
              <w:rPr/>
            </w:pPr>
            <w:r>
              <w:rPr/>
              <w:t>Realized loss on partial repurchase of 6.00% Notes due December 30, 2026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(15,873</w:t>
            </w:r>
          </w:p>
        </w:tc>
        <w:tc>
          <w:tcPr>
            <w:tcW w:w="116" w:type="dxa"/>
            <w:tcBorders/>
            <w:shd w:fill="CCEEFF" w:val="clear"/>
            <w:vAlign w:val="center"/>
          </w:tcPr>
          <w:p>
            <w:pPr>
              <w:pStyle w:val="TableContents"/>
              <w:bidi w:val="0"/>
              <w:spacing w:before="0" w:after="283"/>
              <w:jc w:val="left"/>
              <w:rPr/>
            </w:pPr>
            <w:r>
              <w:rPr/>
              <w:t>)</w:t>
            </w:r>
          </w:p>
        </w:tc>
      </w:tr>
      <w:tr>
        <w:trPr/>
        <w:tc>
          <w:tcPr>
            <w:tcW w:w="4185" w:type="dxa"/>
            <w:tcBorders/>
            <w:shd w:fill="FFFFFF" w:val="clear"/>
            <w:vAlign w:val="center"/>
          </w:tcPr>
          <w:p>
            <w:pPr>
              <w:pStyle w:val="TableContents"/>
              <w:bidi w:val="0"/>
              <w:spacing w:before="0" w:after="283"/>
              <w:jc w:val="left"/>
              <w:rPr/>
            </w:pPr>
            <w:r>
              <w:rPr/>
              <w:t>Net change in unrealized appreciation/(depreciation) of investments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(398,509</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44,837,619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158,325,530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47,726,497</w:t>
            </w:r>
          </w:p>
        </w:tc>
        <w:tc>
          <w:tcPr>
            <w:tcW w:w="116" w:type="dxa"/>
            <w:tcBorders/>
            <w:shd w:fill="FFFFFF" w:val="clear"/>
            <w:vAlign w:val="center"/>
          </w:tcPr>
          <w:p>
            <w:pPr>
              <w:pStyle w:val="TableContents"/>
              <w:bidi w:val="0"/>
              <w:spacing w:before="0" w:after="283"/>
              <w:jc w:val="left"/>
              <w:rPr/>
            </w:pPr>
            <w:r>
              <w:rPr/>
              <w:t> </w:t>
            </w:r>
          </w:p>
        </w:tc>
      </w:tr>
      <w:tr>
        <w:trPr/>
        <w:tc>
          <w:tcPr>
            <w:tcW w:w="4185" w:type="dxa"/>
            <w:tcBorders/>
            <w:shd w:fill="CCEEFF" w:val="clear"/>
            <w:vAlign w:val="center"/>
          </w:tcPr>
          <w:p>
            <w:pPr>
              <w:pStyle w:val="TableContents"/>
              <w:bidi w:val="0"/>
              <w:spacing w:before="0" w:after="283"/>
              <w:jc w:val="left"/>
              <w:rPr>
                <w:b/>
              </w:rPr>
            </w:pPr>
            <w:r>
              <w:rPr>
                <w:b/>
              </w:rPr>
              <w:t>Net Change in Net Assets Resulting from Operations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b/>
              </w:rPr>
            </w:pPr>
            <w:r>
              <w:rPr>
                <w:b/>
              </w:rPr>
              <w:t>$</w:t>
            </w:r>
          </w:p>
        </w:tc>
        <w:tc>
          <w:tcPr>
            <w:tcW w:w="1261" w:type="dxa"/>
            <w:tcBorders/>
            <w:shd w:fill="CCEEFF" w:val="clear"/>
            <w:vAlign w:val="center"/>
          </w:tcPr>
          <w:p>
            <w:pPr>
              <w:pStyle w:val="TableContents"/>
              <w:bidi w:val="0"/>
              <w:spacing w:before="0" w:after="283"/>
              <w:jc w:val="right"/>
              <w:rPr>
                <w:b/>
              </w:rPr>
            </w:pPr>
            <w:r>
              <w:rPr>
                <w:b/>
              </w:rPr>
              <w:t>(18,703,673</w:t>
            </w:r>
          </w:p>
        </w:tc>
        <w:tc>
          <w:tcPr>
            <w:tcW w:w="101"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b/>
              </w:rPr>
            </w:pPr>
            <w:r>
              <w:rPr>
                <w:b/>
              </w:rPr>
              <w:t>$</w:t>
            </w:r>
          </w:p>
        </w:tc>
        <w:tc>
          <w:tcPr>
            <w:tcW w:w="1180" w:type="dxa"/>
            <w:tcBorders/>
            <w:shd w:fill="CCEEFF" w:val="clear"/>
            <w:vAlign w:val="center"/>
          </w:tcPr>
          <w:p>
            <w:pPr>
              <w:pStyle w:val="TableContents"/>
              <w:bidi w:val="0"/>
              <w:spacing w:before="0" w:after="283"/>
              <w:jc w:val="right"/>
              <w:rPr>
                <w:b/>
              </w:rPr>
            </w:pPr>
            <w:r>
              <w:rPr>
                <w:b/>
              </w:rPr>
              <w:t>62,328,070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1234" w:type="dxa"/>
            <w:tcBorders/>
            <w:shd w:fill="CCEEFF" w:val="clear"/>
            <w:vAlign w:val="center"/>
          </w:tcPr>
          <w:p>
            <w:pPr>
              <w:pStyle w:val="TableContents"/>
              <w:bidi w:val="0"/>
              <w:spacing w:before="0" w:after="283"/>
              <w:jc w:val="right"/>
              <w:rPr>
                <w:b/>
              </w:rPr>
            </w:pPr>
            <w:r>
              <w:rPr>
                <w:b/>
              </w:rPr>
              <w:t>136,932,387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1112" w:type="dxa"/>
            <w:tcBorders/>
            <w:shd w:fill="CCEEFF" w:val="clear"/>
            <w:vAlign w:val="center"/>
          </w:tcPr>
          <w:p>
            <w:pPr>
              <w:pStyle w:val="TableContents"/>
              <w:bidi w:val="0"/>
              <w:spacing w:before="0" w:after="283"/>
              <w:jc w:val="right"/>
              <w:rPr>
                <w:b/>
              </w:rPr>
            </w:pPr>
            <w:r>
              <w:rPr>
                <w:b/>
              </w:rPr>
              <w:t>61,521,355</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increased to $299,650 for the three months ended June 30, 2026 from $167,304 for the three months ended June 30, 2025. The net increase between periods was primarily due to an increase in interest income received on cash and an increase in interest accruals on our investment in the Supplying Demand, Inc. (d/b/a Liquid Death)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increased to $1,031,613 for the six months ended June 30, 2026 from $666,398 for the six months ended June 30, 2025. The net increase between periods was primarily due to an increase in interest income received on cash and an increase in interest accruals on our investment in the Supplying Demand, Inc. (d/b/a Liquid Death)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to $23,654,334 for the three months ended June 30, 2026 from $3,889,464 for the three months ended June 30, 2025. The increase in operating expenses was primarily due to an increase in compensation expense associated with the Externalization, including the acceleration of stock-based compensation expense and tax obligations associated with the vesting of equity awards. The increase was also attributable to higher professional fees, directors’ fees, and other expenses, partially offset by a decrease in interest expense during the three months ended June 30, 2026, relative to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to $28,364,789 for the six months ended June 30, 2026 from $8,050,327 for the six months ended June 30, 2025. The increase in operating expenses was primarily due to an increase in compensation expense associated with the Externalization, including the acceleration of stock-based compensation expense and tax obligations associated with the vesting of equity awards. The increase was also attributable to higher professional fees, directors’ fees, and other expenses, partially offset by a decrease in interest expense during the six months ended June 30, 2026, relative to the six months ended June 30, 2025.</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recognized a net investment loss of $23,354,684, compared to a net investment loss of $3,722,160 for the three months ended June 30, 2025. The change between periods resulted from an increase in operating expenses, partially offset by an increase in total investment income, during the three months ended June 30, 2026, relative to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recognized a net investment loss of $27,333,176, compared to a net investment loss of $7,383,929 for the six months ended June 30, 2025. The change between periods resulted from an increase in operating expenses, partially offset by an increase in total investment income, during the six months ended June 30, 2026, relative to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Realized Gain/Loss on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recognized a net realized gain on our investments of $5,049,520, compared to a net realized gain of $21,212,611 for the three months ended June 30, 2025. The components of our net realized gains or losses on portfolio investments for the three months ended June 30, 2026 and 2025, excluding short-term U.S. Treasury bills, are reflected in the tables above, under “—Portfolio and Investment Activity.”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recognized a net realized gain on our investments of $5,940,033, compared to a net realized gain of $21,194,660 for the six months ended June 30, 2025. The components of our net realized gains or losses on portfolio investments for the six months ended June 30, 2026 and 2025, excluding short-term U.S. Treasury bills and fluctuations in escrow receivables estimates, are reflected in the tables above, under “—Portfolio and Investment Activity.”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Change in Unrealized Appreciation/(Depreciation) of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had a net change in unrealized appreciation/(depreciation) of $(398,509). For the three months ended June 30, 2025, we had a net change in unrealized appreciation/(depreciation) of $44,837,619. The following table summarizes, by portfolio company, the significant changes in unrealized appreciation/(depreciation) of our investment portfolio for the three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9253" w:type="dxa"/>
        <w:jc w:val="left"/>
        <w:tblInd w:w="0" w:type="dxa"/>
        <w:tblLayout w:type="fixed"/>
        <w:tblCellMar>
          <w:top w:w="0" w:type="dxa"/>
          <w:left w:w="0" w:type="dxa"/>
          <w:bottom w:w="28" w:type="dxa"/>
          <w:right w:w="0" w:type="dxa"/>
        </w:tblCellMar>
      </w:tblPr>
      <w:tblGrid>
        <w:gridCol w:w="2930"/>
        <w:gridCol w:w="60"/>
        <w:gridCol w:w="228"/>
        <w:gridCol w:w="1666"/>
        <w:gridCol w:w="80"/>
        <w:gridCol w:w="60"/>
        <w:gridCol w:w="2180"/>
        <w:gridCol w:w="60"/>
        <w:gridCol w:w="219"/>
        <w:gridCol w:w="1675"/>
        <w:gridCol w:w="95"/>
      </w:tblGrid>
      <w:tr>
        <w:trPr/>
        <w:tc>
          <w:tcPr>
            <w:tcW w:w="29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Appreciation/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Appreciation/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StormWind,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1,531,621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28,595,524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1,329,206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Colombier Sponsor II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10,086,976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IH10,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1,161,652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CoreWeave, Inc.</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2,999,023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Digital Assets Inc.</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1,060,194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Canva,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2,402,950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Neutron Holdings, Inc. (d/b/a Lime)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(1,581,681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Whoop,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2,392,797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Health,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(3,888,122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FourKites,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1,513,796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Locus Robotics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1,434,323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Health,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(2,147,015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ServiceTitan, Inc.</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(3,393,618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952,863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6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(398,509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7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44,837,619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unrealized appreciation/(depreciation) reflected for these investments resulted from the full or partial exit of the investment, which resulted in the reversal of previously accrued unrealized appreciation/(depreciation), as applicable.</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Other” represents investments for which individual changes in unrealized appreciation/(depreciation) was less than $1.0 million for the three months ended June 30, 2026 and 2025.</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had a net change in unrealized appreciation/(depreciation) of $158,325,530. For the six months ended June 30, 2025, we had a net change in unrealized appreciation/(depreciation) of $47,726,497. The following table summarizes, by portfolio company, the significant changes in unrealized appreciation/(depreciation) of our investment portfolio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82"/>
        <w:gridCol w:w="60"/>
        <w:gridCol w:w="194"/>
        <w:gridCol w:w="1651"/>
        <w:gridCol w:w="80"/>
        <w:gridCol w:w="60"/>
        <w:gridCol w:w="3077"/>
        <w:gridCol w:w="60"/>
        <w:gridCol w:w="213"/>
        <w:gridCol w:w="1632"/>
        <w:gridCol w:w="96"/>
      </w:tblGrid>
      <w:tr>
        <w:trPr/>
        <w:tc>
          <w:tcPr>
            <w:tcW w:w="308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Change in </w:t>
              <w:br/>
              <w:t>Unrealized</w:t>
              <w:br/>
              <w:t>Appreciation/</w:t>
              <w:br/>
              <w:t xml:space="preserve">(Depreciation) For the </w:t>
              <w:br/>
              <w:t>Six Months Ended</w:t>
              <w:br/>
              <w:t>June 30,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Change in </w:t>
              <w:br/>
              <w:t>Unrealized</w:t>
              <w:br/>
              <w:t>Appreciation/</w:t>
              <w:br/>
              <w:t xml:space="preserve">(Depreciation) For the </w:t>
              <w:br/>
              <w:t>Six Months Ended</w:t>
              <w:br/>
              <w:t>June 30, 2025</w:t>
            </w:r>
          </w:p>
        </w:tc>
        <w:tc>
          <w:tcPr>
            <w:tcW w:w="9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Whoop,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122,409,743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23,101,890</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IH10,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21,868,252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Colombier Sponsor II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18,697,452</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Type One Deep Ventures Fund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17,090,472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Type One Deep Ventures Fund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10,121,217</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EDGE Markets,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2,701,961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Whoop,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7,814,651</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2,539,286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Shogun Enterprises, Inc. (d/b/a Hearth)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1,472,377</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Digital Assets Inc.</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2,281,058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Canva,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1,242,894</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Plaid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1,922,805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PSQ Holdings, Inc. (d/b/a PublicSquare)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(1,059,662</w:t>
            </w:r>
          </w:p>
        </w:tc>
        <w:tc>
          <w:tcPr>
            <w:tcW w:w="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Aventine Property Group,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(1,156,282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Learneo, Inc. (f/k/a Course Hero,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(1,512,785</w:t>
            </w:r>
          </w:p>
        </w:tc>
        <w:tc>
          <w:tcPr>
            <w:tcW w:w="9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GrabAGun Digital Holdings Inc.</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(1,565,397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FourKites,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(3,122,821</w:t>
            </w:r>
          </w:p>
        </w:tc>
        <w:tc>
          <w:tcPr>
            <w:tcW w:w="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FourKites,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(2,247,320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ServiceTitan, Inc.</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(4,019,480</w:t>
            </w:r>
          </w:p>
        </w:tc>
        <w:tc>
          <w:tcPr>
            <w:tcW w:w="9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Neutron Holdings, Inc. (d/b/a Lime)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(2,881,175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Health,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(4,028,046</w:t>
            </w:r>
          </w:p>
        </w:tc>
        <w:tc>
          <w:tcPr>
            <w:tcW w:w="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Health,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(3,888,122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(749,751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(981,190</w:t>
            </w:r>
          </w:p>
        </w:tc>
        <w:tc>
          <w:tcPr>
            <w:tcW w:w="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2"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5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158,325,530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7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3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47,726,497</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unrealized appreciation/(depreciation) reflected for these investments resulted from the full or partial exit of the investment, which resulted in the reversal of previously accrued unrealized appreciation/(depreciation), as applicable.</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Other” represents investments for which individual changes in unrealized appreciation/(depreciation) was less than $1.0 million for the six months ended June 30, 2026 and 2025.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capital resources are generated primarily from the sales of our investments, recent private convertible debt issuances, and the net proceeds from public offerings of our equity and debt securities, including pursuant to our continuous at-the-market offering of shares of our common stock as discussed below under “Equity Issuances and Debt Capital Activities—At-the-Market Offering”. On December 17, 2021, we issued $75.0 million aggregate principal amount of our 6.00% Notes due 2026 (the “6.00% Notes due 2026”), of which $35.8 million remain outstanding as of June 30, 2026. In addition, on August 14, 2024, we issued $25.0 million in aggregate principal amount of 6.50% Convertible Notes due 2029, and on October 9, 2024 and January 16, 2025, we issued $5.0 million and $5.0 million, respectively, in aggregate principal amount of the Additional Notes (as defined below). On July 30, 2026, we filed a shelf registration statement on Form N-2 with the SEC covering up to $500.0 million of our common stock, preferred stock, subscription rights, debt securities and warrants, which had not been declared effective as of the date of this quarterly report. For additional information, see “Equity Issuances and Debt Capital Activities—6.50% Convertible Notes due 2029” and “Equity Issuances and Debt Capital Activities—Shelf Registration Statement” below and “Note 10—Debt Capital Activities” and “Note 12—Subsequent Events” to our Condensed Consolidated Financial Statements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are to make investments, pay our operating expenses, and make distributions to our stockholders. For the six months ended June 30, 2026 and 2025 our operating expenses, including interest payments on our debt obligations, were $28,364,789 and $8,050,327,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$35.8 million in aggregate principal of our 6.00% Notes due 2026 remained outstanding, with a maturity date of December 30, 2026. We have the right to redeem the 6.00% Notes due 2026, in whole or in part, at any time at a redemption price of 100% of the outstanding principal amount plus accrued and unpaid interest. We may also continue to repurchase the 6.00% Notes due 2026 in the open market under the Note Repurchase Program, which was extended by our Board of Directors on October 29, 2025 and authorizes us to repurchase up to the remaining aggregate principal amount of the 6.00% Notes due 2026. We expect to satisfy our repayment obligation at maturity through a combination of available cash and proceeds from the sale of portfolio investments, and we may also consider refinancing alternatives, including the issuance of new debt securities, the sale of portfolio investments, or the issuance of equity under the ATM Program (under which approximately $87.9 million in aggregate amount of shares remained available for sale as of June 30, 2026), in each case subject to the effectiveness of our shelf registration statement on Form N-2 filed on July 30, 2026. Any refinancing involving the incurrence of new indebtedness would require five business days’ prior written notice to the holder of our 6.50% Convertible Notes due 2029 pursuant to the Notes Purchase Agreement. As of June 30, 2026, we held approximately $12.9 million in cash and approximately $1.7 million of unrestricted securities of publicly traded portfolio companies that could provide an additional source of liquidity. We will continue to evaluate our overall liquidity position and may take additional proactive steps, including the potential early redemption or open-market repurchase of some or all of the outstanding 6.00% Notes due 2026, to manage this near-term maturity.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tbl>
      <w:tblPr>
        <w:tblW w:w="8293" w:type="dxa"/>
        <w:jc w:val="left"/>
        <w:tblInd w:w="0" w:type="dxa"/>
        <w:tblLayout w:type="fixed"/>
        <w:tblCellMar>
          <w:top w:w="0" w:type="dxa"/>
          <w:left w:w="0" w:type="dxa"/>
          <w:bottom w:w="28" w:type="dxa"/>
          <w:right w:w="0" w:type="dxa"/>
        </w:tblCellMar>
      </w:tblPr>
      <w:tblGrid>
        <w:gridCol w:w="4670"/>
        <w:gridCol w:w="60"/>
        <w:gridCol w:w="159"/>
        <w:gridCol w:w="1255"/>
        <w:gridCol w:w="60"/>
        <w:gridCol w:w="60"/>
        <w:gridCol w:w="220"/>
        <w:gridCol w:w="1734"/>
        <w:gridCol w:w="75"/>
      </w:tblGrid>
      <w:tr>
        <w:trPr/>
        <w:tc>
          <w:tcPr>
            <w:tcW w:w="4670" w:type="dxa"/>
            <w:tcBorders>
              <w:bottom w:val="single" w:sz="8" w:space="0" w:color="000000"/>
            </w:tcBorders>
            <w:vAlign w:val="center"/>
          </w:tcPr>
          <w:p>
            <w:pPr>
              <w:pStyle w:val="TableContents"/>
              <w:bidi w:val="0"/>
              <w:spacing w:before="0" w:after="283"/>
              <w:jc w:val="left"/>
              <w:rPr>
                <w:b/>
              </w:rPr>
            </w:pPr>
            <w:r>
              <w:rPr>
                <w:b/>
              </w:rPr>
              <w:t>Cash Reserves and Liquid Securities</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283"/>
              <w:jc w:val="left"/>
              <w:rPr/>
            </w:pPr>
            <w:r>
              <w:rPr/>
              <w:t>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255" w:type="dxa"/>
            <w:tcBorders/>
            <w:shd w:fill="CCEEFF" w:val="clear"/>
            <w:tcMar>
              <w:bottom w:w="0" w:type="dxa"/>
            </w:tcMar>
            <w:vAlign w:val="center"/>
          </w:tcPr>
          <w:p>
            <w:pPr>
              <w:pStyle w:val="TableContents"/>
              <w:bidi w:val="0"/>
              <w:spacing w:before="0" w:after="283"/>
              <w:jc w:val="right"/>
              <w:rPr/>
            </w:pPr>
            <w:r>
              <w:rPr/>
              <w:t>12,940,740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w:t>
            </w:r>
          </w:p>
        </w:tc>
        <w:tc>
          <w:tcPr>
            <w:tcW w:w="1734" w:type="dxa"/>
            <w:tcBorders/>
            <w:shd w:fill="CCEEFF" w:val="clear"/>
            <w:tcMar>
              <w:bottom w:w="0" w:type="dxa"/>
            </w:tcMar>
            <w:vAlign w:val="center"/>
          </w:tcPr>
          <w:p>
            <w:pPr>
              <w:pStyle w:val="TableContents"/>
              <w:bidi w:val="0"/>
              <w:spacing w:before="0" w:after="283"/>
              <w:jc w:val="right"/>
              <w:rPr/>
            </w:pPr>
            <w:r>
              <w:rPr/>
              <w:t>49,034,154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734" w:type="dxa"/>
            <w:tcBorders/>
            <w:shd w:fill="FFFFFF" w:val="clear"/>
            <w:tcMar>
              <w:bottom w:w="0" w:type="dxa"/>
            </w:tcMar>
            <w:vAlign w:val="center"/>
          </w:tcPr>
          <w:p>
            <w:pPr>
              <w:pStyle w:val="TableContents"/>
              <w:bidi w:val="0"/>
              <w:spacing w:before="0" w:after="283"/>
              <w:jc w:val="right"/>
              <w:rPr/>
            </w:pPr>
            <w:r>
              <w:rPr/>
              <w:t>38,741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283"/>
              <w:jc w:val="left"/>
              <w:rPr/>
            </w:pPr>
            <w:r>
              <w:rPr/>
              <w:t>Securities of publicly traded portfolio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73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Unrestricted securities</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5" w:type="dxa"/>
            <w:tcBorders/>
            <w:shd w:fill="FFFFFF" w:val="clear"/>
            <w:tcMar>
              <w:bottom w:w="0" w:type="dxa"/>
            </w:tcMar>
            <w:vAlign w:val="center"/>
          </w:tcPr>
          <w:p>
            <w:pPr>
              <w:pStyle w:val="TableContents"/>
              <w:bidi w:val="0"/>
              <w:spacing w:before="0" w:after="283"/>
              <w:jc w:val="right"/>
              <w:rPr/>
            </w:pPr>
            <w:r>
              <w:rPr/>
              <w:t>1,719,456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734" w:type="dxa"/>
            <w:tcBorders/>
            <w:shd w:fill="FFFFFF" w:val="clear"/>
            <w:tcMar>
              <w:bottom w:w="0" w:type="dxa"/>
            </w:tcMar>
            <w:vAlign w:val="center"/>
          </w:tcPr>
          <w:p>
            <w:pPr>
              <w:pStyle w:val="TableContents"/>
              <w:bidi w:val="0"/>
              <w:spacing w:before="0" w:after="283"/>
              <w:jc w:val="right"/>
              <w:rPr/>
            </w:pPr>
            <w:r>
              <w:rPr/>
              <w:t>1,078,863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Subject to other sales restrictions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125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bottom w:val="single" w:sz="8" w:space="0" w:color="000000"/>
            </w:tcBorders>
            <w:shd w:fill="CCEEFF" w:val="clear"/>
            <w:vAlign w:val="center"/>
          </w:tcPr>
          <w:p>
            <w:pPr>
              <w:pStyle w:val="TableContents"/>
              <w:bidi w:val="0"/>
              <w:spacing w:before="0" w:after="283"/>
              <w:jc w:val="left"/>
              <w:rPr/>
            </w:pPr>
            <w:r>
              <w:rPr/>
              <w:t> </w:t>
            </w:r>
          </w:p>
        </w:tc>
        <w:tc>
          <w:tcPr>
            <w:tcW w:w="1734" w:type="dxa"/>
            <w:tcBorders>
              <w:bottom w:val="single" w:sz="8" w:space="0" w:color="000000"/>
            </w:tcBorders>
            <w:shd w:fill="CCEEFF" w:val="clear"/>
            <w:vAlign w:val="center"/>
          </w:tcPr>
          <w:p>
            <w:pPr>
              <w:pStyle w:val="TableContents"/>
              <w:bidi w:val="0"/>
              <w:spacing w:before="0" w:after="283"/>
              <w:jc w:val="right"/>
              <w:rPr/>
            </w:pPr>
            <w:r>
              <w:rPr/>
              <w:t>3,130,400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283"/>
              <w:jc w:val="left"/>
              <w:rPr/>
            </w:pPr>
            <w:r>
              <w:rPr/>
              <w:t>Securities of publicly traded portfolio companies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pPr>
            <w:r>
              <w:rPr/>
              <w:t> </w:t>
            </w:r>
          </w:p>
        </w:tc>
        <w:tc>
          <w:tcPr>
            <w:tcW w:w="1255" w:type="dxa"/>
            <w:tcBorders>
              <w:bottom w:val="single" w:sz="8" w:space="0" w:color="000000"/>
            </w:tcBorders>
            <w:shd w:fill="FFFFFF" w:val="clear"/>
            <w:vAlign w:val="center"/>
          </w:tcPr>
          <w:p>
            <w:pPr>
              <w:pStyle w:val="TableContents"/>
              <w:bidi w:val="0"/>
              <w:spacing w:before="0" w:after="283"/>
              <w:jc w:val="right"/>
              <w:rPr/>
            </w:pPr>
            <w:r>
              <w:rPr/>
              <w:t>1,719,456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bottom w:val="single" w:sz="8" w:space="0" w:color="000000"/>
            </w:tcBorders>
            <w:shd w:fill="FFFFFF" w:val="clear"/>
            <w:vAlign w:val="center"/>
          </w:tcPr>
          <w:p>
            <w:pPr>
              <w:pStyle w:val="TableContents"/>
              <w:bidi w:val="0"/>
              <w:spacing w:before="0" w:after="283"/>
              <w:jc w:val="left"/>
              <w:rPr/>
            </w:pPr>
            <w:r>
              <w:rPr/>
              <w:t> </w:t>
            </w:r>
          </w:p>
        </w:tc>
        <w:tc>
          <w:tcPr>
            <w:tcW w:w="1734" w:type="dxa"/>
            <w:tcBorders>
              <w:bottom w:val="single" w:sz="8" w:space="0" w:color="000000"/>
            </w:tcBorders>
            <w:shd w:fill="FFFFFF" w:val="clear"/>
            <w:vAlign w:val="center"/>
          </w:tcPr>
          <w:p>
            <w:pPr>
              <w:pStyle w:val="TableContents"/>
              <w:bidi w:val="0"/>
              <w:spacing w:before="0" w:after="283"/>
              <w:jc w:val="right"/>
              <w:rPr/>
            </w:pPr>
            <w:r>
              <w:rPr/>
              <w:t>4,209,263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283"/>
              <w:jc w:val="left"/>
              <w:rPr>
                <w:b/>
              </w:rPr>
            </w:pPr>
            <w:r>
              <w:rPr>
                <w:b/>
              </w:rPr>
              <w:t>Total Cash Reserves and Liquid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CCEEFF" w:val="clear"/>
            <w:vAlign w:val="center"/>
          </w:tcPr>
          <w:p>
            <w:pPr>
              <w:pStyle w:val="TableContents"/>
              <w:bidi w:val="0"/>
              <w:spacing w:before="0" w:after="283"/>
              <w:jc w:val="left"/>
              <w:rPr/>
            </w:pPr>
            <w:r>
              <w:rPr/>
              <w:t>$</w:t>
            </w:r>
          </w:p>
        </w:tc>
        <w:tc>
          <w:tcPr>
            <w:tcW w:w="1255" w:type="dxa"/>
            <w:tcBorders>
              <w:bottom w:val="double" w:sz="6" w:space="0" w:color="000000"/>
            </w:tcBorders>
            <w:shd w:fill="CCEEFF" w:val="clear"/>
            <w:vAlign w:val="center"/>
          </w:tcPr>
          <w:p>
            <w:pPr>
              <w:pStyle w:val="TableContents"/>
              <w:bidi w:val="0"/>
              <w:spacing w:before="0" w:after="283"/>
              <w:jc w:val="right"/>
              <w:rPr/>
            </w:pPr>
            <w:r>
              <w:rPr/>
              <w:t>14,660,196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bottom w:val="double" w:sz="6" w:space="0" w:color="000000"/>
            </w:tcBorders>
            <w:shd w:fill="CCEEFF" w:val="clear"/>
            <w:vAlign w:val="center"/>
          </w:tcPr>
          <w:p>
            <w:pPr>
              <w:pStyle w:val="TableContents"/>
              <w:bidi w:val="0"/>
              <w:spacing w:before="0" w:after="283"/>
              <w:jc w:val="left"/>
              <w:rPr/>
            </w:pPr>
            <w:r>
              <w:rPr/>
              <w:t>$</w:t>
            </w:r>
          </w:p>
        </w:tc>
        <w:tc>
          <w:tcPr>
            <w:tcW w:w="1734" w:type="dxa"/>
            <w:tcBorders>
              <w:bottom w:val="double" w:sz="6" w:space="0" w:color="000000"/>
            </w:tcBorders>
            <w:shd w:fill="CCEEFF" w:val="clear"/>
            <w:vAlign w:val="center"/>
          </w:tcPr>
          <w:p>
            <w:pPr>
              <w:pStyle w:val="TableContents"/>
              <w:bidi w:val="0"/>
              <w:spacing w:before="0" w:after="283"/>
              <w:jc w:val="right"/>
              <w:rPr/>
            </w:pPr>
            <w:r>
              <w:rPr/>
              <w:t>53,282,158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consists of amounts that are held in a separate account and are subject to specific contractual restrictions that limit their availability for general corporate use.</w:t>
            </w:r>
          </w:p>
        </w:tc>
      </w:tr>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Unrestricted securities” represents common stock and warrants of our publicly traded portfolio companies that are not currently subject to any restrictions upon sale. We may incur losses.</w:t>
            </w:r>
          </w:p>
        </w:tc>
      </w:tr>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publicly traded portfolio companies “subject to other sales restrictions” represents common stock of our publicly traded portfolio companies that are currently subject to certain lock-up restrictions.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in connection with the Externalization, we issued a $20.0 million redeemable promissory note to MCP Investing LLC, an affiliate of Magnetar, bearing interest at 6.50% per annum, payable semi-annually in cash, and maturing in 2029, pursuant to a Securities Purchase Agreement dated June 26, 2026. Following the Externalization, our operating expenses will include the base management fee and incentive fee payable to the Adviser and expense reimbursements payable to the Administrator, which will increase our expenses relative to the periods presented. See “Note 12—Subsequent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cash decreased to $12,940,740 from $49,034,154 at the beginning of the year. The decrease in cash was primarily due to the purchase of new investments, payment of our operating expenses, including payment of compensation and payroll taxes related to the anticipated Externalization, and payment of interest on the 6.00% Notes due 2026 and 6.50% Convertible Notes due 2029. The decrease was offset by the increase in cash from the sale of public securities and investment income received.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significant contractual payment obligations as of June 30, 2026 is as follows:</w:t>
      </w:r>
    </w:p>
    <w:p>
      <w:pPr>
        <w:pStyle w:val="TextBody"/>
        <w:bidi w:val="0"/>
        <w:spacing w:before="0" w:after="0"/>
        <w:ind w:left="0" w:right="0" w:firstLine="36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3110"/>
        <w:gridCol w:w="60"/>
        <w:gridCol w:w="144"/>
        <w:gridCol w:w="452"/>
        <w:gridCol w:w="61"/>
        <w:gridCol w:w="61"/>
        <w:gridCol w:w="196"/>
        <w:gridCol w:w="618"/>
        <w:gridCol w:w="61"/>
        <w:gridCol w:w="61"/>
        <w:gridCol w:w="297"/>
        <w:gridCol w:w="682"/>
        <w:gridCol w:w="61"/>
        <w:gridCol w:w="61"/>
        <w:gridCol w:w="236"/>
        <w:gridCol w:w="743"/>
        <w:gridCol w:w="61"/>
        <w:gridCol w:w="61"/>
        <w:gridCol w:w="315"/>
        <w:gridCol w:w="589"/>
        <w:gridCol w:w="7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6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Payments Due By Period </w:t>
            </w:r>
            <w:r>
              <w:rPr>
                <w:rFonts w:ascii="Times New Roman;Times;Serif" w:hAnsi="Times New Roman;Times;Serif"/>
                <w:b/>
                <w:i/>
                <w:sz w:val="20"/>
              </w:rPr>
              <w:t>(in millions)</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1–3 years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3–5 years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 Notes due 2026</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35.8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35.8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58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6.50% Convertible Notes due 2029</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27.0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27.0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pPr>
            <w:r>
              <w:rPr/>
              <w:t>0.3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8"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pPr>
            <w:r>
              <w:rPr/>
              <w:t>0.2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2" w:type="dxa"/>
            <w:tcBorders>
              <w:bottom w:val="double" w:sz="6" w:space="0" w:color="000000"/>
            </w:tcBorders>
            <w:shd w:fill="FFFFFF" w:val="clear"/>
            <w:tcMar>
              <w:bottom w:w="28" w:type="dxa"/>
            </w:tcMar>
            <w:vAlign w:val="center"/>
          </w:tcPr>
          <w:p>
            <w:pPr>
              <w:pStyle w:val="TableContents"/>
              <w:bidi w:val="0"/>
              <w:spacing w:before="0" w:after="283"/>
              <w:jc w:val="right"/>
              <w:rPr/>
            </w:pPr>
            <w:r>
              <w:rPr/>
              <w:t>63.1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18" w:type="dxa"/>
            <w:tcBorders>
              <w:bottom w:val="double" w:sz="6" w:space="0" w:color="000000"/>
            </w:tcBorders>
            <w:shd w:fill="FFFFFF" w:val="clear"/>
            <w:tcMar>
              <w:bottom w:w="28" w:type="dxa"/>
            </w:tcMar>
            <w:vAlign w:val="center"/>
          </w:tcPr>
          <w:p>
            <w:pPr>
              <w:pStyle w:val="TableContents"/>
              <w:bidi w:val="0"/>
              <w:spacing w:before="0" w:after="283"/>
              <w:jc w:val="right"/>
              <w:rPr/>
            </w:pPr>
            <w:r>
              <w:rPr/>
              <w:t>35.9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jc w:val="right"/>
              <w:rPr/>
            </w:pPr>
            <w:r>
              <w:rPr/>
              <w:t>0.2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right"/>
              <w:rPr/>
            </w:pPr>
            <w:r>
              <w:rPr/>
              <w:t>27.0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principal balance payable for the 6.00% Notes due 2026 as of June 30, 2026. Refer to “Note 10—Debt Capital Activities” in our Condensed Consolidated Financial Statements as of June 30, 2026 for more information.</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principal balance payable for the 6.50% Convertible Notes due 2029 as of June 30, 2026. Refer to “Note 10—Debt Capital Activities” in our Condensed Consolidated Financial Statements as of June 30, 2026 for more information.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and 2025, we did not repurchase any shares of our common stock under the discretionary open-market Share Repurchase Program. As of June 30, 2026, the dollar value of shares that remained available to be purchased under the Share Repurchase Program is approximately $25.0 million. Currently, the Share Repurchase Program is authorized until the earlier of (i) October 31, 2026 or (ii) the repurchase of $64.3 million in aggregate amount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(the “Exchange Act”), and the rules promulgated thereunder. For more information on the Share Repurchase Program, see “Note 5—Common Stock” to our Condensed Consolidated Financial Statements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we had no off-balance sheet arrangements, including any risk management of commodity pricing or other hedging practices. However, we may employ hedging and other risk management techniques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Issuances and Debt Capital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2020, we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we may, but have no obligation to, issue and sell up to $150.0 million in aggregate amount of shares of our common stock (the “Shares”) from time to time through the Agents or to them as principal for their own account. We intend to use the net proceeds from the ATM Program to make investments in portfolio companies in accordance with our investment objective and strategy and for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we did not issue or sell Shares under the ATM Program. As of June 30, 2026, up to approximately $87.9 million in aggregate amount of the Shares remain available for sale under the ATM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5—Common Stock” to our Condensed Consolidated Financial Statements as of June 30, 2026 for more information regarding the ATM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Shelf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we filed a registration statement on Form N-2 with the SEC pursuant to which we may offer, from time to time in one or more offerings, up to $500.0 million of our common stock, preferred stock, subscription rights to purchase shares of our common stock, debt securities, or warrants representing rights to purchase shares of our common stock, preferred stock or debt securities. As of the date of this quarterly report, the registration statement had not been declared effective, and we had not offered or sold any securities thereunder. We intend to use the net proceeds of any offering under the registration statement to make investments in portfolio companies in accordance with our investment objective and strategy, to repay indebtedness, including the 6.00% Notes due 2026, and for general corporate purposes. The offering price per share of our common stock, less any underwriting commissions or discounts, will not be less than our net asset value per share at the time of the offering, except in connection with a rights offering to our existing stockholders, with the requisite approval of our common stockholders or under such other circumstances as the SEC may permit. We did not seek stockholder authorization to issue shares of our common stock at a price below net asset value per share at our 2026 annual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6.00% Notes due 2026 - Note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2021, we issued $70.0 million aggregate principal amount of 6.00% Notes due 2026, which bear interest at a fixed rate of 6.00% per year, payable quarterly in arrears on March 30,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2024, our Board of Directors approved a discretionary note repurchase program (the “Note Repurchase Program”) which allows us to repurchase up to $35.0 million of our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 On October 29, 2025, our Board of Directors approved an extension of the discretionary note repurchase program (the “Note Repurchase Program”), which allows us to repurchase up to an additional $40.0 million or the remaining aggregate principal amount, of our 6.00% Notes due 2026 through open market purchases, including block purchases, in such manner as will comply with the provisions of the 1940 Act and the Exchange Act. During the year ended December 31, 2025, the Company repurchased and retired $8.8 million of aggregate principal amount of the 6.00% Notes due 2026. As of June 30, 2026, the aggregate principal dollar amount of 6.00% Notes due 2026 that remained available to be purchased under the Note Repurchase Program was approximately $35.8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10—Debt Capital Activities” to our Condensed Consolidated Financial Statements as of June 30, 2026 for more information regarding the 6.00% Notes due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6.50% Convertible Notes due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we issued $25.0 million aggregate principal amount of the 6.50% Convertible Notes due 2029 to a private purchaser (the “Purchaser”), which bear interest at a rate of 6.50% per year, payable quarterly in arrears on March 30, June 30, September 30, and December 30 of each year, commencing on September 30, 2024. We received $24.3 million in proceeds from the issuance, net of underwriting discounts and commissions. Under the purchase agreement governing the 6.50% Convertible Notes due 2029, as Amended and Restated on December 12, 2025 (the “Notes Purchase Agreement”), upon mutual agreement between the Company and the Purchaser, we may issue additional 6.50% Convertible Notes due 2029 for sale in subsequent offerings to the Purchaser (the “Additional Notes”), or issue additional notes with modified pricing terms (the “New Notes”), in the aggregate for both the Additional Notes and the New Notes, up to a maximum of $50.0 million in one or more private offerings. Pursuant to the Notes Purchase Agreement, on October 9, 2024, we issued $5.0 million of Additional Notes to the Purchaser, and on January 16, 2025, we issued an additional $5.0 million of Additional Notes to the Purchaser, which Additional Notes are treated as a single series with the initial issuance of the 6.50% Convertible Notes due 2029. The 6.50% Convertible Notes due 2029 mature on August 14, 2029, unless previously repurchased, redeemed or converted in accordance with their terms. We do not have the right to redeem the 6.50% Convertible Notes due 2029 prior to August 6,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6.50% Convertible Notes due 2029 are convertible into shares of our common stock at the Purchaser’s sole discretion at an initial conversion rate of 129.0323 shares of common stock per $1,000 principal amount of the 6.50% Convertible Notes due 2029, subject to adjustment as provided in the Notes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July 21, 2025, the conversion rate applicable to the 6.50% Convertible Notes due 2029 was adjusted to $7.53 per share (132.7530 shares of the Company’s common stock per $1,000 principal amount of the 6.50% Convertible Notes due 2029) from the initial conversion price of $7.75 per share (129.0323 shares of the Company’s common stock per $1,000 principal amount of the 6.50% Convertible Notes due 2029), which had been effective since issuance. The adjustment to the conversion rate of the 6.50% Convertible Notes due 2029 was made pursuant to the Notes Purchase Agreement governing the 6.50% Convertible Notes due 2029 as a result of the Company’s cash dividend of $0.25 per share, paid on July 31, 2025 to stockholders of record as of the close of business on July 21,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November 21, 2025, the conversion rate applicable to the 6.50% Convertible Notes due 2029 was adjusted to $7.32 per share (136.5633 shares of the Company’s common stock per $1,000 principal amount of the 6.50% Convertible Notes due 2029) from the most recent conversion price of $7.53 per share (132.7530 shares of the Company’s common stock per $1,000 principal amount of the 6.50% Convertible Notes due 2029), which had been effective since July 21, 2025. The adjustment to the conversion rate of the 6.50% Convertible Notes due 2029 was made pursuant to the Notes Purchase Agreement governing the 6.50% Convertible Notes due 2029 as a result of the Company’s cash dividend of $0.25 per share, paid on December 5, 2025 to stockholders of record as of the close of business on November 21,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issued 1,092,504 shares of its common stock and cash for fractional shares upon the conversion of $8.0 million in aggregate principal amount of the 6.50% Convertible Notes due 2029.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10—Debt Capital Activities” and “Note 12—Subsequent Events” to our Condensed Consolidated Financial Statements as of June 30, 2026 for more information regarding the 6.50% Convertible Notes due 2029.</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2026. The table is divided by fiscal year according to record date:</w:t>
      </w:r>
    </w:p>
    <w:p>
      <w:pPr>
        <w:pStyle w:val="TextBody"/>
        <w:bidi w:val="0"/>
        <w:spacing w:before="0" w:after="0"/>
        <w:ind w:left="0" w:right="0" w:firstLine="360"/>
        <w:jc w:val="both"/>
        <w:rPr>
          <w:caps w:val="false"/>
          <w:smallCaps w:val="false"/>
        </w:rPr>
      </w:pPr>
      <w:r>
        <w:rPr>
          <w:caps w:val="false"/>
          <w:smallCaps w:val="false"/>
        </w:rPr>
        <w:t> </w:t>
      </w:r>
    </w:p>
    <w:tbl>
      <w:tblPr>
        <w:tblW w:w="7940" w:type="dxa"/>
        <w:jc w:val="left"/>
        <w:tblInd w:w="0" w:type="dxa"/>
        <w:tblLayout w:type="fixed"/>
        <w:tblCellMar>
          <w:top w:w="0" w:type="dxa"/>
          <w:left w:w="0" w:type="dxa"/>
          <w:bottom w:w="28" w:type="dxa"/>
          <w:right w:w="0" w:type="dxa"/>
        </w:tblCellMar>
      </w:tblPr>
      <w:tblGrid>
        <w:gridCol w:w="1910"/>
        <w:gridCol w:w="60"/>
        <w:gridCol w:w="1925"/>
        <w:gridCol w:w="60"/>
        <w:gridCol w:w="1925"/>
        <w:gridCol w:w="60"/>
        <w:gridCol w:w="385"/>
        <w:gridCol w:w="1540"/>
        <w:gridCol w:w="75"/>
      </w:tblGrid>
      <w:tr>
        <w:trPr/>
        <w:tc>
          <w:tcPr>
            <w:tcW w:w="1910" w:type="dxa"/>
            <w:tcBorders>
              <w:bottom w:val="single" w:sz="8" w:space="0" w:color="000000"/>
            </w:tcBorders>
            <w:vAlign w:val="center"/>
          </w:tcPr>
          <w:p>
            <w:pPr>
              <w:pStyle w:val="TableContents"/>
              <w:bidi w:val="0"/>
              <w:spacing w:before="0" w:after="283"/>
              <w:jc w:val="left"/>
              <w:rPr>
                <w:b/>
              </w:rPr>
            </w:pPr>
            <w:r>
              <w:rPr>
                <w:b/>
              </w:rPr>
              <w:t>Date Declared</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Record Date</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Payment Date</w:t>
            </w:r>
          </w:p>
        </w:tc>
        <w:tc>
          <w:tcPr>
            <w:tcW w:w="60" w:type="dxa"/>
            <w:tcBorders/>
            <w:tcMar>
              <w:bottom w:w="0" w:type="dxa"/>
            </w:tcMar>
            <w:vAlign w:val="center"/>
          </w:tcPr>
          <w:p>
            <w:pPr>
              <w:pStyle w:val="TableContents"/>
              <w:bidi w:val="0"/>
              <w:spacing w:before="0" w:after="283"/>
              <w:jc w:val="left"/>
              <w:rPr/>
            </w:pPr>
            <w:r>
              <w:rPr/>
              <w:t> </w:t>
            </w:r>
          </w:p>
        </w:tc>
        <w:tc>
          <w:tcPr>
            <w:tcW w:w="1925" w:type="dxa"/>
            <w:gridSpan w:val="2"/>
            <w:tcBorders>
              <w:bottom w:val="single" w:sz="8" w:space="0" w:color="000000"/>
            </w:tcBorders>
            <w:vAlign w:val="center"/>
          </w:tcPr>
          <w:p>
            <w:pPr>
              <w:pStyle w:val="TableContents"/>
              <w:bidi w:val="0"/>
              <w:spacing w:before="0" w:after="283"/>
              <w:jc w:val="center"/>
              <w:rPr>
                <w:b/>
              </w:rPr>
            </w:pPr>
            <w:r>
              <w:rPr>
                <w:b/>
              </w:rPr>
              <w:t>Amount per Share</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b/>
              </w:rPr>
            </w:pPr>
            <w:r>
              <w:rPr>
                <w:b/>
              </w:rPr>
              <w:t>Fiscal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4, 2015</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November 16,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December 31,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w:t>
            </w:r>
          </w:p>
        </w:tc>
        <w:tc>
          <w:tcPr>
            <w:tcW w:w="1540" w:type="dxa"/>
            <w:tcBorders/>
            <w:shd w:fill="FFFFFF" w:val="clear"/>
            <w:tcMar>
              <w:bottom w:w="0" w:type="dxa"/>
            </w:tcMar>
            <w:vAlign w:val="center"/>
          </w:tcPr>
          <w:p>
            <w:pPr>
              <w:pStyle w:val="TableContents"/>
              <w:bidi w:val="0"/>
              <w:spacing w:before="0" w:after="283"/>
              <w:jc w:val="right"/>
              <w:rPr/>
            </w:pPr>
            <w:r>
              <w:rPr/>
              <w:t>2.76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b/>
              </w:rPr>
            </w:pPr>
            <w:r>
              <w:rPr>
                <w:b/>
              </w:rPr>
              <w:t>Fiscal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3, 2016</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August 16,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August 24,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0.04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b/>
              </w:rPr>
            </w:pPr>
            <w:r>
              <w:rPr>
                <w:b/>
              </w:rPr>
              <w:t>Fiscal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5, 2019</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December 2,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December 12,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0.20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20, 2019</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December 31,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January 15,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0.12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b/>
              </w:rPr>
            </w:pPr>
            <w:r>
              <w:rPr>
                <w:b/>
              </w:rPr>
              <w:t>Fiscal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29, 2020</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August 11,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August 25,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0.15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28, 2020</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October 5,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October 20,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28, 2020</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November 10,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November 30,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16, 2020</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December 30,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January 15,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0.22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b/>
              </w:rPr>
            </w:pPr>
            <w:r>
              <w:rPr>
                <w:b/>
              </w:rPr>
              <w:t>Fiscal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26, 2021</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February 5,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February 19,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8, 2021</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March 30,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April 15,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4, 2021</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May 18,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June 30,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3, 2021</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August 18,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September 30,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2.25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2, 2021</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November 17,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December 30,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2.00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20, 2021</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December 31,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January 14,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0.75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b/>
              </w:rPr>
            </w:pPr>
            <w:r>
              <w:rPr>
                <w:b/>
              </w:rPr>
              <w:t>Fiscal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8, 2022</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March 25,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April 15,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0.11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b/>
              </w:rPr>
            </w:pPr>
            <w:r>
              <w:rPr>
                <w:b/>
              </w:rPr>
              <w:t>Fiscal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 2025</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July 21,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3, 2025</w:t>
            </w:r>
            <w:r>
              <w:rPr>
                <w:rFonts w:ascii="Times New Roman;Times;Serif" w:hAnsi="Times New Roman;Times;Serif"/>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November 21,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December 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bottom w:val="single" w:sz="8" w:space="0" w:color="000000"/>
            </w:tcBorders>
            <w:shd w:fill="FFFFFF" w:val="clear"/>
            <w:vAlign w:val="center"/>
          </w:tcPr>
          <w:p>
            <w:pPr>
              <w:pStyle w:val="TableContents"/>
              <w:bidi w:val="0"/>
              <w:spacing w:before="0" w:after="283"/>
              <w:jc w:val="left"/>
              <w:rPr/>
            </w:pPr>
            <w:r>
              <w:rPr/>
              <w:t> </w:t>
            </w:r>
          </w:p>
        </w:tc>
        <w:tc>
          <w:tcPr>
            <w:tcW w:w="1540" w:type="dxa"/>
            <w:tcBorders>
              <w:bottom w:val="single" w:sz="8" w:space="0" w:color="000000"/>
            </w:tcBorders>
            <w:shd w:fill="FFFFFF" w:val="clear"/>
            <w:vAlign w:val="center"/>
          </w:tcPr>
          <w:p>
            <w:pPr>
              <w:pStyle w:val="TableContents"/>
              <w:bidi w:val="0"/>
              <w:spacing w:before="0" w:after="283"/>
              <w:jc w:val="right"/>
              <w:rPr/>
            </w:pPr>
            <w:r>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540" w:type="dxa"/>
            <w:tcBorders>
              <w:bottom w:val="double" w:sz="6" w:space="0" w:color="000000"/>
            </w:tcBorders>
            <w:shd w:fill="CCEEFF" w:val="clear"/>
            <w:vAlign w:val="center"/>
          </w:tcPr>
          <w:p>
            <w:pPr>
              <w:pStyle w:val="TableContents"/>
              <w:bidi w:val="0"/>
              <w:spacing w:before="0" w:after="283"/>
              <w:jc w:val="right"/>
              <w:rPr>
                <w:b/>
              </w:rPr>
            </w:pPr>
            <w:r>
              <w:rPr>
                <w:b/>
              </w:rPr>
              <w:t>12.60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total distribution of $887,240 on August 24, 2016, $820,753 represented a distribution from realized gains, and $66,487 represented a return of capital.</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$3,512,849 distribution paid on December 12, 2019 represented a distribution from realized gains. None of the distribution represented a return of capital.</w:t>
            </w:r>
          </w:p>
        </w:tc>
      </w:tr>
      <w:tr>
        <w:trPr/>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$2,107,709 distribution paid on January 15, 2020 represented a distribution from realized gains. None of the distribution represented a return of capital.</w:t>
            </w:r>
          </w:p>
        </w:tc>
      </w:tr>
      <w:tr>
        <w:trPr/>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$2,516,452 distribution paid on August 25, 2020 represented a distribution from realized gains. None of the distribution represented a return of capital.</w:t>
            </w:r>
          </w:p>
        </w:tc>
      </w:tr>
      <w:tr>
        <w:trPr/>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$5,071,326 distribution paid on October 20, 2020 represented a distribution from realized gains. None of the distribution represented a return of capital.</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$4,978,504 distribution paid on November 30, 2020 represented a distribution from realized gains. None of the distribution represented a return of capital.</w:t>
            </w:r>
          </w:p>
        </w:tc>
      </w:tr>
      <w:tr>
        <w:trPr/>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$4,381,084 distribution paid on January 15, 2021 represented a distribution from realized gains. None of the distribution represented a return of capital.</w:t>
            </w:r>
          </w:p>
        </w:tc>
      </w:tr>
      <w:tr>
        <w:trPr/>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$4,981,131 distribution paid on February 19, 2021 represented a distribution from realized gains. None of the distribution represented a return of capital.</w:t>
            </w:r>
          </w:p>
        </w:tc>
      </w:tr>
      <w:tr>
        <w:trPr/>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$6,051,304 distribution paid on April 15, 2021 represented a distribution from realized gains. None of the distribution represented a return of capital.</w:t>
            </w:r>
          </w:p>
        </w:tc>
      </w:tr>
      <w:tr>
        <w:trPr/>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tc>
      </w:tr>
      <w:tr>
        <w:trPr/>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tc>
      </w:tr>
      <w:tr>
        <w:trPr/>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tc>
      </w:tr>
      <w:tr>
        <w:trPr/>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$23,338,915 distribution paid on January 14, 2022 represented a distribution from realized gains. None of the distribution represented a return of capital.</w:t>
            </w:r>
          </w:p>
        </w:tc>
      </w:tr>
      <w:tr>
        <w:trPr/>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$3,441,824 distribution paid on April 15, 2022 represented a distribution from realized gains. None of the distribution represented a return of capital.</w:t>
            </w:r>
          </w:p>
        </w:tc>
      </w:tr>
      <w:tr>
        <w:trPr/>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$5,972,027 distribution paid on July 31, 2025 represented a distribution from realized gains. None of the distribution represented a return of capital.</w:t>
            </w:r>
          </w:p>
        </w:tc>
      </w:tr>
      <w:tr>
        <w:trPr/>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$6,281,422 distribution paid on December 5, 2025 represented a distribution from realized gains. None of the distribution represented a return of capital.</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focus on making equity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intention is to make any future distributions out of assets legally available therefrom in the form of additional shares of our common stock under our dividend reinvestment plan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we qualify as a RIC, we generally will not be subject to U.S. federal and state income taxes on any ordinary income or capital gains that we distribute at least annually to our stockholders as dividends. To the extent all our ordinary income and capital gains are timely distributed to our stockholders as dividends, any tax liability related to income earned by the RIC will represent obligations of our investors and will not be reflected in our Condensed Consolidated Financial Statements. See “Note 2—Significant Accounting Policies—</w:t>
      </w:r>
      <w:r>
        <w:rPr>
          <w:rFonts w:ascii="Times New Roman;Times;Serif" w:hAnsi="Times New Roman;Times;Serif"/>
          <w:b w:val="false"/>
          <w:i/>
          <w:caps w:val="false"/>
          <w:smallCaps w:val="false"/>
          <w:sz w:val="20"/>
        </w:rPr>
        <w:t>U.S. Federal and State Income Taxes</w:t>
      </w:r>
      <w:r>
        <w:rPr>
          <w:rFonts w:ascii="Times New Roman;Times;Serif" w:hAnsi="Times New Roman;Times;Serif"/>
          <w:b w:val="false"/>
          <w:i w:val="false"/>
          <w:caps w:val="false"/>
          <w:smallCaps w:val="false"/>
          <w:sz w:val="20"/>
        </w:rPr>
        <w:t>” and “Note 9—Income Taxes” to our Condensed Consolidated Financial Statements as of June 30, 2026 for more information. The Taxable Subsidiaries included in our Condensed Consolidated Financial Statements are subject to U.S. federal income tax imposed at corporate rates on their income, regardless of whether we are taxed as a RIC. The Taxable Subsidiaries are not consolidated for U.S. federal income tax purposes and may generate income tax expenses as a result of their ownership of the portfolio companies. Such income tax expenses and deferred taxes, if any, will be reflected in our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 and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June 30, 2026 for further detail regarding our critical accounting policies and recently issued or adopted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3—Related-Party Arrangements” to our Condensed Consolidated Financial Statements as of June 30, 2026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Portfolio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 12—Subsequent Events” to our Condensed Consolidated Financial Statements as of June 30, 2026 for details regarding activity in our investment portfolio from July 1, 2026 through August 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Externalization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our Board of Directors, including all of its independent directors, unanimously approved a proposal to transition us from an internally managed BDC to an externally managed structure (the “Externalization”) and approved the related investment advisory agreement (the “Advisory Agreement”) with Neostellar Advisors LLC (the “Adviser”), an entity jointly owned by certain of our then-current employees and Magnetar Holdings LLC (“Magnetar”), pursuant to which the Adviser would be appointed as our investment adviser. Entry into the Advisory Agreement effectuating the Externalization was subject to approval by our stockholders. At a special meeting held on June 10, 2026, the Company’s stockholders approved the Investment Advisory Agreement with the Adviser. As a result, effective July 15, 2026 (the “Effective Date”), the Company transitioned from an internally managed BDC to an externally managed BDC managed by the Adviser, and changed its name from “SuRo Capital Corp.” to “Neostellar Capital Corp.” Our common stock continues to trade on the Nasdaq Global Select Market, now under the ticker symbol “NSLR.”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terms of the Externalization include: (i) no incentive fee payable to the Adviser on realized gains attributable to our existing portfolio; (ii) expected annual expense savings of approximately 0.77% of average total assets compared to our former internal management structure; (iii) a $20 million investment in us by an affiliate of Magnetar, which was made on July 16, 2026 in the form of a redeemable promissory note; (iv) a base management fee of 1.75% of our gross assets, which our Board of Directors determined to be competitive with fees charged by comparable BDCs and below the median fee charged by private market venture and technology funds; and (v) management continuity, with our investment team, including Mark D. Klein and Allison Green, continuing in their current capacities, but as employees of the Adviser rather than us following the Externalization. On the Effective Date, we also entered into an administration agreement (the “Administration Agreement”) with Neostellar Administrative Services LLC, an affiliate of the Adviser (the “Administrator”), pursuant to which the Administrator provides, or oversees the provision of, administrative services necessary for our operations, subject to our reimbursement of the Administrator’s costs and expenses, including our allocable portion of overhead.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following approval of the Externalization by our stockholders, we granted (a) 350,000 restricted shares (with any aggregate income tax liability to be paid by us) to Mark D. Klein and (b) 60,000 restricted shares (with any aggregate income tax liability to be paid by us) to Allison Green, and we approved a cash bonus of $850,000 to Mark D. Klein and a cash bonus of $500,000 to Allison Green. On June 15, 2026, our Board of Directors approved the acceleration in full of the vesting of all restricted shares then outstanding and unvested under the Amended and Restated 2019 Equity Incentive Plan and the Second Amended and Restated 2019 Equity Incentive Plan, effective as of June 15, 2026. Those shares vested on that date, subject to each holder’s entry into a lock-up agreement with us that replicates the holding periods of the vesting schedules that otherwise would have applied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Externalization and its impact on stockholders, the Advisory Agreement, the Administration Agreement, Magnetar and the compensation of management relating to the Externalization, please refer to “Note 11—Stock-Based Compensation” and “Note 12—Subsequent Events” to our Condensed Consolidated Financial Statements as of June 30, 2026, our definitive proxy statement for the Special Meeting of Stockholders filed April 29, 2026, and our Current Reports on Form 8-K filed April 7, 2026 and July 21,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Shelf Registration Statement</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we filed a registration statement on Form N-2 with the SEC covering the offer and sale, from time to time in one or more offerings, of up to $500.0 million of our common stock, preferred stock, subscription rights, debt securities and warrants. The registration statement had not been declared effective as of the date of this quarterly report. For additional information, see “Liquidity and Capital Resources—Equity Issuances and Debt Capital Activities—Shelf Registration Statement” above and “Note 12—Subsequent Events” to our Condensed Consolidated Financial Statements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49" w:name="px_002"/>
      <w:bookmarkEnd w:id="174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June 30, 2026, all of our debt investments and outstanding borrowings bore fixed rates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50" w:name="px_003"/>
      <w:bookmarkEnd w:id="175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 Effective July 15, 2026, in connection with the Externalization, administrative and accounting services previously performed by our employees are performed by Neostellar Administrative Services LLC, subject to the oversight of our Board of Directors. Any resulting changes in our internal control over financial reporting will be reported for the quarter ending September 30,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51" w:name="px_004"/>
      <w:bookmarkEnd w:id="1751"/>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52" w:name="px_005"/>
      <w:bookmarkEnd w:id="175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53" w:name="px_006"/>
      <w:bookmarkEnd w:id="175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number of significant risks. In addition to the other information contained in this report, you should carefully consider the factors discussed in our annual report on Form 10-K for the fiscal year ended December 31, 2025, filed with the SEC on March 11, 2026, which could materially affect our business, financial condition and/or operating results. Although the risks described in our annual report on Form 10-K for the fiscal year ended December 31, 2025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stated below, there have been no material changes to the risk factors discussed in “Item 1A. Risk Factors” of Part I of our annual report on Form 10-K for the fiscal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Externalization, which became effective July 15, 2026, we became an externally managed BDC and no longer have any employees. Accordingly, the risk factors in our annual report on Form 10-K for the fiscal year ended December 31, 2025 that describe us as an internally managed BDC, including those relating to our dependence on our own management team and investment professionals and to the compensation of our employees, no longer apply to us and are superseded by the risk factors set forth below. In addition, on July 30, 2026, we filed a shelf registration statement on Form N-2 with the SEC, and on August 3, 2026, we, the Adviser and certain affiliated funds and accounts filed an application with the SEC for an order permitting us to engage in certain negotiated co-investment transactions. We are subject to the additional risks set forth below.</w:t>
      </w:r>
    </w:p>
    <w:p>
      <w:pPr>
        <w:pStyle w:val="TextBody"/>
        <w:bidi w:val="0"/>
        <w:spacing w:lineRule="auto" w:line="288" w:before="0" w:after="0"/>
        <w:ind w:left="0" w:right="0" w:firstLine="40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the Adviser and its key investment professionals for our future success, we no longer have any employees, and the departure of those personnel could materially and adversely affect our ability to achieve our investment objective.</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investment and administrative personnel are employees of the Adviser, the Administrator or their affiliates, and we no longer have any employees of our own. We do not determine the compensation, retention or allocation of time of those personnel, and we have no control over whether they remain employed by the Adviser or the Administrator. Our ability to achieve our investment objective depends on the Adviser’s ability to identify, evaluate, negotiate, structure, monitor and exit investments, which in turn depends on the continued service of its senior investment professionals, including Mr. Klein and Ms. Green. Those investment professionals have and will continue to have management responsibilities for other investment funds, accounts and investment vehicles sponsored or managed by the Adviser, Magnetar and their affiliates, and they are not required to devote any specific amount of time to our affairs. The departure of any of those individuals, or of a significant number of the Adviser’s investment professionals, could have a material adverse effect on our ability to achieve our investment objective. Our rights with respect to the Adviser and the Administrator are limited to those under the Investment Advisory Agreement and the Administration Agreement, each of which may be terminated without penalty on 60 days’ written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now bear advisory fees that we did not previously bear, and the base management fee is payable without regard to our performance.</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the Adviser a base management fee at an annual rate of 1.75% of gross assets and a two-part incentive fee, and we reimburse the Administrator for our allocable portion of its costs and overhead, including our allocable portion of the compensation of personnel providing administrative, financial, accounting, legal and compliance services to us. We did not bear advisory fees of this nature under our former internally managed structure, and these fees may increase our expenses relative to the periods presented in this report. The base management fee is calculated on gross assets, including investments held before the Effective Date and assets acquired with borrowed funds, and is payable without regard to our performance. The fact that the base management fee is payable based upon our gross assets, rather than our net assets, means that the base management fee as a percentage of net assets attributable to our common stock will increase when we use leverage. Accordingly, the Adviser may have an incentive to cause us to incur more leverage than is prudent, or not to repay our outstanding indebtedness when it may be advantageous for us to do so, in order to maximize its compensation. Under certain circumstances, the use of leverage may increase the likelihood of default, which would disfavor the holders of our securities, and would magnify losses as well as gains.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obligated to pay the Adviser incentive fees even if we incur a net loss, and the incentive fee may create an incentive for the Adviser to make riskier or more speculative investments or to influence the timing of dispositions.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consists of an income-based fee and a capital gains fee, and no incentive fee is payable with respect to investments held prior to the Effective Date. As our portfolio shifts toward investments made on or after the Effective Date, the incentive fees we pay are expected to increase. Because of the structure of the incentive fee, it is possible that we may pay an incentive fee in a quarter in which we incur a loss. If our pre-incentive fee net investment income exceeds the applicable hurdle rate for a quarter, we will pay the income-based fee even if we have incurred a loss in that quarter as a result of realized and unrealized capital losses. The income-based fee may create an incentive for the Adviser to invest in assets with higher current yields, including riskier or more speculative assets, in order to increase the income on which that fee is calculated. The income-based fee may also create an incentive for the Adviser to invest in instruments with a deferred interest feature, such as original issue discount, payment-in-kind interest or zero-coupon securities, because we would be required to accrue, and to pay an incentive fee on, income that we have not yet received in cash and that we may never collect, and the Adviser is not obligated to reimburse us for any incentive fee previously paid on income that is not ultimately received.</w:t>
      </w:r>
    </w:p>
    <w:p>
      <w:pPr>
        <w:pStyle w:val="TextBody"/>
        <w:bidi w:val="0"/>
        <w:spacing w:before="0" w:after="0"/>
        <w:ind w:left="0" w:right="0" w:hanging="0"/>
        <w:jc w:val="both"/>
        <w:rPr/>
      </w:pPr>
      <w:r>
        <w:rPr/>
        <w:t> </w:t>
      </w:r>
    </w:p>
    <w:p>
      <w:pPr>
        <w:pStyle w:val="TextBody"/>
        <w:bidi w:val="0"/>
        <w:spacing w:before="0" w:after="0"/>
        <w:ind w:left="0" w:right="0" w:hanging="0"/>
        <w:jc w:val="both"/>
        <w:rPr>
          <w:b/>
          <w:i/>
        </w:rPr>
      </w:pPr>
      <w:r>
        <w:rPr>
          <w:b/>
          <w:i/>
        </w:rPr>
        <w:t>The Externalization gives rise to conflicts of interest, and the Adviser is not required to provide services to us on an exclusive basis.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executive officers, including Mr. Klein and Ms. Green, are equity owners and employees of the Adviser, and a portion of the fees we pay the Adviser inures to their benefit. Those persons participated in the negotiation of the terms of the Externalization while holding prospective ownership interests in the Adviser. The Adviser is not required to provide services to us on an exclusive basis and may in the future sponsor or advise other investment vehicles with investment objectives and strategies that overlap with ours. As a result, the Adviser and its investment professionals may face conflicts in allocating their time and investment opportunities between us and those other vehicles, and investments that would be suitable for us may be allocated elsewhere. The investment advice given to us by the Adviser may differ from, and the actions it takes on behalf of Magnetar and its other clients may compete with or be adverse to, the advice given to, or actions taken on behalf of, us. Because the Adviser, Magnetar and their affiliates may receive performance-based compensation from other funds and accounts, they may have an incentive to allocate investment opportunities to those other funds and accounts rather than to us. There can be no assurance that any allocation policy adopted by the Adviser will result in our participating in any particular investment opportunity or in an allocation that we would consider favorable.</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application for co-investment exemptive relief is pending, and there can be no assurance if or when relief will be granted, which may reduce the investment opportunities available to us.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we, the Adviser and certain affiliated funds and accounts filed an application with the SEC for an exemptive order permitting us to co-invest in negotiated transactions alongside funds and accounts advised by the Adviser, Magnetar and their affiliates in a manner consistent with our investment objective, positions, policies, strategies and restrictions, as well as regulatory requirements and other pertinent factors. There can be no assurance if or when we will receive the requested exemptive relief, or that any relief granted will be on the terms requested. Until such relief is obtained, our ability to participate in negotiated co-investment transactions with affiliates is limited by the 1940 Act, which may reduce the investment opportunities available to us and may prevent us from participating in transactions sourced through the Magnetar platform, which was one of the anticipated benefits of the Externalization. Even if the requested relief is granted, the Adviser would be required to consider whether each investment opportunity is appropriate for us and for its other advised clients and, if so, to propose an allocation of the opportunity among them. As a consequence, it may be more difficult for us to maintain or increase the size of our portfolio, and we may not participate in any particular co-investment opportunity.</w:t>
      </w:r>
    </w:p>
    <w:p>
      <w:pPr>
        <w:pStyle w:val="TextBody"/>
        <w:bidi w:val="0"/>
        <w:spacing w:lineRule="auto" w:line="288"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relationship with Magnetar exposes us to additional risks, and the redemption of the Magnetar note could dilute existing stockholders.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Magnetar holds a $20.0 million redeemable promissory note issued by us that bears interest at 6.50% per annum and matures in 2029, and a Magnetar partner serves on our Board of Directors as an interested director. If we consummate a qualified fundraising, the note is mandatorily redeemed through the issuance of shares of our common stock, which would dilute the interests of our existing stockholders, and upon a change of control we must repay 105% of the outstanding principal and accrued interest in cash. We have also agreed to file a resale shelf registration statement covering the resale of the shares issuable upon redemption of the note, and sales of those shares, or the perception that such sales could occur, could adversely affect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replace the Adviser or the Administrator on comparable terms if either agreement is terminated.</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and the Administration Agreement may each be terminated without penalty on 60 days’ written notice, and the Investment Advisory Agreement terminates automatically upon its assignment. If either agreement were terminated, we would need to identify and engage a replacement adviser or administrator, and there can be no assurance that we could do so on a timely basis or on terms as favorable as those of our current agreements. Because we no longer have any employees, any period during which we lacked an investment adviser or administrator could disrupt our investment activities, our compliance program and our financial reporting.</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Investment Advisory Agreement limits the Adviser’s liability to us and requires us to indemnify the Adviser, which may cause the Adviser to act in a manner that is riskier than it otherwise would.</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Advisory Agreement, the Adviser and its affiliates and their respective personnel are not liable to us for acts or omissions taken in the performance of their duties absent willful misfeasance, bad faith, gross negligence or reckless disregard of duty, and we are required to indemnify them against certain liabilities incurred in connection with their services to us. These provisions may reduce the incentive of the Adviser and its personnel to exercise the degree of care they would otherwise exercise and may limit the remedies available to us and our stockholders if the Adviser’s conduct causes us to incur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54" w:name="px_007"/>
      <w:bookmarkEnd w:id="1754"/>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sell any equity securities during the period covered in this report that were not registered under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our purchases of our common stock during the six months ended June 30, 2026 is as follows:</w:t>
      </w:r>
    </w:p>
    <w:p>
      <w:pPr>
        <w:pStyle w:val="TextBody"/>
        <w:bidi w:val="0"/>
        <w:spacing w:before="0" w:after="0"/>
        <w:ind w:left="0" w:right="0" w:firstLine="360"/>
        <w:jc w:val="left"/>
        <w:rPr>
          <w:caps w:val="false"/>
          <w:smallCaps w:val="false"/>
        </w:rPr>
      </w:pPr>
      <w:r>
        <w:rPr>
          <w:caps w:val="false"/>
          <w:smallCaps w:val="false"/>
        </w:rPr>
        <w:t> </w:t>
      </w:r>
    </w:p>
    <w:tbl>
      <w:tblPr>
        <w:tblW w:w="9126" w:type="dxa"/>
        <w:jc w:val="left"/>
        <w:tblInd w:w="0" w:type="dxa"/>
        <w:tblLayout w:type="fixed"/>
        <w:tblCellMar>
          <w:top w:w="0" w:type="dxa"/>
          <w:left w:w="0" w:type="dxa"/>
          <w:bottom w:w="28" w:type="dxa"/>
          <w:right w:w="0" w:type="dxa"/>
        </w:tblCellMar>
      </w:tblPr>
      <w:tblGrid>
        <w:gridCol w:w="3680"/>
        <w:gridCol w:w="60"/>
        <w:gridCol w:w="171"/>
        <w:gridCol w:w="748"/>
        <w:gridCol w:w="60"/>
        <w:gridCol w:w="60"/>
        <w:gridCol w:w="316"/>
        <w:gridCol w:w="588"/>
        <w:gridCol w:w="60"/>
        <w:gridCol w:w="60"/>
        <w:gridCol w:w="303"/>
        <w:gridCol w:w="1321"/>
        <w:gridCol w:w="60"/>
        <w:gridCol w:w="60"/>
        <w:gridCol w:w="169"/>
        <w:gridCol w:w="1335"/>
        <w:gridCol w:w="75"/>
      </w:tblGrid>
      <w:tr>
        <w:trPr/>
        <w:tc>
          <w:tcPr>
            <w:tcW w:w="3680" w:type="dxa"/>
            <w:tcBorders>
              <w:bottom w:val="single" w:sz="8" w:space="0" w:color="000000"/>
            </w:tcBorders>
            <w:vAlign w:val="center"/>
          </w:tcPr>
          <w:p>
            <w:pPr>
              <w:pStyle w:val="TableContents"/>
              <w:bidi w:val="0"/>
              <w:spacing w:before="0" w:after="283"/>
              <w:jc w:val="left"/>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Paid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 as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of Publicly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or 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Value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that May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Yet Be Purchased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Share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Repurchase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w:t>
            </w:r>
          </w:p>
        </w:tc>
        <w:tc>
          <w:tcPr>
            <w:tcW w:w="75" w:type="dxa"/>
            <w:tcBorders/>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January 1 through January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w:t>
            </w:r>
          </w:p>
        </w:tc>
        <w:tc>
          <w:tcPr>
            <w:tcW w:w="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1335" w:type="dxa"/>
            <w:tcBorders/>
            <w:shd w:fill="CCEEFF" w:val="clear"/>
            <w:tcMar>
              <w:bottom w:w="0" w:type="dxa"/>
            </w:tcMar>
            <w:vAlign w:val="center"/>
          </w:tcPr>
          <w:p>
            <w:pPr>
              <w:pStyle w:val="TableContents"/>
              <w:bidi w:val="0"/>
              <w:spacing w:before="0" w:after="283"/>
              <w:jc w:val="right"/>
              <w:rPr/>
            </w:pPr>
            <w:r>
              <w:rPr/>
              <w:t>25,000,000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February 1 through February 28,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25,000,000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March 1 through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25,000,000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April 1 through April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335" w:type="dxa"/>
            <w:tcBorders/>
            <w:shd w:fill="FFFFFF" w:val="clear"/>
            <w:tcMar>
              <w:bottom w:w="0" w:type="dxa"/>
            </w:tcMar>
            <w:vAlign w:val="center"/>
          </w:tcPr>
          <w:p>
            <w:pPr>
              <w:pStyle w:val="TableContents"/>
              <w:bidi w:val="0"/>
              <w:spacing w:before="0" w:after="283"/>
              <w:jc w:val="right"/>
              <w:rPr/>
            </w:pPr>
            <w:r>
              <w:rPr/>
              <w:t>25,000,000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May 1 through May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25,000,000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June 1 through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FFFFFF" w:val="clear"/>
            <w:vAlign w:val="center"/>
          </w:tcPr>
          <w:p>
            <w:pPr>
              <w:pStyle w:val="TableContents"/>
              <w:bidi w:val="0"/>
              <w:spacing w:before="0" w:after="283"/>
              <w:jc w:val="left"/>
              <w:rPr/>
            </w:pPr>
            <w:r>
              <w:rPr/>
              <w:t> </w:t>
            </w:r>
          </w:p>
        </w:tc>
        <w:tc>
          <w:tcPr>
            <w:tcW w:w="748"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bottom w:val="single" w:sz="8" w:space="0" w:color="000000"/>
            </w:tcBorders>
            <w:shd w:fill="FFFFFF" w:val="clear"/>
            <w:vAlign w:val="center"/>
          </w:tcPr>
          <w:p>
            <w:pPr>
              <w:pStyle w:val="TableContents"/>
              <w:bidi w:val="0"/>
              <w:spacing w:before="0" w:after="283"/>
              <w:jc w:val="left"/>
              <w:rPr/>
            </w:pPr>
            <w:r>
              <w:rPr/>
              <w:t> </w:t>
            </w:r>
          </w:p>
        </w:tc>
        <w:tc>
          <w:tcPr>
            <w:tcW w:w="132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25,000,000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double" w:sz="6" w:space="0" w:color="000000"/>
            </w:tcBorders>
            <w:shd w:fill="CCEEFF" w:val="clear"/>
            <w:vAlign w:val="center"/>
          </w:tcPr>
          <w:p>
            <w:pPr>
              <w:pStyle w:val="TableContents"/>
              <w:bidi w:val="0"/>
              <w:spacing w:before="0" w:after="283"/>
              <w:jc w:val="left"/>
              <w:rPr/>
            </w:pPr>
            <w:r>
              <w:rPr/>
              <w:t> </w:t>
            </w:r>
          </w:p>
        </w:tc>
        <w:tc>
          <w:tcPr>
            <w:tcW w:w="748"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bottom w:val="double" w:sz="6" w:space="0" w:color="000000"/>
            </w:tcBorders>
            <w:shd w:fill="CCEEFF" w:val="clear"/>
            <w:vAlign w:val="center"/>
          </w:tcPr>
          <w:p>
            <w:pPr>
              <w:pStyle w:val="TableContents"/>
              <w:bidi w:val="0"/>
              <w:spacing w:before="0" w:after="283"/>
              <w:jc w:val="left"/>
              <w:rPr/>
            </w:pPr>
            <w:r>
              <w:rPr/>
              <w:t> </w:t>
            </w:r>
          </w:p>
        </w:tc>
        <w:tc>
          <w:tcPr>
            <w:tcW w:w="132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our Board of Directors approved an extension of, and an increase in the amount of shares of our common stock that may be repurchased under, the Share Repurchase Program until the earlier of (i) October 31, 2026 or (ii) the repurchase of $64.3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six months ended June 30, 2026, we did not repurchase shares of common stock under the Share Repurchase Program. As of June 30, 2026, the dollar value of shares that remained available to be purchased under the Share Repurchase Program was approximately $25.0 million. For more information on the Share Repurchase Program, see “Note 5 — Common Stock” to our Condensed Consolidated Financial Statements as of June 30,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755" w:name="px_008"/>
      <w:bookmarkEnd w:id="1755"/>
      <w:r>
        <w:rPr>
          <w:rFonts w:ascii="Times New Roman;Times;Serif" w:hAnsi="Times New Roman;Times;Serif"/>
          <w:b/>
          <w:i w:val="false"/>
          <w:caps w:val="false"/>
          <w:smallCaps w:val="false"/>
          <w:sz w:val="20"/>
        </w:rPr>
        <w:t>Item 3. Defaults Upon Senior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56" w:name="px_009"/>
      <w:bookmarkEnd w:id="1756"/>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Mine Safety Disclosures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57" w:name="px_010"/>
      <w:bookmarkEnd w:id="175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bookmarkStart w:id="1758" w:name="xdx_90F_eecd--MtrlTermsOfTrdArrTextBlock"/>
      <w:bookmarkEnd w:id="1758"/>
      <w:r>
        <w:rPr>
          <w:rFonts w:ascii="Times New Roman;Times;Serif" w:hAnsi="Times New Roman;Times;Serif"/>
          <w:b w:val="false"/>
          <w:i w:val="false"/>
          <w:caps w:val="false"/>
          <w:smallCaps w:val="false"/>
          <w:sz w:val="20"/>
        </w:rPr>
        <w:t xml:space="preserve">For the period covered by this Quarterly Report on Form 10-Q, no director or officer of the Company has entered into any (i) contract, instruction or written plan for the purchase or sale of securities of the registrant intended to satisfy the affirmative defense conditions of </w:t>
      </w:r>
      <w:bookmarkStart w:id="1759" w:name="xdx_900_eecd--Rule10b51ArrTrmntdFlag_dbF"/>
      <w:bookmarkStart w:id="1760" w:name="xdx_902_eecd--Rule10b51ArrAdoptedFlag_db"/>
      <w:bookmarkEnd w:id="1759"/>
      <w:bookmarkEnd w:id="1760"/>
      <w:r>
        <w:rPr>
          <w:rFonts w:ascii="Times New Roman;Times;Serif" w:hAnsi="Times New Roman;Times;Serif"/>
          <w:b w:val="false"/>
          <w:i w:val="false"/>
          <w:caps w:val="false"/>
          <w:smallCaps w:val="false"/>
          <w:sz w:val="20"/>
        </w:rPr>
        <w:t xml:space="preserve">Rule 10b5-1(c) under the Exchange Act or (ii) any </w:t>
      </w:r>
      <w:bookmarkStart w:id="1761" w:name="xdx_905_eecd--NonRule10b51ArrTrmntdFlag_"/>
      <w:bookmarkStart w:id="1762" w:name="xdx_90F_eecd--NonRule10b51ArrAdoptedFlag"/>
      <w:bookmarkEnd w:id="1761"/>
      <w:bookmarkEnd w:id="1762"/>
      <w:r>
        <w:rPr>
          <w:rFonts w:ascii="Times New Roman;Times;Serif" w:hAnsi="Times New Roman;Times;Serif"/>
          <w:b w:val="false"/>
          <w:i w:val="false"/>
          <w:caps w:val="false"/>
          <w:smallCaps w:val="false"/>
          <w:sz w:val="20"/>
        </w:rPr>
        <w:t xml:space="preserve">non-Rule 10b5-1 trading arrangement.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1763" w:name="xdx_908_eecd--InsiderTrdPoliciesProcAdop"/>
      <w:bookmarkEnd w:id="1763"/>
      <w:r>
        <w:rPr>
          <w:rFonts w:ascii="Times New Roman;Times;Serif" w:hAnsi="Times New Roman;Times;Serif"/>
          <w:b w:val="false"/>
          <w:i w:val="false"/>
          <w:caps w:val="false"/>
          <w:smallCaps w:val="false"/>
          <w:sz w:val="20"/>
        </w:rPr>
        <w:t>adopted insider trading policies and procedures governing the purchase, sale, and disposition of the Company’s securities by officers and directors of the Company that are reasonably designed to promote compliance with insider trading laws, rules and regulations.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64" w:name="px_011"/>
      <w:bookmarkEnd w:id="176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 or hereby incorporated by reference to exhibits previously filed with the SEC:</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1"/>
        <w:gridCol w:w="9554"/>
      </w:tblGrid>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54"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Amendment and Restatement</w:t>
              </w:r>
            </w:hyperlink>
            <w:hyperlink r:id="rId3">
              <w:r>
                <w:rPr>
                  <w:rStyle w:val="InternetLink"/>
                  <w:rFonts w:ascii="Times New Roman;Times;Serif" w:hAnsi="Times New Roman;Times;Serif"/>
                  <w:b w:val="false"/>
                  <w:i w:val="false"/>
                  <w:caps w:val="false"/>
                  <w:smallCaps w:val="false"/>
                  <w:position w:val="7"/>
                  <w:sz w:val="16"/>
                  <w:sz w:val="20"/>
                </w:rPr>
                <w:t>(1)</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54"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Articles of Amendment</w:t>
              </w:r>
            </w:hyperlink>
            <w:hyperlink r:id="rId5">
              <w:r>
                <w:rPr>
                  <w:rStyle w:val="InternetLink"/>
                  <w:rFonts w:ascii="Times New Roman;Times;Serif" w:hAnsi="Times New Roman;Times;Serif"/>
                  <w:b w:val="false"/>
                  <w:i w:val="false"/>
                  <w:caps w:val="false"/>
                  <w:smallCaps w:val="false"/>
                  <w:position w:val="7"/>
                  <w:sz w:val="16"/>
                  <w:sz w:val="20"/>
                </w:rPr>
                <w:t>(2)</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54"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Articles of Amendment</w:t>
              </w:r>
            </w:hyperlink>
            <w:hyperlink r:id="rId7">
              <w:r>
                <w:rPr>
                  <w:rStyle w:val="InternetLink"/>
                  <w:rFonts w:ascii="Times New Roman;Times;Serif" w:hAnsi="Times New Roman;Times;Serif"/>
                  <w:b w:val="false"/>
                  <w:i w:val="false"/>
                  <w:caps w:val="false"/>
                  <w:smallCaps w:val="false"/>
                  <w:position w:val="7"/>
                  <w:sz w:val="16"/>
                  <w:sz w:val="20"/>
                </w:rPr>
                <w:t>(3)</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54"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Articles of Amendment</w:t>
              </w:r>
            </w:hyperlink>
            <w:hyperlink r:id="rId9">
              <w:r>
                <w:rPr>
                  <w:rStyle w:val="InternetLink"/>
                  <w:rFonts w:ascii="Times New Roman;Times;Serif" w:hAnsi="Times New Roman;Times;Serif"/>
                  <w:b w:val="false"/>
                  <w:i w:val="false"/>
                  <w:caps w:val="false"/>
                  <w:smallCaps w:val="false"/>
                  <w:position w:val="7"/>
                  <w:sz w:val="16"/>
                  <w:sz w:val="20"/>
                </w:rPr>
                <w:t>(4)</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54"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Articles of Amendment and Restatement</w:t>
              </w:r>
            </w:hyperlink>
            <w:hyperlink r:id="rId11">
              <w:r>
                <w:rPr>
                  <w:rStyle w:val="InternetLink"/>
                  <w:rFonts w:ascii="Times New Roman;Times;Serif" w:hAnsi="Times New Roman;Times;Serif"/>
                  <w:b w:val="false"/>
                  <w:i w:val="false"/>
                  <w:caps w:val="false"/>
                  <w:smallCaps w:val="false"/>
                  <w:position w:val="7"/>
                  <w:sz w:val="16"/>
                  <w:sz w:val="20"/>
                </w:rPr>
                <w:t>(10)</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54"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Third Amended and Restated Bylaws</w:t>
              </w:r>
            </w:hyperlink>
            <w:hyperlink r:id="rId13">
              <w:r>
                <w:rPr>
                  <w:rStyle w:val="InternetLink"/>
                  <w:rFonts w:ascii="Times New Roman;Times;Serif" w:hAnsi="Times New Roman;Times;Serif"/>
                  <w:b w:val="false"/>
                  <w:i w:val="false"/>
                  <w:caps w:val="false"/>
                  <w:smallCaps w:val="false"/>
                  <w:position w:val="7"/>
                  <w:sz w:val="16"/>
                  <w:sz w:val="20"/>
                </w:rPr>
                <w:t>(10)</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54"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Base Indenture, dated March 28, 2018, by and between the Registrant and U.S. Bank National Association, as trustee</w:t>
              </w:r>
            </w:hyperlink>
            <w:hyperlink r:id="rId15">
              <w:r>
                <w:rPr>
                  <w:rStyle w:val="InternetLink"/>
                  <w:rFonts w:ascii="Times New Roman;Times;Serif" w:hAnsi="Times New Roman;Times;Serif"/>
                  <w:b w:val="false"/>
                  <w:i w:val="false"/>
                  <w:caps w:val="false"/>
                  <w:smallCaps w:val="false"/>
                  <w:position w:val="7"/>
                  <w:sz w:val="16"/>
                  <w:sz w:val="20"/>
                </w:rPr>
                <w:t>(5)</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554"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Second Supplemental Indenture, dated December 17, 2021, relating to the 6.00% Notes due 2026, by and between the Company and U.S. Bank National Association, as trustee</w:t>
              </w:r>
            </w:hyperlink>
            <w:hyperlink r:id="rId17">
              <w:r>
                <w:rPr>
                  <w:rStyle w:val="InternetLink"/>
                  <w:rFonts w:ascii="Times New Roman;Times;Serif" w:hAnsi="Times New Roman;Times;Serif"/>
                  <w:b w:val="false"/>
                  <w:i w:val="false"/>
                  <w:caps w:val="false"/>
                  <w:smallCaps w:val="false"/>
                  <w:position w:val="7"/>
                  <w:sz w:val="16"/>
                  <w:sz w:val="20"/>
                </w:rPr>
                <w:t>(6)</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54"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"https://www.sec.gov/Archives/edgar/data/1509470/000110465921150924/tm2135610d1_ex4-2.htm" \l "S1"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6.00% Notes due 2026 (incorporated by reference to Exhibit 4.2)</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mallCaps w:val="false"/>
                <w:caps w:val="false"/>
                <w:position w:val="7"/>
                <w:sz w:val="16"/>
                <w:sz w:val="20"/>
                <w:i w:val="false"/>
                <w:b w:val="false"/>
                <w:rFonts w:ascii="Times New Roman;Times;Serif" w:hAnsi="Times New Roman;Times;Serif"/>
              </w:rPr>
              <w:instrText xml:space="preserve"> HYPERLINK "https://www.sec.gov/Archives/edgar/data/1509470/000110465921150924/tm2135610d1_ex4-2.htm" \l "S1"</w:instrText>
            </w:r>
            <w:r>
              <w:rPr>
                <w:rStyle w:val="InternetLink"/>
                <w:smallCaps w:val="false"/>
                <w:caps w:val="false"/>
                <w:position w:val="7"/>
                <w:sz w:val="16"/>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position w:val="7"/>
                <w:sz w:val="16"/>
                <w:sz w:val="20"/>
              </w:rPr>
              <w:t>(6)</w:t>
            </w:r>
            <w:r>
              <w:rPr>
                <w:rStyle w:val="InternetLink"/>
                <w:smallCaps w:val="false"/>
                <w:caps w:val="false"/>
                <w:position w:val="7"/>
                <w:sz w:val="16"/>
                <w:sz w:val="20"/>
                <w:i w:val="false"/>
                <w:b w:val="false"/>
                <w:rFonts w:ascii="Times New Roman;Times;Serif" w:hAnsi="Times New Roman;Times;Serif"/>
              </w:rPr>
              <w:fldChar w:fldCharType="end"/>
            </w:r>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54"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Description of Securities</w:t>
              </w:r>
            </w:hyperlink>
            <w:hyperlink r:id="rId19">
              <w:r>
                <w:rPr>
                  <w:rStyle w:val="InternetLink"/>
                  <w:rFonts w:ascii="Times New Roman;Times;Serif" w:hAnsi="Times New Roman;Times;Serif"/>
                  <w:b w:val="false"/>
                  <w:i w:val="false"/>
                  <w:caps w:val="false"/>
                  <w:smallCaps w:val="false"/>
                  <w:position w:val="7"/>
                  <w:sz w:val="16"/>
                  <w:sz w:val="20"/>
                </w:rPr>
                <w:t>(7)</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54"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Notes Purchase Agreement, dated August 6, 2024, by and between the Registrant and the purchaser party thereto</w:t>
              </w:r>
            </w:hyperlink>
            <w:hyperlink r:id="rId21">
              <w:r>
                <w:rPr>
                  <w:rStyle w:val="InternetLink"/>
                  <w:rFonts w:ascii="Times New Roman;Times;Serif" w:hAnsi="Times New Roman;Times;Serif"/>
                  <w:b w:val="false"/>
                  <w:i w:val="false"/>
                  <w:caps w:val="false"/>
                  <w:smallCaps w:val="false"/>
                  <w:position w:val="7"/>
                  <w:sz w:val="16"/>
                  <w:sz w:val="20"/>
                </w:rPr>
                <w:t>(8)</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54"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 xml:space="preserve">Amended and Restated Notes Purchase Agreement, dated December 12, 2025, by and between the Registrant and the purchaser party thereto </w:t>
              </w:r>
            </w:hyperlink>
            <w:hyperlink r:id="rId23">
              <w:r>
                <w:rPr>
                  <w:rStyle w:val="InternetLink"/>
                  <w:rFonts w:ascii="Times New Roman;Times;Serif" w:hAnsi="Times New Roman;Times;Serif"/>
                  <w:b w:val="false"/>
                  <w:i w:val="false"/>
                  <w:caps w:val="false"/>
                  <w:smallCaps w:val="false"/>
                  <w:position w:val="7"/>
                  <w:sz w:val="16"/>
                  <w:sz w:val="20"/>
                </w:rPr>
                <w:t>(9)</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54"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Investment Advisory Agreement, dated July 15, 2026, between the Registrant and Neostellar Advisors LLC</w:t>
              </w:r>
            </w:hyperlink>
            <w:hyperlink r:id="rId25">
              <w:r>
                <w:rPr>
                  <w:rStyle w:val="InternetLink"/>
                  <w:rFonts w:ascii="Times New Roman;Times;Serif" w:hAnsi="Times New Roman;Times;Serif"/>
                  <w:b w:val="false"/>
                  <w:i w:val="false"/>
                  <w:caps w:val="false"/>
                  <w:smallCaps w:val="false"/>
                  <w:position w:val="7"/>
                  <w:sz w:val="16"/>
                  <w:sz w:val="20"/>
                </w:rPr>
                <w:t>(11)</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54"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Administration Agreement, dated July 15, 2026, between the Registrant and Neostellar Administrative Services LLC</w:t>
              </w:r>
            </w:hyperlink>
            <w:hyperlink r:id="rId27">
              <w:r>
                <w:rPr>
                  <w:rStyle w:val="InternetLink"/>
                  <w:rFonts w:ascii="Times New Roman;Times;Serif" w:hAnsi="Times New Roman;Times;Serif"/>
                  <w:b w:val="false"/>
                  <w:i w:val="false"/>
                  <w:caps w:val="false"/>
                  <w:smallCaps w:val="false"/>
                  <w:position w:val="7"/>
                  <w:sz w:val="16"/>
                  <w:sz w:val="20"/>
                </w:rPr>
                <w:t>(11)</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54"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Securities Purchase Agreement, dated June 26, 2026, by and between SuRo Capital Corp. (now known as Neostellar Capital Corp.) and MCP Investing LLC</w:t>
              </w:r>
            </w:hyperlink>
            <w:hyperlink r:id="rId29">
              <w:r>
                <w:rPr>
                  <w:rStyle w:val="InternetLink"/>
                  <w:rFonts w:ascii="Times New Roman;Times;Serif" w:hAnsi="Times New Roman;Times;Serif"/>
                  <w:b w:val="false"/>
                  <w:i w:val="false"/>
                  <w:caps w:val="false"/>
                  <w:smallCaps w:val="false"/>
                  <w:position w:val="7"/>
                  <w:sz w:val="16"/>
                  <w:sz w:val="20"/>
                </w:rPr>
                <w:t>(10)</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54"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Redeemable Promissory Note, dated July 16, 2026, issued by SuRo Capital Corp. (now known as Neostellar Capital Corp.) to MCP Investing LLC</w:t>
              </w:r>
            </w:hyperlink>
            <w:hyperlink r:id="rId31">
              <w:r>
                <w:rPr>
                  <w:rStyle w:val="InternetLink"/>
                  <w:rFonts w:ascii="Times New Roman;Times;Serif" w:hAnsi="Times New Roman;Times;Serif"/>
                  <w:b w:val="false"/>
                  <w:i w:val="false"/>
                  <w:caps w:val="false"/>
                  <w:smallCaps w:val="false"/>
                  <w:position w:val="7"/>
                  <w:sz w:val="16"/>
                  <w:sz w:val="20"/>
                </w:rPr>
                <w:t>(11)</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554"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 13a-14(a) of the Securities Exchange Act of 1934, as amended*</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54"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 13a-14(a) of the Securities Exchange Act of 1934, as amended*</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54"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54"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5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5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5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5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Definition Linkbase Document. </w:t>
            </w:r>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5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5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Pre-Effective Amendment No. 2 to the Registrant’s Registration Statement on Form N-2 (File No. 333-171578), filed on March 30, 2011,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1, 2011,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August 1, 2019,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16, 2020,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Registration Statement on Form N-2 (File No. 333-239681), filed on July 2, 2020,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December 17, 2021,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11, 2022,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as Exhibit 10.19 in connection with the Registrant’s Quarterly Report on Form 10-Q (File No. 814-00852), filed on August 8, 2024,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as Exhibit 10.20 in connection with the Registrant’s Annual Report on Form 10-K (File No. 814-00852) filed on March 11, 2026,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26, 2026,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July 21, 2026, and incorporated by reference herein.</w:t>
            </w:r>
          </w:p>
        </w:tc>
      </w:tr>
      <w:tr>
        <w:trPr/>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65" w:name="px_012"/>
      <w:bookmarkEnd w:id="1765"/>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1760"/>
        <w:gridCol w:w="320"/>
        <w:gridCol w:w="477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0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1766" w:name="ex31-1.htm"/>
      <w:bookmarkStart w:id="1767" w:name="ksex311"/>
      <w:bookmarkEnd w:id="1766"/>
      <w:bookmarkEnd w:id="176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of 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Exchange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Mark D. Klein,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Neostellar Capital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6th day of August, 2026.</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335"/>
        <w:gridCol w:w="200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bookmarkStart w:id="1768" w:name="ex31-2.htm"/>
      <w:bookmarkStart w:id="1769" w:name="ksex312"/>
      <w:bookmarkEnd w:id="1768"/>
      <w:bookmarkEnd w:id="176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of 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Exchange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Allison Green, certify that:</w:t>
      </w:r>
    </w:p>
    <w:p>
      <w:pPr>
        <w:pStyle w:val="TextBody"/>
        <w:bidi w:val="0"/>
        <w:spacing w:before="0" w:after="0"/>
        <w:ind w:left="0"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Neostellar Capital Corp.;</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6th day of August, 2026.</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335"/>
        <w:gridCol w:w="197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1770" w:name="ex32-1.htm"/>
      <w:bookmarkStart w:id="1771" w:name="ksex321"/>
      <w:bookmarkEnd w:id="1770"/>
      <w:bookmarkEnd w:id="177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 (18 U.S.C.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for the three and six months ended June 30, 2026 (the “Report”) of Neostellar Capital Corp. (the “Registrant”), as filed with the Securities and Exchange Commission on the date hereof, I, Mark D. Klein, the Chief Executive Officer of the Registrant, hereby certify, to the best of my knowledge,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Registrant.</w:t>
            </w:r>
          </w:p>
        </w:tc>
      </w:tr>
    </w:tbl>
    <w:p>
      <w:pPr>
        <w:pStyle w:val="TextBody"/>
        <w:bidi w:val="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575"/>
        <w:gridCol w:w="1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tc>
      </w:tr>
    </w:tbl>
    <w:p>
      <w:pPr>
        <w:pStyle w:val="TextBody"/>
        <w:bidi w:val="0"/>
        <w:spacing w:before="0" w:after="0"/>
        <w:ind w:left="72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1772" w:name="ex32-2.htm"/>
      <w:bookmarkStart w:id="1773" w:name="ksex322"/>
      <w:bookmarkEnd w:id="1772"/>
      <w:bookmarkEnd w:id="177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 (18 U.S.C.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for the three and six months ended June 30, 2026 (the “Report”) of Neostellar Capital Corp. (the “Registrant”), as filed with the Securities and Exchange Commission on the date hereof, I, Allison Green, the Chief Financial Officer of the Registrant, hereby certify, to the best of my knowledge,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Registrant.</w:t>
            </w:r>
          </w:p>
        </w:tc>
      </w:tr>
    </w:tbl>
    <w:p>
      <w:pPr>
        <w:pStyle w:val="TextBody"/>
        <w:bidi w:val="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575"/>
        <w:gridCol w:w="1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9470/000113379611000069/k216228_ex99-2a.htm" TargetMode="External"/><Relationship Id="rId3" Type="http://schemas.openxmlformats.org/officeDocument/2006/relationships/hyperlink" Target="https://www.sec.gov/Archives/edgar/data/1509470/000113379611000069/k216228_ex99-2a.htm" TargetMode="External"/><Relationship Id="rId4" Type="http://schemas.openxmlformats.org/officeDocument/2006/relationships/hyperlink" Target="https://www.sec.gov/Archives/edgar/data/1509470/000114420411033389/v224342_ex3-1.htm" TargetMode="External"/><Relationship Id="rId5" Type="http://schemas.openxmlformats.org/officeDocument/2006/relationships/hyperlink" Target="https://www.sec.gov/Archives/edgar/data/1509470/000114420411033389/v224342_ex3-1.htm" TargetMode="External"/><Relationship Id="rId6" Type="http://schemas.openxmlformats.org/officeDocument/2006/relationships/hyperlink" Target="https://www.sec.gov/Archives/edgar/data/1509470/000114420419037014/tv526412_ex3-1.htm" TargetMode="External"/><Relationship Id="rId7" Type="http://schemas.openxmlformats.org/officeDocument/2006/relationships/hyperlink" Target="https://www.sec.gov/Archives/edgar/data/1509470/000114420419037014/tv526412_ex3-1.htm" TargetMode="External"/><Relationship Id="rId8" Type="http://schemas.openxmlformats.org/officeDocument/2006/relationships/hyperlink" Target="https://www.sec.gov/Archives/edgar/data/1509470/000110465920073783/tm2022743d1_ex3-1.htm" TargetMode="External"/><Relationship Id="rId9" Type="http://schemas.openxmlformats.org/officeDocument/2006/relationships/hyperlink" Target="https://www.sec.gov/Archives/edgar/data/1509470/000110465920073783/tm2022743d1_ex3-1.htm" TargetMode="External"/><Relationship Id="rId10" Type="http://schemas.openxmlformats.org/officeDocument/2006/relationships/hyperlink" Target="https://www.sec.gov/Archives/edgar/data/1509470/000149315226030285/ex3-1.htm" TargetMode="External"/><Relationship Id="rId11" Type="http://schemas.openxmlformats.org/officeDocument/2006/relationships/hyperlink" Target="https://www.sec.gov/Archives/edgar/data/1509470/000149315226030285/ex3-1.htm" TargetMode="External"/><Relationship Id="rId12" Type="http://schemas.openxmlformats.org/officeDocument/2006/relationships/hyperlink" Target="https://www.sec.gov/Archives/edgar/data/1509470/000149315226030285/ex3-2.htm" TargetMode="External"/><Relationship Id="rId13" Type="http://schemas.openxmlformats.org/officeDocument/2006/relationships/hyperlink" Target="https://www.sec.gov/Archives/edgar/data/1509470/000149315226030285/ex3-2.htm" TargetMode="External"/><Relationship Id="rId14" Type="http://schemas.openxmlformats.org/officeDocument/2006/relationships/hyperlink" Target="https://www.sec.gov/Archives/edgar/data/1509470/000110465920080689/tm2023838d1_ex-d3.htm" TargetMode="External"/><Relationship Id="rId15" Type="http://schemas.openxmlformats.org/officeDocument/2006/relationships/hyperlink" Target="https://www.sec.gov/Archives/edgar/data/1509470/000110465920080689/tm2023838d1_ex-d3.htm" TargetMode="External"/><Relationship Id="rId16" Type="http://schemas.openxmlformats.org/officeDocument/2006/relationships/hyperlink" Target="https://www.sec.gov/Archives/edgar/data/1509470/000110465921150924/tm2135610d1_ex4-2.htm" TargetMode="External"/><Relationship Id="rId17" Type="http://schemas.openxmlformats.org/officeDocument/2006/relationships/hyperlink" Target="https://www.sec.gov/Archives/edgar/data/1509470/000110465921150924/tm2135610d1_ex4-2.htm" TargetMode="External"/><Relationship Id="rId18" Type="http://schemas.openxmlformats.org/officeDocument/2006/relationships/hyperlink" Target="https://www.sec.gov/Archives/edgar/data/1509470/000162828022005867/surocapital-form10xkex45.htm" TargetMode="External"/><Relationship Id="rId19" Type="http://schemas.openxmlformats.org/officeDocument/2006/relationships/hyperlink" Target="https://www.sec.gov/Archives/edgar/data/1509470/000162828022005867/surocapital-form10xkex45.htm" TargetMode="External"/><Relationship Id="rId20" Type="http://schemas.openxmlformats.org/officeDocument/2006/relationships/hyperlink" Target="https://www.sec.gov/Archives/edgar/data/1509470/000149315224030665/ex10-1.htm" TargetMode="External"/><Relationship Id="rId21" Type="http://schemas.openxmlformats.org/officeDocument/2006/relationships/hyperlink" Target="https://www.sec.gov/Archives/edgar/data/1509470/000149315224030665/ex10-1.htm" TargetMode="External"/><Relationship Id="rId22" Type="http://schemas.openxmlformats.org/officeDocument/2006/relationships/hyperlink" Target="https://www.sec.gov/Archives/edgar/data/1509470/000149315226009641/ex10-20.htm" TargetMode="External"/><Relationship Id="rId23" Type="http://schemas.openxmlformats.org/officeDocument/2006/relationships/hyperlink" Target="https://www.sec.gov/Archives/edgar/data/1509470/000149315226009641/ex10-20.htm" TargetMode="External"/><Relationship Id="rId24" Type="http://schemas.openxmlformats.org/officeDocument/2006/relationships/hyperlink" Target="https://www.sec.gov/Archives/edgar/data/1509470/000149315226034015/ex10-1.htm" TargetMode="External"/><Relationship Id="rId25" Type="http://schemas.openxmlformats.org/officeDocument/2006/relationships/hyperlink" Target="https://www.sec.gov/Archives/edgar/data/1509470/000149315226034015/ex10-1.htm" TargetMode="External"/><Relationship Id="rId26" Type="http://schemas.openxmlformats.org/officeDocument/2006/relationships/hyperlink" Target="https://www.sec.gov/Archives/edgar/data/1509470/000149315226034015/ex10-2.htm" TargetMode="External"/><Relationship Id="rId27" Type="http://schemas.openxmlformats.org/officeDocument/2006/relationships/hyperlink" Target="https://www.sec.gov/Archives/edgar/data/1509470/000149315226034015/ex10-2.htm" TargetMode="External"/><Relationship Id="rId28" Type="http://schemas.openxmlformats.org/officeDocument/2006/relationships/hyperlink" Target="https://www.sec.gov/Archives/edgar/data/1509470/000149315226034015/ex10-3.htm" TargetMode="External"/><Relationship Id="rId29" Type="http://schemas.openxmlformats.org/officeDocument/2006/relationships/hyperlink" Target="https://www.sec.gov/Archives/edgar/data/1509470/000149315226034015/ex10-3.htm" TargetMode="External"/><Relationship Id="rId30" Type="http://schemas.openxmlformats.org/officeDocument/2006/relationships/hyperlink" Target="https://www.sec.gov/Archives/edgar/data/1509470/000149315226034015/ex10-4.htm" TargetMode="External"/><Relationship Id="rId31" Type="http://schemas.openxmlformats.org/officeDocument/2006/relationships/hyperlink" Target="https://www.sec.gov/Archives/edgar/data/1509470/000149315226034015/ex10-4.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40749</Words>
  <Characters>226517</Characters>
  <CharactersWithSpaces>271609</CharactersWithSpaces>
  <Paragraphs>14770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