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505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 w:name="xdx_90B_edei--DocumentPeriodEndDate_c202"/>
      <w:bookmarkEnd w:id="3"/>
      <w:r>
        <w:rPr>
          <w:rFonts w:ascii="Times New Roman;Times;Serif" w:hAnsi="Times New Roman;Times;Serif"/>
          <w:b/>
          <w:i w:val="false"/>
          <w:caps w:val="false"/>
          <w:smallCaps w:val="false"/>
          <w:sz w:val="20"/>
        </w:rPr>
        <w:t>May 5,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SURO CAPITAL CORP.</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375"/>
        <w:gridCol w:w="60"/>
        <w:gridCol w:w="1145"/>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505"/>
            <w:bookmarkEnd w:id="6"/>
            <w:r>
              <w:rPr>
                <w:rFonts w:ascii="Times New Roman;Times;Serif" w:hAnsi="Times New Roman;Times;Serif"/>
                <w:b/>
                <w:i w:val="false"/>
                <w:caps w:val="false"/>
                <w:smallCaps w:val="false"/>
                <w:sz w:val="20"/>
              </w:rPr>
              <w:t>1-35156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27-4443543</w:t>
            </w:r>
          </w:p>
        </w:tc>
      </w:tr>
      <w:tr>
        <w:trPr/>
        <w:tc>
          <w:tcPr>
            <w:tcW w:w="23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640 Fifth Avenue</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AddressLine2_"/>
      <w:bookmarkEnd w:id="9"/>
      <w:r>
        <w:rPr>
          <w:rFonts w:ascii="Times New Roman;Times;Serif" w:hAnsi="Times New Roman;Times;Serif"/>
          <w:b/>
          <w:i w:val="false"/>
          <w:caps w:val="false"/>
          <w:smallCaps w:val="false"/>
          <w:sz w:val="20"/>
        </w:rPr>
        <w:t>12th Floor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New York, </w:t>
      </w:r>
      <w:bookmarkStart w:id="11" w:name="xdx_905_edei--EntityAddressStateOrProvin"/>
      <w:bookmarkEnd w:id="11"/>
      <w:r>
        <w:rPr>
          <w:rFonts w:ascii="Times New Roman;Times;Serif" w:hAnsi="Times New Roman;Times;Serif"/>
          <w:b/>
          <w:i w:val="false"/>
          <w:caps w:val="false"/>
          <w:smallCaps w:val="false"/>
          <w:sz w:val="20"/>
        </w:rPr>
        <w:t xml:space="preserve">NY </w:t>
      </w:r>
      <w:bookmarkStart w:id="12" w:name="xdx_902_edei--EntityAddressPostalZipCode"/>
      <w:bookmarkEnd w:id="12"/>
      <w:r>
        <w:rPr>
          <w:rFonts w:ascii="Times New Roman;Times;Serif" w:hAnsi="Times New Roman;Times;Serif"/>
          <w:b/>
          <w:i w:val="false"/>
          <w:caps w:val="false"/>
          <w:smallCaps w:val="false"/>
          <w:sz w:val="20"/>
        </w:rPr>
        <w:t>10019</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60505__20"/>
      <w:bookmarkEnd w:id="13"/>
      <w:r>
        <w:rPr>
          <w:rFonts w:ascii="Times New Roman;Times;Serif" w:hAnsi="Times New Roman;Times;Serif"/>
          <w:b/>
          <w:i w:val="false"/>
          <w:caps w:val="false"/>
          <w:smallCaps w:val="false"/>
          <w:sz w:val="20"/>
        </w:rPr>
        <w:t xml:space="preserve">(212) </w:t>
      </w:r>
      <w:bookmarkStart w:id="14" w:name="xdx_909_edei--LocalPhoneNumber_c20260505"/>
      <w:bookmarkEnd w:id="14"/>
      <w:r>
        <w:rPr>
          <w:rFonts w:ascii="Times New Roman;Times;Serif" w:hAnsi="Times New Roman;Times;Serif"/>
          <w:b/>
          <w:i w:val="false"/>
          <w:caps w:val="false"/>
          <w:smallCaps w:val="false"/>
          <w:sz w:val="20"/>
        </w:rPr>
        <w:t>931-6331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pBdr/>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0_edei--SolicitingMaterial_c202605"/>
            <w:bookmarkEnd w:id="16"/>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pBd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pBdr/>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410"/>
        <w:gridCol w:w="60"/>
        <w:gridCol w:w="1445"/>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505"/>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0505__2"/>
            <w:bookmarkEnd w:id="20"/>
            <w:r>
              <w:rPr>
                <w:rFonts w:ascii="Times New Roman;Times;Serif" w:hAnsi="Times New Roman;Times;Serif"/>
                <w:b w:val="false"/>
                <w:i w:val="false"/>
                <w:caps w:val="false"/>
                <w:smallCaps w:val="false"/>
                <w:sz w:val="20"/>
              </w:rPr>
              <w:t>SSSS</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Nasdaq Global Select Market</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Security12bTitle_c20260505"/>
            <w:bookmarkEnd w:id="22"/>
            <w:r>
              <w:rPr>
                <w:rFonts w:ascii="Times New Roman;Times;Serif" w:hAnsi="Times New Roman;Times;Serif"/>
                <w:b w:val="false"/>
                <w:i w:val="false"/>
                <w:caps w:val="false"/>
                <w:smallCaps w:val="false"/>
                <w:sz w:val="20"/>
              </w:rPr>
              <w:t>6.00% Notes due 2026</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1_edei--TradingSymbol_c20260505__2"/>
            <w:bookmarkEnd w:id="23"/>
            <w:r>
              <w:rPr>
                <w:rFonts w:ascii="Times New Roman;Times;Serif" w:hAnsi="Times New Roman;Times;Serif"/>
                <w:b w:val="false"/>
                <w:i w:val="false"/>
                <w:caps w:val="false"/>
                <w:smallCaps w:val="false"/>
                <w:sz w:val="20"/>
              </w:rPr>
              <w:t>SSSSL</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6"/>
            <w:bookmarkEnd w:id="24"/>
            <w:r>
              <w:rPr>
                <w:rFonts w:ascii="Times New Roman;Times;Serif" w:hAnsi="Times New Roman;Times;Serif"/>
                <w:b w:val="false"/>
                <w:i w:val="false"/>
                <w:caps w:val="false"/>
                <w:smallCaps w:val="false"/>
                <w:sz w:val="20"/>
              </w:rPr>
              <w:t>Nasdaq Global Select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C_edei--EntityEmergingGrowthCompan"/>
      <w:bookmarkEnd w:id="25"/>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SuRo Capital Corp. (the “Company”) issued a press release announcing its financial results for the fiscal quarter ended March 31, 2026 (the “Press Release”). A copy of the Press Release is included as Exhibit 99.1 to this Current Report on Form 8-K and is incorporated into this Item 2.02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2.02, including the information set forth in Exhibit 99.1 hereto, is being “furnished” and shall not be deemed “filed” for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pStyle w:val="TextBody"/>
        <w:pBdr/>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pBdr/>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1055"/>
        <w:gridCol w:w="60"/>
        <w:gridCol w:w="648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May 5, 2026*</w:t>
              </w:r>
            </w:hyperlink>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press release attached hereto as Exhibit 99.1 is “furnished” and not “filed,” as described in Item 2.02 of this Current Report on Form 8-K.</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1550"/>
        <w:gridCol w:w="365"/>
        <w:gridCol w:w="4730"/>
      </w:tblGrid>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5, 2026</w:t>
            </w:r>
          </w:p>
        </w:tc>
        <w:tc>
          <w:tcPr>
            <w:tcW w:w="50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0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28800" cy="814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81407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 Reports First Quarter 2026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Approves Joint Venture with Magnetar to Form Neostellar Advisors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Asset Value of $14.24 Per Share as of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YORK, NY, May 5, 2026 (GLOBE NEWSWIRE) – </w:t>
      </w:r>
      <w:r>
        <w:rPr>
          <w:rFonts w:ascii="Times New Roman;Times;Serif" w:hAnsi="Times New Roman;Times;Serif"/>
          <w:b/>
          <w:i w:val="false"/>
          <w:caps w:val="false"/>
          <w:smallCaps w:val="false"/>
          <w:sz w:val="20"/>
          <w:u w:val="single"/>
        </w:rPr>
        <w:t>SuRo Capital Corp.</w:t>
      </w:r>
      <w:r>
        <w:rPr>
          <w:rFonts w:ascii="Times New Roman;Times;Serif" w:hAnsi="Times New Roman;Times;Serif"/>
          <w:b/>
          <w:i w:val="false"/>
          <w:caps w:val="false"/>
          <w:smallCaps w:val="false"/>
          <w:sz w:val="20"/>
        </w:rPr>
        <w:t xml:space="preserve"> (“SuRo Capital”, the “Company”, “we”, “us”, and “our”)</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i w:val="false"/>
          <w:caps w:val="false"/>
          <w:smallCaps w:val="false"/>
          <w:sz w:val="20"/>
          <w:u w:val="single"/>
        </w:rPr>
        <w:t>SSSS</w:t>
      </w:r>
      <w:r>
        <w:rPr>
          <w:rFonts w:ascii="Times New Roman;Times;Serif" w:hAnsi="Times New Roman;Times;Serif"/>
          <w:b w:val="false"/>
          <w:i w:val="false"/>
          <w:caps w:val="false"/>
          <w:smallCaps w:val="false"/>
          <w:sz w:val="20"/>
        </w:rPr>
        <w:t>) today announced its financial results for the first quarter ended March 31, 2026. Net assets totaled approximately $361.6 million, or $14.24 per share, at March 31, 2026, as compared to $8.09 per share, at December 31, 2025 and $6.66 per share at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SuRo Capital delivered an unprecedented quarter, with net asset value increasing from $8.09 per share at December 31, 2025 to $14.24 per share at March 31, 2026,” said Mark Klein, Chairman and Chief Executive Officer. “This $6.15 per share increase, or approximately 76% quarter-over-quarter, reflects strong portfolio performance and the continued relevance of our strategy of providing public market investors with access to high-growth, venture-backed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performance reflects meaningful momentum across the portfolio, including recent financing activity at WHOOP and OpenAI. During the quarter, we invested $5 million in a Magnetar special purpose vehicle investing in TensorWave, and subsequent to quarter-end, invested $9.5 million in ClickHouse, expanding our exposure to AI and data infrastructure through companies we believe are positioned among the next wave of category leaders.”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Board has approved what we believe is one of the most significant strategic steps in SuRo Capital’s history: the proposed transition to an externally managed structure through Neostellar Advisors LLC, an adviser jointly owned by our team and Magnetar, subject to stockholder approval,” Mr. Klein continued. “We are excited to pair our investment strategy and leadership continuity with Magnetar’s scale, sourcing reach, diligence capabilities, portfolio support, and institutional infrastructure. We believe this partnership meaningfully strengthens our ability to invest in high-quality private companies and drive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focused on building on this momentum and believe our portfolio progress, together with our proposed relationship with Magnetar, positions SuRo Capital to continue investing in high-quality private companies and creating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Externalization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SuRo Capital’s Board of Directors, including all of its independent directors, unanimously approved a proposal to transition from an internally managed BDC to an externally managed structure through a new investment advisory agreement with Neostellar Advisors LLC, an entity jointly owned by certain current SuRo Capital employees and Magnetar Holdings LLC, which is affiliated with Magnetar’s multi-strategy alternative investment platform. The externalization is expected to provide access to enhanced investment sourcing and due diligence capabilities through Magnetar’s fully integrated platform, preserve all realized gains on the Company’s existing portfolio for the benefit of stockholders through the exclusion of pre-existing investments from any incentive fee calculations, and result in annual expense savings. In connection with the externalization, an affiliate of Magnetar Holdings LLC will, subject to certain conditions, make a $20 million investment in the Company, and the Company’s current management team, including Mark D. Klein and Allison Green, will continue in their current capacities. The externalization is subject to stockholder approval, and additional details are set forth in the Company’s Current Report on Form 8-K filed with the Securities and Exchange Commission on April 7,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SuRo Capital held positions in 36 portfolio companies – 33 privately held and 3 publicly held – with an aggregate fair value of approximately $388.5 million. The Company’s top five portfolio company investments accounted for approximately 72% of the total portfolio at fair value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Top Five Investments as of March 31, 2026</w:t>
      </w:r>
    </w:p>
    <w:p>
      <w:pPr>
        <w:pStyle w:val="TextBody"/>
        <w:bidi w:val="0"/>
        <w:spacing w:before="0" w:after="0"/>
        <w:ind w:left="0" w:right="0" w:hanging="0"/>
        <w:jc w:val="both"/>
        <w:rPr>
          <w:caps w:val="false"/>
          <w:smallCaps w:val="false"/>
        </w:rPr>
      </w:pPr>
      <w:r>
        <w:rPr>
          <w:caps w:val="false"/>
          <w:smallCaps w:val="false"/>
        </w:rPr>
        <w:t> </w:t>
      </w:r>
    </w:p>
    <w:tbl>
      <w:tblPr>
        <w:tblW w:w="8468" w:type="dxa"/>
        <w:jc w:val="left"/>
        <w:tblInd w:w="0" w:type="dxa"/>
        <w:tblLayout w:type="fixed"/>
        <w:tblCellMar>
          <w:top w:w="0" w:type="dxa"/>
          <w:left w:w="0" w:type="dxa"/>
          <w:bottom w:w="28" w:type="dxa"/>
          <w:right w:w="0" w:type="dxa"/>
        </w:tblCellMar>
      </w:tblPr>
      <w:tblGrid>
        <w:gridCol w:w="3650"/>
        <w:gridCol w:w="60"/>
        <w:gridCol w:w="258"/>
        <w:gridCol w:w="811"/>
        <w:gridCol w:w="60"/>
        <w:gridCol w:w="60"/>
        <w:gridCol w:w="223"/>
        <w:gridCol w:w="892"/>
        <w:gridCol w:w="60"/>
        <w:gridCol w:w="60"/>
        <w:gridCol w:w="245"/>
        <w:gridCol w:w="1814"/>
        <w:gridCol w:w="275"/>
      </w:tblGrid>
      <w:tr>
        <w:trPr/>
        <w:tc>
          <w:tcPr>
            <w:tcW w:w="365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Portfolio Company (</w:t>
            </w:r>
            <w:r>
              <w:rPr>
                <w:rFonts w:ascii="Times New Roman;Times;Serif" w:hAnsi="Times New Roman;Times;Serif"/>
                <w:b/>
                <w:i/>
                <w:sz w:val="20"/>
              </w:rPr>
              <w:t>$ in millions)</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Total Portfolio</w:t>
            </w:r>
          </w:p>
        </w:tc>
        <w:tc>
          <w:tcPr>
            <w:tcW w:w="275" w:type="dxa"/>
            <w:tcBorders/>
            <w:tcMar>
              <w:bottom w:w="0" w:type="dxa"/>
            </w:tcMar>
            <w:vAlign w:val="center"/>
          </w:tcPr>
          <w:p>
            <w:pPr>
              <w:pStyle w:val="TableContents"/>
              <w:bidi w:val="0"/>
              <w:spacing w:before="0" w:after="283"/>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Whoop,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w:t>
            </w:r>
          </w:p>
        </w:tc>
        <w:tc>
          <w:tcPr>
            <w:tcW w:w="2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ARK Type One Deep Ventures Fund LLC</w:t>
            </w:r>
            <w:r>
              <w:rPr>
                <w:rFonts w:ascii="Times New Roman;Times;Serif" w:hAnsi="Times New Roman;Times;Serif"/>
                <w:position w:val="7"/>
                <w:sz w:val="16"/>
                <w:sz w:val="20"/>
              </w:rPr>
              <w:t xml:space="preserve">(1)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IH10, LLC</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Blink Health,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 Opportunity 2 LP</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bottom w:val="single" w:sz="8" w:space="0" w:color="000000"/>
            </w:tcBorders>
            <w:shd w:fill="CCEEFF" w:val="clear"/>
            <w:vAlign w:val="center"/>
          </w:tcPr>
          <w:p>
            <w:pPr>
              <w:pStyle w:val="TableContents"/>
              <w:bidi w:val="0"/>
              <w:spacing w:before="0" w:after="283"/>
              <w:jc w:val="left"/>
              <w:rPr/>
            </w:pPr>
            <w:r>
              <w:rPr/>
              <w:t> </w:t>
            </w:r>
          </w:p>
        </w:tc>
        <w:tc>
          <w:tcPr>
            <w:tcW w:w="81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8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bottom w:val="single" w:sz="8" w:space="0" w:color="000000"/>
            </w:tcBorders>
            <w:shd w:fill="CCEEFF" w:val="clear"/>
            <w:vAlign w:val="center"/>
          </w:tcPr>
          <w:p>
            <w:pPr>
              <w:pStyle w:val="TableContents"/>
              <w:bidi w:val="0"/>
              <w:spacing w:before="0" w:after="283"/>
              <w:jc w:val="left"/>
              <w:rPr/>
            </w:pPr>
            <w:r>
              <w:rPr/>
              <w:t> </w:t>
            </w:r>
          </w:p>
        </w:tc>
        <w:tc>
          <w:tcPr>
            <w:tcW w:w="181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65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92"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72.0</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Type One Deep Ventures Fund LLC is an investment fund for which the Class A Interest is solely invested in the Series A-2 Preferred Shares of OpenAI Global, LLC. SuRo Capital is invested in the Series A-2 Preferred Shares of OpenAI Global, LLC through its investment in the Class A Interest of ARK Type One Deep Ventures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IH10, LLC’s sole portfolio asset is interest in the Series B Preferred Shares of VAST Data, Ltd. through an SPV. SuRo Capital is invested in the Series B Preferred Shares of VAST Data, Ltd. through its investment in the Membership Interest of IH10,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may not sum due to rounding.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Investment Portfolio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SuRo Capital made the following investment:</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2975"/>
        <w:gridCol w:w="60"/>
        <w:gridCol w:w="1520"/>
        <w:gridCol w:w="60"/>
        <w:gridCol w:w="1790"/>
        <w:gridCol w:w="60"/>
        <w:gridCol w:w="140"/>
        <w:gridCol w:w="920"/>
        <w:gridCol w:w="75"/>
      </w:tblGrid>
      <w:tr>
        <w:trPr/>
        <w:tc>
          <w:tcPr>
            <w:tcW w:w="29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Transaction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r>
              <w:rPr>
                <w:rFonts w:ascii="Times New Roman;Times;Serif" w:hAnsi="Times New Roman;Times;Serif"/>
                <w:b/>
                <w:position w:val="7"/>
                <w:sz w:val="16"/>
                <w:sz w:val="20"/>
              </w:rPr>
              <w:t>(1)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Magnetar Opportunity 2025-4 LP</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Class A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 million</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or prepaid expenses,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 is an SPV invested in TensorWave, Inc. On December 31, 2025, SuRo Capital committed up to $20.0 million to Magnetar Opportunity 2025-4 LP. As of May 5, 2026, $5.0 million of the $20.0 million capital commitment to Magnetar Opportunity 2025-4 LP had been funded. The remaining commitment of up to $15.0 million is subject to the satisfaction of certain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SuRo Capital exited and/or received proceeds from the following investments: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57"/>
        <w:gridCol w:w="60"/>
        <w:gridCol w:w="1055"/>
        <w:gridCol w:w="60"/>
        <w:gridCol w:w="78"/>
        <w:gridCol w:w="1044"/>
        <w:gridCol w:w="215"/>
        <w:gridCol w:w="60"/>
        <w:gridCol w:w="454"/>
        <w:gridCol w:w="1438"/>
        <w:gridCol w:w="60"/>
        <w:gridCol w:w="60"/>
        <w:gridCol w:w="140"/>
        <w:gridCol w:w="846"/>
        <w:gridCol w:w="60"/>
        <w:gridCol w:w="60"/>
        <w:gridCol w:w="140"/>
        <w:gridCol w:w="839"/>
        <w:gridCol w:w="79"/>
      </w:tblGrid>
      <w:tr>
        <w:trPr/>
        <w:tc>
          <w:tcPr>
            <w:tcW w:w="3457"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12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Capital</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Net Share 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c>
          <w:tcPr>
            <w:tcW w:w="79" w:type="dxa"/>
            <w:tcBorders/>
            <w:tcMar>
              <w:bottom w:w="0" w:type="dxa"/>
            </w:tcMar>
            <w:vAlign w:val="center"/>
          </w:tcPr>
          <w:p>
            <w:pPr>
              <w:pStyle w:val="TableContents"/>
              <w:bidi w:val="0"/>
              <w:spacing w:before="0" w:after="283"/>
              <w:jc w:val="left"/>
              <w:rPr/>
            </w:pPr>
            <w:r>
              <w:rPr/>
              <w:t> </w:t>
            </w:r>
          </w:p>
        </w:tc>
      </w:tr>
      <w:tr>
        <w:trPr/>
        <w:tc>
          <w:tcPr>
            <w:tcW w:w="34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GrabAGun Digital Holdings Inc. - </w:t>
            </w:r>
            <w:r>
              <w:rPr>
                <w:rFonts w:ascii="Times New Roman;Times;Serif" w:hAnsi="Times New Roman;Times;Serif"/>
                <w:i/>
                <w:sz w:val="20"/>
              </w:rPr>
              <w:t>Common Shares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440,246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 million</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4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True Global Ventures 4 Plus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4" w:type="dxa"/>
            <w:tcBorders/>
            <w:shd w:fill="FFFFFF" w:val="clear"/>
            <w:tcMar>
              <w:bottom w:w="0" w:type="dxa"/>
            </w:tcMar>
            <w:vAlign w:val="center"/>
          </w:tcPr>
          <w:p>
            <w:pPr>
              <w:pStyle w:val="TableContents"/>
              <w:bidi w:val="0"/>
              <w:spacing w:before="0" w:after="283"/>
              <w:jc w:val="left"/>
              <w:rPr/>
            </w:pPr>
            <w:r>
              <w:rPr/>
              <w:t> </w:t>
            </w:r>
          </w:p>
        </w:tc>
        <w:tc>
          <w:tcPr>
            <w:tcW w:w="14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 million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SuRo Capital holds 599,754 common shares of GrabAGun Digital Holdings, Inc.</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through May 5, 2026, SuRo Capital made the following investments: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1985"/>
        <w:gridCol w:w="60"/>
        <w:gridCol w:w="2450"/>
        <w:gridCol w:w="60"/>
        <w:gridCol w:w="1790"/>
        <w:gridCol w:w="60"/>
        <w:gridCol w:w="140"/>
        <w:gridCol w:w="920"/>
        <w:gridCol w:w="75"/>
      </w:tblGrid>
      <w:tr>
        <w:trPr/>
        <w:tc>
          <w:tcPr>
            <w:tcW w:w="198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Transaction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r>
              <w:rPr>
                <w:rFonts w:ascii="Times New Roman;Times;Serif" w:hAnsi="Times New Roman;Times;Serif"/>
                <w:b/>
                <w:position w:val="7"/>
                <w:sz w:val="16"/>
                <w:sz w:val="20"/>
              </w:rPr>
              <w:t>(1)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Huntress Labs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 million</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ClickHouse,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Series A Preferred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4/22/2026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 million</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658" w:type="dxa"/>
        <w:jc w:val="left"/>
        <w:tblInd w:w="0" w:type="dxa"/>
        <w:tblLayout w:type="fixed"/>
        <w:tblCellMar>
          <w:top w:w="0" w:type="dxa"/>
          <w:left w:w="0" w:type="dxa"/>
          <w:bottom w:w="0" w:type="dxa"/>
          <w:right w:w="0" w:type="dxa"/>
        </w:tblCellMar>
      </w:tblPr>
      <w:tblGrid>
        <w:gridCol w:w="38"/>
        <w:gridCol w:w="245"/>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through May 5, 2026, SuRo Capital exited and/or received proceeds from the following investment:</w:t>
      </w:r>
    </w:p>
    <w:p>
      <w:pPr>
        <w:pStyle w:val="TextBody"/>
        <w:bidi w:val="0"/>
        <w:spacing w:before="0" w:after="0"/>
        <w:ind w:left="0" w:right="0" w:hanging="0"/>
        <w:jc w:val="left"/>
        <w:rPr>
          <w:caps w:val="false"/>
          <w:smallCaps w:val="false"/>
        </w:rPr>
      </w:pPr>
      <w:r>
        <w:rPr>
          <w:caps w:val="false"/>
          <w:smallCaps w:val="false"/>
        </w:rPr>
        <w:t> </w:t>
      </w:r>
    </w:p>
    <w:tbl>
      <w:tblPr>
        <w:tblW w:w="6848" w:type="dxa"/>
        <w:jc w:val="left"/>
        <w:tblInd w:w="0" w:type="dxa"/>
        <w:tblLayout w:type="fixed"/>
        <w:tblCellMar>
          <w:top w:w="0" w:type="dxa"/>
          <w:left w:w="0" w:type="dxa"/>
          <w:bottom w:w="28" w:type="dxa"/>
          <w:right w:w="0" w:type="dxa"/>
        </w:tblCellMar>
      </w:tblPr>
      <w:tblGrid>
        <w:gridCol w:w="2165"/>
        <w:gridCol w:w="60"/>
        <w:gridCol w:w="1790"/>
        <w:gridCol w:w="60"/>
        <w:gridCol w:w="147"/>
        <w:gridCol w:w="967"/>
        <w:gridCol w:w="60"/>
        <w:gridCol w:w="60"/>
        <w:gridCol w:w="161"/>
        <w:gridCol w:w="1058"/>
        <w:gridCol w:w="320"/>
      </w:tblGrid>
      <w:tr>
        <w:trPr/>
        <w:tc>
          <w:tcPr>
            <w:tcW w:w="216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Transaction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Realized Gain</w:t>
            </w:r>
          </w:p>
        </w:tc>
        <w:tc>
          <w:tcPr>
            <w:tcW w:w="320"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 Opportunity 2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 million</w:t>
            </w:r>
          </w:p>
        </w:tc>
        <w:tc>
          <w:tcPr>
            <w:tcW w:w="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position w:val="8"/>
                <w:sz w:val="19"/>
              </w:rPr>
              <w:t>(1)</w:t>
            </w:r>
            <w:r>
              <w:rPr>
                <w:rFonts w:ascii="Times New Roman;Times;Serif" w:hAnsi="Times New Roman;Times;Serif"/>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 Realized gain is calculated based on the current reporting by the SPV and may be subject to change or adjustment due to the impact of performance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5"/>
        <w:gridCol w:w="60"/>
        <w:gridCol w:w="262"/>
        <w:gridCol w:w="954"/>
        <w:gridCol w:w="161"/>
        <w:gridCol w:w="102"/>
        <w:gridCol w:w="238"/>
        <w:gridCol w:w="877"/>
        <w:gridCol w:w="95"/>
        <w:gridCol w:w="60"/>
        <w:gridCol w:w="284"/>
        <w:gridCol w:w="834"/>
        <w:gridCol w:w="159"/>
        <w:gridCol w:w="100"/>
        <w:gridCol w:w="235"/>
        <w:gridCol w:w="995"/>
        <w:gridCol w:w="114"/>
      </w:tblGrid>
      <w:tr>
        <w:trPr/>
        <w:tc>
          <w:tcPr>
            <w:tcW w:w="4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Quarter Ended 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Quarter Ended March 31, 2025</w:t>
            </w:r>
          </w:p>
        </w:tc>
        <w:tc>
          <w:tcPr>
            <w:tcW w:w="114" w:type="dxa"/>
            <w:tcBorders/>
            <w:vAlign w:val="center"/>
          </w:tcPr>
          <w:p>
            <w:pPr>
              <w:pStyle w:val="TableContents"/>
              <w:bidi w:val="0"/>
              <w:spacing w:before="0" w:after="283"/>
              <w:jc w:val="left"/>
              <w:rPr/>
            </w:pPr>
            <w:r>
              <w:rPr/>
              <w:t> </w:t>
            </w:r>
          </w:p>
        </w:tc>
      </w:tr>
      <w:tr>
        <w:trPr/>
        <w:tc>
          <w:tcPr>
            <w:tcW w:w="4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 in millions</w:t>
            </w:r>
          </w:p>
        </w:tc>
        <w:tc>
          <w:tcPr>
            <w:tcW w:w="16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per share</w:t>
            </w:r>
            <w:r>
              <w:rPr>
                <w:rFonts w:ascii="Times New Roman;Times;Serif" w:hAnsi="Times New Roman;Times;Serif"/>
                <w:i/>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 in millions</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per share</w:t>
            </w:r>
            <w:r>
              <w:rPr>
                <w:rFonts w:ascii="Times New Roman;Times;Serif" w:hAnsi="Times New Roman;Times;Serif"/>
                <w:i/>
                <w:position w:val="7"/>
                <w:sz w:val="16"/>
                <w:sz w:val="20"/>
              </w:rPr>
              <w:t>(1)</w:t>
            </w:r>
          </w:p>
        </w:tc>
        <w:tc>
          <w:tcPr>
            <w:tcW w:w="114" w:type="dxa"/>
            <w:tcBorders/>
            <w:vAlign w:val="center"/>
          </w:tcPr>
          <w:p>
            <w:pPr>
              <w:pStyle w:val="TableContents"/>
              <w:bidi w:val="0"/>
              <w:spacing w:before="0" w:after="283"/>
              <w:jc w:val="left"/>
              <w:rPr/>
            </w:pPr>
            <w:r>
              <w:rPr/>
              <w:t> </w:t>
            </w:r>
          </w:p>
        </w:tc>
      </w:tr>
      <w:tr>
        <w:trPr/>
        <w:tc>
          <w:tcPr>
            <w:tcW w:w="4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4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investment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1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realized gain/(loss) on investments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(&lt;0.1)</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(&lt;0.01)</w:t>
            </w:r>
          </w:p>
        </w:tc>
        <w:tc>
          <w:tcPr>
            <w:tcW w:w="114" w:type="dxa"/>
            <w:tcBorders/>
            <w:shd w:fill="CCEEFF" w:val="clear"/>
            <w:vAlign w:val="center"/>
          </w:tcPr>
          <w:p>
            <w:pPr>
              <w:pStyle w:val="TableContents"/>
              <w:bidi w:val="0"/>
              <w:spacing w:before="0" w:after="283"/>
              <w:jc w:val="left"/>
              <w:rPr/>
            </w:pPr>
            <w:r>
              <w:rPr/>
              <w:t> </w:t>
            </w:r>
          </w:p>
        </w:tc>
      </w:tr>
      <w:tr>
        <w:trPr/>
        <w:tc>
          <w:tcPr>
            <w:tcW w:w="4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partial repurchase of 6.00% Notes due 2026</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(&lt;0.1)</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(&lt;0.01)</w:t>
            </w:r>
          </w:p>
        </w:tc>
        <w:tc>
          <w:tcPr>
            <w:tcW w:w="114" w:type="dxa"/>
            <w:tcBorders/>
            <w:shd w:fill="CCEEFF" w:val="clear"/>
            <w:vAlign w:val="center"/>
          </w:tcPr>
          <w:p>
            <w:pPr>
              <w:pStyle w:val="TableContents"/>
              <w:bidi w:val="0"/>
              <w:spacing w:before="0" w:after="283"/>
              <w:jc w:val="left"/>
              <w:rPr/>
            </w:pPr>
            <w:r>
              <w:rPr/>
              <w:t> </w:t>
            </w:r>
          </w:p>
        </w:tc>
      </w:tr>
      <w:tr>
        <w:trPr/>
        <w:tc>
          <w:tcPr>
            <w:tcW w:w="4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114" w:type="dxa"/>
            <w:tcBorders/>
            <w:shd w:fill="CCEEFF" w:val="clear"/>
            <w:vAlign w:val="center"/>
          </w:tcPr>
          <w:p>
            <w:pPr>
              <w:pStyle w:val="TableContents"/>
              <w:bidi w:val="0"/>
              <w:spacing w:before="0" w:after="283"/>
              <w:jc w:val="left"/>
              <w:rPr/>
            </w:pPr>
            <w:r>
              <w:rPr/>
              <w:t> </w:t>
            </w:r>
          </w:p>
        </w:tc>
      </w:tr>
      <w:tr>
        <w:trPr/>
        <w:tc>
          <w:tcPr>
            <w:tcW w:w="4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increase/(decrease) in net assets resulting from operations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155.6</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114" w:type="dxa"/>
            <w:tcBorders/>
            <w:shd w:fill="CCEEFF" w:val="clear"/>
            <w:vAlign w:val="center"/>
          </w:tcPr>
          <w:p>
            <w:pPr>
              <w:pStyle w:val="TableContents"/>
              <w:bidi w:val="0"/>
              <w:spacing w:before="0" w:after="283"/>
              <w:jc w:val="left"/>
              <w:rPr/>
            </w:pPr>
            <w:r>
              <w:rPr/>
              <w:t> </w:t>
            </w:r>
          </w:p>
        </w:tc>
      </w:tr>
      <w:tr>
        <w:trPr/>
        <w:tc>
          <w:tcPr>
            <w:tcW w:w="4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6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Increase/(Decrease) in net asset value</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156.2</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7338" w:type="dxa"/>
        <w:jc w:val="left"/>
        <w:tblInd w:w="0" w:type="dxa"/>
        <w:tblLayout w:type="fixed"/>
        <w:tblCellMar>
          <w:top w:w="0" w:type="dxa"/>
          <w:left w:w="0" w:type="dxa"/>
          <w:bottom w:w="0" w:type="dxa"/>
          <w:right w:w="0" w:type="dxa"/>
        </w:tblCellMar>
      </w:tblPr>
      <w:tblGrid>
        <w:gridCol w:w="38"/>
        <w:gridCol w:w="245"/>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basic weighted-average number of shares outstanding for the relevant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may not sum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basic shares outstanding were approximately 25.4 million and 23.6 million for the quarters ended March 31, 2026 and 2025, respectively. As of March 31, 2026, there were 25,387,393 shares of the Company’s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Management will hold a conference call and webcast for investors at 2:00 p.m. PT (5:00 p.m. ET) on May 5, 2026. The conference call access number for U.S. participants is 866-580-3963, and the conference call access number for participants outside the U.S. is +1 786-697-3501. The conference ID number for both access numbers is 3731653. Additionally, interested parties can listen to a live webcast of the call from the “Investor Relations” section of SuRo Capital’s website at </w:t>
      </w:r>
      <w:r>
        <w:rPr>
          <w:rFonts w:ascii="Times New Roman;Times;Serif" w:hAnsi="Times New Roman;Times;Serif"/>
          <w:b w:val="false"/>
          <w:i w:val="false"/>
          <w:caps w:val="false"/>
          <w:smallCaps w:val="false"/>
          <w:sz w:val="20"/>
          <w:u w:val="single"/>
          <w:shd w:fill="FFFFFF" w:val="clear"/>
        </w:rPr>
        <w:t>www.surocap.com</w:t>
      </w:r>
      <w:r>
        <w:rPr>
          <w:rFonts w:ascii="Times New Roman;Times;Serif" w:hAnsi="Times New Roman;Times;Serif"/>
          <w:b w:val="false"/>
          <w:i w:val="false"/>
          <w:caps w:val="false"/>
          <w:smallCaps w:val="false"/>
          <w:sz w:val="20"/>
          <w:shd w:fill="FFFFFF" w:val="clear"/>
        </w:rPr>
        <w:t>. An archived replay of the webcast will also be available for 12 months following the live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replay of the conference call may be accessed until 5:00 p.m. PT (8:00 p.m. ET) on May 12, 2026 by dialing 866-583-1035 (U.S.) or +44 (0) 20 3451 9993 (International) and using conference ID number 3731653.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included herein, including statements regarding SuRo Capital’s beliefs, expectations, intentions, or strategies for the future, may constitute “forward-looking statements”. SuRo Capital cautions you that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that could cause actual results to differ materially from the plans, intentions, and expectations reflected in or suggested by the forward-looking statements. With respect to the externalization, these risks and uncertainties include, but are not limited to: the ability to obtain the required stockholder approval; the ability to retain key personnel; the ability to realize the anticipated benefits of the externalization; and the impact of the externalization on the Company’s business, financial condition, and results of operations. Risk factors, cautionary statements, and other conditions which could cause SuRo Capital’s actual results to differ from management’s current expectations are contained in SuRo Capital’s filings with the Securities and Exchange Commission. SuRo Capital undertakes no obligation to update any forward-looking statement to reflect events or circumstances that may arise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any securities of SuRo Capital. The information contained herein is for informational purposes only and is not intended to be a substitute for financial, legal, or tax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Externalization, the Company filed a definitive proxy statement (the “Proxy Statement”) with the SEC on April 29, 2026 and is mailing the Proxy Statement to its stockholders. The Proxy Statement contains important information about the Company, Magnetar, the proposed Externalization and related matters. INVESTORS AND SECURITY HOLDERS ARE URGED TO READ THE PROXY STATEMENT, AS WELL AS ANY AMENDMENTS OR SUPPLEMENTS THERETO, CAREFULLY AND IN ITS ENTIRETY BECAUSE IT CONTAINS IMPORTANT INFORMATION ABOUT THE COMPANY, MAGNETAR, THE PROPOSED EXTERNALIZATION AND RELATED MATTERS. Investors and security holders may obtain the Proxy Statement and other documents filed with the SEC by the Company, free of charge, from the SEC’s web site at www.sec.gov and from the Company’s web site at https://investors.surocap.com/financial-information/sec-filings. Investors and security holders may also obtain free copies of the Proxy Statement and other documents filed with the SEC from the Company by calling Investor Relations at (212) 931-6331.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SuRo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SuRo Capital Corp. (Nasdaq: </w:t>
      </w:r>
      <w:r>
        <w:rPr>
          <w:rFonts w:ascii="Times New Roman;Times;Serif" w:hAnsi="Times New Roman;Times;Serif"/>
          <w:b w:val="false"/>
          <w:i w:val="false"/>
          <w:caps w:val="false"/>
          <w:smallCaps w:val="false"/>
          <w:sz w:val="20"/>
          <w:u w:val="single"/>
          <w:shd w:fill="FFFFFF" w:val="clear"/>
        </w:rPr>
        <w:t>SSSS</w:t>
      </w:r>
      <w:r>
        <w:rPr>
          <w:rFonts w:ascii="Times New Roman;Times;Serif" w:hAnsi="Times New Roman;Times;Serif"/>
          <w:b w:val="false"/>
          <w:i w:val="false"/>
          <w:caps w:val="false"/>
          <w:smallCaps w:val="false"/>
          <w:sz w:val="20"/>
          <w:shd w:fill="FFFFFF" w:val="clear"/>
        </w:rPr>
        <w:t xml:space="preserve">) is a publicly traded investment fund that seeks to invest in high-growth, venture-backed private companies. The fund seeks to create a portfolio of high-growth emerging private companies via a repeatable and disciplined investment approach, as well as to provide investors with access to such companies through its publicly traded common stock. Since inception, SuRo Capital has served as the public’s gateway to venture capital, offering unique access to some of the world’s most innovative and sought-after private companies before they become publicly traded. SuRo Capital’s diverse portfolio encompasses high-growth sectors including AI infrastructure, emerging consumer brands, and cutting-edge software solutions for both consumer and enterprise markets, among others. SuRo Capital is headquartered in New York, NY and has an office in San Francisco, CA. Connect with the Company on X, LinkedIn, and at </w:t>
      </w:r>
      <w:r>
        <w:rPr>
          <w:rFonts w:ascii="Times New Roman;Times;Serif" w:hAnsi="Times New Roman;Times;Serif"/>
          <w:b w:val="false"/>
          <w:i w:val="false"/>
          <w:caps w:val="false"/>
          <w:smallCaps w:val="false"/>
          <w:sz w:val="20"/>
          <w:u w:val="single"/>
          <w:shd w:fill="FFFFFF" w:val="clear"/>
        </w:rPr>
        <w:t>www.surocap.com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Magnetar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2005, Magnetar is a multi-strategy and multi-product alternative investment manager that seeks to achieve stable risk-adjusted returns by opportunistically employing a wide range of alternative credit &amp; fixed income, quantitative, and venture investment strategies. Magnetar invests across the capital structure in both public and private transactions utilizing both fundamental and quantitative analyses. Currently run by two managing partners – Ross Laser and Dave Snyderman – Magnetar is headquartered in Evanston, Illinois. Magnetar and its affiliates employ a team of approximately 224 professionals as of March 31, 2026, and maintain four satellite offices in New York, London, Menlo Park, and Austin.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931-6331</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IR@surocap.com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Times;Serif" w:hAnsi="Times New Roman;Times;Serif"/>
          <w:b/>
        </w:rPr>
      </w:pPr>
      <w:r>
        <w:rPr>
          <w:rFonts w:ascii="Times New Roman;Times;Serif" w:hAnsi="Times New Roman;Times;Serif"/>
          <w:b/>
        </w:rPr>
        <w:t>SURO CAPITAL CORP. AND SUBSIDIARIES</w:t>
      </w:r>
    </w:p>
    <w:p>
      <w:pPr>
        <w:pStyle w:val="TextBody"/>
        <w:bidi w:val="0"/>
        <w:jc w:val="center"/>
        <w:rPr>
          <w:rFonts w:ascii="Times New Roman;Times;Serif" w:hAnsi="Times New Roman;Times;Serif"/>
          <w:b/>
        </w:rPr>
      </w:pPr>
      <w:r>
        <w:rPr>
          <w:rFonts w:ascii="Times New Roman;Times;Serif" w:hAnsi="Times New Roman;Times;Serif"/>
          <w:b/>
        </w:rPr>
        <w:t>CONDENSED CONSOLIDATED STATEMENTS OF ASSETS AND LIABILITIES</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586"/>
        <w:gridCol w:w="60"/>
        <w:gridCol w:w="228"/>
        <w:gridCol w:w="1995"/>
        <w:gridCol w:w="95"/>
        <w:gridCol w:w="60"/>
        <w:gridCol w:w="212"/>
        <w:gridCol w:w="1856"/>
        <w:gridCol w:w="113"/>
      </w:tblGrid>
      <w:tr>
        <w:trPr/>
        <w:tc>
          <w:tcPr>
            <w:tcW w:w="5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 (AUDITED)</w:t>
            </w:r>
          </w:p>
        </w:tc>
        <w:tc>
          <w:tcPr>
            <w:tcW w:w="113" w:type="dxa"/>
            <w:tcBorders/>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at fair value: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 investments (cost of $223,515,250 and $219,216,145, respectively)</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381,596,305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217,304,138</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Non-controlled/affiliate investments (cost of $21,609,640 and $21,609,640, respectively)</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6,938,346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8,207,367</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Investments (cost of $245,124,890 and $240,825,785, respectively)</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388,534,651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225,511,505</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43,315,750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49,034,154</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38,741</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dividends receivable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118,710</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costs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508,310</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807,302</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433,266,156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276,018,722</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Notes due December 30, 2026</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35,688,549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35,642,149</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 Convertible Notes due August 14, 2029</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34,190,631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34,131,509</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627,522</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payable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301,291</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71,714,574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70,702,471</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361,551,582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205,316,251</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par value $0.01 per share (100,000,000 authorized; 25,387,393 and 25,377,756 issued and outstanding, respectively)</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253,778</w:t>
            </w:r>
          </w:p>
        </w:tc>
        <w:tc>
          <w:tcPr>
            <w:tcW w:w="113" w:type="dxa"/>
            <w:tcBorders/>
            <w:shd w:fill="CCEEFF" w:val="clear"/>
            <w:vAlign w:val="center"/>
          </w:tcPr>
          <w:p>
            <w:pPr>
              <w:pStyle w:val="TableContents"/>
              <w:bidi w:val="0"/>
              <w:spacing w:before="0" w:after="283"/>
              <w:jc w:val="left"/>
              <w:rPr/>
            </w:pPr>
            <w:r>
              <w:rPr/>
              <w:t> </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Paid-in capital in excess of par</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218,069,791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217,470,613</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net investment loss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(7,946,424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(3,967,932</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net realized gain on investments, net of distributions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7,764,584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6,874,070</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net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143,409,757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(15,314,278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58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361,551,582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205,316,251</w:t>
            </w:r>
          </w:p>
        </w:tc>
        <w:tc>
          <w:tcPr>
            <w:tcW w:w="113" w:type="dxa"/>
            <w:tcBorders/>
            <w:shd w:fill="FFFFFF" w:val="clear"/>
            <w:vAlign w:val="center"/>
          </w:tcPr>
          <w:p>
            <w:pPr>
              <w:pStyle w:val="TableContents"/>
              <w:bidi w:val="0"/>
              <w:spacing w:before="0" w:after="283"/>
              <w:jc w:val="left"/>
              <w:rPr/>
            </w:pPr>
            <w:r>
              <w:rPr/>
              <w:t> </w:t>
            </w:r>
          </w:p>
        </w:tc>
      </w:tr>
      <w:tr>
        <w:trPr/>
        <w:tc>
          <w:tcPr>
            <w:tcW w:w="558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 Value Per Share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balance includes a right of use asset and corresponding operating lease liability, respectively.</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6.00% Notes due December 30, 2026 (the “6.00% Notes due 2026”) (effective interest rate of 6.43%) had a face value $35,829,825. As of December 31, 2025, the 6.00% Notes due 2026 (effective interest rate of 7.08%) had a face value $35,829,825.</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6.50% Convertible Notes due August 14, 2029 (the “6.50% Convertible Notes due 2029”) (effective interest rate of 7.17%) had a face value $35,000,000. As of December 31, 2025, the 6.50% Convertible Notes due 2029 (effective interest rate of 7.17%) had a face value $35,000,000.</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Times;Serif" w:hAnsi="Times New Roman;Times;Serif"/>
          <w:b/>
        </w:rPr>
      </w:pPr>
      <w:r>
        <w:rPr>
          <w:rFonts w:ascii="Times New Roman;Times;Serif" w:hAnsi="Times New Roman;Times;Serif"/>
          <w:b/>
        </w:rPr>
        <w:t>SURO CAPITAL CORP. AND SUBSIDIARIES</w:t>
      </w:r>
    </w:p>
    <w:p>
      <w:pPr>
        <w:pStyle w:val="TextBody"/>
        <w:bidi w:val="0"/>
        <w:jc w:val="center"/>
        <w:rPr>
          <w:rFonts w:ascii="Times New Roman;Times;Serif" w:hAnsi="Times New Roman;Times;Serif"/>
          <w:b/>
        </w:rPr>
      </w:pPr>
      <w:r>
        <w:rPr>
          <w:rFonts w:ascii="Times New Roman;Times;Serif" w:hAnsi="Times New Roman;Times;Serif"/>
          <w:b/>
        </w:rPr>
        <w:t>CONDENSED CONSOLIDATED STATEMENTS OF OPERATIONS (UNAUDITED)</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6791"/>
        <w:gridCol w:w="60"/>
        <w:gridCol w:w="164"/>
        <w:gridCol w:w="1437"/>
        <w:gridCol w:w="111"/>
        <w:gridCol w:w="70"/>
        <w:gridCol w:w="164"/>
        <w:gridCol w:w="1295"/>
        <w:gridCol w:w="113"/>
      </w:tblGrid>
      <w:tr>
        <w:trPr/>
        <w:tc>
          <w:tcPr>
            <w:tcW w:w="67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3" w:type="dxa"/>
            <w:tcBorders/>
            <w:vAlign w:val="center"/>
          </w:tcPr>
          <w:p>
            <w:pPr>
              <w:pStyle w:val="TableContents"/>
              <w:bidi w:val="0"/>
              <w:spacing w:before="0" w:after="283"/>
              <w:jc w:val="left"/>
              <w:rPr/>
            </w:pPr>
            <w:r>
              <w:rPr/>
              <w:t> </w:t>
            </w:r>
          </w:p>
        </w:tc>
      </w:tr>
      <w:tr>
        <w:trPr/>
        <w:tc>
          <w:tcPr>
            <w:tcW w:w="67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3" w:type="dxa"/>
            <w:tcBorders/>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INVESTMENT INCOME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 investments: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388,213</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150,647</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income</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343,750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348,447</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Investment Income</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731,963</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499,094</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expense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1,976,252</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1,667,835</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Directors’ fees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195,562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170,565</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1,217,194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1,259,849</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872,729</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750,224</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57,558</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2,796</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391,160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309,594</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4,710,455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4,160,863</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Investment Loss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(3,978,492</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(3,661,769</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Realized Gain/(Loss) on Investments: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Non-controlled/non-affiliated investments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890,513</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Realized Gain/(Loss) on Investments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890,513</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(17,951</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partial repurchase of 6.00% Notes due December 30, 2026</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Non-controlled/non-affiliated investments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159,993,061</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(5,248,885</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Non-controlled/affiliate investments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(1,269,022</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(472,713</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Controlled investments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8,610,476</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158,724,039</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2,888,878</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155,636,060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(806,715</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Net Assets Resulting from Operations per Common Share: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25,380,755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23,571,840</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30,160,470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23,571,840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income earned on cash.</w:t>
            </w:r>
          </w:p>
        </w:tc>
      </w:tr>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4,516,131 potentially dilutive common shares were excluded from the weighted-average common shares outstanding for diluted net change in net assets resulting from operations per common share because the effect of these shares would have been anti-dilutive.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Times;Serif" w:hAnsi="Times New Roman;Times;Serif"/>
          <w:b/>
        </w:rPr>
      </w:pPr>
      <w:r>
        <w:rPr>
          <w:rFonts w:ascii="Times New Roman;Times;Serif" w:hAnsi="Times New Roman;Times;Serif"/>
          <w:b/>
        </w:rPr>
        <w:t>SURO CAPITAL CORP. AND SUBSIDIARIES</w:t>
      </w:r>
    </w:p>
    <w:p>
      <w:pPr>
        <w:pStyle w:val="TextBody"/>
        <w:bidi w:val="0"/>
        <w:jc w:val="center"/>
        <w:rPr>
          <w:rFonts w:ascii="Times New Roman;Times;Serif" w:hAnsi="Times New Roman;Times;Serif"/>
          <w:b/>
        </w:rPr>
      </w:pPr>
      <w:r>
        <w:rPr>
          <w:rFonts w:ascii="Times New Roman;Times;Serif" w:hAnsi="Times New Roman;Times;Serif"/>
          <w:b/>
        </w:rPr>
        <w:t>FINANCIAL HIGHLIGHTS (UNAUDITED)</w:t>
      </w:r>
    </w:p>
    <w:p>
      <w:pPr>
        <w:pStyle w:val="TextBody"/>
        <w:bidi w:val="0"/>
        <w:jc w:val="center"/>
        <w:rPr/>
      </w:pPr>
      <w:r>
        <w:rPr/>
        <w:t> </w:t>
      </w:r>
    </w:p>
    <w:tbl>
      <w:tblPr>
        <w:tblW w:w="10002" w:type="dxa"/>
        <w:jc w:val="left"/>
        <w:tblInd w:w="0" w:type="dxa"/>
        <w:tblLayout w:type="fixed"/>
        <w:tblCellMar>
          <w:top w:w="0" w:type="dxa"/>
          <w:left w:w="0" w:type="dxa"/>
          <w:bottom w:w="0" w:type="dxa"/>
          <w:right w:w="0" w:type="dxa"/>
        </w:tblCellMar>
      </w:tblPr>
      <w:tblGrid>
        <w:gridCol w:w="6320"/>
        <w:gridCol w:w="60"/>
        <w:gridCol w:w="151"/>
        <w:gridCol w:w="1319"/>
        <w:gridCol w:w="313"/>
        <w:gridCol w:w="64"/>
        <w:gridCol w:w="151"/>
        <w:gridCol w:w="1319"/>
        <w:gridCol w:w="305"/>
      </w:tblGrid>
      <w:tr>
        <w:trPr/>
        <w:tc>
          <w:tcPr>
            <w:tcW w:w="6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305"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31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305"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 Basic Share Data</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 value at beginning of year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w:t>
            </w:r>
          </w:p>
        </w:tc>
        <w:tc>
          <w:tcPr>
            <w:tcW w:w="3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w:t>
            </w:r>
          </w:p>
        </w:tc>
        <w:tc>
          <w:tcPr>
            <w:tcW w:w="30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investment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3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realized gain/(loss) on investments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3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&lt;(0.01) </w:t>
            </w:r>
          </w:p>
        </w:tc>
        <w:tc>
          <w:tcPr>
            <w:tcW w:w="30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Realized loss on partial repurchase of 6.00% Notes due December 30, 2026</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3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&lt;(0.01)</w:t>
            </w:r>
          </w:p>
        </w:tc>
        <w:tc>
          <w:tcPr>
            <w:tcW w:w="30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unrealized appreciation/(depreciation) of investments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3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30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3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30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 value at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w:t>
            </w:r>
          </w:p>
        </w:tc>
        <w:tc>
          <w:tcPr>
            <w:tcW w:w="3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30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 share market value at end of period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w:t>
            </w:r>
          </w:p>
        </w:tc>
        <w:tc>
          <w:tcPr>
            <w:tcW w:w="3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w:t>
            </w:r>
          </w:p>
        </w:tc>
        <w:tc>
          <w:tcPr>
            <w:tcW w:w="30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market value</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w:t>
            </w:r>
          </w:p>
        </w:tc>
        <w:tc>
          <w:tcPr>
            <w:tcW w:w="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net asset value</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76.02</w:t>
            </w:r>
          </w:p>
        </w:tc>
        <w:tc>
          <w:tcPr>
            <w:tcW w:w="3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outstanding at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25,387,393</w:t>
            </w:r>
          </w:p>
        </w:tc>
        <w:tc>
          <w:tcPr>
            <w:tcW w:w="3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23,551,859</w:t>
            </w:r>
          </w:p>
        </w:tc>
        <w:tc>
          <w:tcPr>
            <w:tcW w:w="30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Ratios/Supplemental Data:</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assets at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361,551,582</w:t>
            </w:r>
          </w:p>
        </w:tc>
        <w:tc>
          <w:tcPr>
            <w:tcW w:w="3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156,804,155</w:t>
            </w:r>
          </w:p>
        </w:tc>
        <w:tc>
          <w:tcPr>
            <w:tcW w:w="30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net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206,417,463</w:t>
            </w:r>
          </w:p>
        </w:tc>
        <w:tc>
          <w:tcPr>
            <w:tcW w:w="3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156,454,212</w:t>
            </w:r>
          </w:p>
        </w:tc>
        <w:tc>
          <w:tcPr>
            <w:tcW w:w="30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net operating expenses to average net assets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w:t>
            </w:r>
          </w:p>
        </w:tc>
        <w:tc>
          <w:tcPr>
            <w:tcW w:w="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net investment loss to average net assets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w:t>
            </w:r>
          </w:p>
        </w:tc>
        <w:tc>
          <w:tcPr>
            <w:tcW w:w="3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Portfolio Turnover Ratio</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weighted-average number of shares outstanding for the relevant period.</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return based on market value is based upon the change in market price per share between the opening and ending market values per share in the period, adjusted for dividends. Total return based on net asset value is based upon the change in net asset value per share between the opening and ending net asset values per share in the period, adjusted for dividends.</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3571</Words>
  <Characters>20153</Characters>
  <CharactersWithSpaces>24072</CharactersWithSpaces>
  <Paragraphs>1465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