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360680</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57" w:lineRule="exact"/>
        <w:rPr>
          <w:sz w:val="24"/>
          <w:szCs w:val="24"/>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jc w:val="both"/>
        <w:ind w:left="40" w:right="77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42" w:lineRule="exact"/>
        <w:rPr>
          <w:sz w:val="24"/>
          <w:szCs w:val="24"/>
          <w:color w:val="auto"/>
        </w:rPr>
      </w:pPr>
    </w:p>
    <w:p>
      <w:pPr>
        <w:sectPr>
          <w:pgSz w:w="11900" w:h="16838" w:orient="portrait"/>
          <w:cols w:equalWidth="0" w:num="2">
            <w:col w:w="5100" w:space="720"/>
            <w:col w:w="4259"/>
          </w:cols>
          <w:pgMar w:left="380" w:top="1440" w:right="1440" w:bottom="1440" w:gutter="0" w:footer="0" w:header="0"/>
          <w:type w:val="continuous"/>
        </w:sectPr>
      </w:pPr>
    </w:p>
    <w:p>
      <w:pPr>
        <w:ind w:left="40" w:right="759" w:firstLine="270"/>
        <w:spacing w:after="0" w:line="34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ind w:left="320" w:right="1579"/>
        <w:spacing w:after="0" w:line="483"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Act)Yes o No x The issuer had 22,181,003 shares of common stock, $0.01 par value per share, outstanding as of May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666750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40"/>
            <w:shd w:val="clear" w:color="auto" w:fill="CCEEFF"/>
          </w:tcPr>
          <w:p>
            <w:pPr>
              <w:ind w:left="20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680" w:type="dxa"/>
            <w:vAlign w:val="bottom"/>
            <w:gridSpan w:val="40"/>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Consolidated 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March 31, 2017</w:t>
              </w:r>
            </w:hyperlink>
          </w:p>
        </w:tc>
        <w:tc>
          <w:tcPr>
            <w:tcW w:w="760" w:type="dxa"/>
            <w:vAlign w:val="bottom"/>
            <w:tcBorders>
              <w:bottom w:val="single" w:sz="8" w:color="CCEEFF"/>
            </w:tcBorders>
            <w:gridSpan w:val="6"/>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7"/>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December 31, 2016</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20" w:type="dxa"/>
            <w:vAlign w:val="bottom"/>
            <w:tcBorders>
              <w:bottom w:val="single" w:sz="8" w:color="0000EE"/>
            </w:tcBorders>
            <w:gridSpan w:val="33"/>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w:t>
              </w:r>
            </w:hyperlink>
          </w:p>
        </w:tc>
        <w:tc>
          <w:tcPr>
            <w:tcW w:w="340" w:type="dxa"/>
            <w:vAlign w:val="bottom"/>
            <w:gridSpan w:val="4"/>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gridSpan w:val="37"/>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2016 (Unaudited)</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Net Assets for the three months ended</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60" w:type="dxa"/>
            <w:vAlign w:val="bottom"/>
            <w:tcBorders>
              <w:top w:val="single" w:sz="8" w:color="0000EE"/>
            </w:tcBorders>
            <w:gridSpan w:val="34"/>
            <w:shd w:val="clear" w:color="auto" w:fill="CCEEFF"/>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31, 2017 and 2016 (Unaudited)</w:t>
              </w:r>
            </w:hyperlink>
          </w:p>
        </w:tc>
        <w:tc>
          <w:tcPr>
            <w:tcW w:w="300" w:type="dxa"/>
            <w:vAlign w:val="bottom"/>
            <w:tcBorders>
              <w:top w:val="single" w:sz="8" w:color="CCEEFF"/>
            </w:tcBorders>
            <w:gridSpan w:val="3"/>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three months ended March 31,</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tcBorders>
              <w:top w:val="single" w:sz="8" w:color="0000EE"/>
            </w:tcBorders>
            <w:gridSpan w:val="34"/>
          </w:tcPr>
          <w:p>
            <w:pPr>
              <w:ind w:left="18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 and 2016 (Unaudited)</w:t>
              </w:r>
            </w:hyperlink>
          </w:p>
        </w:tc>
        <w:tc>
          <w:tcPr>
            <w:tcW w:w="300" w:type="dxa"/>
            <w:vAlign w:val="bottom"/>
            <w:gridSpan w:val="3"/>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Schedule of Investments as of March 31, 2017 (Unaudited)</w:t>
              </w:r>
            </w:hyperlink>
          </w:p>
        </w:tc>
        <w:tc>
          <w:tcPr>
            <w:tcW w:w="66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Condensed Consolidated Schedule of Investments as of December 31, 2016</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spacing w:after="0" w:line="17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Notes to Condensed Consolidated Financial Statements as of March 31, 2017 (Unaudited)</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80" w:type="dxa"/>
            <w:vAlign w:val="bottom"/>
            <w:gridSpan w:val="35"/>
          </w:tcPr>
          <w:p>
            <w:pPr>
              <w:ind w:left="1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Note 1 — Nature of Operations and Significant Accounting Policies</w:t>
              </w:r>
            </w:hyperlink>
          </w:p>
        </w:tc>
        <w:tc>
          <w:tcPr>
            <w:tcW w:w="280" w:type="dxa"/>
            <w:vAlign w:val="bottom"/>
            <w:gridSpan w:val="2"/>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Note 3 — Investments at Fair Value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 5 — Net Increase/(Decrease) in Net Assets Resulting from Operations per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tcBorders>
              <w:top w:val="single" w:sz="8" w:color="0000EE"/>
            </w:tcBorders>
            <w:gridSpan w:val="29"/>
          </w:tcPr>
          <w:p>
            <w:pPr>
              <w:ind w:left="18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Common Share – Basic and Diluted</w:t>
              </w:r>
            </w:hyperlink>
          </w:p>
        </w:tc>
        <w:tc>
          <w:tcPr>
            <w:tcW w:w="860" w:type="dxa"/>
            <w:vAlign w:val="bottom"/>
            <w:gridSpan w:val="7"/>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Note 7 — Financial Highlights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Note 8 — Income Taxes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 9 — Long-Term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11 — Supplemental Financial Data</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00" w:type="dxa"/>
            <w:vAlign w:val="bottom"/>
            <w:gridSpan w:val="2"/>
            <w:shd w:val="clear" w:color="auto" w:fill="CCEEFF"/>
          </w:tcPr>
          <w:p>
            <w:pPr>
              <w:ind w:left="200"/>
              <w:spacing w:after="0" w:line="17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2.</w:t>
              </w:r>
            </w:hyperlink>
          </w:p>
        </w:tc>
        <w:tc>
          <w:tcPr>
            <w:tcW w:w="6980" w:type="dxa"/>
            <w:vAlign w:val="bottom"/>
            <w:gridSpan w:val="38"/>
            <w:shd w:val="clear" w:color="auto" w:fill="CCEEFF"/>
          </w:tcPr>
          <w:p>
            <w:pPr>
              <w:ind w:left="220"/>
              <w:spacing w:after="0" w:line="17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Management’s Discussion and Analysis of Financial Condition and Results of  Operations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40" w:type="dxa"/>
            <w:vAlign w:val="bottom"/>
            <w:gridSpan w:val="36"/>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Forward-Looking Statements</w:t>
              </w:r>
            </w:hyperlink>
          </w:p>
        </w:tc>
        <w:tc>
          <w:tcPr>
            <w:tcW w:w="220" w:type="dxa"/>
            <w:vAlign w:val="bottom"/>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Overview</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6"/>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Investments — (Portfolio Activity)</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Results of Operations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Liquidity and Capital Resources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Equity Issuances and Debt Capital Activities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6"/>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Contractual Obligations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Off-Balance Sheet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6"/>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Distributions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Borrowings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7"/>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Critical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7"/>
            <w:shd w:val="clear" w:color="auto" w:fill="CCEEFF"/>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Recent Developments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40"/>
          </w:tcPr>
          <w:p>
            <w:pPr>
              <w:ind w:left="2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3.   Quantitative and Qualitative Disclosures About Market Risk</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00" w:type="dxa"/>
            <w:vAlign w:val="bottom"/>
            <w:gridSpan w:val="2"/>
            <w:shd w:val="clear" w:color="auto" w:fill="CCEEFF"/>
          </w:tcPr>
          <w:p>
            <w:pPr>
              <w:ind w:left="200"/>
              <w:spacing w:after="0" w:line="17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Item 4.</w:t>
              </w:r>
            </w:hyperlink>
          </w:p>
        </w:tc>
        <w:tc>
          <w:tcPr>
            <w:tcW w:w="6980" w:type="dxa"/>
            <w:vAlign w:val="bottom"/>
            <w:gridSpan w:val="38"/>
            <w:shd w:val="clear" w:color="auto" w:fill="CCEEFF"/>
          </w:tcPr>
          <w:p>
            <w:pPr>
              <w:ind w:left="22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18"/>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17"/>
            <w:shd w:val="clear" w:color="auto" w:fill="CCEEFF"/>
          </w:tcPr>
          <w:p>
            <w:pPr>
              <w:ind w:left="180"/>
              <w:spacing w:after="0"/>
              <w:rPr>
                <w:sz w:val="20"/>
                <w:szCs w:val="20"/>
                <w:color w:val="auto"/>
              </w:rPr>
            </w:pPr>
            <w:r>
              <w:rPr>
                <w:rFonts w:ascii="Arial" w:cs="Arial" w:eastAsia="Arial" w:hAnsi="Arial"/>
                <w:sz w:val="18"/>
                <w:szCs w:val="18"/>
                <w:b w:val="1"/>
                <w:bCs w:val="1"/>
                <w:color w:val="auto"/>
              </w:rPr>
              <w:t>PART II.OTHER INFORMATION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 1A.</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2.</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3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Schedules 12-14 — Schedules of Investments in and Advances to Affiliates as of March</w:t>
              </w:r>
            </w:hyperlink>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760" w:type="dxa"/>
            <w:vAlign w:val="bottom"/>
            <w:gridSpan w:val="13"/>
            <w:shd w:val="clear" w:color="auto" w:fill="CCEEFF"/>
          </w:tcPr>
          <w:p>
            <w:pPr>
              <w:ind w:left="18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31, 2017 (unaudited) and December 31, 2016</w:t>
              </w:r>
            </w:hyperlink>
          </w:p>
        </w:tc>
        <w:tc>
          <w:tcPr>
            <w:tcW w:w="5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Signatures</w:t>
              </w:r>
            </w:hyperlink>
          </w:p>
        </w:tc>
        <w:tc>
          <w:tcPr>
            <w:tcW w:w="6000" w:type="dxa"/>
            <w:vAlign w:val="bottom"/>
            <w:gridSpan w:val="9"/>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20" w:type="dxa"/>
            <w:vAlign w:val="bottom"/>
            <w:gridSpan w:val="2"/>
          </w:tcPr>
          <w:p>
            <w:pPr>
              <w:ind w:left="180"/>
              <w:spacing w:after="0" w:line="206" w:lineRule="exact"/>
              <w:rPr>
                <w:sz w:val="20"/>
                <w:szCs w:val="20"/>
                <w:color w:val="auto"/>
              </w:rPr>
            </w:pPr>
            <w:r>
              <w:rPr>
                <w:rFonts w:ascii="Arial" w:cs="Arial" w:eastAsia="Arial" w:hAnsi="Arial"/>
                <w:sz w:val="18"/>
                <w:szCs w:val="18"/>
                <w:color w:val="auto"/>
                <w:w w:val="94"/>
              </w:rPr>
              <w:t>Investments in controlled securities (cost of $22,941,049 and $22,893,441,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820" w:type="dxa"/>
            <w:vAlign w:val="bottom"/>
            <w:gridSpan w:val="2"/>
          </w:tcPr>
          <w:p>
            <w:pPr>
              <w:ind w:left="36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20,777,821</w:t>
            </w:r>
          </w:p>
        </w:tc>
        <w:tc>
          <w:tcPr>
            <w:tcW w:w="12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19,037,566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w w:val="96"/>
              </w:rPr>
              <w:t>Investments in affiliated securities (cost of $49,873,338 and $51,773,388,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5820" w:type="dxa"/>
            <w:vAlign w:val="bottom"/>
            <w:gridSpan w:val="2"/>
            <w:shd w:val="clear" w:color="auto" w:fill="CCEEFF"/>
          </w:tcPr>
          <w:p>
            <w:pPr>
              <w:ind w:left="36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41,971,308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42,444,690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Investments in non-controlled/non-affiliated securities (cost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$181,314,443 and $204,101,445, 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207,905,578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200,532,890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Investments in treasury bill (cost of $59,996,000 and $29,998,750,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59,997,000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29,998,490</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582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rPr>
              <w:t>Total Investments (cost of $314,124,830 and $308,767,024,</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330,651,707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292,013,636</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8,332,634</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92,946</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213,942</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Deferred financing costs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332,703,224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300,964,426</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422,025</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335,611</w:t>
            </w:r>
          </w:p>
        </w:tc>
        <w:tc>
          <w:tcPr>
            <w:tcW w:w="0" w:type="dxa"/>
            <w:vAlign w:val="bottom"/>
          </w:tcPr>
          <w:p>
            <w:pPr>
              <w:spacing w:after="0"/>
              <w:rPr>
                <w:sz w:val="1"/>
                <w:szCs w:val="1"/>
                <w:color w:val="auto"/>
              </w:rPr>
            </w:pPr>
          </w:p>
        </w:tc>
      </w:tr>
      <w:tr>
        <w:trPr>
          <w:trHeight w:val="257"/>
        </w:trPr>
        <w:tc>
          <w:tcPr>
            <w:tcW w:w="5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3,843,752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2,126,444</w:t>
            </w:r>
          </w:p>
        </w:tc>
        <w:tc>
          <w:tcPr>
            <w:tcW w:w="0" w:type="dxa"/>
            <w:vAlign w:val="bottom"/>
          </w:tcPr>
          <w:p>
            <w:pPr>
              <w:spacing w:after="0"/>
              <w:rPr>
                <w:sz w:val="1"/>
                <w:szCs w:val="1"/>
                <w:color w:val="auto"/>
              </w:rPr>
            </w:pPr>
          </w:p>
        </w:tc>
      </w:tr>
      <w:tr>
        <w:trPr>
          <w:trHeight w:val="257"/>
        </w:trPr>
        <w:tc>
          <w:tcPr>
            <w:tcW w:w="58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524,054</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1,056,563</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53,996,000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26,498,750</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10,359,371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10,359,371</w:t>
            </w: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Convertible Senior Notes payable 5.25% due September 15, 2018</w:t>
            </w:r>
            <w:r>
              <w:rPr>
                <w:rFonts w:ascii="Arial" w:cs="Arial" w:eastAsia="Arial" w:hAnsi="Arial"/>
                <w:sz w:val="29"/>
                <w:szCs w:val="29"/>
                <w:color w:val="auto"/>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67,715,873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67,512,798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136,791,528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108,835,616</w:t>
            </w:r>
          </w:p>
        </w:tc>
        <w:tc>
          <w:tcPr>
            <w:tcW w:w="0" w:type="dxa"/>
            <w:vAlign w:val="bottom"/>
          </w:tcPr>
          <w:p>
            <w:pPr>
              <w:spacing w:after="0"/>
              <w:rPr>
                <w:sz w:val="1"/>
                <w:szCs w:val="1"/>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(Notes 6 and 9)</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195,911,696</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192,128,810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authorized;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22,181,003 and 22,181,003 issued and outstanding,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221,810</w:t>
            </w:r>
          </w:p>
        </w:tc>
        <w:tc>
          <w:tcPr>
            <w:tcW w:w="1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221,810</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221,237,636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221,237,636</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(6,252,208)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(1,443,996)</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realized losses on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(25,463,049)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(773,882)</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unrealized appreciation/(depreciation) of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6,167,507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(27,112,758)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195,911,696</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192,128,810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-4415790</wp:posOffset>
            </wp:positionV>
            <wp:extent cx="521398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-3438525</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-1954530</wp:posOffset>
            </wp:positionV>
            <wp:extent cx="52139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579" w:hanging="27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Convertible Senior Notes have a face value of $69,000,000. Refer to “Note 9 — Long-Term Liabilities” for a reconciliation of the carrying value to the face value.</w:t>
      </w:r>
    </w:p>
    <w:p>
      <w:pPr>
        <w:spacing w:after="0" w:line="200" w:lineRule="exact"/>
        <w:rPr>
          <w:sz w:val="20"/>
          <w:szCs w:val="20"/>
          <w:color w:val="auto"/>
        </w:rPr>
      </w:pPr>
    </w:p>
    <w:p>
      <w:pPr>
        <w:spacing w:after="0" w:line="295"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r>
      <w:tr>
        <w:trPr>
          <w:trHeight w:val="210"/>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58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Interest income from controlled securities</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59,409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4,889</w:t>
            </w:r>
          </w:p>
        </w:tc>
      </w:tr>
      <w:tr>
        <w:trPr>
          <w:trHeight w:val="257"/>
        </w:trPr>
        <w:tc>
          <w:tcPr>
            <w:tcW w:w="58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Interest income from affiliated securities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95,677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92,478</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Interest income from non-controlled/non-affiliated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5,285</w:t>
            </w:r>
          </w:p>
        </w:tc>
      </w:tr>
      <w:tr>
        <w:trPr>
          <w:trHeight w:val="257"/>
        </w:trPr>
        <w:tc>
          <w:tcPr>
            <w:tcW w:w="58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Dividend income from controlled securities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338,459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102,652</w:t>
            </w:r>
          </w:p>
        </w:tc>
      </w:tr>
      <w:tr>
        <w:trPr>
          <w:trHeight w:val="210"/>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58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Management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1,272,618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1,958,000</w:t>
            </w:r>
          </w:p>
        </w:tc>
      </w:tr>
      <w:tr>
        <w:trPr>
          <w:trHeight w:val="257"/>
        </w:trPr>
        <w:tc>
          <w:tcPr>
            <w:tcW w:w="58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Incentive fees/(Reversal of Incentive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1,717,308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(5,118,584)</w:t>
            </w:r>
          </w:p>
        </w:tc>
      </w:tr>
      <w:tr>
        <w:trPr>
          <w:trHeight w:val="257"/>
        </w:trPr>
        <w:tc>
          <w:tcPr>
            <w:tcW w:w="58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Costs incurred under Administration Agreement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531,484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599,950</w:t>
            </w: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86,250</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262,190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637,128</w:t>
            </w: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1,183,163</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209,738</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5,146,671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(444,355)</w:t>
            </w: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Investment Income/(Loss)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(4,808,212)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547,007</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Realized Losses: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(1,903,414)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From non-controlled/non-affiliated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(22,785,753)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(6,075,070)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Realized Losses on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(24,689,167)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(6,075,070)</w:t>
            </w:r>
          </w:p>
        </w:tc>
      </w:tr>
      <w:tr>
        <w:trPr>
          <w:trHeight w:val="210"/>
        </w:trPr>
        <w:tc>
          <w:tcPr>
            <w:tcW w:w="20" w:type="dxa"/>
            <w:vAlign w:val="bottom"/>
            <w:tcBorders>
              <w:top w:val="single" w:sz="8" w:color="CCEEFF"/>
            </w:tcBorders>
          </w:tcPr>
          <w:p>
            <w:pPr>
              <w:spacing w:after="0"/>
              <w:rPr>
                <w:sz w:val="18"/>
                <w:szCs w:val="18"/>
                <w:color w:val="auto"/>
              </w:rPr>
            </w:pPr>
          </w:p>
        </w:tc>
        <w:tc>
          <w:tcPr>
            <w:tcW w:w="58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w w:val="94"/>
              </w:rPr>
              <w:t>Net Change in Unrealized Appreciation/(Depreciation) of Investments: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controlled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1,692,647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(266,728)</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1,426,668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(1,148,187)</w:t>
            </w: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non-controlled/non-affiliated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30,160,950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(18,006,086)</w:t>
            </w:r>
          </w:p>
        </w:tc>
      </w:tr>
      <w:tr>
        <w:trPr>
          <w:trHeight w:val="191"/>
        </w:trPr>
        <w:tc>
          <w:tcPr>
            <w:tcW w:w="20" w:type="dxa"/>
            <w:vAlign w:val="bottom"/>
            <w:tcBorders>
              <w:top w:val="single" w:sz="8" w:color="CCEEFF"/>
            </w:tcBorders>
          </w:tcPr>
          <w:p>
            <w:pPr>
              <w:spacing w:after="0"/>
              <w:rPr>
                <w:sz w:val="16"/>
                <w:szCs w:val="16"/>
                <w:color w:val="auto"/>
              </w:rPr>
            </w:pPr>
          </w:p>
        </w:tc>
        <w:tc>
          <w:tcPr>
            <w:tcW w:w="586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Net Change in Unrealized Appreciation/(Depreciation) of</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33,280,265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(19,421,001)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Increase/(Decrease)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3,782,886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(24,949,064)</w:t>
            </w:r>
          </w:p>
        </w:tc>
      </w:tr>
      <w:tr>
        <w:trPr>
          <w:trHeight w:val="191"/>
        </w:trPr>
        <w:tc>
          <w:tcPr>
            <w:tcW w:w="20" w:type="dxa"/>
            <w:vAlign w:val="bottom"/>
            <w:tcBorders>
              <w:top w:val="single" w:sz="8" w:color="CCEEFF"/>
            </w:tcBorders>
          </w:tcPr>
          <w:p>
            <w:pPr>
              <w:spacing w:after="0"/>
              <w:rPr>
                <w:sz w:val="16"/>
                <w:szCs w:val="16"/>
                <w:color w:val="auto"/>
              </w:rPr>
            </w:pPr>
          </w:p>
        </w:tc>
        <w:tc>
          <w:tcPr>
            <w:tcW w:w="586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w w:val="96"/>
              </w:rPr>
              <w:t>Net Increase/(Decrease) in Net Assets Resulting from Operations per</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Common Share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gridSpan w:val="2"/>
          </w:tcPr>
          <w:p>
            <w:pPr>
              <w:ind w:left="54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Weighted-Average Common Shares Outstanding</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54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22,181,003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860" w:type="dxa"/>
            <w:vAlign w:val="bottom"/>
            <w:gridSpan w:val="2"/>
            <w:shd w:val="clear" w:color="auto" w:fill="CCEEFF"/>
          </w:tcPr>
          <w:p>
            <w:pPr>
              <w:ind w:left="54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(2)</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22,181,003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22,181,003</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-4655820</wp:posOffset>
            </wp:positionV>
            <wp:extent cx="52139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-3189605</wp:posOffset>
            </wp:positionV>
            <wp:extent cx="52139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-1791970</wp:posOffset>
            </wp:positionV>
            <wp:extent cx="521398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-1362710</wp:posOffset>
            </wp:positionV>
            <wp:extent cx="521398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-916940</wp:posOffset>
            </wp:positionV>
            <wp:extent cx="521398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839" w:hanging="272"/>
        <w:spacing w:after="0" w:line="25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months ended March 31, 2017 and 2016, 5,751,815 and 5,710,212 potentially dilutive common shares, respectively, were excluded from the weighted-average common shares outstanding for diluted net increase/(decrease) in net assets resulting from operations per common share because the effect of these shares would have been anti-dilutive. Refer to “Note 5 — Net Increase/(Decrease) in Net Assets Resulting from Operations per Common Share — Basic and Diluted” for further detail.</w:t>
      </w:r>
    </w:p>
    <w:p>
      <w:pPr>
        <w:spacing w:after="0" w:line="200" w:lineRule="exact"/>
        <w:rPr>
          <w:sz w:val="20"/>
          <w:szCs w:val="20"/>
          <w:color w:val="auto"/>
        </w:rPr>
      </w:pPr>
    </w:p>
    <w:p>
      <w:pPr>
        <w:spacing w:after="0" w:line="31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Increase/(Decrease) in Net Assets Resulting from Operations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investment income/(loss)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(4,808,212)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547,007</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 on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(24,689,167)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(6,075,070)</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change in unrealized Appreciation/(Depreciation) of investments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33,280,265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(19,421,001)</w:t>
            </w:r>
          </w:p>
        </w:tc>
      </w:tr>
      <w:tr>
        <w:trPr>
          <w:trHeight w:val="20"/>
        </w:trPr>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Increase/(Decrease) in Net Assets Resulting from Operations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3,782,886</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(24,949,064)</w:t>
            </w:r>
          </w:p>
        </w:tc>
      </w:tr>
      <w:tr>
        <w:trPr>
          <w:trHeight w:val="20"/>
        </w:trPr>
        <w:tc>
          <w:tcPr>
            <w:tcW w:w="5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Total Increase/(Decrease) in Net Assets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3,782,886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(24,949,064)</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192,128,810</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268,010,945</w:t>
            </w:r>
          </w:p>
        </w:tc>
      </w:tr>
      <w:tr>
        <w:trPr>
          <w:trHeight w:val="20"/>
        </w:trPr>
        <w:tc>
          <w:tcPr>
            <w:tcW w:w="5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195,911,696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243,061,881</w:t>
            </w:r>
          </w:p>
        </w:tc>
      </w:tr>
      <w:tr>
        <w:trPr>
          <w:trHeight w:val="21"/>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22,181,003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22,181,003</w:t>
            </w:r>
          </w:p>
        </w:tc>
      </w:tr>
      <w:tr>
        <w:trPr>
          <w:trHeight w:val="20"/>
        </w:trPr>
        <w:tc>
          <w:tcPr>
            <w:tcW w:w="5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22,181,003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22,181,003</w:t>
            </w:r>
          </w:p>
        </w:tc>
      </w:tr>
      <w:tr>
        <w:trPr>
          <w:trHeight w:val="21"/>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r>
      <w:tr>
        <w:trPr>
          <w:trHeight w:val="19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60" w:type="dxa"/>
            <w:vAlign w:val="bottom"/>
          </w:tcPr>
          <w:p>
            <w:pPr>
              <w:ind w:left="20"/>
              <w:spacing w:after="0"/>
              <w:rPr>
                <w:sz w:val="20"/>
                <w:szCs w:val="20"/>
                <w:color w:val="auto"/>
              </w:rPr>
            </w:pPr>
            <w:r>
              <w:rPr>
                <w:rFonts w:ascii="Arial" w:cs="Arial" w:eastAsia="Arial" w:hAnsi="Arial"/>
                <w:sz w:val="16"/>
                <w:szCs w:val="16"/>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3,782,886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(24,949,064)</w:t>
            </w:r>
          </w:p>
        </w:tc>
      </w:tr>
      <w:tr>
        <w:trPr>
          <w:trHeight w:val="19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Adjustments to reconcile net increase/(decrease) in net assets resulting from operations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 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realized losses on investments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24,689,167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6,075,070</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(33,280,265)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19,421,001</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Amortization of discount on Convertible Senior Notes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203,075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214,028</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23,833</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Amortization of fixed income security premiums and discounts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(32,796)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(14,301)</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Paid in kind Interest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Change in restricted cash</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(22,750)</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investments in: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6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(6,005,951)</w:t>
            </w:r>
          </w:p>
        </w:tc>
      </w:tr>
      <w:tr>
        <w:trPr>
          <w:trHeight w:val="203"/>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treasury bills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(59,996,000)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(29,999,883)</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Proceeds from sales or maturity of investments in: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5,039,632</w:t>
            </w:r>
          </w:p>
        </w:tc>
      </w:tr>
      <w:tr>
        <w:trPr>
          <w:trHeight w:val="203"/>
        </w:trPr>
        <w:tc>
          <w:tcPr>
            <w:tcW w:w="5960" w:type="dxa"/>
            <w:vAlign w:val="bottom"/>
          </w:tcPr>
          <w:p>
            <w:pPr>
              <w:ind w:left="380"/>
              <w:spacing w:after="0"/>
              <w:rPr>
                <w:sz w:val="20"/>
                <w:szCs w:val="20"/>
                <w:color w:val="auto"/>
              </w:rPr>
            </w:pPr>
            <w:r>
              <w:rPr>
                <w:rFonts w:ascii="Arial" w:cs="Arial" w:eastAsia="Arial" w:hAnsi="Arial"/>
                <w:sz w:val="16"/>
                <w:szCs w:val="16"/>
                <w:color w:val="auto"/>
              </w:rPr>
              <w:t>United States treasury bills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30,000,000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30,000,000</w:t>
            </w:r>
          </w:p>
        </w:tc>
      </w:tr>
      <w:tr>
        <w:trPr>
          <w:trHeight w:val="203"/>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treasuries strips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1,834,000</w:t>
            </w:r>
          </w:p>
        </w:tc>
      </w:tr>
      <w:tr>
        <w:trPr>
          <w:trHeight w:val="203"/>
        </w:trPr>
        <w:tc>
          <w:tcPr>
            <w:tcW w:w="596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5960" w:type="dxa"/>
            <w:vAlign w:val="bottom"/>
            <w:shd w:val="clear" w:color="auto" w:fill="CCEEFF"/>
          </w:tcPr>
          <w:p>
            <w:pPr>
              <w:ind w:left="200"/>
              <w:spacing w:after="0" w:line="242" w:lineRule="exact"/>
              <w:rPr>
                <w:sz w:val="20"/>
                <w:szCs w:val="20"/>
                <w:color w:val="auto"/>
              </w:rPr>
            </w:pPr>
            <w:r>
              <w:rPr>
                <w:rFonts w:ascii="Arial" w:cs="Arial" w:eastAsia="Arial" w:hAnsi="Arial"/>
                <w:sz w:val="16"/>
                <w:szCs w:val="16"/>
                <w:color w:val="auto"/>
              </w:rPr>
              <w:t>Due from GSV Asset Management</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219,147</w:t>
            </w:r>
          </w:p>
        </w:tc>
      </w:tr>
      <w:tr>
        <w:trPr>
          <w:trHeight w:val="243"/>
        </w:trPr>
        <w:tc>
          <w:tcPr>
            <w:tcW w:w="5960" w:type="dxa"/>
            <w:vAlign w:val="bottom"/>
          </w:tcPr>
          <w:p>
            <w:pPr>
              <w:ind w:left="200"/>
              <w:spacing w:after="0" w:line="242" w:lineRule="exact"/>
              <w:rPr>
                <w:sz w:val="20"/>
                <w:szCs w:val="20"/>
                <w:color w:val="auto"/>
              </w:rPr>
            </w:pPr>
            <w:r>
              <w:rPr>
                <w:rFonts w:ascii="Arial" w:cs="Arial" w:eastAsia="Arial" w:hAnsi="Arial"/>
                <w:sz w:val="16"/>
                <w:szCs w:val="16"/>
                <w:color w:val="auto"/>
              </w:rPr>
              <w:t>Due from portfolio companies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3,880</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66,603</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Interest and dividends receivable</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(112,734)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(88,351)</w:t>
            </w:r>
          </w:p>
        </w:tc>
      </w:tr>
      <w:tr>
        <w:trPr>
          <w:trHeight w:val="243"/>
        </w:trPr>
        <w:tc>
          <w:tcPr>
            <w:tcW w:w="5960" w:type="dxa"/>
            <w:vAlign w:val="bottom"/>
            <w:shd w:val="clear" w:color="auto" w:fill="CCEEFF"/>
          </w:tcPr>
          <w:p>
            <w:pPr>
              <w:ind w:left="200"/>
              <w:spacing w:after="0" w:line="242" w:lineRule="exact"/>
              <w:rPr>
                <w:sz w:val="20"/>
                <w:szCs w:val="20"/>
                <w:color w:val="auto"/>
              </w:rPr>
            </w:pPr>
            <w:r>
              <w:rPr>
                <w:rFonts w:ascii="Arial" w:cs="Arial" w:eastAsia="Arial" w:hAnsi="Arial"/>
                <w:sz w:val="16"/>
                <w:szCs w:val="16"/>
                <w:color w:val="auto"/>
              </w:rPr>
              <w:t>Due to GSV Asset Management</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(362,161)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(5,021,739)</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Payable for securities purchased</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27,497,250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526</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(94,085)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287,574</w:t>
            </w:r>
          </w:p>
        </w:tc>
      </w:tr>
      <w:tr>
        <w:trPr>
          <w:trHeight w:val="243"/>
        </w:trPr>
        <w:tc>
          <w:tcPr>
            <w:tcW w:w="5960" w:type="dxa"/>
            <w:vAlign w:val="bottom"/>
          </w:tcPr>
          <w:p>
            <w:pPr>
              <w:ind w:left="200"/>
              <w:spacing w:after="0" w:line="242"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1,717,308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(5,118,585)</w:t>
            </w:r>
          </w:p>
        </w:tc>
      </w:tr>
      <w:tr>
        <w:trPr>
          <w:trHeight w:val="243"/>
        </w:trPr>
        <w:tc>
          <w:tcPr>
            <w:tcW w:w="5960" w:type="dxa"/>
            <w:vAlign w:val="bottom"/>
            <w:shd w:val="clear" w:color="auto" w:fill="CCEEFF"/>
          </w:tcPr>
          <w:p>
            <w:pPr>
              <w:ind w:left="200"/>
              <w:spacing w:after="0" w:line="242"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(99,848)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(27,511)</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Accrued interest payable</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(905,627)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(905,625)</w:t>
            </w:r>
          </w:p>
        </w:tc>
      </w:tr>
      <w:tr>
        <w:trPr>
          <w:trHeight w:val="20"/>
        </w:trPr>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Net Cash Used in Operating Activities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(6,955,732)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(8,968,466)</w:t>
            </w:r>
          </w:p>
        </w:tc>
      </w:tr>
      <w:tr>
        <w:trPr>
          <w:trHeight w:val="196"/>
        </w:trPr>
        <w:tc>
          <w:tcPr>
            <w:tcW w:w="5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offering costs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(18,357)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(18,357)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Decrease in Cash Balance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(6,974,089)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(8,968,466)</w:t>
            </w:r>
          </w:p>
        </w:tc>
      </w:tr>
      <w:tr>
        <w:trPr>
          <w:trHeight w:val="203"/>
        </w:trPr>
        <w:tc>
          <w:tcPr>
            <w:tcW w:w="5960" w:type="dxa"/>
            <w:vAlign w:val="bottom"/>
          </w:tcPr>
          <w:p>
            <w:pPr>
              <w:ind w:left="20"/>
              <w:spacing w:after="0"/>
              <w:rPr>
                <w:sz w:val="20"/>
                <w:szCs w:val="20"/>
                <w:color w:val="auto"/>
              </w:rPr>
            </w:pPr>
            <w:r>
              <w:rPr>
                <w:rFonts w:ascii="Arial" w:cs="Arial" w:eastAsia="Arial" w:hAnsi="Arial"/>
                <w:sz w:val="16"/>
                <w:szCs w:val="16"/>
                <w:color w:val="auto"/>
              </w:rPr>
              <w:t>Cash Balance at Beginning of Period</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8,332,634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13,349,877</w:t>
            </w:r>
          </w:p>
        </w:tc>
      </w:tr>
      <w:tr>
        <w:trPr>
          <w:trHeight w:val="20"/>
        </w:trPr>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Balance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1,358,545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4,381,411</w:t>
            </w:r>
          </w:p>
        </w:tc>
      </w:tr>
      <w:tr>
        <w:trPr>
          <w:trHeight w:val="196"/>
        </w:trPr>
        <w:tc>
          <w:tcPr>
            <w:tcW w:w="5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1,811,250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2,088,788</w:t>
            </w:r>
          </w:p>
        </w:tc>
      </w:tr>
      <w:tr>
        <w:trPr>
          <w:trHeight w:val="206"/>
        </w:trPr>
        <w:tc>
          <w:tcPr>
            <w:tcW w:w="5960" w:type="dxa"/>
            <w:vAlign w:val="bottom"/>
          </w:tcPr>
          <w:p>
            <w:pPr>
              <w:ind w:left="20"/>
              <w:spacing w:after="0"/>
              <w:rPr>
                <w:sz w:val="20"/>
                <w:szCs w:val="20"/>
                <w:color w:val="auto"/>
              </w:rPr>
            </w:pPr>
            <w:r>
              <w:rPr>
                <w:rFonts w:ascii="Arial" w:cs="Arial" w:eastAsia="Arial" w:hAnsi="Arial"/>
                <w:sz w:val="16"/>
                <w:szCs w:val="16"/>
                <w:color w:val="auto"/>
              </w:rPr>
              <w:t>Taxes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-1202690</wp:posOffset>
            </wp:positionV>
            <wp:extent cx="52139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-936625</wp:posOffset>
            </wp:positionV>
            <wp:extent cx="521398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-396240</wp:posOffset>
            </wp:positionV>
            <wp:extent cx="521398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168910</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200" w:right="1959" w:hanging="2172"/>
        <w:spacing w:after="0" w:line="995"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Data Analysis</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326,797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2,093,135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36,980,484</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39,073,619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On-Demand Music</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Streaming</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9,541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13,599,572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19,606,755</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Cloud Computing Services</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552,486</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7,182,318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9,880,000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17,062,318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126,552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7,334,954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7,721,025</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15,055,979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Mobile Device Management</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73,440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9,999,928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14,889,935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2,961,399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14,510,855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Light Field Imaging Platform</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159,160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502,081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500,001</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10,405,407</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10,502,083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10,905,408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Redwood City,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2,145,509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10,532,304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Ozy Media,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2/28/2018***</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Digital Media Platform</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  2,000,000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922,509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10,500,199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10,499,999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color w:val="auto"/>
              </w:rPr>
              <w:t>C</w:t>
            </w:r>
            <w:r>
              <w:rPr>
                <w:rFonts w:ascii="Arial" w:cs="Arial" w:eastAsia="Arial" w:hAnsi="Arial"/>
                <w:sz w:val="14"/>
                <w:szCs w:val="14"/>
                <w:b w:val="1"/>
                <w:bCs w:val="1"/>
                <w:color w:val="auto"/>
              </w:rPr>
              <w:t>hegg,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Santa Clara,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 Services</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9,982,764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22"/>
        </w:trPr>
        <w:tc>
          <w:tcPr>
            <w:tcW w:w="1100" w:type="dxa"/>
            <w:vAlign w:val="bottom"/>
            <w:tcBorders>
              <w:left w:val="single" w:sz="8" w:color="CCEEFF"/>
              <w:bottom w:val="single" w:sz="8" w:color="CCEEFF"/>
            </w:tcBorders>
            <w:gridSpan w:val="4"/>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0"/>
              </w:rPr>
              <w:t>Curious.com, Inc.</w:t>
            </w:r>
          </w:p>
        </w:tc>
        <w:tc>
          <w:tcPr>
            <w:tcW w:w="200" w:type="dxa"/>
            <w:vAlign w:val="bottom"/>
            <w:tcBorders>
              <w:bottom w:val="single" w:sz="8" w:color="auto"/>
              <w:right w:val="single" w:sz="8" w:color="CCEEFF"/>
            </w:tcBorders>
            <w:shd w:val="clear" w:color="auto" w:fill="CCEEFF"/>
          </w:tcPr>
          <w:p>
            <w:pPr>
              <w:jc w:val="right"/>
              <w:ind w:right="6"/>
              <w:spacing w:after="0" w:line="102" w:lineRule="exact"/>
              <w:rPr>
                <w:sz w:val="20"/>
                <w:szCs w:val="20"/>
                <w:color w:val="auto"/>
              </w:rPr>
            </w:pPr>
            <w:r>
              <w:rPr>
                <w:rFonts w:ascii="Arial" w:cs="Arial" w:eastAsia="Arial" w:hAnsi="Arial"/>
                <w:sz w:val="11"/>
                <w:szCs w:val="11"/>
                <w:b w:val="1"/>
                <w:bCs w:val="1"/>
                <w:color w:val="auto"/>
                <w:w w:val="88"/>
              </w:rPr>
              <w:t>(1)</w:t>
            </w:r>
          </w:p>
        </w:tc>
        <w:tc>
          <w:tcPr>
            <w:tcW w:w="1280" w:type="dxa"/>
            <w:vAlign w:val="bottom"/>
            <w:tcBorders>
              <w:bottom w:val="single" w:sz="8" w:color="CCEEFF"/>
            </w:tcBorders>
            <w:gridSpan w:val="4"/>
            <w:vMerge w:val="restart"/>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Menlo Park, CA</w:t>
            </w: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left w:val="single" w:sz="8" w:color="CCEEFF"/>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left w:val="single" w:sz="8" w:color="CCEEFF"/>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00" w:type="dxa"/>
            <w:vAlign w:val="bottom"/>
            <w:tcBorders>
              <w:left w:val="single" w:sz="8" w:color="CCEEFF"/>
            </w:tcBorders>
            <w:gridSpan w:val="4"/>
            <w:vMerge w:val="continue"/>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80" w:type="dxa"/>
            <w:vAlign w:val="bottom"/>
            <w:gridSpan w:val="4"/>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3,407,834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12,000,006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9,780,484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(2)(6)</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Scottsdale, AZ</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Interactive Learning</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4,650,838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4,470,403</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366,666</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499,796</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left w:val="single" w:sz="8" w:color="CCEEFF"/>
            </w:tcBorders>
            <w:gridSpan w:val="9"/>
            <w:shd w:val="clear" w:color="auto" w:fill="CCEEFF"/>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9,621,037</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-3764280</wp:posOffset>
            </wp:positionV>
            <wp:extent cx="5213985"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-3086735</wp:posOffset>
            </wp:positionV>
            <wp:extent cx="5213985"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-2692400</wp:posOffset>
            </wp:positionV>
            <wp:extent cx="5213985" cy="111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-1920240</wp:posOffset>
            </wp:positionV>
            <wp:extent cx="5213985"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-1028700</wp:posOffset>
            </wp:positionV>
            <wp:extent cx="5213985"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Convertible Promissory Note 9%</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Due 6/30/2017***</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Social Cognitive Learning</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2,120,658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2,120,658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2,827,020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1.44%</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10,716,390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4,608,048</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w:t>
            </w: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12,120,657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7,435,068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3.79%</w:t>
            </w:r>
          </w:p>
        </w:tc>
      </w:tr>
      <w:tr>
        <w:trPr>
          <w:trHeight w:val="129"/>
        </w:trPr>
        <w:tc>
          <w:tcPr>
            <w:tcW w:w="2580" w:type="dxa"/>
            <w:vAlign w:val="bottom"/>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On-Demand Transportation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128,563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2,503,585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3,149,703</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1.60%</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1,792,749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4,163,403</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2.13%</w:t>
            </w: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4,296,334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7,313,106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3.73%</w:t>
            </w: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NestGSV, Inc. (d/b/a GSV Labs, Inc.)</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Redwood City,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Convertible Promissory Note 8%</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Due 7/31/2017***</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Global Innovation Platform</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490,768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488,488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0.25%</w:t>
            </w:r>
          </w:p>
        </w:tc>
      </w:tr>
      <w:tr>
        <w:trPr>
          <w:trHeight w:val="130"/>
        </w:trPr>
        <w:tc>
          <w:tcPr>
            <w:tcW w:w="2580" w:type="dxa"/>
            <w:vAlign w:val="bottom"/>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Unsecured Promissory Note 12%</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7"/>
            <w:shd w:val="clear" w:color="auto" w:fill="CCEEFF"/>
          </w:tcPr>
          <w:p>
            <w:pPr>
              <w:ind w:left="180"/>
              <w:spacing w:after="0"/>
              <w:rPr>
                <w:sz w:val="20"/>
                <w:szCs w:val="20"/>
                <w:color w:val="auto"/>
              </w:rPr>
            </w:pPr>
            <w:r>
              <w:rPr>
                <w:rFonts w:ascii="Arial" w:cs="Arial" w:eastAsia="Arial" w:hAnsi="Arial"/>
                <w:sz w:val="14"/>
                <w:szCs w:val="14"/>
                <w:color w:val="auto"/>
              </w:rPr>
              <w:t>Due 5/29/2017***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516,234</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516,234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0.25%</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A-4</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3,720,424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4,904,498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3,832,037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1.96%</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A-3</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1,342,998</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0.69%</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A-2</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450,001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234,001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0.12%</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0.20%</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0.01%</w:t>
            </w:r>
          </w:p>
        </w:tc>
      </w:tr>
      <w:tr>
        <w:trPr>
          <w:trHeight w:val="130"/>
        </w:trPr>
        <w:tc>
          <w:tcPr>
            <w:tcW w:w="2580" w:type="dxa"/>
            <w:vAlign w:val="bottom"/>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Series A-3 –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9" w:lineRule="exact"/>
              <w:rPr>
                <w:sz w:val="20"/>
                <w:szCs w:val="20"/>
                <w:color w:val="auto"/>
              </w:rPr>
            </w:pPr>
            <w:r>
              <w:rPr>
                <w:rFonts w:ascii="Arial" w:cs="Arial" w:eastAsia="Arial" w:hAnsi="Arial"/>
                <w:sz w:val="14"/>
                <w:szCs w:val="14"/>
                <w:color w:val="auto"/>
              </w:rPr>
              <w:t>$1.33 – Expiration</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7"/>
            <w:shd w:val="clear" w:color="auto" w:fill="CCEEFF"/>
          </w:tcPr>
          <w:p>
            <w:pPr>
              <w:ind w:left="180"/>
              <w:spacing w:after="0"/>
              <w:rPr>
                <w:sz w:val="20"/>
                <w:szCs w:val="20"/>
                <w:color w:val="auto"/>
              </w:rPr>
            </w:pPr>
            <w:r>
              <w:rPr>
                <w:rFonts w:ascii="Arial" w:cs="Arial" w:eastAsia="Arial" w:hAnsi="Arial"/>
                <w:sz w:val="14"/>
                <w:szCs w:val="14"/>
                <w:color w:val="auto"/>
              </w:rPr>
              <w:t>Date 4/4/2019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w w:val="92"/>
              </w:rPr>
              <w:t>Preferred Warrants Series A-4 –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560" w:type="dxa"/>
            <w:vAlign w:val="bottom"/>
            <w:gridSpan w:val="7"/>
          </w:tcPr>
          <w:p>
            <w:pPr>
              <w:ind w:left="180"/>
              <w:spacing w:after="0" w:line="149" w:lineRule="exact"/>
              <w:rPr>
                <w:sz w:val="20"/>
                <w:szCs w:val="20"/>
                <w:color w:val="auto"/>
              </w:rPr>
            </w:pPr>
            <w:r>
              <w:rPr>
                <w:rFonts w:ascii="Arial" w:cs="Arial" w:eastAsia="Arial" w:hAnsi="Arial"/>
                <w:sz w:val="14"/>
                <w:szCs w:val="14"/>
                <w:color w:val="auto"/>
              </w:rPr>
              <w:t>$1.33 – Expiration</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0.04%</w:t>
            </w:r>
          </w:p>
        </w:tc>
      </w:tr>
      <w:tr>
        <w:trPr>
          <w:trHeight w:val="130"/>
        </w:trPr>
        <w:tc>
          <w:tcPr>
            <w:tcW w:w="2580" w:type="dxa"/>
            <w:vAlign w:val="bottom"/>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Series A-4 –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9" w:lineRule="exact"/>
              <w:rPr>
                <w:sz w:val="20"/>
                <w:szCs w:val="20"/>
                <w:color w:val="auto"/>
              </w:rPr>
            </w:pPr>
            <w:r>
              <w:rPr>
                <w:rFonts w:ascii="Arial" w:cs="Arial" w:eastAsia="Arial" w:hAnsi="Arial"/>
                <w:sz w:val="14"/>
                <w:szCs w:val="14"/>
                <w:color w:val="auto"/>
              </w:rPr>
              <w:t>$1.33 – Expiration</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7"/>
            <w:shd w:val="clear" w:color="auto" w:fill="CCEEFF"/>
          </w:tcPr>
          <w:p>
            <w:pPr>
              <w:ind w:left="180"/>
              <w:spacing w:after="0"/>
              <w:rPr>
                <w:sz w:val="20"/>
                <w:szCs w:val="20"/>
                <w:color w:val="auto"/>
              </w:rPr>
            </w:pPr>
            <w:r>
              <w:rPr>
                <w:rFonts w:ascii="Arial" w:cs="Arial" w:eastAsia="Arial" w:hAnsi="Arial"/>
                <w:sz w:val="14"/>
                <w:szCs w:val="14"/>
                <w:color w:val="auto"/>
              </w:rPr>
              <w:t>Date 7/18/2021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0.02%</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w w:val="92"/>
              </w:rPr>
              <w:t>Preferred Warrants Series A-4 –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560" w:type="dxa"/>
            <w:vAlign w:val="bottom"/>
            <w:gridSpan w:val="7"/>
          </w:tcPr>
          <w:p>
            <w:pPr>
              <w:ind w:left="180"/>
              <w:spacing w:after="0" w:line="149" w:lineRule="exact"/>
              <w:rPr>
                <w:sz w:val="20"/>
                <w:szCs w:val="20"/>
                <w:color w:val="auto"/>
              </w:rPr>
            </w:pPr>
            <w:r>
              <w:rPr>
                <w:rFonts w:ascii="Arial" w:cs="Arial" w:eastAsia="Arial" w:hAnsi="Arial"/>
                <w:sz w:val="14"/>
                <w:szCs w:val="14"/>
                <w:color w:val="auto"/>
              </w:rPr>
              <w:t>$1.33 – Expiration</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Date 11/29/2021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9,649,163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6,979,883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3.56%</w:t>
            </w:r>
          </w:p>
        </w:tc>
      </w:tr>
      <w:tr>
        <w:trPr>
          <w:trHeight w:val="129"/>
        </w:trPr>
        <w:tc>
          <w:tcPr>
            <w:tcW w:w="2580" w:type="dxa"/>
            <w:vAlign w:val="bottom"/>
            <w:tcBorders>
              <w:top w:val="single" w:sz="8" w:color="CCEEFF"/>
            </w:tcBorders>
            <w:gridSpan w:val="8"/>
          </w:tcPr>
          <w:p>
            <w:pPr>
              <w:ind w:left="20"/>
              <w:spacing w:after="0" w:line="129" w:lineRule="exact"/>
              <w:rPr>
                <w:sz w:val="20"/>
                <w:szCs w:val="20"/>
                <w:color w:val="auto"/>
              </w:rPr>
            </w:pPr>
            <w:r>
              <w:rPr>
                <w:rFonts w:ascii="Arial" w:cs="Arial" w:eastAsia="Arial" w:hAnsi="Arial"/>
                <w:sz w:val="14"/>
                <w:szCs w:val="14"/>
                <w:b w:val="1"/>
                <w:bCs w:val="1"/>
                <w:color w:val="auto"/>
              </w:rPr>
              <w:t>SugarCRM,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5"/>
              </w:rPr>
              <w:t>Cupertino,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Customer Relationship</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2,436,565</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1.24%</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Manager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3,827,245</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6,263,810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3.19%</w:t>
            </w:r>
          </w:p>
        </w:tc>
      </w:tr>
      <w:tr>
        <w:trPr>
          <w:trHeight w:val="169"/>
        </w:trPr>
        <w:tc>
          <w:tcPr>
            <w:tcW w:w="2580" w:type="dxa"/>
            <w:vAlign w:val="bottom"/>
            <w:tcBorders>
              <w:top w:val="single" w:sz="8" w:color="CCEEFF"/>
            </w:tcBorders>
            <w:gridSpan w:val="8"/>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color w:val="auto"/>
                <w:vertAlign w:val="superscript"/>
              </w:rPr>
              <w:t>(4)</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3"/>
        </w:trPr>
        <w:tc>
          <w:tcPr>
            <w:tcW w:w="2580" w:type="dxa"/>
            <w:vAlign w:val="bottom"/>
            <w:gridSpan w:val="8"/>
            <w:shd w:val="clear" w:color="auto" w:fill="CCEEFF"/>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School</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10,014,270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10,151,854</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6,128,733</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3.13%</w:t>
            </w:r>
          </w:p>
        </w:tc>
      </w:tr>
      <w:tr>
        <w:trPr>
          <w:trHeight w:val="176"/>
        </w:trPr>
        <w:tc>
          <w:tcPr>
            <w:tcW w:w="2580" w:type="dxa"/>
            <w:vAlign w:val="bottom"/>
            <w:gridSpan w:val="8"/>
          </w:tcPr>
          <w:p>
            <w:pPr>
              <w:ind w:left="20"/>
              <w:spacing w:after="0" w:line="176" w:lineRule="exact"/>
              <w:rPr>
                <w:sz w:val="20"/>
                <w:szCs w:val="20"/>
                <w:color w:val="auto"/>
              </w:rPr>
            </w:pPr>
            <w:r>
              <w:rPr>
                <w:rFonts w:ascii="Arial" w:cs="Arial" w:eastAsia="Arial" w:hAnsi="Arial"/>
                <w:sz w:val="13"/>
                <w:szCs w:val="13"/>
                <w:b w:val="1"/>
                <w:bCs w:val="1"/>
                <w:color w:val="auto"/>
              </w:rPr>
              <w:t>Snap Inc. (f/k/a Snapchat, Inc.)**</w:t>
            </w:r>
            <w:r>
              <w:rPr>
                <w:rFonts w:ascii="Arial" w:cs="Arial" w:eastAsia="Arial" w:hAnsi="Arial"/>
                <w:sz w:val="20"/>
                <w:szCs w:val="20"/>
                <w:b w:val="1"/>
                <w:bCs w:val="1"/>
                <w:color w:val="auto"/>
                <w:vertAlign w:val="superscript"/>
              </w:rPr>
              <w:t>(10)</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Venice,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130,208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2,001,135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2,933,586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1.50%</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 Class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130,208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2,001,135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2,933,586</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1.50%</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4,002,270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5,867,172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3.00%</w:t>
            </w:r>
          </w:p>
        </w:tc>
      </w:tr>
      <w:tr>
        <w:trPr>
          <w:trHeight w:val="129"/>
        </w:trPr>
        <w:tc>
          <w:tcPr>
            <w:tcW w:w="2580" w:type="dxa"/>
            <w:vAlign w:val="bottom"/>
            <w:tcBorders>
              <w:top w:val="single" w:sz="8" w:color="CCEEFF"/>
            </w:tcBorders>
            <w:gridSpan w:val="8"/>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1,100,909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1,389,311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0.71%</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4,171,944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5,561,255</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2.84%</w:t>
            </w: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-4236085</wp:posOffset>
            </wp:positionV>
            <wp:extent cx="5213985"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-3841115</wp:posOffset>
            </wp:positionV>
            <wp:extent cx="5213985"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-1525905</wp:posOffset>
            </wp:positionV>
            <wp:extent cx="5213985"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-1131570</wp:posOffset>
            </wp:positionV>
            <wp:extent cx="521398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-402590</wp:posOffset>
            </wp:positionV>
            <wp:extent cx="5213985"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177"/>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On-Demand Commerce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1,681,520</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2.04%</w:t>
            </w: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1,441,885</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0.74%</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5,441,885</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2.78%</w:t>
            </w: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4,544,727</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2.32%</w:t>
            </w:r>
          </w:p>
        </w:tc>
      </w:tr>
      <w:tr>
        <w:trPr>
          <w:trHeight w:val="176"/>
        </w:trPr>
        <w:tc>
          <w:tcPr>
            <w:tcW w:w="2580" w:type="dxa"/>
            <w:vAlign w:val="bottom"/>
            <w:tcBorders>
              <w:left w:val="single" w:sz="8" w:color="CCEEFF"/>
            </w:tcBorders>
            <w:gridSpan w:val="12"/>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Globally-focused Private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1.53%</w:t>
            </w: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School</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0.77%</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2.30%</w:t>
            </w: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SPBRX, INC. (f/k/a GSV Sustainability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9"/>
        </w:trPr>
        <w:tc>
          <w:tcPr>
            <w:tcW w:w="2460" w:type="dxa"/>
            <w:vAlign w:val="bottom"/>
            <w:tcBorders>
              <w:top w:val="single" w:sz="8" w:color="auto"/>
              <w:left w:val="single" w:sz="8" w:color="CCEEFF"/>
            </w:tcBorders>
            <w:gridSpan w:val="11"/>
            <w:shd w:val="clear" w:color="auto" w:fill="CCEEFF"/>
          </w:tcPr>
          <w:p>
            <w:pPr>
              <w:ind w:left="200"/>
              <w:spacing w:after="0" w:line="169" w:lineRule="exact"/>
              <w:rPr>
                <w:sz w:val="20"/>
                <w:szCs w:val="20"/>
                <w:color w:val="auto"/>
              </w:rPr>
            </w:pPr>
            <w:r>
              <w:rPr>
                <w:rFonts w:ascii="Arial" w:cs="Arial" w:eastAsia="Arial" w:hAnsi="Arial"/>
                <w:sz w:val="12"/>
                <w:szCs w:val="12"/>
                <w:b w:val="1"/>
                <w:bCs w:val="1"/>
                <w:color w:val="auto"/>
              </w:rPr>
              <w:t>Partners, Inc.)</w:t>
            </w:r>
            <w:r>
              <w:rPr>
                <w:rFonts w:ascii="Arial" w:cs="Arial" w:eastAsia="Arial" w:hAnsi="Arial"/>
                <w:sz w:val="19"/>
                <w:szCs w:val="19"/>
                <w:color w:val="auto"/>
                <w:vertAlign w:val="superscript"/>
              </w:rPr>
              <w:t>(2)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Clean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14,300,000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7,151,412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4,176,901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2.13%</w:t>
            </w: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7,161,412</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4,176,901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2.13%</w:t>
            </w:r>
          </w:p>
        </w:tc>
      </w:tr>
      <w:tr>
        <w:trPr>
          <w:trHeight w:val="169"/>
        </w:trPr>
        <w:tc>
          <w:tcPr>
            <w:tcW w:w="2580" w:type="dxa"/>
            <w:vAlign w:val="bottom"/>
            <w:tcBorders>
              <w:left w:val="single" w:sz="8" w:color="CCEEFF"/>
            </w:tcBorders>
            <w:gridSpan w:val="1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CUX, Inc. (d/b/a CorpU)</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Philadelphia, PA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12"/>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58"/>
        </w:trPr>
        <w:tc>
          <w:tcPr>
            <w:tcW w:w="2580" w:type="dxa"/>
            <w:vAlign w:val="bottom"/>
            <w:gridSpan w:val="12"/>
          </w:tcPr>
          <w:p>
            <w:pPr>
              <w:ind w:left="200"/>
              <w:spacing w:after="0" w:line="159" w:lineRule="exact"/>
              <w:rPr>
                <w:sz w:val="20"/>
                <w:szCs w:val="20"/>
                <w:color w:val="auto"/>
              </w:rPr>
            </w:pPr>
            <w:r>
              <w:rPr>
                <w:rFonts w:ascii="Arial" w:cs="Arial" w:eastAsia="Arial" w:hAnsi="Arial"/>
                <w:sz w:val="14"/>
                <w:szCs w:val="14"/>
                <w:color w:val="auto"/>
              </w:rPr>
              <w:t>Promissory Note 8%,</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8"/>
        </w:trPr>
        <w:tc>
          <w:tcPr>
            <w:tcW w:w="2580" w:type="dxa"/>
            <w:vAlign w:val="bottom"/>
            <w:gridSpan w:val="12"/>
          </w:tcPr>
          <w:p>
            <w:pPr>
              <w:ind w:left="200"/>
              <w:spacing w:after="0" w:line="198" w:lineRule="exact"/>
              <w:rPr>
                <w:sz w:val="20"/>
                <w:szCs w:val="20"/>
                <w:color w:val="auto"/>
              </w:rPr>
            </w:pPr>
            <w:r>
              <w:rPr>
                <w:rFonts w:ascii="Arial" w:cs="Arial" w:eastAsia="Arial" w:hAnsi="Arial"/>
                <w:sz w:val="14"/>
                <w:szCs w:val="14"/>
                <w:color w:val="auto"/>
              </w:rPr>
              <w:t>Due 11/26/2018***</w:t>
            </w:r>
            <w:r>
              <w:rPr>
                <w:rFonts w:ascii="Arial" w:cs="Arial" w:eastAsia="Arial" w:hAnsi="Arial"/>
                <w:sz w:val="22"/>
                <w:szCs w:val="22"/>
                <w:color w:val="auto"/>
                <w:vertAlign w:val="superscript"/>
              </w:rPr>
              <w:t>(8)</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1,166,400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1,166,400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1,166,400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0.60%</w:t>
            </w: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0.39%</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1,913,484</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0.98%</w:t>
            </w:r>
          </w:p>
        </w:tc>
      </w:tr>
      <w:tr>
        <w:trPr>
          <w:trHeight w:val="130"/>
        </w:trPr>
        <w:tc>
          <w:tcPr>
            <w:tcW w:w="2580" w:type="dxa"/>
            <w:vAlign w:val="bottom"/>
            <w:tcBorders>
              <w:left w:val="single" w:sz="8" w:color="CCEEFF"/>
            </w:tcBorders>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Preferred Warrants Series D –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12"/>
            <w:shd w:val="clear" w:color="auto" w:fill="CCEEFF"/>
          </w:tcPr>
          <w:p>
            <w:pPr>
              <w:ind w:left="200"/>
              <w:spacing w:after="0"/>
              <w:rPr>
                <w:sz w:val="20"/>
                <w:szCs w:val="20"/>
                <w:color w:val="auto"/>
              </w:rPr>
            </w:pPr>
            <w:r>
              <w:rPr>
                <w:rFonts w:ascii="Arial" w:cs="Arial" w:eastAsia="Arial" w:hAnsi="Arial"/>
                <w:sz w:val="14"/>
                <w:szCs w:val="14"/>
                <w:color w:val="auto"/>
              </w:rPr>
              <w:t>$4.59 – Expiration Date 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3,951,084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3,860,647</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1.97%</w:t>
            </w: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3,398,904</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1.73%</w:t>
            </w:r>
          </w:p>
        </w:tc>
      </w:tr>
      <w:tr>
        <w:trPr>
          <w:trHeight w:val="135"/>
        </w:trPr>
        <w:tc>
          <w:tcPr>
            <w:tcW w:w="2580" w:type="dxa"/>
            <w:vAlign w:val="bottom"/>
            <w:tcBorders>
              <w:left w:val="single" w:sz="8" w:color="CCEEFF"/>
            </w:tcBorders>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8"/>
              </w:rPr>
              <w:t>A Place for Rover Inc. (f/k/a DogVacay,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9"/>
        </w:trPr>
        <w:tc>
          <w:tcPr>
            <w:tcW w:w="2440" w:type="dxa"/>
            <w:vAlign w:val="bottom"/>
            <w:tcBorders>
              <w:top w:val="single" w:sz="8" w:color="auto"/>
              <w:left w:val="single" w:sz="8" w:color="CCEEFF"/>
            </w:tcBorders>
            <w:gridSpan w:val="10"/>
            <w:shd w:val="clear" w:color="auto" w:fill="CCEEFF"/>
          </w:tcPr>
          <w:p>
            <w:pPr>
              <w:ind w:left="200"/>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(11)</w:t>
            </w:r>
          </w:p>
        </w:tc>
        <w:tc>
          <w:tcPr>
            <w:tcW w:w="1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Santa Monica, CA</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88"/>
              </w:rPr>
              <w:t>Peer-to-Peer Pet Services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707,991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2,500,051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1.28%</w:t>
            </w:r>
          </w:p>
        </w:tc>
      </w:tr>
      <w:tr>
        <w:trPr>
          <w:trHeight w:val="135"/>
        </w:trPr>
        <w:tc>
          <w:tcPr>
            <w:tcW w:w="2580" w:type="dxa"/>
            <w:vAlign w:val="bottom"/>
            <w:tcBorders>
              <w:left w:val="single" w:sz="8" w:color="CCEEFF"/>
            </w:tcBorders>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SharesPost,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San Bruno,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2,249,999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1.15%</w:t>
            </w:r>
          </w:p>
        </w:tc>
      </w:tr>
      <w:tr>
        <w:trPr>
          <w:trHeight w:val="130"/>
        </w:trPr>
        <w:tc>
          <w:tcPr>
            <w:tcW w:w="2580" w:type="dxa"/>
            <w:vAlign w:val="bottom"/>
            <w:tcBorders>
              <w:left w:val="single" w:sz="8" w:color="CCEEFF"/>
            </w:tcBorders>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12"/>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84,803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0.04%</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2,334,802</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1.19%</w:t>
            </w:r>
          </w:p>
        </w:tc>
      </w:tr>
      <w:tr>
        <w:trPr>
          <w:trHeight w:val="169"/>
        </w:trPr>
        <w:tc>
          <w:tcPr>
            <w:tcW w:w="2580" w:type="dxa"/>
            <w:vAlign w:val="bottom"/>
            <w:tcBorders>
              <w:left w:val="single" w:sz="8" w:color="CCEEFF"/>
            </w:tcBorders>
            <w:gridSpan w:val="1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1.02%</w:t>
            </w: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256,931</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0.13%</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2,256,929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1.15%</w:t>
            </w: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1,503,436</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0.77%</w:t>
            </w: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751,718</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0.38%</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2,255,154</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1.15%</w:t>
            </w:r>
          </w:p>
        </w:tc>
      </w:tr>
      <w:tr>
        <w:trPr>
          <w:trHeight w:val="169"/>
        </w:trPr>
        <w:tc>
          <w:tcPr>
            <w:tcW w:w="2580" w:type="dxa"/>
            <w:vAlign w:val="bottom"/>
            <w:tcBorders>
              <w:left w:val="single" w:sz="8" w:color="CCEEFF"/>
            </w:tcBorders>
            <w:gridSpan w:val="1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6"/>
        </w:trPr>
        <w:tc>
          <w:tcPr>
            <w:tcW w:w="2580" w:type="dxa"/>
            <w:vAlign w:val="bottom"/>
            <w:gridSpan w:val="12"/>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Big Data Consulting</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989,277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2,229,633</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-4188460</wp:posOffset>
            </wp:positionV>
            <wp:extent cx="5213985"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-3579495</wp:posOffset>
            </wp:positionV>
            <wp:extent cx="5213985"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-3065145</wp:posOffset>
            </wp:positionV>
            <wp:extent cx="5213985"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-2147570</wp:posOffset>
            </wp:positionV>
            <wp:extent cx="5213985" cy="111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-1161415</wp:posOffset>
            </wp:positionV>
            <wp:extent cx="5213985"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-741045</wp:posOffset>
            </wp:positionV>
            <wp:extent cx="5213985"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-346710</wp:posOffset>
            </wp:positionV>
            <wp:extent cx="521398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4"/>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gridSpan w:val="1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1,799,047</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6"/>
        </w:trPr>
        <w:tc>
          <w:tcPr>
            <w:tcW w:w="258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EdSurge,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378,788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501,360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580" w:type="dxa"/>
            <w:vAlign w:val="bottom"/>
            <w:gridSpan w:val="14"/>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563,576</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3"/>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1,002,161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1,063,576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29"/>
        </w:trPr>
        <w:tc>
          <w:tcPr>
            <w:tcW w:w="2580" w:type="dxa"/>
            <w:vAlign w:val="bottom"/>
            <w:gridSpan w:val="1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534,162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892,051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35"/>
        </w:trPr>
        <w:tc>
          <w:tcPr>
            <w:tcW w:w="2580" w:type="dxa"/>
            <w:vAlign w:val="bottom"/>
            <w:gridSpan w:val="14"/>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8"/>
              </w:rPr>
              <w:t>Cambridge, MA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Business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517,917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6,150,506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4"/>
            <w:shd w:val="clear" w:color="auto" w:fill="CCEEFF"/>
          </w:tcPr>
          <w:p>
            <w:pPr>
              <w:ind w:left="20"/>
              <w:spacing w:after="0" w:line="149" w:lineRule="exact"/>
              <w:rPr>
                <w:sz w:val="20"/>
                <w:szCs w:val="20"/>
                <w:color w:val="auto"/>
              </w:rPr>
            </w:pPr>
            <w:r>
              <w:rPr>
                <w:rFonts w:ascii="Arial" w:cs="Arial" w:eastAsia="Arial" w:hAnsi="Arial"/>
                <w:sz w:val="14"/>
                <w:szCs w:val="14"/>
                <w:color w:val="auto"/>
              </w:rPr>
              <w:t>Junior note 1.49%, Due 11/9/2021***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2,270,863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877,359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3"/>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8,421,369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877,359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29"/>
        </w:trPr>
        <w:tc>
          <w:tcPr>
            <w:tcW w:w="2580" w:type="dxa"/>
            <w:vAlign w:val="bottom"/>
            <w:gridSpan w:val="1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shd w:val="clear" w:color="auto" w:fill="CCEEFF"/>
          </w:tcPr>
          <w:p>
            <w:pPr>
              <w:spacing w:after="0"/>
              <w:rPr>
                <w:sz w:val="11"/>
                <w:szCs w:val="11"/>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gridSpan w:val="11"/>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436,219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505,744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5"/>
        </w:trPr>
        <w:tc>
          <w:tcPr>
            <w:tcW w:w="2580" w:type="dxa"/>
            <w:vAlign w:val="bottom"/>
            <w:gridSpan w:val="14"/>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18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4"/>
          </w:tcPr>
          <w:p>
            <w:pPr>
              <w:ind w:left="20"/>
              <w:spacing w:after="0" w:line="123" w:lineRule="exact"/>
              <w:rPr>
                <w:sz w:val="20"/>
                <w:szCs w:val="20"/>
                <w:color w:val="auto"/>
              </w:rPr>
            </w:pPr>
            <w:r>
              <w:rPr>
                <w:rFonts w:ascii="Arial" w:cs="Arial" w:eastAsia="Arial" w:hAnsi="Arial"/>
                <w:sz w:val="14"/>
                <w:szCs w:val="14"/>
                <w:color w:val="auto"/>
              </w:rPr>
              <w:t>Promissory Note 12%,</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3"/>
          </w:tcPr>
          <w:p>
            <w:pPr>
              <w:ind w:left="180"/>
              <w:spacing w:after="0"/>
              <w:rPr>
                <w:sz w:val="20"/>
                <w:szCs w:val="20"/>
                <w:color w:val="auto"/>
              </w:rPr>
            </w:pPr>
            <w:r>
              <w:rPr>
                <w:rFonts w:ascii="Arial" w:cs="Arial" w:eastAsia="Arial" w:hAnsi="Arial"/>
                <w:sz w:val="14"/>
                <w:szCs w:val="14"/>
                <w:color w:val="auto"/>
              </w:rPr>
              <w:t>Due 11/17/2017***</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28,008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4"/>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316,964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30"/>
        </w:trPr>
        <w:tc>
          <w:tcPr>
            <w:tcW w:w="2580" w:type="dxa"/>
            <w:vAlign w:val="bottom"/>
            <w:gridSpan w:val="14"/>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3"/>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4"/>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3"/>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4"/>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3"/>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4"/>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3"/>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4"/>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3"/>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3"/>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1,839,709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344,972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4"/>
          </w:tcPr>
          <w:p>
            <w:pPr>
              <w:ind w:left="20"/>
              <w:spacing w:after="0" w:line="129"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6"/>
              </w:rPr>
              <w:t>Marina Del Rey,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324,162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35"/>
        </w:trPr>
        <w:tc>
          <w:tcPr>
            <w:tcW w:w="2580" w:type="dxa"/>
            <w:vAlign w:val="bottom"/>
            <w:gridSpan w:val="14"/>
          </w:tcPr>
          <w:p>
            <w:pPr>
              <w:ind w:left="20"/>
              <w:spacing w:after="0" w:line="135" w:lineRule="exact"/>
              <w:rPr>
                <w:sz w:val="20"/>
                <w:szCs w:val="20"/>
                <w:color w:val="auto"/>
              </w:rPr>
            </w:pPr>
            <w:r>
              <w:rPr>
                <w:rFonts w:ascii="Arial" w:cs="Arial" w:eastAsia="Arial" w:hAnsi="Arial"/>
                <w:sz w:val="14"/>
                <w:szCs w:val="14"/>
                <w:b w:val="1"/>
                <w:bCs w:val="1"/>
                <w:color w:val="auto"/>
              </w:rPr>
              <w:t>Handle Financial, Inc.</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Borders>
              <w:top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(f/k/a Paynearme,</w:t>
            </w:r>
          </w:p>
        </w:tc>
        <w:tc>
          <w:tcPr>
            <w:tcW w:w="1200" w:type="dxa"/>
            <w:vAlign w:val="bottom"/>
            <w:gridSpan w:val="6"/>
          </w:tcPr>
          <w:p>
            <w:pPr>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(9)</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548,034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14,000,398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76,725</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5"/>
        </w:trPr>
        <w:tc>
          <w:tcPr>
            <w:tcW w:w="2580" w:type="dxa"/>
            <w:vAlign w:val="bottom"/>
            <w:gridSpan w:val="14"/>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top w:val="single" w:sz="8" w:color="auto"/>
            </w:tcBorders>
            <w:gridSpan w:val="12"/>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Hong Kong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675,495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4"/>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254,128,830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270,654,707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138.15%</w:t>
            </w:r>
          </w:p>
        </w:tc>
        <w:tc>
          <w:tcPr>
            <w:tcW w:w="0" w:type="dxa"/>
            <w:vAlign w:val="bottom"/>
          </w:tcPr>
          <w:p>
            <w:pPr>
              <w:spacing w:after="0"/>
              <w:rPr>
                <w:sz w:val="1"/>
                <w:szCs w:val="1"/>
                <w:color w:val="auto"/>
              </w:rPr>
            </w:pPr>
          </w:p>
        </w:tc>
      </w:tr>
      <w:tr>
        <w:trPr>
          <w:trHeight w:val="129"/>
        </w:trPr>
        <w:tc>
          <w:tcPr>
            <w:tcW w:w="2580" w:type="dxa"/>
            <w:vAlign w:val="bottom"/>
            <w:gridSpan w:val="1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4"/>
          </w:tcPr>
          <w:p>
            <w:pPr>
              <w:ind w:left="20"/>
              <w:spacing w:after="0" w:line="123" w:lineRule="exact"/>
              <w:rPr>
                <w:sz w:val="20"/>
                <w:szCs w:val="20"/>
                <w:color w:val="auto"/>
              </w:rPr>
            </w:pPr>
            <w:r>
              <w:rPr>
                <w:rFonts w:ascii="Arial" w:cs="Arial" w:eastAsia="Arial" w:hAnsi="Arial"/>
                <w:sz w:val="14"/>
                <w:szCs w:val="14"/>
                <w:color w:val="auto"/>
              </w:rPr>
              <w:t>U.S. Treasury Bill, 0%,</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3"/>
          </w:tcPr>
          <w:p>
            <w:pPr>
              <w:ind w:left="180"/>
              <w:spacing w:after="0"/>
              <w:rPr>
                <w:sz w:val="20"/>
                <w:szCs w:val="20"/>
                <w:color w:val="auto"/>
              </w:rPr>
            </w:pPr>
            <w:r>
              <w:rPr>
                <w:rFonts w:ascii="Arial" w:cs="Arial" w:eastAsia="Arial" w:hAnsi="Arial"/>
                <w:sz w:val="14"/>
                <w:szCs w:val="14"/>
                <w:color w:val="auto"/>
              </w:rPr>
              <w:t>due 4/6/2017***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60,000,000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59,996,000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59,997,000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14"/>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314,124,830</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330,651,707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168.78%</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26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auto"/>
            </w:tcBorders>
          </w:tcPr>
          <w:p>
            <w:pPr>
              <w:spacing w:after="0"/>
              <w:rPr>
                <w:sz w:val="22"/>
                <w:szCs w:val="22"/>
                <w:color w:val="auto"/>
              </w:rPr>
            </w:pPr>
          </w:p>
        </w:tc>
        <w:tc>
          <w:tcPr>
            <w:tcW w:w="16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auto"/>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-4046855</wp:posOffset>
            </wp:positionV>
            <wp:extent cx="521398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-3463925</wp:posOffset>
            </wp:positionV>
            <wp:extent cx="5213985"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-1525905</wp:posOffset>
            </wp:positionV>
            <wp:extent cx="521398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-711200</wp:posOffset>
            </wp:positionV>
            <wp:extent cx="5213985"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99" w:hanging="272"/>
        <w:spacing w:after="0" w:line="264"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initial public offering. The Company’s officers and staff may serve on the board of directors of the Company’s portfolio investments.</w:t>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03" w:lineRule="exact"/>
        <w:rPr>
          <w:sz w:val="20"/>
          <w:szCs w:val="20"/>
          <w:color w:val="auto"/>
        </w:rPr>
      </w:pPr>
    </w:p>
    <w:p>
      <w:pPr>
        <w:ind w:left="280" w:right="779"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10.7% of its total investments are non-qualifying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jc w:val="both"/>
        <w:ind w:left="280" w:right="599" w:hanging="272"/>
        <w:spacing w:after="0" w:line="286" w:lineRule="auto"/>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280" w:right="599" w:hanging="272"/>
        <w:spacing w:after="0" w:line="312" w:lineRule="auto"/>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was on non-accrual status as of March 31, 2017.</w:t>
      </w:r>
    </w:p>
    <w:p>
      <w:pPr>
        <w:spacing w:after="0" w:line="117" w:lineRule="exact"/>
        <w:rPr>
          <w:rFonts w:ascii="Arial" w:cs="Arial" w:eastAsia="Arial" w:hAnsi="Arial"/>
          <w:sz w:val="18"/>
          <w:szCs w:val="18"/>
          <w:color w:val="auto"/>
        </w:rPr>
      </w:pPr>
    </w:p>
    <w:p>
      <w:pPr>
        <w:ind w:left="280" w:right="919" w:hanging="272"/>
        <w:spacing w:after="0" w:line="277"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ind w:left="280" w:right="839"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280" w:right="739" w:hanging="272"/>
        <w:spacing w:after="0" w:line="277"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99"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28, 2017, Paynearme, Inc. changed its name to Handle Financial, Inc. As part of the process, Handle Financial, Inc. initiated a 10:1 reverse stock split.</w:t>
      </w:r>
    </w:p>
    <w:p>
      <w:pPr>
        <w:spacing w:after="0" w:line="62" w:lineRule="exact"/>
        <w:rPr>
          <w:sz w:val="20"/>
          <w:szCs w:val="20"/>
          <w:color w:val="auto"/>
        </w:rPr>
      </w:pPr>
    </w:p>
    <w:p>
      <w:pPr>
        <w:ind w:left="320" w:right="559" w:hanging="310"/>
        <w:spacing w:after="0" w:line="312" w:lineRule="auto"/>
        <w:rPr>
          <w:sz w:val="20"/>
          <w:szCs w:val="20"/>
          <w:color w:val="auto"/>
        </w:rPr>
      </w:pPr>
      <w:r>
        <w:rPr>
          <w:rFonts w:ascii="Arial" w:cs="Arial" w:eastAsia="Arial" w:hAnsi="Arial"/>
          <w:sz w:val="16"/>
          <w:szCs w:val="16"/>
          <w:color w:val="auto"/>
        </w:rPr>
        <w:t>(10)On March 1, 2017, Snap Inc. priced its initial public offering, selling 145,000,000 shares of Class A common stock at a price of $17.00 per share. At March 31, 2017, GSV Capital Corp. valued Snap Inc., based on its March 31, 2017 closing price. The Company’s common stock of Snap Inc. (f/k/a Snapchat, Inc.), are restricted until July 31, 2017 due to Snap Inc.’s IPO.</w:t>
      </w:r>
    </w:p>
    <w:p>
      <w:pPr>
        <w:spacing w:after="0" w:line="39" w:lineRule="exact"/>
        <w:rPr>
          <w:sz w:val="20"/>
          <w:szCs w:val="20"/>
          <w:color w:val="auto"/>
        </w:rPr>
      </w:pPr>
    </w:p>
    <w:p>
      <w:pPr>
        <w:ind w:left="300" w:right="619" w:hanging="296"/>
        <w:spacing w:after="0" w:line="264" w:lineRule="auto"/>
        <w:rPr>
          <w:sz w:val="20"/>
          <w:szCs w:val="20"/>
          <w:color w:val="auto"/>
        </w:rPr>
      </w:pPr>
      <w:r>
        <w:rPr>
          <w:rFonts w:ascii="Arial" w:cs="Arial" w:eastAsia="Arial" w:hAnsi="Arial"/>
          <w:sz w:val="18"/>
          <w:szCs w:val="18"/>
          <w:color w:val="auto"/>
        </w:rPr>
        <w:t>(11)On March 29, 2017, A Place for Rover Inc. acquired DogVacay, Inc. and pursuant to a plan of reorganization, the Company received common shares of A Place for Rover Inc. in exchange for the Company’s previously held Preferred shares, Series B-1 of DogVacay, Inc.</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Data Analysis</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326,797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2,223,594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1.16%</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39,285,371</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20.45%</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41,508,965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21.61%</w:t>
            </w: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On-Demand Music</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Streaming</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9,541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13,599,572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18,931,691</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9.85%</w:t>
            </w: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2,961,399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14,510,855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7.55%</w:t>
            </w: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Mobile Device Management</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73,440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9,999,928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13,856,754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7.21%</w:t>
            </w: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126,552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6,697,132</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7,049,632</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13,746,764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7.16%</w:t>
            </w: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Cloud Computing Services</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552,486</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5,552,484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2.89%</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7,638,000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13,190,484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6.87%</w:t>
            </w: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Light Field Imaging Platform</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159,160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502,081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500,001</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0.26%</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10,408,150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5.42%</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10,502,083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10,908,151</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5.68%</w:t>
            </w:r>
          </w:p>
        </w:tc>
      </w:tr>
      <w:tr>
        <w:trPr>
          <w:trHeight w:val="169"/>
        </w:trPr>
        <w:tc>
          <w:tcPr>
            <w:tcW w:w="2580" w:type="dxa"/>
            <w:vAlign w:val="bottom"/>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Due 2/28/2018***</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Digital Media Platform</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  2,000,000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1.04%</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922,509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w:t>
            </w:r>
          </w:p>
        </w:tc>
      </w:tr>
      <w:tr>
        <w:trPr>
          <w:trHeight w:val="149"/>
        </w:trPr>
        <w:tc>
          <w:tcPr>
            <w:tcW w:w="25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1.56%</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0.32%</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10,500,199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10,609,999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5.52%</w:t>
            </w: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Redwood City,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2,145,509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10,532,304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5.48%</w:t>
            </w: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Curious.com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Menlo Park,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3,407,834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12,000,006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9,984,954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5.20%</w:t>
            </w: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(2)(6)</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Scottsdale, AZ</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Interactive Learning</w:t>
            </w:r>
          </w:p>
        </w:tc>
        <w:tc>
          <w:tcPr>
            <w:tcW w:w="98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4,650,838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2.42%</w:t>
            </w: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4,470,403</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w:t>
            </w:r>
          </w:p>
        </w:tc>
      </w:tr>
      <w:tr>
        <w:trPr>
          <w:trHeight w:val="149"/>
        </w:trPr>
        <w:tc>
          <w:tcPr>
            <w:tcW w:w="25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366,666</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499,796</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0.26%</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9"/>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9,621,037</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5.01%</w:t>
            </w:r>
          </w:p>
        </w:tc>
      </w:tr>
      <w:tr>
        <w:trPr>
          <w:trHeight w:val="129"/>
        </w:trPr>
        <w:tc>
          <w:tcPr>
            <w:tcW w:w="2580" w:type="dxa"/>
            <w:vAlign w:val="bottom"/>
            <w:tcBorders>
              <w:top w:val="single" w:sz="8" w:color="CCEEFF"/>
            </w:tcBorders>
            <w:gridSpan w:val="10"/>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2"/>
              </w:rPr>
              <w:t>Santa Clara,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25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 Services</w:t>
            </w:r>
          </w:p>
        </w:tc>
        <w:tc>
          <w:tcPr>
            <w:tcW w:w="980" w:type="dxa"/>
            <w:vAlign w:val="bottom"/>
            <w:gridSpan w:val="2"/>
            <w:shd w:val="clear" w:color="auto" w:fill="CCEEFF"/>
          </w:tcPr>
          <w:p>
            <w:pPr>
              <w:jc w:val="right"/>
              <w:ind w:right="17"/>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8,729,005</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-3764280</wp:posOffset>
            </wp:positionV>
            <wp:extent cx="5213985"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-2709545</wp:posOffset>
            </wp:positionV>
            <wp:extent cx="5213985"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-2314575</wp:posOffset>
            </wp:positionV>
            <wp:extent cx="5213985"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-1920240</wp:posOffset>
            </wp:positionV>
            <wp:extent cx="5213985"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-1217295</wp:posOffset>
            </wp:positionV>
            <wp:extent cx="5213985"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5213985"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3"/>
        </w:trPr>
        <w:tc>
          <w:tcPr>
            <w:tcW w:w="258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Convertible Promissory Note 9%</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98"/>
        </w:trPr>
        <w:tc>
          <w:tcPr>
            <w:tcW w:w="2580" w:type="dxa"/>
            <w:vAlign w:val="bottom"/>
            <w:gridSpan w:val="8"/>
          </w:tcPr>
          <w:p>
            <w:pPr>
              <w:ind w:left="200"/>
              <w:spacing w:after="0" w:line="198" w:lineRule="exact"/>
              <w:rPr>
                <w:sz w:val="20"/>
                <w:szCs w:val="20"/>
                <w:color w:val="auto"/>
              </w:rPr>
            </w:pPr>
            <w:r>
              <w:rPr>
                <w:rFonts w:ascii="Arial" w:cs="Arial" w:eastAsia="Arial" w:hAnsi="Arial"/>
                <w:sz w:val="14"/>
                <w:szCs w:val="14"/>
                <w:color w:val="auto"/>
              </w:rPr>
              <w:t>Due 6/30/2017***</w:t>
            </w:r>
            <w:r>
              <w:rPr>
                <w:rFonts w:ascii="Arial" w:cs="Arial" w:eastAsia="Arial" w:hAnsi="Arial"/>
                <w:sz w:val="22"/>
                <w:szCs w:val="22"/>
                <w:color w:val="auto"/>
                <w:vertAlign w:val="superscript"/>
              </w:rPr>
              <w:t>(12)</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Social Cognitive Learning</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2,120,658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2,120,658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2,827,020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1.47%</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10,716,390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4,786,654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12,120,657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7,613,674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3.96%</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On-Demand Transportation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128,563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2,503,585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3,249,430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1.69%</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1,792,749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4,203,062</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2.19%</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4,296,334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7,452,492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3.88%</w:t>
            </w: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10,014,270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10,151,854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6,128,733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3.19%</w:t>
            </w: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Cupertino,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Customer Relationship</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373,134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1,500,522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2,354,476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1.23%</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Manager</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3,762,442</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6,116,918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3.19%</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301,369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1,100,909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1,377,256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0.72%</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4,135,745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5,513,001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2.87%</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On-Demand Commerce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2.08%</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1,443,091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0.75%</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5,443,091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2.83%</w:t>
            </w: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NestGSV, Inc. (d/b/a GSV Labs, Inc.)</w:t>
            </w:r>
            <w:r>
              <w:rPr>
                <w:rFonts w:ascii="Arial" w:cs="Arial" w:eastAsia="Arial" w:hAnsi="Arial"/>
                <w:sz w:val="19"/>
                <w:szCs w:val="19"/>
                <w:b w:val="1"/>
                <w:bCs w:val="1"/>
                <w:color w:val="auto"/>
                <w:vertAlign w:val="superscript"/>
              </w:rPr>
              <w:t>(2)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Redwood City,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Convertible Promissory Note 8%</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580" w:type="dxa"/>
            <w:vAlign w:val="bottom"/>
            <w:gridSpan w:val="8"/>
          </w:tcPr>
          <w:p>
            <w:pPr>
              <w:ind w:left="200"/>
              <w:spacing w:after="0"/>
              <w:rPr>
                <w:sz w:val="20"/>
                <w:szCs w:val="20"/>
                <w:color w:val="auto"/>
              </w:rPr>
            </w:pPr>
            <w:r>
              <w:rPr>
                <w:rFonts w:ascii="Arial" w:cs="Arial" w:eastAsia="Arial" w:hAnsi="Arial"/>
                <w:sz w:val="14"/>
                <w:szCs w:val="14"/>
                <w:color w:val="auto"/>
              </w:rPr>
              <w:t>Due 7/31/2017***</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Global Innovation Platform</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457,592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427,900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0.22%</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Unsecured Promissory Note 12%</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Due 5/29/2017***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501,802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496,725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0.26%</w:t>
            </w:r>
          </w:p>
        </w:tc>
      </w:tr>
      <w:tr>
        <w:trPr>
          <w:trHeight w:val="189"/>
        </w:trPr>
        <w:tc>
          <w:tcPr>
            <w:tcW w:w="2580" w:type="dxa"/>
            <w:vAlign w:val="bottom"/>
            <w:gridSpan w:val="8"/>
          </w:tcPr>
          <w:p>
            <w:pPr>
              <w:ind w:left="20"/>
              <w:spacing w:after="0" w:line="189" w:lineRule="exact"/>
              <w:rPr>
                <w:sz w:val="20"/>
                <w:szCs w:val="20"/>
                <w:color w:val="auto"/>
              </w:rPr>
            </w:pPr>
            <w:r>
              <w:rPr>
                <w:rFonts w:ascii="Arial" w:cs="Arial" w:eastAsia="Arial" w:hAnsi="Arial"/>
                <w:sz w:val="13"/>
                <w:szCs w:val="13"/>
                <w:color w:val="auto"/>
              </w:rPr>
              <w:t>Preferred shares, Series A-4</w:t>
            </w:r>
            <w:r>
              <w:rPr>
                <w:rFonts w:ascii="Arial" w:cs="Arial" w:eastAsia="Arial" w:hAnsi="Arial"/>
                <w:sz w:val="21"/>
                <w:szCs w:val="21"/>
                <w:color w:val="auto"/>
                <w:vertAlign w:val="superscript"/>
              </w:rPr>
              <w:t>(14)</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3,720,424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4,904,498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2,715,910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1.41%</w:t>
            </w:r>
          </w:p>
        </w:tc>
      </w:tr>
      <w:tr>
        <w:trPr>
          <w:trHeight w:val="189"/>
        </w:trPr>
        <w:tc>
          <w:tcPr>
            <w:tcW w:w="2580" w:type="dxa"/>
            <w:vAlign w:val="bottom"/>
            <w:tcBorders>
              <w:left w:val="single" w:sz="8" w:color="CCEEFF"/>
            </w:tcBorders>
            <w:gridSpan w:val="8"/>
            <w:shd w:val="clear" w:color="auto" w:fill="CCEEFF"/>
          </w:tcPr>
          <w:p>
            <w:pPr>
              <w:ind w:left="20"/>
              <w:spacing w:after="0" w:line="189" w:lineRule="exact"/>
              <w:rPr>
                <w:sz w:val="20"/>
                <w:szCs w:val="20"/>
                <w:color w:val="auto"/>
              </w:rPr>
            </w:pPr>
            <w:r>
              <w:rPr>
                <w:rFonts w:ascii="Arial" w:cs="Arial" w:eastAsia="Arial" w:hAnsi="Arial"/>
                <w:sz w:val="13"/>
                <w:szCs w:val="13"/>
                <w:color w:val="auto"/>
              </w:rPr>
              <w:t>Preferred shares, Series A-3</w:t>
            </w:r>
            <w:r>
              <w:rPr>
                <w:rFonts w:ascii="Arial" w:cs="Arial" w:eastAsia="Arial" w:hAnsi="Arial"/>
                <w:sz w:val="21"/>
                <w:szCs w:val="21"/>
                <w:color w:val="auto"/>
                <w:vertAlign w:val="superscript"/>
              </w:rPr>
              <w:t>(14)</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1,561,625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2,005,730</w:t>
            </w: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952,591</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0.50%</w:t>
            </w:r>
          </w:p>
        </w:tc>
      </w:tr>
      <w:tr>
        <w:trPr>
          <w:trHeight w:val="189"/>
        </w:trPr>
        <w:tc>
          <w:tcPr>
            <w:tcW w:w="2580" w:type="dxa"/>
            <w:vAlign w:val="bottom"/>
            <w:gridSpan w:val="8"/>
          </w:tcPr>
          <w:p>
            <w:pPr>
              <w:ind w:left="20"/>
              <w:spacing w:after="0" w:line="189" w:lineRule="exact"/>
              <w:rPr>
                <w:sz w:val="20"/>
                <w:szCs w:val="20"/>
                <w:color w:val="auto"/>
              </w:rPr>
            </w:pPr>
            <w:r>
              <w:rPr>
                <w:rFonts w:ascii="Arial" w:cs="Arial" w:eastAsia="Arial" w:hAnsi="Arial"/>
                <w:sz w:val="13"/>
                <w:szCs w:val="13"/>
                <w:color w:val="auto"/>
              </w:rPr>
              <w:t>Preferred shares, Series A-2</w:t>
            </w:r>
            <w:r>
              <w:rPr>
                <w:rFonts w:ascii="Arial" w:cs="Arial" w:eastAsia="Arial" w:hAnsi="Arial"/>
                <w:sz w:val="21"/>
                <w:szCs w:val="21"/>
                <w:color w:val="auto"/>
                <w:vertAlign w:val="superscript"/>
              </w:rPr>
              <w:t>(14)</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450,001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166,500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0.09%</w:t>
            </w:r>
          </w:p>
        </w:tc>
      </w:tr>
      <w:tr>
        <w:trPr>
          <w:trHeight w:val="189"/>
        </w:trPr>
        <w:tc>
          <w:tcPr>
            <w:tcW w:w="2580" w:type="dxa"/>
            <w:vAlign w:val="bottom"/>
            <w:tcBorders>
              <w:left w:val="single" w:sz="8" w:color="CCEEFF"/>
            </w:tcBorders>
            <w:gridSpan w:val="8"/>
            <w:shd w:val="clear" w:color="auto" w:fill="CCEEFF"/>
          </w:tcPr>
          <w:p>
            <w:pPr>
              <w:ind w:left="20"/>
              <w:spacing w:after="0" w:line="189" w:lineRule="exact"/>
              <w:rPr>
                <w:sz w:val="20"/>
                <w:szCs w:val="20"/>
                <w:color w:val="auto"/>
              </w:rPr>
            </w:pPr>
            <w:r>
              <w:rPr>
                <w:rFonts w:ascii="Arial" w:cs="Arial" w:eastAsia="Arial" w:hAnsi="Arial"/>
                <w:sz w:val="13"/>
                <w:szCs w:val="13"/>
                <w:color w:val="auto"/>
              </w:rPr>
              <w:t>Preferred shares, Series A-1</w:t>
            </w:r>
            <w:r>
              <w:rPr>
                <w:rFonts w:ascii="Arial" w:cs="Arial" w:eastAsia="Arial" w:hAnsi="Arial"/>
                <w:sz w:val="21"/>
                <w:szCs w:val="21"/>
                <w:color w:val="auto"/>
                <w:vertAlign w:val="superscript"/>
              </w:rPr>
              <w:t>(14)</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0.14%</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A-3 – $1.33</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9"/>
        </w:trPr>
        <w:tc>
          <w:tcPr>
            <w:tcW w:w="2580" w:type="dxa"/>
            <w:vAlign w:val="bottom"/>
            <w:tcBorders>
              <w:left w:val="single" w:sz="8" w:color="CCEEFF"/>
            </w:tcBorders>
            <w:gridSpan w:val="8"/>
            <w:shd w:val="clear" w:color="auto" w:fill="CCEEFF"/>
          </w:tcPr>
          <w:p>
            <w:pPr>
              <w:ind w:left="200"/>
              <w:spacing w:after="0" w:line="149" w:lineRule="exact"/>
              <w:rPr>
                <w:sz w:val="20"/>
                <w:szCs w:val="20"/>
                <w:color w:val="auto"/>
              </w:rPr>
            </w:pPr>
            <w:r>
              <w:rPr>
                <w:rFonts w:ascii="Arial" w:cs="Arial" w:eastAsia="Arial" w:hAnsi="Arial"/>
                <w:sz w:val="14"/>
                <w:szCs w:val="14"/>
                <w:color w:val="auto"/>
              </w:rPr>
              <w:t>Strike Price, Expiration</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Date 4/4/2019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rPr>
              <w:t>Preferred warrants, Series A-4 – $1.33</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2580" w:type="dxa"/>
            <w:vAlign w:val="bottom"/>
            <w:gridSpan w:val="8"/>
          </w:tcPr>
          <w:p>
            <w:pPr>
              <w:ind w:left="200"/>
              <w:spacing w:after="0" w:line="149" w:lineRule="exact"/>
              <w:rPr>
                <w:sz w:val="20"/>
                <w:szCs w:val="20"/>
                <w:color w:val="auto"/>
              </w:rPr>
            </w:pPr>
            <w:r>
              <w:rPr>
                <w:rFonts w:ascii="Arial" w:cs="Arial" w:eastAsia="Arial" w:hAnsi="Arial"/>
                <w:sz w:val="14"/>
                <w:szCs w:val="14"/>
                <w:color w:val="auto"/>
              </w:rPr>
              <w:t>Strike Price, Expiration</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580" w:type="dxa"/>
            <w:vAlign w:val="bottom"/>
            <w:gridSpan w:val="8"/>
          </w:tcPr>
          <w:p>
            <w:pPr>
              <w:ind w:left="200"/>
              <w:spacing w:after="0"/>
              <w:rPr>
                <w:sz w:val="20"/>
                <w:szCs w:val="20"/>
                <w:color w:val="auto"/>
              </w:rPr>
            </w:pPr>
            <w:r>
              <w:rPr>
                <w:rFonts w:ascii="Arial" w:cs="Arial" w:eastAsia="Arial" w:hAnsi="Arial"/>
                <w:sz w:val="14"/>
                <w:szCs w:val="14"/>
                <w:color w:val="auto"/>
              </w:rPr>
              <w:t>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A-4 – $1.33</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9"/>
        </w:trPr>
        <w:tc>
          <w:tcPr>
            <w:tcW w:w="2580" w:type="dxa"/>
            <w:vAlign w:val="bottom"/>
            <w:tcBorders>
              <w:left w:val="single" w:sz="8" w:color="CCEEFF"/>
            </w:tcBorders>
            <w:gridSpan w:val="8"/>
            <w:shd w:val="clear" w:color="auto" w:fill="CCEEFF"/>
          </w:tcPr>
          <w:p>
            <w:pPr>
              <w:ind w:left="200"/>
              <w:spacing w:after="0" w:line="149" w:lineRule="exact"/>
              <w:rPr>
                <w:sz w:val="20"/>
                <w:szCs w:val="20"/>
                <w:color w:val="auto"/>
              </w:rPr>
            </w:pPr>
            <w:r>
              <w:rPr>
                <w:rFonts w:ascii="Arial" w:cs="Arial" w:eastAsia="Arial" w:hAnsi="Arial"/>
                <w:sz w:val="14"/>
                <w:szCs w:val="14"/>
                <w:color w:val="auto"/>
              </w:rPr>
              <w:t>Strike Price, Expiration</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Date 7/18/2021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rPr>
              <w:t>Preferred warrants, Series A-4 – $1.33</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2580" w:type="dxa"/>
            <w:vAlign w:val="bottom"/>
            <w:gridSpan w:val="8"/>
          </w:tcPr>
          <w:p>
            <w:pPr>
              <w:ind w:left="200"/>
              <w:spacing w:after="0" w:line="149" w:lineRule="exact"/>
              <w:rPr>
                <w:sz w:val="20"/>
                <w:szCs w:val="20"/>
                <w:color w:val="auto"/>
              </w:rPr>
            </w:pPr>
            <w:r>
              <w:rPr>
                <w:rFonts w:ascii="Arial" w:cs="Arial" w:eastAsia="Arial" w:hAnsi="Arial"/>
                <w:sz w:val="14"/>
                <w:szCs w:val="14"/>
                <w:color w:val="auto"/>
              </w:rPr>
              <w:t>Strike Price, Expiration</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580" w:type="dxa"/>
            <w:vAlign w:val="bottom"/>
            <w:gridSpan w:val="8"/>
          </w:tcPr>
          <w:p>
            <w:pPr>
              <w:ind w:left="200"/>
              <w:spacing w:after="0"/>
              <w:rPr>
                <w:sz w:val="20"/>
                <w:szCs w:val="20"/>
                <w:color w:val="auto"/>
              </w:rPr>
            </w:pPr>
            <w:r>
              <w:rPr>
                <w:rFonts w:ascii="Arial" w:cs="Arial" w:eastAsia="Arial" w:hAnsi="Arial"/>
                <w:sz w:val="14"/>
                <w:szCs w:val="14"/>
                <w:color w:val="auto"/>
              </w:rPr>
              <w:t>Date 11/29/2021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9,000</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tcBorders>
              <w:left w:val="single" w:sz="8" w:color="CCEEFF"/>
            </w:tcBorders>
            <w:gridSpan w:val="8"/>
            <w:shd w:val="clear" w:color="auto" w:fill="CCEEFF"/>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9,601,555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5,106,751</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2.65%</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-4312920</wp:posOffset>
            </wp:positionV>
            <wp:extent cx="521398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-3918585</wp:posOffset>
            </wp:positionV>
            <wp:extent cx="5213985"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-3215005</wp:posOffset>
            </wp:positionV>
            <wp:extent cx="5213985"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-2820670</wp:posOffset>
            </wp:positionV>
            <wp:extent cx="5213985"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-2426335</wp:posOffset>
            </wp:positionV>
            <wp:extent cx="5213985"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177"/>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Whittle Schools, LLC</w:t>
            </w:r>
            <w:r>
              <w:rPr>
                <w:rFonts w:ascii="Arial" w:cs="Arial" w:eastAsia="Arial" w:hAnsi="Arial"/>
                <w:sz w:val="19"/>
                <w:szCs w:val="19"/>
                <w:b w:val="1"/>
                <w:bCs w:val="1"/>
                <w:color w:val="auto"/>
                <w:vertAlign w:val="superscript"/>
              </w:rPr>
              <w:t>(1)(5)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Globally-focused Private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3,000,000</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1.56%</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School</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0.78%</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2.34%</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Snap Inc. (f/k/a Snapchat,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Venice,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3"/>
        </w:trPr>
        <w:tc>
          <w:tcPr>
            <w:tcW w:w="2580" w:type="dxa"/>
            <w:vAlign w:val="bottom"/>
            <w:gridSpan w:val="8"/>
          </w:tcPr>
          <w:p>
            <w:pPr>
              <w:ind w:left="20"/>
              <w:spacing w:after="0" w:line="183" w:lineRule="exact"/>
              <w:rPr>
                <w:sz w:val="20"/>
                <w:szCs w:val="20"/>
                <w:color w:val="auto"/>
              </w:rPr>
            </w:pPr>
            <w:r>
              <w:rPr>
                <w:rFonts w:ascii="Arial" w:cs="Arial" w:eastAsia="Arial" w:hAnsi="Arial"/>
                <w:sz w:val="13"/>
                <w:szCs w:val="13"/>
                <w:color w:val="auto"/>
              </w:rPr>
              <w:t>Preferred shares, Series F</w:t>
            </w:r>
            <w:r>
              <w:rPr>
                <w:rFonts w:ascii="Arial" w:cs="Arial" w:eastAsia="Arial" w:hAnsi="Arial"/>
                <w:sz w:val="21"/>
                <w:szCs w:val="21"/>
                <w:color w:val="auto"/>
                <w:vertAlign w:val="superscript"/>
              </w:rPr>
              <w:t>(17)</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130,208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2,001,135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2,184,565</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1.14%</w:t>
            </w:r>
          </w:p>
        </w:tc>
      </w:tr>
      <w:tr>
        <w:trPr>
          <w:trHeight w:val="189"/>
        </w:trPr>
        <w:tc>
          <w:tcPr>
            <w:tcW w:w="2580" w:type="dxa"/>
            <w:vAlign w:val="bottom"/>
            <w:tcBorders>
              <w:left w:val="single" w:sz="8" w:color="CCEEFF"/>
            </w:tcBorders>
            <w:gridSpan w:val="8"/>
            <w:shd w:val="clear" w:color="auto" w:fill="CCEEFF"/>
          </w:tcPr>
          <w:p>
            <w:pPr>
              <w:ind w:left="20"/>
              <w:spacing w:after="0" w:line="189" w:lineRule="exact"/>
              <w:rPr>
                <w:sz w:val="20"/>
                <w:szCs w:val="20"/>
                <w:color w:val="auto"/>
              </w:rPr>
            </w:pPr>
            <w:r>
              <w:rPr>
                <w:rFonts w:ascii="Arial" w:cs="Arial" w:eastAsia="Arial" w:hAnsi="Arial"/>
                <w:sz w:val="13"/>
                <w:szCs w:val="13"/>
                <w:color w:val="auto"/>
              </w:rPr>
              <w:t>Common shares, Class A</w:t>
            </w:r>
            <w:r>
              <w:rPr>
                <w:rFonts w:ascii="Arial" w:cs="Arial" w:eastAsia="Arial" w:hAnsi="Arial"/>
                <w:sz w:val="21"/>
                <w:szCs w:val="21"/>
                <w:color w:val="auto"/>
                <w:vertAlign w:val="superscript"/>
              </w:rPr>
              <w:t>(17)</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130,208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2,001,135</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2,184,565</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1.14%</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4,002,270</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4,369,130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2.28%</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SPBRX, INC. (f/k/a GSV Sustainability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9"/>
        </w:trPr>
        <w:tc>
          <w:tcPr>
            <w:tcW w:w="2440" w:type="dxa"/>
            <w:vAlign w:val="bottom"/>
            <w:tcBorders>
              <w:top w:val="single" w:sz="8" w:color="auto"/>
              <w:left w:val="single" w:sz="8" w:color="CCEEFF"/>
            </w:tcBorders>
            <w:gridSpan w:val="7"/>
            <w:shd w:val="clear" w:color="auto" w:fill="CCEEFF"/>
          </w:tcPr>
          <w:p>
            <w:pPr>
              <w:ind w:left="200"/>
              <w:spacing w:after="0" w:line="169" w:lineRule="exact"/>
              <w:rPr>
                <w:sz w:val="20"/>
                <w:szCs w:val="20"/>
                <w:color w:val="auto"/>
              </w:rPr>
            </w:pPr>
            <w:r>
              <w:rPr>
                <w:rFonts w:ascii="Arial" w:cs="Arial" w:eastAsia="Arial" w:hAnsi="Arial"/>
                <w:sz w:val="12"/>
                <w:szCs w:val="12"/>
                <w:b w:val="1"/>
                <w:bCs w:val="1"/>
                <w:color w:val="auto"/>
              </w:rPr>
              <w:t>Partners, Inc.)</w:t>
            </w:r>
            <w:r>
              <w:rPr>
                <w:rFonts w:ascii="Arial" w:cs="Arial" w:eastAsia="Arial" w:hAnsi="Arial"/>
                <w:sz w:val="19"/>
                <w:szCs w:val="19"/>
                <w:b w:val="1"/>
                <w:bCs w:val="1"/>
                <w:color w:val="auto"/>
                <w:vertAlign w:val="superscript"/>
              </w:rPr>
              <w:t>(2)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Clean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14,300,000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7,151,412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4,309,778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2.24%</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7,161,412</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4,309,778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2.24%</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2.08%</w:t>
            </w: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Philadelphia, PA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58"/>
        </w:trPr>
        <w:tc>
          <w:tcPr>
            <w:tcW w:w="2580" w:type="dxa"/>
            <w:vAlign w:val="bottom"/>
            <w:gridSpan w:val="8"/>
          </w:tcPr>
          <w:p>
            <w:pPr>
              <w:ind w:left="200"/>
              <w:spacing w:after="0" w:line="159" w:lineRule="exact"/>
              <w:rPr>
                <w:sz w:val="20"/>
                <w:szCs w:val="20"/>
                <w:color w:val="auto"/>
              </w:rPr>
            </w:pPr>
            <w:r>
              <w:rPr>
                <w:rFonts w:ascii="Arial" w:cs="Arial" w:eastAsia="Arial" w:hAnsi="Arial"/>
                <w:sz w:val="14"/>
                <w:szCs w:val="14"/>
                <w:color w:val="auto"/>
              </w:rPr>
              <w:t>Promissory Note 8%, Due</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8"/>
        </w:trPr>
        <w:tc>
          <w:tcPr>
            <w:tcW w:w="1340" w:type="dxa"/>
            <w:vAlign w:val="bottom"/>
            <w:gridSpan w:val="4"/>
          </w:tcPr>
          <w:p>
            <w:pPr>
              <w:ind w:left="200"/>
              <w:spacing w:after="0" w:line="198" w:lineRule="exact"/>
              <w:rPr>
                <w:sz w:val="20"/>
                <w:szCs w:val="20"/>
                <w:color w:val="auto"/>
              </w:rPr>
            </w:pPr>
            <w:r>
              <w:rPr>
                <w:rFonts w:ascii="Arial" w:cs="Arial" w:eastAsia="Arial" w:hAnsi="Arial"/>
                <w:sz w:val="14"/>
                <w:szCs w:val="14"/>
                <w:color w:val="auto"/>
              </w:rPr>
              <w:t>11/26/2018***</w:t>
            </w:r>
            <w:r>
              <w:rPr>
                <w:rFonts w:ascii="Arial" w:cs="Arial" w:eastAsia="Arial" w:hAnsi="Arial"/>
                <w:sz w:val="22"/>
                <w:szCs w:val="22"/>
                <w:color w:val="auto"/>
                <w:vertAlign w:val="superscript"/>
              </w:rPr>
              <w:t>(8)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1,166,400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1,166,400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1,166,400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0.61%</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0.40%</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1,913,484</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D, $4.59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Price, Expiration Date 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3,951,084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3,860,140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2.01%</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3,782,409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1.97%</w:t>
            </w: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Santa Monica,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88"/>
              </w:rPr>
              <w:t>Peer-to-Peer Pet Services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2,500,771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1.30%</w:t>
            </w: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SharesPost,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San Bruno,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2,249,999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1.17%</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69,384</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0.04%</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2,319,383</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1.21%</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1,503,436</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0.78%</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751,718</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0.39%</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2,255,154</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1.17%</w:t>
            </w: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1.04%</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223,763</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0.12%</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2,223,761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1.16%</w:t>
            </w:r>
          </w:p>
        </w:tc>
      </w:tr>
      <w:tr>
        <w:trPr>
          <w:trHeight w:val="169"/>
        </w:trPr>
        <w:tc>
          <w:tcPr>
            <w:tcW w:w="2580" w:type="dxa"/>
            <w:vAlign w:val="bottom"/>
            <w:tcBorders>
              <w:left w:val="single" w:sz="8" w:color="CCEEFF"/>
            </w:tcBorders>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6"/>
        </w:trPr>
        <w:tc>
          <w:tcPr>
            <w:tcW w:w="2580" w:type="dxa"/>
            <w:vAlign w:val="bottom"/>
            <w:gridSpan w:val="8"/>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Big Data Consulting</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989,277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2,052,555</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-4094480</wp:posOffset>
            </wp:positionV>
            <wp:extent cx="5213985" cy="111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-3648075</wp:posOffset>
            </wp:positionV>
            <wp:extent cx="5213985"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-3133725</wp:posOffset>
            </wp:positionV>
            <wp:extent cx="5213985" cy="111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-2027555</wp:posOffset>
            </wp:positionV>
            <wp:extent cx="5213985" cy="111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-1161415</wp:posOffset>
            </wp:positionV>
            <wp:extent cx="5213985" cy="11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-767080</wp:posOffset>
            </wp:positionV>
            <wp:extent cx="5213985" cy="111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-346710</wp:posOffset>
            </wp:positionV>
            <wp:extent cx="5213985"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5"/>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Education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1,799,047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2,000,601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2,000,001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6"/>
        </w:trPr>
        <w:tc>
          <w:tcPr>
            <w:tcW w:w="258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EdSurge,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Burlingame, CA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6"/>
              </w:rPr>
              <w:t>Education Media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378,788</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501,360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580" w:type="dxa"/>
            <w:vAlign w:val="bottom"/>
            <w:gridSpan w:val="15"/>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588,294</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4"/>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1,002,161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1,088,294</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Computer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309,310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881,367</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35"/>
        </w:trPr>
        <w:tc>
          <w:tcPr>
            <w:tcW w:w="2580" w:type="dxa"/>
            <w:vAlign w:val="bottom"/>
            <w:gridSpan w:val="15"/>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Cambridge, MA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Business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517,917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6,150,506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5"/>
            <w:shd w:val="clear" w:color="auto" w:fill="CCEEFF"/>
          </w:tcPr>
          <w:p>
            <w:pPr>
              <w:ind w:left="20"/>
              <w:spacing w:after="0" w:line="149" w:lineRule="exact"/>
              <w:rPr>
                <w:sz w:val="20"/>
                <w:szCs w:val="20"/>
                <w:color w:val="auto"/>
              </w:rPr>
            </w:pPr>
            <w:r>
              <w:rPr>
                <w:rFonts w:ascii="Arial" w:cs="Arial" w:eastAsia="Arial" w:hAnsi="Arial"/>
                <w:sz w:val="14"/>
                <w:szCs w:val="14"/>
                <w:color w:val="auto"/>
              </w:rPr>
              <w:t>Junior note 1.49%, Due 11/9/2021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2,270,858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877,359</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4"/>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8,421,364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877,359</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5"/>
          </w:tcPr>
          <w:p>
            <w:pPr>
              <w:ind w:left="20"/>
              <w:spacing w:after="0" w:line="133" w:lineRule="exact"/>
              <w:rPr>
                <w:sz w:val="20"/>
                <w:szCs w:val="20"/>
                <w:color w:val="auto"/>
              </w:rPr>
            </w:pPr>
            <w:r>
              <w:rPr>
                <w:rFonts w:ascii="Arial" w:cs="Arial" w:eastAsia="Arial" w:hAnsi="Arial"/>
                <w:sz w:val="14"/>
                <w:szCs w:val="14"/>
                <w:color w:val="auto"/>
                <w:w w:val="98"/>
              </w:rPr>
              <w:t>Promissory Note 12%, Due 11/17/2017***</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 w:type="dxa"/>
            <w:vAlign w:val="bottom"/>
            <w:gridSpan w:val="3"/>
          </w:tcPr>
          <w:p>
            <w:pPr>
              <w:ind w:left="200"/>
              <w:spacing w:after="0"/>
              <w:rPr>
                <w:sz w:val="20"/>
                <w:szCs w:val="20"/>
                <w:color w:val="auto"/>
              </w:rPr>
            </w:pPr>
            <w:r>
              <w:rPr>
                <w:rFonts w:ascii="Arial" w:cs="Arial" w:eastAsia="Arial" w:hAnsi="Arial"/>
                <w:sz w:val="12"/>
                <w:szCs w:val="12"/>
                <w:color w:val="auto"/>
              </w:rPr>
              <w:t>(15)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26,840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26,544</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5"/>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484,769</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0"/>
        </w:trPr>
        <w:tc>
          <w:tcPr>
            <w:tcW w:w="2580" w:type="dxa"/>
            <w:vAlign w:val="bottom"/>
            <w:gridSpan w:val="15"/>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4"/>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5"/>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4"/>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5"/>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4"/>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5"/>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4"/>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5"/>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4"/>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4"/>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1,836,346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511,313</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5"/>
          </w:tcPr>
          <w:p>
            <w:pPr>
              <w:ind w:left="20"/>
              <w:spacing w:after="0" w:line="129"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color w:val="auto"/>
                <w:w w:val="98"/>
              </w:rPr>
              <w:t>Chicago, IL</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top w:val="single" w:sz="8" w:color="CCEEFF"/>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Social Data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436,219</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505,744</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5"/>
        </w:trPr>
        <w:tc>
          <w:tcPr>
            <w:tcW w:w="2580" w:type="dxa"/>
            <w:vAlign w:val="bottom"/>
            <w:gridSpan w:val="15"/>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5"/>
              </w:rPr>
              <w:t>Marina Del Rey,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15"/>
            <w:shd w:val="clear" w:color="auto" w:fill="CCEEFF"/>
          </w:tcPr>
          <w:p>
            <w:pPr>
              <w:ind w:left="20"/>
              <w:spacing w:after="0" w:line="183" w:lineRule="exact"/>
              <w:rPr>
                <w:sz w:val="20"/>
                <w:szCs w:val="20"/>
                <w:color w:val="auto"/>
              </w:rPr>
            </w:pPr>
            <w:r>
              <w:rPr>
                <w:rFonts w:ascii="Arial" w:cs="Arial" w:eastAsia="Arial" w:hAnsi="Arial"/>
                <w:sz w:val="13"/>
                <w:szCs w:val="13"/>
                <w:color w:val="auto"/>
              </w:rPr>
              <w:t>Preferred shares, Series A</w:t>
            </w:r>
            <w:r>
              <w:rPr>
                <w:rFonts w:ascii="Arial" w:cs="Arial" w:eastAsia="Arial" w:hAnsi="Arial"/>
                <w:sz w:val="21"/>
                <w:szCs w:val="21"/>
                <w:color w:val="auto"/>
                <w:vertAlign w:val="superscript"/>
              </w:rPr>
              <w:t>(11)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Financial Services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540,270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1,001,815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307,954</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35"/>
        </w:trPr>
        <w:tc>
          <w:tcPr>
            <w:tcW w:w="2580" w:type="dxa"/>
            <w:vAlign w:val="bottom"/>
            <w:gridSpan w:val="15"/>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4"/>
              </w:rPr>
              <w:t>Sunnyvale,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15"/>
            <w:shd w:val="clear" w:color="auto" w:fill="CCEEFF"/>
          </w:tcPr>
          <w:p>
            <w:pPr>
              <w:ind w:left="20"/>
              <w:spacing w:after="0" w:line="183" w:lineRule="exact"/>
              <w:rPr>
                <w:sz w:val="20"/>
                <w:szCs w:val="20"/>
                <w:color w:val="auto"/>
              </w:rPr>
            </w:pPr>
            <w:r>
              <w:rPr>
                <w:rFonts w:ascii="Arial" w:cs="Arial" w:eastAsia="Arial" w:hAnsi="Arial"/>
                <w:sz w:val="13"/>
                <w:szCs w:val="13"/>
                <w:color w:val="auto"/>
              </w:rPr>
              <w:t>Common shares</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Cash Payment Network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5,480,348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14,000,398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164,410</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35"/>
        </w:trPr>
        <w:tc>
          <w:tcPr>
            <w:tcW w:w="2580" w:type="dxa"/>
            <w:vAlign w:val="bottom"/>
            <w:gridSpan w:val="15"/>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top w:val="single" w:sz="8" w:color="auto"/>
            </w:tcBorders>
            <w:gridSpan w:val="12"/>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Hong Kong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Education Technology</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2,126,475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675,495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580" w:type="dxa"/>
            <w:vAlign w:val="bottom"/>
            <w:gridSpan w:val="15"/>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4,465,925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5"/>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1,066,626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5"/>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4"/>
            <w:shd w:val="clear" w:color="auto" w:fill="CCEEFF"/>
          </w:tcPr>
          <w:p>
            <w:pPr>
              <w:ind w:left="180"/>
              <w:spacing w:after="0"/>
              <w:rPr>
                <w:sz w:val="20"/>
                <w:szCs w:val="20"/>
                <w:color w:val="auto"/>
              </w:rPr>
            </w:pPr>
            <w:r>
              <w:rPr>
                <w:rFonts w:ascii="Arial" w:cs="Arial" w:eastAsia="Arial" w:hAnsi="Arial"/>
                <w:sz w:val="14"/>
                <w:szCs w:val="14"/>
                <w:color w:val="auto"/>
              </w:rPr>
              <w:t>Price, Expiration Date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4"/>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w w:val="98"/>
              </w:rPr>
              <w:t>Orchestra One, Inc. (f/k/a Learnist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5"/>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3"/>
              </w:rPr>
              <w:t>Consumer Health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Technology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57,026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4,959,614</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-4177030</wp:posOffset>
            </wp:positionV>
            <wp:extent cx="5213985"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-3593465</wp:posOffset>
            </wp:positionV>
            <wp:extent cx="5213985"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-1929765</wp:posOffset>
            </wp:positionV>
            <wp:extent cx="5213985"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-403225</wp:posOffset>
            </wp:positionV>
            <wp:extent cx="5213985"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1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0"/>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tcBorders>
              <w:right w:val="single" w:sz="8" w:color="CCEEFF"/>
            </w:tcBorders>
            <w:gridSpan w:val="6"/>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Cricket Media (f/k/a ePals Inc.)</w:t>
            </w:r>
            <w:r>
              <w:rPr>
                <w:rFonts w:ascii="Arial" w:cs="Arial" w:eastAsia="Arial" w:hAnsi="Arial"/>
                <w:sz w:val="19"/>
                <w:szCs w:val="19"/>
                <w:b w:val="1"/>
                <w:bCs w:val="1"/>
                <w:color w:val="auto"/>
                <w:vertAlign w:val="superscript"/>
              </w:rPr>
              <w:t>(10)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Herndon, VA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133,333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35"/>
        </w:trPr>
        <w:tc>
          <w:tcPr>
            <w:tcW w:w="2580" w:type="dxa"/>
            <w:vAlign w:val="bottom"/>
            <w:tcBorders>
              <w:right w:val="single" w:sz="8" w:color="CCEEFF"/>
            </w:tcBorders>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3"/>
        </w:trPr>
        <w:tc>
          <w:tcPr>
            <w:tcW w:w="2580" w:type="dxa"/>
            <w:vAlign w:val="bottom"/>
            <w:gridSpan w:val="6"/>
          </w:tcPr>
          <w:p>
            <w:pPr>
              <w:ind w:left="20"/>
              <w:spacing w:after="0" w:line="13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2560" w:type="dxa"/>
            <w:vAlign w:val="bottom"/>
            <w:gridSpan w:val="5"/>
          </w:tcPr>
          <w:p>
            <w:pPr>
              <w:ind w:left="180"/>
              <w:spacing w:after="0" w:line="198" w:lineRule="exact"/>
              <w:rPr>
                <w:sz w:val="20"/>
                <w:szCs w:val="20"/>
                <w:color w:val="auto"/>
              </w:rPr>
            </w:pPr>
            <w:r>
              <w:rPr>
                <w:rFonts w:ascii="Arial" w:cs="Arial" w:eastAsia="Arial" w:hAnsi="Arial"/>
                <w:sz w:val="14"/>
                <w:szCs w:val="14"/>
                <w:color w:val="auto"/>
              </w:rPr>
              <w:t>Due 2/26/2017***</w:t>
            </w:r>
            <w:r>
              <w:rPr>
                <w:rFonts w:ascii="Arial" w:cs="Arial" w:eastAsia="Arial" w:hAnsi="Arial"/>
                <w:sz w:val="22"/>
                <w:szCs w:val="22"/>
                <w:color w:val="auto"/>
                <w:vertAlign w:val="superscript"/>
              </w:rPr>
              <w:t>(9)(3)</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Equity Crowdfunding</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49"/>
        </w:trPr>
        <w:tc>
          <w:tcPr>
            <w:tcW w:w="2580" w:type="dxa"/>
            <w:vAlign w:val="bottom"/>
            <w:tcBorders>
              <w:right w:val="single" w:sz="8" w:color="CCEEFF"/>
            </w:tcBorders>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29"/>
        </w:trPr>
        <w:tc>
          <w:tcPr>
            <w:tcW w:w="2580" w:type="dxa"/>
            <w:vAlign w:val="bottom"/>
            <w:tcBorders>
              <w:right w:val="single" w:sz="8" w:color="CCEEFF"/>
            </w:tcBorders>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w w:val="92"/>
              </w:rPr>
              <w:t>Beamreach Solar, Inc. (f/k/a 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3"/>
        </w:trPr>
        <w:tc>
          <w:tcPr>
            <w:tcW w:w="2580" w:type="dxa"/>
            <w:vAlign w:val="bottom"/>
            <w:gridSpan w:val="6"/>
          </w:tcPr>
          <w:p>
            <w:pPr>
              <w:ind w:left="20"/>
              <w:spacing w:after="0" w:line="133" w:lineRule="exact"/>
              <w:rPr>
                <w:sz w:val="20"/>
                <w:szCs w:val="20"/>
                <w:color w:val="auto"/>
              </w:rPr>
            </w:pPr>
            <w:r>
              <w:rPr>
                <w:rFonts w:ascii="Arial" w:cs="Arial" w:eastAsia="Arial" w:hAnsi="Arial"/>
                <w:sz w:val="14"/>
                <w:szCs w:val="14"/>
                <w:color w:val="auto"/>
              </w:rPr>
              <w:t>Convertible Promissory Note 9%,</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2560" w:type="dxa"/>
            <w:vAlign w:val="bottom"/>
            <w:gridSpan w:val="5"/>
          </w:tcPr>
          <w:p>
            <w:pPr>
              <w:ind w:left="180"/>
              <w:spacing w:after="0" w:line="198" w:lineRule="exact"/>
              <w:rPr>
                <w:sz w:val="20"/>
                <w:szCs w:val="20"/>
                <w:color w:val="auto"/>
              </w:rPr>
            </w:pPr>
            <w:r>
              <w:rPr>
                <w:rFonts w:ascii="Arial" w:cs="Arial" w:eastAsia="Arial" w:hAnsi="Arial"/>
                <w:sz w:val="14"/>
                <w:szCs w:val="14"/>
                <w:color w:val="auto"/>
              </w:rPr>
              <w:t>Due 5/10/2017***</w:t>
            </w:r>
            <w:r>
              <w:rPr>
                <w:rFonts w:ascii="Arial" w:cs="Arial" w:eastAsia="Arial" w:hAnsi="Arial"/>
                <w:sz w:val="22"/>
                <w:szCs w:val="22"/>
                <w:color w:val="auto"/>
                <w:vertAlign w:val="superscript"/>
              </w:rPr>
              <w:t>(3)(16)</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Solar Power</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254,444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49"/>
        </w:trPr>
        <w:tc>
          <w:tcPr>
            <w:tcW w:w="2580" w:type="dxa"/>
            <w:vAlign w:val="bottom"/>
            <w:tcBorders>
              <w:right w:val="single" w:sz="8" w:color="CCEEFF"/>
            </w:tcBorders>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1,613,413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2,419,751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11,598,648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tcBorders>
              <w:right w:val="single" w:sz="8" w:color="CCEEFF"/>
            </w:tcBorders>
            <w:gridSpan w:val="5"/>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14,272,843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29"/>
        </w:trPr>
        <w:tc>
          <w:tcPr>
            <w:tcW w:w="2580" w:type="dxa"/>
            <w:vAlign w:val="bottom"/>
            <w:tcBorders>
              <w:top w:val="single" w:sz="8" w:color="CCEEFF"/>
            </w:tcBorders>
            <w:gridSpan w:val="6"/>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tcBorders>
              <w:right w:val="single" w:sz="8" w:color="CCEEFF"/>
            </w:tcBorders>
            <w:gridSpan w:val="6"/>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Smart Device Company</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793,152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278,768,274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262,015,146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136.38%</w:t>
            </w:r>
          </w:p>
        </w:tc>
      </w:tr>
      <w:tr>
        <w:trPr>
          <w:trHeight w:val="129"/>
        </w:trPr>
        <w:tc>
          <w:tcPr>
            <w:tcW w:w="2580" w:type="dxa"/>
            <w:vAlign w:val="bottom"/>
            <w:tcBorders>
              <w:right w:val="single" w:sz="8" w:color="CCEEFF"/>
            </w:tcBorders>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U.S. Treasury Bill, 0%,</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color w:val="auto"/>
              </w:rPr>
              <w:t>due 1/5/2017***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30,000,000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29,998,750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29,998,490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15.62%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2580" w:type="dxa"/>
            <w:vAlign w:val="bottom"/>
            <w:tcBorders>
              <w:right w:val="single" w:sz="8" w:color="CCEEFF"/>
            </w:tcBorders>
            <w:gridSpan w:val="6"/>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308,767,024</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292,013,636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152.00%</w:t>
            </w:r>
          </w:p>
        </w:tc>
      </w:tr>
      <w:tr>
        <w:trPr>
          <w:trHeight w:val="264"/>
        </w:trPr>
        <w:tc>
          <w:tcPr>
            <w:tcW w:w="20" w:type="dxa"/>
            <w:vAlign w:val="bottom"/>
            <w:tcBorders>
              <w:top w:val="single" w:sz="8" w:color="CCEEFF"/>
            </w:tcBorders>
          </w:tcPr>
          <w:p>
            <w:pPr>
              <w:spacing w:after="0"/>
              <w:rPr>
                <w:sz w:val="22"/>
                <w:szCs w:val="22"/>
                <w:color w:val="auto"/>
              </w:rPr>
            </w:pPr>
          </w:p>
        </w:tc>
        <w:tc>
          <w:tcPr>
            <w:tcW w:w="84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-1619885</wp:posOffset>
            </wp:positionV>
            <wp:extent cx="5213985"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213985"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-711200</wp:posOffset>
            </wp:positionV>
            <wp:extent cx="5213985" cy="111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79"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portfolio investments are non-control/non-affiliated and non-income-producing, unless identified. Equity investments are subject to lock-up restrictions upon their initial public offering. Unless otherwise noted, all investments were pledged as collateral under the Credit Facility, which expired in accordance with its terms on December 31, 2016. The Company’s officers and staff may serve on the board of directors of the Company’s portfolio investments.</w:t>
      </w:r>
    </w:p>
    <w:p>
      <w:pPr>
        <w:spacing w:after="0" w:line="63" w:lineRule="exact"/>
        <w:rPr>
          <w:sz w:val="20"/>
          <w:szCs w:val="20"/>
          <w:color w:val="auto"/>
        </w:rPr>
      </w:pPr>
    </w:p>
    <w:p>
      <w:pPr>
        <w:ind w:left="300" w:right="779" w:hanging="272"/>
        <w:spacing w:after="0" w:line="264"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9.47% of its total investments are non-qualifying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was on non-accrual status as of December 31, 2016.</w:t>
      </w:r>
    </w:p>
    <w:p>
      <w:pPr>
        <w:spacing w:after="0" w:line="117" w:lineRule="exact"/>
        <w:rPr>
          <w:rFonts w:ascii="Arial" w:cs="Arial" w:eastAsia="Arial" w:hAnsi="Arial"/>
          <w:sz w:val="18"/>
          <w:szCs w:val="18"/>
          <w:color w:val="auto"/>
        </w:rPr>
      </w:pPr>
    </w:p>
    <w:p>
      <w:pPr>
        <w:ind w:left="300" w:right="95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03" w:lineRule="exact"/>
        <w:rPr>
          <w:sz w:val="20"/>
          <w:szCs w:val="20"/>
          <w:color w:val="auto"/>
        </w:rPr>
      </w:pPr>
    </w:p>
    <w:p>
      <w:pPr>
        <w:ind w:left="280" w:right="759" w:hanging="272"/>
        <w:spacing w:after="0" w:line="277"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99" w:hanging="272"/>
        <w:spacing w:after="0" w:line="264"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280" w:right="559" w:hanging="272"/>
        <w:spacing w:after="0" w:line="264"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February 26, 2015. Accrued interest is not payable until the earlier of (a) the closing of a subsequent equity offering by Earlyshares.com, Inc., or (b) the maturity of the note (February 26,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(10)On June 6, 2016, Cricket Media (f/k/a ePals Inc.) declared a 10:1 reverse split of its common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(11)On July 29, 2016, Aspiration Partners, Inc. declared a 30:1 split of its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2016, Declara, Inc. extended the maturity date of the note held for one year until June 30,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(13)On December 21, 2016, PayNearMe, Inc. converted its Series E Preferred shares into Common Class A shares on a 1:1 basis.</w:t>
      </w:r>
    </w:p>
    <w:p>
      <w:pPr>
        <w:spacing w:after="0" w:line="140" w:lineRule="exact"/>
        <w:rPr>
          <w:sz w:val="20"/>
          <w:szCs w:val="20"/>
          <w:color w:val="auto"/>
        </w:rPr>
      </w:pPr>
    </w:p>
    <w:p>
      <w:pPr>
        <w:ind w:left="320" w:right="679" w:hanging="310"/>
        <w:spacing w:after="0" w:line="277" w:lineRule="auto"/>
        <w:rPr>
          <w:sz w:val="20"/>
          <w:szCs w:val="20"/>
          <w:color w:val="auto"/>
        </w:rPr>
      </w:pPr>
      <w:r>
        <w:rPr>
          <w:rFonts w:ascii="Arial" w:cs="Arial" w:eastAsia="Arial" w:hAnsi="Arial"/>
          <w:sz w:val="18"/>
          <w:szCs w:val="18"/>
          <w:color w:val="auto"/>
        </w:rPr>
        <w:t>(14)On December 15, 2016, NestGSV, Inc. (d/b/a GSV Labs, Inc.) converted its Series A, B, C, and D Preferred shares into Series A-1, A-2, A-3, and A-4 preferred shares, respectively, on a 1:1 basis.</w:t>
      </w:r>
    </w:p>
    <w:p>
      <w:pPr>
        <w:spacing w:after="0" w:line="62" w:lineRule="exact"/>
        <w:rPr>
          <w:sz w:val="20"/>
          <w:szCs w:val="20"/>
          <w:color w:val="auto"/>
        </w:rPr>
      </w:pPr>
    </w:p>
    <w:p>
      <w:pPr>
        <w:ind w:left="320" w:right="819" w:hanging="310"/>
        <w:spacing w:after="0" w:line="277" w:lineRule="auto"/>
        <w:rPr>
          <w:sz w:val="20"/>
          <w:szCs w:val="20"/>
          <w:color w:val="auto"/>
        </w:rPr>
      </w:pPr>
      <w:r>
        <w:rPr>
          <w:rFonts w:ascii="Arial" w:cs="Arial" w:eastAsia="Arial" w:hAnsi="Arial"/>
          <w:sz w:val="18"/>
          <w:szCs w:val="18"/>
          <w:color w:val="auto"/>
        </w:rPr>
        <w:t>(15)On December 31, 2016, Circle Media (f/k/a S3 Digital Corp. (d/b/a S3i)) extended the maturity date of the note held for one year until November 17, 2017.</w:t>
      </w:r>
    </w:p>
    <w:p>
      <w:pPr>
        <w:spacing w:after="0" w:line="62" w:lineRule="exact"/>
        <w:rPr>
          <w:sz w:val="20"/>
          <w:szCs w:val="20"/>
          <w:color w:val="auto"/>
        </w:rPr>
      </w:pPr>
    </w:p>
    <w:p>
      <w:pPr>
        <w:ind w:left="320" w:right="519" w:hanging="312"/>
        <w:spacing w:after="0" w:line="286"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Interest began compounding annually on November 26, 2016. Accrued interest is not payable until the earlier of (a) the closing of a subsequent equity offering by Beamreach Solar, Inc. (f/k/a Solexel, Inc.), or (b) the maturity of the note (May 10, 2017).</w:t>
      </w:r>
    </w:p>
    <w:p>
      <w:pPr>
        <w:spacing w:after="0" w:line="57" w:lineRule="exact"/>
        <w:rPr>
          <w:sz w:val="20"/>
          <w:szCs w:val="20"/>
          <w:color w:val="auto"/>
        </w:rPr>
      </w:pPr>
    </w:p>
    <w:p>
      <w:pPr>
        <w:ind w:left="320" w:right="579" w:hanging="310"/>
        <w:spacing w:after="0" w:line="264" w:lineRule="auto"/>
        <w:rPr>
          <w:sz w:val="20"/>
          <w:szCs w:val="20"/>
          <w:color w:val="auto"/>
        </w:rPr>
      </w:pPr>
      <w:r>
        <w:rPr>
          <w:rFonts w:ascii="Arial" w:cs="Arial" w:eastAsia="Arial" w:hAnsi="Arial"/>
          <w:sz w:val="18"/>
          <w:szCs w:val="18"/>
          <w:color w:val="auto"/>
        </w:rPr>
        <w:t>(17)On October 26, 2016, the Snap Inc. board of directors approved a distribution of shares of Class A common stock as a dividend to the holders of all preferred stock and common stock outstanding on October 31, 2016. One share of Class A common stock was distributed for each share of preferred stock and common stock outstanding.</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619" w:firstLine="270"/>
        <w:spacing w:after="0" w:line="297" w:lineRule="auto"/>
        <w:rPr>
          <w:sz w:val="20"/>
          <w:szCs w:val="20"/>
          <w:color w:val="auto"/>
        </w:rPr>
      </w:pPr>
      <w:r>
        <w:rPr>
          <w:rFonts w:ascii="Arial" w:cs="Arial" w:eastAsia="Arial" w:hAnsi="Arial"/>
          <w:sz w:val="16"/>
          <w:szCs w:val="16"/>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jc w:val="both"/>
        <w:ind w:left="60" w:right="819" w:firstLine="270"/>
        <w:spacing w:after="0" w:line="264"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The table below displays all the Company’s subsidiaries as of March 31, 2017,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52139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2"/>
              </w:rPr>
              <w:t>Subsidiaries below are referred to collectively, as the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 w:right="779" w:firstLine="270"/>
        <w:spacing w:after="0" w:line="257" w:lineRule="auto"/>
        <w:rPr>
          <w:sz w:val="20"/>
          <w:szCs w:val="20"/>
          <w:color w:val="auto"/>
        </w:rPr>
      </w:pPr>
      <w:r>
        <w:rPr>
          <w:rFonts w:ascii="Arial" w:cs="Arial" w:eastAsia="Arial" w:hAnsi="Arial"/>
          <w:sz w:val="18"/>
          <w:szCs w:val="18"/>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39"/>
        <w:spacing w:after="0" w:line="272" w:lineRule="auto"/>
        <w:rPr>
          <w:sz w:val="20"/>
          <w:szCs w:val="20"/>
          <w:color w:val="auto"/>
        </w:rPr>
      </w:pPr>
      <w:r>
        <w:rPr>
          <w:rFonts w:ascii="Arial" w:cs="Arial" w:eastAsia="Arial" w:hAnsi="Arial"/>
          <w:sz w:val="17"/>
          <w:szCs w:val="17"/>
          <w:color w:val="auto"/>
        </w:rPr>
        <w:t>(“FASB”) Accounting Standards Codification (“ASC”) Topic 946</w:t>
      </w:r>
      <w:r>
        <w:rPr>
          <w:rFonts w:ascii="Arial" w:cs="Arial" w:eastAsia="Arial" w:hAnsi="Arial"/>
          <w:sz w:val="17"/>
          <w:szCs w:val="17"/>
          <w:i w:val="1"/>
          <w:iCs w:val="1"/>
          <w:color w:val="auto"/>
        </w:rPr>
        <w:t>, Financial Services — Investment Companies</w:t>
      </w:r>
      <w:r>
        <w:rPr>
          <w:rFonts w:ascii="Arial" w:cs="Arial" w:eastAsia="Arial" w:hAnsi="Arial"/>
          <w:sz w:val="17"/>
          <w:szCs w:val="17"/>
          <w:color w:val="auto"/>
        </w:rPr>
        <w:t>. In the opinion of management, all adjustments, all of which were of a normal recurring nature, considered necessary for the fair presentation of condensed consolidated financial statements for the interim period have been included. The results of operations for the current interim period are not necessarily indicative of results that ultimately may be achieved for any other interim period or for the year ending December 31, 2017. The interim unaudited condensed consolidated financial statements and notes hereto should be read in conjunction with the audited condensed consolidated financial statements and notes thereto contained in the Company’s annual report on Form 10-K for the year ended December 31, 2016.</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GSVC Holdings and GCL, its wholly owned subsidiaries. All intercompany balances and transactions have been eliminated in consolidation.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preparation of consolidated financial statements in accordance with GAAP requires the Company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6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17" w:lineRule="exact"/>
        <w:rPr>
          <w:sz w:val="20"/>
          <w:szCs w:val="20"/>
          <w:color w:val="auto"/>
        </w:rPr>
      </w:pPr>
    </w:p>
    <w:p>
      <w:pPr>
        <w:ind w:left="40" w:right="539" w:firstLine="270"/>
        <w:spacing w:after="0" w:line="281"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Valuations based on unobservable inputs that reflect management’s best estimate of what market participants would</w:t>
      </w:r>
      <w:r>
        <w:rPr>
          <w:rFonts w:ascii="Arial" w:cs="Arial" w:eastAsia="Arial" w:hAnsi="Arial"/>
          <w:sz w:val="17"/>
          <w:szCs w:val="17"/>
          <w:b w:val="1"/>
          <w:bCs w:val="1"/>
          <w:color w:val="auto"/>
        </w:rPr>
        <w:t xml:space="preserve"> </w:t>
      </w:r>
      <w:r>
        <w:rPr>
          <w:rFonts w:ascii="Arial" w:cs="Arial" w:eastAsia="Arial" w:hAnsi="Arial"/>
          <w:sz w:val="17"/>
          <w:szCs w:val="17"/>
          <w:color w:val="auto"/>
        </w:rPr>
        <w:t>use in pricing the asset 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61"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2"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64"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closing price of such security on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8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659" w:hanging="26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jc w:val="both"/>
        <w:ind w:left="540" w:right="819" w:hanging="26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560" w:right="659" w:hanging="26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60" w:right="599" w:firstLine="270"/>
        <w:spacing w:after="0" w:line="272" w:lineRule="auto"/>
        <w:rPr>
          <w:sz w:val="20"/>
          <w:szCs w:val="20"/>
          <w:color w:val="auto"/>
        </w:rPr>
      </w:pPr>
      <w:r>
        <w:rPr>
          <w:rFonts w:ascii="Arial" w:cs="Arial" w:eastAsia="Arial" w:hAnsi="Arial"/>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70"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The Valuation Committee engages at least one independent valuation firm to perform valuations of its investments that are not publicly traded or for which there are no readily available market quotations. The Company’s board of directors considers the independent valuations provided by the valuation firm(s), among other factors, in making its fair value determinations. The table below shows the percentages of the Company’s investments for which there are no readily available market quotations and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2139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For the quarter ended March 31, 2016</w:t>
            </w:r>
          </w:p>
        </w:tc>
        <w:tc>
          <w:tcPr>
            <w:tcW w:w="2920" w:type="dxa"/>
            <w:vAlign w:val="bottom"/>
          </w:tcPr>
          <w:p>
            <w:pPr>
              <w:jc w:val="right"/>
              <w:ind w:right="150"/>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2016</w:t>
            </w:r>
          </w:p>
        </w:tc>
        <w:tc>
          <w:tcPr>
            <w:tcW w:w="2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For the quarter ended September 30, 2016</w:t>
            </w:r>
          </w:p>
        </w:tc>
        <w:tc>
          <w:tcPr>
            <w:tcW w:w="2920" w:type="dxa"/>
            <w:vAlign w:val="bottom"/>
          </w:tcPr>
          <w:p>
            <w:pPr>
              <w:jc w:val="right"/>
              <w:ind w:right="150"/>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2016</w:t>
            </w:r>
          </w:p>
        </w:tc>
        <w:tc>
          <w:tcPr>
            <w:tcW w:w="2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For the quarter ended March 31, 2017</w:t>
            </w:r>
          </w:p>
        </w:tc>
        <w:tc>
          <w:tcPr>
            <w:tcW w:w="2920" w:type="dxa"/>
            <w:vAlign w:val="bottom"/>
          </w:tcPr>
          <w:p>
            <w:pPr>
              <w:jc w:val="right"/>
              <w:ind w:right="150"/>
              <w:spacing w:after="0"/>
              <w:rPr>
                <w:sz w:val="20"/>
                <w:szCs w:val="20"/>
                <w:color w:val="auto"/>
              </w:rPr>
            </w:pPr>
            <w:r>
              <w:rPr>
                <w:rFonts w:ascii="Arial" w:cs="Arial" w:eastAsia="Arial" w:hAnsi="Arial"/>
                <w:sz w:val="18"/>
                <w:szCs w:val="18"/>
                <w:color w:val="auto"/>
              </w:rPr>
              <w:t>100%</w:t>
            </w:r>
          </w:p>
        </w:tc>
      </w:tr>
    </w:tbl>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60" w:right="539" w:firstLine="270"/>
        <w:spacing w:after="0" w:line="254" w:lineRule="auto"/>
        <w:rPr>
          <w:sz w:val="20"/>
          <w:szCs w:val="20"/>
          <w:color w:val="auto"/>
        </w:rPr>
      </w:pPr>
      <w:r>
        <w:rPr>
          <w:rFonts w:ascii="Arial" w:cs="Arial" w:eastAsia="Arial" w:hAnsi="Arial"/>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84"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74"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19"/>
        <w:spacing w:after="0" w:line="291" w:lineRule="auto"/>
        <w:rPr>
          <w:sz w:val="20"/>
          <w:szCs w:val="20"/>
          <w:color w:val="auto"/>
        </w:rPr>
      </w:pPr>
      <w:r>
        <w:rPr>
          <w:rFonts w:ascii="Arial" w:cs="Arial" w:eastAsia="Arial" w:hAnsi="Arial"/>
          <w:sz w:val="16"/>
          <w:szCs w:val="16"/>
          <w:color w:val="auto"/>
        </w:rPr>
        <w:t>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679" w:firstLine="270"/>
        <w:spacing w:after="0" w:line="308" w:lineRule="auto"/>
        <w:rPr>
          <w:sz w:val="20"/>
          <w:szCs w:val="20"/>
          <w:color w:val="auto"/>
        </w:rPr>
      </w:pPr>
      <w:r>
        <w:rPr>
          <w:rFonts w:ascii="Arial" w:cs="Arial" w:eastAsia="Arial" w:hAnsi="Arial"/>
          <w:sz w:val="17"/>
          <w:szCs w:val="17"/>
          <w:color w:val="auto"/>
        </w:rPr>
        <w:t>The Company’s board of directors will ascribe value to warrants based on fair value analyses that can include discounted cash flow analyses, option pricing models, comparable analyses and other techniques as deemed appropriate.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2017 and December 31, 2016, respectively, for details regarding the nature and composition of the Company’s investment portfolio.</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919" w:firstLine="270"/>
        <w:spacing w:after="0" w:line="312" w:lineRule="auto"/>
        <w:rPr>
          <w:sz w:val="20"/>
          <w:szCs w:val="20"/>
          <w:color w:val="auto"/>
        </w:rPr>
      </w:pPr>
      <w:r>
        <w:rPr>
          <w:rFonts w:ascii="Arial" w:cs="Arial" w:eastAsia="Arial" w:hAnsi="Arial"/>
          <w:sz w:val="16"/>
          <w:szCs w:val="16"/>
          <w:color w:val="auto"/>
        </w:rPr>
        <w:t>The Company places its cash with U.S. Bank, N.A. and Silicon Valley Bank, and at times, cash held in these accounts may exceed the Federal Deposit Insurance Corporation insured limit. The Company believes that both U.S. Bank, N.A. and Silicon Valley Bank are high-quality financial institutions and that the risk of loss associated with any uninsured balance is remote.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March 31, 2017, and December 31, 2016, the Company had deferred financing costs of $329,625 and $311,268, respectively, on the Condensed Consolidated Statements of Assets and Liabilities.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March 31, 2017 and December 31, 2016, the Company had no escrow deposits.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expects to continue to operate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61"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58"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7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59"/>
        <w:spacing w:after="0" w:line="269" w:lineRule="auto"/>
        <w:rPr>
          <w:sz w:val="20"/>
          <w:szCs w:val="20"/>
          <w:color w:val="auto"/>
        </w:rPr>
      </w:pPr>
      <w:r>
        <w:rPr>
          <w:rFonts w:ascii="Arial" w:cs="Arial" w:eastAsia="Arial" w:hAnsi="Arial"/>
          <w:sz w:val="17"/>
          <w:szCs w:val="17"/>
          <w:color w:val="auto"/>
        </w:rPr>
        <w:t>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 C corporation for its 2012 and 2013 taxable years. Refer to “Note 8 — Income Taxes” for further details regarding the Company’s tax status.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7"/>
          <w:szCs w:val="17"/>
          <w:i w:val="1"/>
          <w:iCs w:val="1"/>
          <w:color w:val="auto"/>
        </w:rPr>
        <w:t>FASB ASC 260, Earnings Per Share</w:t>
      </w:r>
      <w:r>
        <w:rPr>
          <w:rFonts w:ascii="Arial" w:cs="Arial" w:eastAsia="Arial" w:hAnsi="Arial"/>
          <w:sz w:val="17"/>
          <w:szCs w:val="17"/>
          <w:color w:val="auto"/>
        </w:rPr>
        <w:t xml:space="preserve"> (“ASC 260”) to determine the number of potentially dilutive shares outstanding. Refer to “Note 5 — Net Increase/(Decrease) in Net Assets Resulting from Operations per Common Share — Basic and Diluted” for further detail.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On October 13, 2016, the Securities and Exchange Commission (the “SEC”) amended Regulation S-X to, among other things, standardize the reporting of certain derivative investments in the financial statements of business development companies. The amendments to Regulation S-X also update the required disclosure for other investments and investments in and advances to affiliates and amend the rules regarding the general form and content of a business development company’s financial statements. The compliance date for the amendments to Regulation S-X is August 1, 2017. Management is evaluating the amended rules to determine the impact to the Company.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Company has entered into an investment advisory agreement with GSV Asset Management (the “Advisory Agreement”). GSV Asset Management is controlled by Michael Moe, the Company’s Chief Executive Officer and Chair of the Company’s board of directors. Mr. Moe, through his ownership interest in GSV Asset Management, is entitled to a portion of any profits earned by GSV Asset Management in performing its services under the Advisory Agreement. Mr. Moe, William Tanona, the Company’s Chief Financial Officer, Treasurer and Corporate Secretary, and Mark W. Flynn, the Company’s President, as principals of GSV Asset Management, collectively manage the business and internal affairs of GSV Asset Management. Mark Klein, a member of the Company’s board of directors, or entities with which he is affiliated, receives fees from GSV Asset Management equal to a percentage of each of the base management fee and the incentive fee paid by the Company to GSV Asset Management pursuant to a consulting agreement with GSV Asset Management.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Under the terms of the Advisory Agreement, GSV Asset Management is paid a base management fee of 2% of gross assets, which is the Company’s total assets reflected on the its Condensed Consolidated Statements of Assets and Liabilities (with no deduction for liabilities) reduced by any non-portfolio investments,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January 1, 2017 through December 31, 2017, however, pursuant to a voluntary waiver by GSV Asset Management, the Company will pay GSV Asset Management a base management fee of 1.75%, a 0.25% reduction from the 2.0% base management fee payable under the Advisory Agreement. This waiver of a portion of the base management fee is not subject to recourse against or reimbursement by the Company.</w:t>
      </w:r>
    </w:p>
    <w:p>
      <w:pPr>
        <w:spacing w:after="0" w:line="75"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Under the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GAAP purposes, in accordance with the AICPA’s Technical Practice Aids (“TPA”) (TIS 6910.2), the Company is required to accrue incentive fees for all periods as if the Company had fully liquidated its entire investment portfolio at the fair value stated on the Condensed Consolidated Statements of Assets and Liabilities as of March 31, 2017 and December 31, 2016. This accrual considers both the hypothetical liquidation of the Company’s portfolio described previously, as well as the Company’s actual cumulative realized gains and losses since inception, as well any previously paid incentive fees.</w:t>
      </w:r>
    </w:p>
    <w:p>
      <w:pPr>
        <w:spacing w:after="0" w:line="64"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For the three months ended March 31, 2017, the Company accrued incentive fees of $1,717,308, and for the three months ended March 31, 2016, the Company reversed previously accrued incentive fees of $5,118,584.</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GSV Asset Management earned $1,272,618 and $1,958,000 in management fees for the three months ended March 31, 2017 and 2016, respectively.</w:t>
      </w:r>
    </w:p>
    <w:p>
      <w:pPr>
        <w:spacing w:after="0" w:line="62" w:lineRule="exact"/>
        <w:rPr>
          <w:sz w:val="20"/>
          <w:szCs w:val="20"/>
          <w:color w:val="auto"/>
        </w:rPr>
      </w:pPr>
    </w:p>
    <w:p>
      <w:pPr>
        <w:ind w:left="40" w:right="779" w:firstLine="270"/>
        <w:spacing w:after="0" w:line="308" w:lineRule="auto"/>
        <w:rPr>
          <w:sz w:val="20"/>
          <w:szCs w:val="20"/>
          <w:color w:val="auto"/>
        </w:rPr>
      </w:pPr>
      <w:r>
        <w:rPr>
          <w:rFonts w:ascii="Arial" w:cs="Arial" w:eastAsia="Arial" w:hAnsi="Arial"/>
          <w:sz w:val="17"/>
          <w:szCs w:val="17"/>
          <w:color w:val="auto"/>
        </w:rPr>
        <w:t>As of March 31, 2017, there were no receivables owed to the Company by GSV Asset Management In addition, as of March 31, 2017, the Company owed GSV Asset Management $59,864 for the reimbursement of other expenses.</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As of December 31, 2016, there were no receivables owed to the Company by GSV Asset Management. In addition, as of December 31, 2016, the Company owed GSV Asset Management $422,025 primarily for the reimbursement of overhead allocation expenses.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GSV Asset Management controls GSV Capital Service Company. The Company reimburses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$531,484, and $599,950 in such costs incurred under the Administration Agreement for the three months ended March 31, 2017 and 2016, respectively.</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Arrangements</w:t>
      </w:r>
    </w:p>
    <w:p>
      <w:pPr>
        <w:spacing w:after="0" w:line="12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Mark Moe, who is the brother of the Company’s Chief Executive Officer, Michael Moe, serves as Vice President of Business Development, Global Expansion for NestGSV, Inc. (d/b/a GSV Labs, Inc.), one of the Company’s portfolio companies. Diane Flynn, who is the spouse of the Company’s President, Mark Flynn, served as Chief Marketing Officer of NestGSV, Inc. until her resignation in January 2017. Ron Johnson, the Chief Executive Officer of Enjoy Technology, Inc., one of the Company’s portfolio companies, is the brother-in-law of the Company’s President, Mark Flynn. As of March 31, 2017, the fair values of the Company’s investments in NestGSV, Inc. and Enjoy Technology, Inc. were $6,979,883 and $5,441,885, respectively. Another one of the Company’s portfolio companies, SPBRX, INC. (f/k/a GSV Sustainability Partners, Inc.), previously utilized office space paid for by GSV Asset Management without paying GSV Asset Management or the Company any consideration for rent. The Company did not consider this an arms-length transaction. In August 2016, SPBRX, INC. (f/k/a GSV Sustainability Partners, Inc.) moved out of the office space paid for by GSV Asset Management.</w:t>
      </w:r>
    </w:p>
    <w:p>
      <w:pPr>
        <w:spacing w:after="0" w:line="70"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In addition, the Company’s executive officers and directors, and the principals of the Company’s investment adviser, GSV Asset Management, serve or may serve as officers and directors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May 9, 2017, GSV Asset Management also manages Coursera@GSV Fund, LP, and Coursera@GSV-EDBI Fund, LP, special purpose vehicles each comprised of an underlying investment in Coursera stock (the “Coursera Funds”). GSV Asset Management also serves as sub-adviser for certain investment series of GSV Ventures I LLC,</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539"/>
        <w:spacing w:after="0" w:line="297" w:lineRule="auto"/>
        <w:rPr>
          <w:sz w:val="20"/>
          <w:szCs w:val="20"/>
          <w:color w:val="auto"/>
        </w:rPr>
      </w:pPr>
      <w:r>
        <w:rPr>
          <w:rFonts w:ascii="Arial" w:cs="Arial" w:eastAsia="Arial" w:hAnsi="Arial"/>
          <w:sz w:val="16"/>
          <w:szCs w:val="16"/>
          <w:color w:val="auto"/>
        </w:rPr>
        <w:t>GSV Ventures II LLC, GSV Ventures V LLC, GSV Ventures VI LLC and a pooled investment fund, GSV Ventures III LLC, each a venture capital fund (collectively, the “GSV Ventures Funds”), as well as GSV Coursera LLC, a special purpose venture capital vehicle comprised of an underlying investment in Coursera stock (collectively, with the GSV Ventures Funds, referred to as the “GSV Funds”). GSV Asset Management will likely manage one or more private funds, or series within such private funds, in the future. The Company has no ownership interests in the Coursera Funds or the GSV Funds sub-advised by GSV Asset Management.</w:t>
      </w:r>
    </w:p>
    <w:p>
      <w:pPr>
        <w:spacing w:after="0" w:line="5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While the investment focus of each of these entities, including the Coursera Funds and the GSV Funds, may be different from the Company’s investment objective, it is likely that new investment opportunities that meet the Company’s investment objective will come to the attention of one of these entities, or new entities that will likely be formed in the future in connection with another investment advisory client or program, and, if so, such opportunity might not be offered, or otherwise made available, to the Company. However, the Company’s executive officers, directors and investment adviser, GSV Asset Management, intend to treat the Company in a fair and equitable manner consistent with their applicable duties under law so that the Company will not be disadvantaged in relation to any other particular client. In addition, while GSV Asset Management anticipates that it will from time to time identify investment opportunities that are appropriate for both the Company and the other funds that are currently, or in the future may be, managed by GSV Asset Management, to the extent it does identify such opportunities, GSV Asset Management has established an allocation policy to ensure that the Company has priority over such other funds. The Company’s board of directors will monitor on a quarterly basis any such allocation of investment opportunities between the Company and any such other funds.</w:t>
      </w:r>
    </w:p>
    <w:p>
      <w:pPr>
        <w:spacing w:after="0" w:line="65"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During the year ended December 31, 2016, the Company received other income of $212,795 from the proceeds of Michael Moe’s sale of common shares of 2U, Inc. (f/k/a 2tor, Inc.), one of the Company’s former portfolio companies, that Mr. Moe received while serving on 2U’s board of directors. These sales proceeds were remitted directly to the Company.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57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March 31, 2017, the Company had 80 positions in 39 portfolio companies. At December 31, 2016, the Company had 91 positions in 45 portfolio companies. The following table summarizes the composition of the Company’s investment portfolio by security type at cost and fair value as of March 31, 2017 and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2017 (Unaudited)</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73,577,946</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84,837,662</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81,274,687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83,074,410</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153,771,912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161,817,770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174,462,577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162,238,879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8,595,126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7,903,509</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8,849,434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7,821,948</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158,713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150,904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236,103,697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254,804,771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264,745,411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253,286,141</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18,025,133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15,849,936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14,022,863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191"/>
        </w:trPr>
        <w:tc>
          <w:tcPr>
            <w:tcW w:w="33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254,128,830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270,654,707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278,768,274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262,015,146</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59,996,000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59,997,000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29,998,750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29,998,490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314,124,830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330,651,707</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308,767,024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292,013,636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-1028700</wp:posOffset>
            </wp:positionV>
            <wp:extent cx="521398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-745490</wp:posOffset>
            </wp:positionV>
            <wp:extent cx="5213985" cy="291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3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industrial themes and geographic compositions of the Company’s portfolio at fair value as of March 31, 2017 and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4690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00" w:type="dxa"/>
            <w:vAlign w:val="bottom"/>
            <w:gridSpan w:val="2"/>
          </w:tcPr>
          <w:p>
            <w:pPr>
              <w:jc w:val="center"/>
              <w:ind w:left="2474"/>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90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Industry Theme</w:t>
            </w:r>
          </w:p>
        </w:tc>
        <w:tc>
          <w:tcPr>
            <w:tcW w:w="2280" w:type="dxa"/>
            <w:vAlign w:val="bottom"/>
          </w:tcPr>
          <w:p>
            <w:pPr>
              <w:spacing w:after="0"/>
              <w:rPr>
                <w:sz w:val="19"/>
                <w:szCs w:val="19"/>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 Technology</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Big Data/Cloud</w:t>
            </w:r>
          </w:p>
        </w:tc>
        <w:tc>
          <w:tcPr>
            <w:tcW w:w="3160" w:type="dxa"/>
            <w:vAlign w:val="bottom"/>
            <w:gridSpan w:val="3"/>
          </w:tcPr>
          <w:p>
            <w:pPr>
              <w:jc w:val="right"/>
              <w:ind w:right="260"/>
              <w:spacing w:after="0"/>
              <w:rPr>
                <w:sz w:val="20"/>
                <w:szCs w:val="20"/>
                <w:color w:val="auto"/>
              </w:rPr>
            </w:pPr>
            <w:r>
              <w:rPr>
                <w:rFonts w:ascii="Arial" w:cs="Arial" w:eastAsia="Arial" w:hAnsi="Arial"/>
                <w:sz w:val="18"/>
                <w:szCs w:val="18"/>
                <w:color w:val="auto"/>
              </w:rPr>
              <w:t>34.2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34.3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Social/Mobile</w:t>
            </w:r>
          </w:p>
        </w:tc>
        <w:tc>
          <w:tcPr>
            <w:tcW w:w="3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Marketplaces</w:t>
            </w:r>
          </w:p>
        </w:tc>
        <w:tc>
          <w:tcPr>
            <w:tcW w:w="3160" w:type="dxa"/>
            <w:vAlign w:val="bottom"/>
            <w:gridSpan w:val="3"/>
          </w:tcPr>
          <w:p>
            <w:pPr>
              <w:jc w:val="right"/>
              <w:ind w:right="260"/>
              <w:spacing w:after="0"/>
              <w:rPr>
                <w:sz w:val="20"/>
                <w:szCs w:val="20"/>
                <w:color w:val="auto"/>
              </w:rPr>
            </w:pPr>
            <w:r>
              <w:rPr>
                <w:rFonts w:ascii="Arial" w:cs="Arial" w:eastAsia="Arial" w:hAnsi="Arial"/>
                <w:sz w:val="18"/>
                <w:szCs w:val="18"/>
                <w:color w:val="auto"/>
              </w:rPr>
              <w:t>10.1</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Sustainability</w:t>
            </w:r>
          </w:p>
        </w:tc>
        <w:tc>
          <w:tcPr>
            <w:tcW w:w="2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100.00%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00" w:type="dxa"/>
            <w:vAlign w:val="bottom"/>
            <w:gridSpan w:val="2"/>
          </w:tcPr>
          <w:p>
            <w:pPr>
              <w:jc w:val="center"/>
              <w:ind w:left="2474"/>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90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Region</w:t>
            </w:r>
          </w:p>
        </w:tc>
        <w:tc>
          <w:tcPr>
            <w:tcW w:w="2280" w:type="dxa"/>
            <w:vAlign w:val="bottom"/>
          </w:tcPr>
          <w:p>
            <w:pPr>
              <w:spacing w:after="0"/>
              <w:rPr>
                <w:sz w:val="19"/>
                <w:szCs w:val="19"/>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Northeast</w:t>
            </w:r>
          </w:p>
        </w:tc>
        <w:tc>
          <w:tcPr>
            <w:tcW w:w="3160" w:type="dxa"/>
            <w:vAlign w:val="bottom"/>
            <w:gridSpan w:val="3"/>
          </w:tcPr>
          <w:p>
            <w:pPr>
              <w:jc w:val="right"/>
              <w:ind w:right="260"/>
              <w:spacing w:after="0"/>
              <w:rPr>
                <w:sz w:val="20"/>
                <w:szCs w:val="20"/>
                <w:color w:val="auto"/>
              </w:rPr>
            </w:pPr>
            <w:r>
              <w:rPr>
                <w:rFonts w:ascii="Arial" w:cs="Arial" w:eastAsia="Arial" w:hAnsi="Arial"/>
                <w:sz w:val="18"/>
                <w:szCs w:val="18"/>
                <w:color w:val="auto"/>
              </w:rPr>
              <w:t>15.6</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15.8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Mid-west</w:t>
            </w:r>
          </w:p>
        </w:tc>
        <w:tc>
          <w:tcPr>
            <w:tcW w:w="2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100.00%</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jc w:val="right"/>
              <w:ind w:right="534"/>
              <w:spacing w:after="0"/>
              <w:rPr>
                <w:sz w:val="20"/>
                <w:szCs w:val="20"/>
                <w:color w:val="auto"/>
              </w:rPr>
            </w:pPr>
            <w:r>
              <w:rPr>
                <w:rFonts w:ascii="Arial" w:cs="Arial" w:eastAsia="Arial" w:hAnsi="Arial"/>
                <w:sz w:val="18"/>
                <w:szCs w:val="18"/>
                <w:color w:val="auto"/>
              </w:rPr>
              <w:t>27</w:t>
            </w: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0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-2323465</wp:posOffset>
            </wp:positionV>
            <wp:extent cx="4751070"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-1911985</wp:posOffset>
            </wp:positionV>
            <wp:extent cx="4690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0" w:name="page31"/>
    <w:bookmarkEnd w:id="3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1371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 Theme</w:t>
            </w:r>
          </w:p>
        </w:tc>
        <w:tc>
          <w:tcPr>
            <w:tcW w:w="526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Industry</w:t>
            </w:r>
          </w:p>
        </w:tc>
        <w:tc>
          <w:tcPr>
            <w:tcW w:w="126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Big Data/Cloud</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Big Data Consulting</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Cloud Computing Services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Customer Relationship Manager</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Data Analysis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Mobile Device Management</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Social Cognitive Learning</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Social Media Analytics</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Education Technology</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Business Education</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Computer Software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Corporate Education</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Education Media Platform</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Education Software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Education Technology</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E-Transcript Exchange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Globally-focused Private School</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Interactive Learning</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Online Education</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Online Education Services</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Marketplaces</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Cash Payment Network</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Financial Services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Global Innovation Platform</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Knowledge Networks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On-Demand Commerce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On-Demand Transportation Services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Online Marketplace Finance</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Peer-to-Peer Pet Services</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Social/Mobile</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Digital Media Platform</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Light Field Imaging Platform</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On-Demand Music Streaming</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Social Communication</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Social Data Platform</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Sports Analytics</w:t>
            </w:r>
          </w:p>
        </w:tc>
        <w:tc>
          <w:tcPr>
            <w:tcW w:w="1260" w:type="dxa"/>
            <w:vAlign w:val="bottom"/>
          </w:tcPr>
          <w:p>
            <w:pPr>
              <w:spacing w:after="0"/>
              <w:rPr>
                <w:sz w:val="20"/>
                <w:szCs w:val="20"/>
                <w:color w:val="auto"/>
              </w:rPr>
            </w:pPr>
          </w:p>
        </w:tc>
      </w:tr>
      <w:tr>
        <w:trPr>
          <w:trHeight w:val="224"/>
        </w:trPr>
        <w:tc>
          <w:tcPr>
            <w:tcW w:w="12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Sustainability</w:t>
            </w:r>
          </w:p>
        </w:tc>
        <w:tc>
          <w:tcPr>
            <w:tcW w:w="5260" w:type="dxa"/>
            <w:vAlign w:val="bottom"/>
          </w:tcPr>
          <w:p>
            <w:pPr>
              <w:ind w:left="1340"/>
              <w:spacing w:after="0"/>
              <w:rPr>
                <w:sz w:val="20"/>
                <w:szCs w:val="20"/>
                <w:color w:val="auto"/>
              </w:rPr>
            </w:pPr>
            <w:r>
              <w:rPr>
                <w:rFonts w:ascii="Arial" w:cs="Arial" w:eastAsia="Arial" w:hAnsi="Arial"/>
                <w:sz w:val="18"/>
                <w:szCs w:val="18"/>
                <w:color w:val="auto"/>
              </w:rPr>
              <w:t>Clean Technology</w:t>
            </w:r>
          </w:p>
        </w:tc>
        <w:tc>
          <w:tcPr>
            <w:tcW w:w="1260" w:type="dxa"/>
            <w:vAlign w:val="bottom"/>
          </w:tcPr>
          <w:p>
            <w:pPr>
              <w:spacing w:after="0"/>
              <w:rPr>
                <w:sz w:val="19"/>
                <w:szCs w:val="19"/>
                <w:color w:val="auto"/>
              </w:rPr>
            </w:pPr>
          </w:p>
        </w:tc>
      </w:tr>
      <w:tr>
        <w:trPr>
          <w:trHeight w:val="769"/>
        </w:trPr>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260" w:type="dxa"/>
            <w:vAlign w:val="bottom"/>
          </w:tcPr>
          <w:p>
            <w:pPr>
              <w:ind w:left="1620"/>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52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March 31, 2017 and December 31,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rPr>
              <w:t>As of March 31, 2017 (Unaudited)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2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84,837,662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84,837,662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161,817,770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161,817,770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7,903,509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7,903,509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1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254,804,771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254,804,771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w w:val="93"/>
              </w:rPr>
              <w:t>15,849,936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15,849,936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1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3"/>
              </w:rPr>
              <w:t>15,849,936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254,804,771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270,654,707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3"/>
              </w:rPr>
              <w:t>59,997,000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59,997,000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w w:val="93"/>
              </w:rPr>
              <w:t>75,846,936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$ 254,804,771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330,651,707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83,074,410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83,074,410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162,238,879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162,238,879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7,821,948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7,821,948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150,904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b w:val="1"/>
                <w:bCs w:val="1"/>
                <w:color w:val="auto"/>
                <w:w w:val="93"/>
              </w:rPr>
              <w:t>Subtotal – Private Portfolio Companies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253,286,141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253,286,141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Publicly Traded Portfolio Companies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8,729,005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8,729,005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1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8,729,005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253,286,141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262,015,146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3"/>
              </w:rPr>
              <w:t>29,998,490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29,998,490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w w:val="93"/>
              </w:rPr>
              <w:t>38,727,495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292,013,636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554"/>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-4664710</wp:posOffset>
            </wp:positionV>
            <wp:extent cx="5213985"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-3815715</wp:posOffset>
            </wp:positionV>
            <wp:extent cx="521398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-3532505</wp:posOffset>
            </wp:positionV>
            <wp:extent cx="5213985"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-1809115</wp:posOffset>
            </wp:positionV>
            <wp:extent cx="521398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-1097280</wp:posOffset>
            </wp:positionV>
            <wp:extent cx="521398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-3326765</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ind w:left="60" w:right="559" w:firstLine="270"/>
        <w:spacing w:after="0" w:line="290" w:lineRule="auto"/>
        <w:rPr>
          <w:sz w:val="20"/>
          <w:szCs w:val="20"/>
          <w:color w:val="auto"/>
        </w:rPr>
      </w:pPr>
      <w:r>
        <w:rPr>
          <w:rFonts w:ascii="Arial" w:cs="Arial" w:eastAsia="Arial" w:hAnsi="Arial"/>
          <w:sz w:val="16"/>
          <w:szCs w:val="16"/>
          <w:color w:val="auto"/>
        </w:rPr>
        <w:t>In accordance with FASB ASC 820, the tables below provide quantitative information about the Company’s fair value measurements of its Level 3 assets as of March 31, 2017 and December 31, 2016.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March 31, 2017 and December 31, 2016.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5218430" cy="43008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8430" cy="4300855"/>
                    </a:xfrm>
                    <a:prstGeom prst="rect">
                      <a:avLst/>
                    </a:prstGeom>
                    <a:noFill/>
                  </pic:spPr>
                </pic:pic>
              </a:graphicData>
            </a:graphic>
          </wp:anchor>
        </w:drawing>
      </w:r>
    </w:p>
    <w:p>
      <w:pPr>
        <w:spacing w:after="0" w:line="192"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As of March 31, 2017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86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auto"/>
              <w:right w:val="single" w:sz="8" w:color="auto"/>
            </w:tcBorders>
            <w:vMerge w:val="continue"/>
          </w:tcPr>
          <w:p>
            <w:pPr>
              <w:spacing w:after="0"/>
              <w:rPr>
                <w:sz w:val="18"/>
                <w:szCs w:val="18"/>
                <w:color w:val="auto"/>
              </w:rPr>
            </w:pPr>
          </w:p>
        </w:tc>
        <w:tc>
          <w:tcPr>
            <w:tcW w:w="860" w:type="dxa"/>
            <w:vAlign w:val="bottom"/>
            <w:tcBorders>
              <w:bottom w:val="single" w:sz="8" w:color="auto"/>
              <w:right w:val="single" w:sz="8" w:color="auto"/>
            </w:tcBorders>
            <w:vMerge w:val="continue"/>
          </w:tcPr>
          <w:p>
            <w:pPr>
              <w:spacing w:after="0"/>
              <w:rPr>
                <w:sz w:val="18"/>
                <w:szCs w:val="18"/>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Technique/Approach</w:t>
            </w: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94"/>
        </w:trPr>
        <w:tc>
          <w:tcPr>
            <w:tcW w:w="23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1"/>
        </w:trPr>
        <w:tc>
          <w:tcPr>
            <w:tcW w:w="23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640" w:type="dxa"/>
            <w:vAlign w:val="bottom"/>
            <w:tcBorders>
              <w:right w:val="single" w:sz="8" w:color="auto"/>
            </w:tcBorders>
            <w:vMerge w:val="continue"/>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$84,827,662</w:t>
            </w:r>
          </w:p>
        </w:tc>
        <w:tc>
          <w:tcPr>
            <w:tcW w:w="164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Revenue multiples</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4"/>
              </w:rPr>
              <w:t>1.4x – 6.5x (4.1x)</w:t>
            </w:r>
          </w:p>
        </w:tc>
        <w:tc>
          <w:tcPr>
            <w:tcW w:w="0" w:type="dxa"/>
            <w:vAlign w:val="bottom"/>
          </w:tcPr>
          <w:p>
            <w:pPr>
              <w:spacing w:after="0"/>
              <w:rPr>
                <w:sz w:val="1"/>
                <w:szCs w:val="1"/>
                <w:color w:val="auto"/>
              </w:rPr>
            </w:pPr>
          </w:p>
        </w:tc>
      </w:tr>
      <w:tr>
        <w:trPr>
          <w:trHeight w:val="47"/>
        </w:trPr>
        <w:tc>
          <w:tcPr>
            <w:tcW w:w="23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private companies</w:t>
            </w:r>
          </w:p>
        </w:tc>
        <w:tc>
          <w:tcPr>
            <w:tcW w:w="8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3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Discounted Cash</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Discount rate</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81"/>
        </w:trPr>
        <w:tc>
          <w:tcPr>
            <w:tcW w:w="23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3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640" w:type="dxa"/>
            <w:vAlign w:val="bottom"/>
            <w:tcBorders>
              <w:right w:val="single" w:sz="8" w:color="auto"/>
            </w:tcBorders>
            <w:vMerge w:val="continue"/>
          </w:tcPr>
          <w:p>
            <w:pPr>
              <w:spacing w:after="0"/>
              <w:rPr>
                <w:sz w:val="2"/>
                <w:szCs w:val="2"/>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Long-term revenue growth</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line="20" w:lineRule="exact"/>
              <w:rPr>
                <w:sz w:val="1"/>
                <w:szCs w:val="1"/>
                <w:color w:val="auto"/>
              </w:rPr>
            </w:pPr>
          </w:p>
        </w:tc>
      </w:tr>
      <w:tr>
        <w:trPr>
          <w:trHeight w:val="235"/>
        </w:trPr>
        <w:tc>
          <w:tcPr>
            <w:tcW w:w="23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$10,000</w:t>
            </w:r>
          </w:p>
        </w:tc>
        <w:tc>
          <w:tcPr>
            <w:tcW w:w="1640" w:type="dxa"/>
            <w:vAlign w:val="bottom"/>
            <w:tcBorders>
              <w:bottom w:val="single" w:sz="8" w:color="auto"/>
              <w:right w:val="single" w:sz="8" w:color="auto"/>
            </w:tcBorders>
          </w:tcPr>
          <w:p>
            <w:pPr>
              <w:jc w:val="center"/>
              <w:spacing w:after="0" w:line="222" w:lineRule="exact"/>
              <w:rPr>
                <w:sz w:val="20"/>
                <w:szCs w:val="20"/>
                <w:color w:val="auto"/>
              </w:rPr>
            </w:pPr>
            <w:r>
              <w:rPr>
                <w:rFonts w:ascii="Arial" w:cs="Arial" w:eastAsia="Arial" w:hAnsi="Arial"/>
                <w:sz w:val="14"/>
                <w:szCs w:val="14"/>
                <w:color w:val="auto"/>
                <w:w w:val="91"/>
              </w:rPr>
              <w:t>Flow</w:t>
            </w:r>
            <w:r>
              <w:rPr>
                <w:rFonts w:ascii="Arial" w:cs="Arial" w:eastAsia="Arial" w:hAnsi="Arial"/>
                <w:sz w:val="23"/>
                <w:szCs w:val="23"/>
                <w:color w:val="auto"/>
                <w:w w:val="91"/>
                <w:vertAlign w:val="superscript"/>
              </w:rPr>
              <w:t>(2)</w:t>
            </w:r>
          </w:p>
        </w:tc>
        <w:tc>
          <w:tcPr>
            <w:tcW w:w="1800" w:type="dxa"/>
            <w:vAlign w:val="bottom"/>
            <w:tcBorders>
              <w:bottom w:val="single" w:sz="8" w:color="auto"/>
              <w:right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3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color w:val="auto"/>
                <w:w w:val="97"/>
              </w:rPr>
              <w:t>Long-term profit margin</w:t>
            </w:r>
          </w:p>
        </w:tc>
        <w:tc>
          <w:tcPr>
            <w:tcW w:w="720" w:type="dxa"/>
            <w:vAlign w:val="bottom"/>
            <w:vMerge w:val="restart"/>
          </w:tcPr>
          <w:p>
            <w:pPr>
              <w:jc w:val="right"/>
              <w:spacing w:after="0" w:line="153" w:lineRule="exact"/>
              <w:rPr>
                <w:sz w:val="20"/>
                <w:szCs w:val="20"/>
                <w:color w:val="auto"/>
              </w:rPr>
            </w:pPr>
            <w:r>
              <w:rPr>
                <w:rFonts w:ascii="Arial" w:cs="Arial" w:eastAsia="Arial" w:hAnsi="Arial"/>
                <w:sz w:val="14"/>
                <w:szCs w:val="14"/>
                <w:color w:val="auto"/>
              </w:rPr>
              <w:t>25.0%</w:t>
            </w:r>
          </w:p>
        </w:tc>
        <w:tc>
          <w:tcPr>
            <w:tcW w:w="840" w:type="dxa"/>
            <w:vAlign w:val="bottom"/>
            <w:vMerge w:val="restart"/>
          </w:tcPr>
          <w:p>
            <w:pPr>
              <w:ind w:left="20"/>
              <w:spacing w:after="0" w:line="153"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88"/>
        </w:trPr>
        <w:tc>
          <w:tcPr>
            <w:tcW w:w="23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3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(EBIT)</w:t>
            </w: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Option Pricing Method</w:t>
            </w:r>
            <w:r>
              <w:rPr>
                <w:rFonts w:ascii="Arial" w:cs="Arial" w:eastAsia="Arial" w:hAnsi="Arial"/>
                <w:sz w:val="23"/>
                <w:szCs w:val="23"/>
                <w:color w:val="auto"/>
                <w:w w:val="94"/>
                <w:vertAlign w:val="superscript"/>
              </w:rPr>
              <w:t>(2)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Time to liquidity (Years)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5"/>
        </w:trPr>
        <w:tc>
          <w:tcPr>
            <w:tcW w:w="2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Equity Volatility</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64"/>
        </w:trPr>
        <w:tc>
          <w:tcPr>
            <w:tcW w:w="2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36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151,831,833</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180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Preferred stock in private companies</w:t>
            </w:r>
          </w:p>
        </w:tc>
        <w:tc>
          <w:tcPr>
            <w:tcW w:w="8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Revenue multiples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1.4x – 6.5x (3.2x)</w:t>
            </w:r>
          </w:p>
        </w:tc>
        <w:tc>
          <w:tcPr>
            <w:tcW w:w="0" w:type="dxa"/>
            <w:vAlign w:val="bottom"/>
          </w:tcPr>
          <w:p>
            <w:pPr>
              <w:spacing w:after="0"/>
              <w:rPr>
                <w:sz w:val="1"/>
                <w:szCs w:val="1"/>
                <w:color w:val="auto"/>
              </w:rPr>
            </w:pPr>
          </w:p>
        </w:tc>
      </w:tr>
      <w:tr>
        <w:trPr>
          <w:trHeight w:val="133"/>
        </w:trPr>
        <w:tc>
          <w:tcPr>
            <w:tcW w:w="236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15.0x</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(15.0x)</w:t>
            </w:r>
          </w:p>
        </w:tc>
        <w:tc>
          <w:tcPr>
            <w:tcW w:w="0" w:type="dxa"/>
            <w:vAlign w:val="bottom"/>
          </w:tcPr>
          <w:p>
            <w:pPr>
              <w:spacing w:after="0"/>
              <w:rPr>
                <w:sz w:val="1"/>
                <w:szCs w:val="1"/>
                <w:color w:val="auto"/>
              </w:rPr>
            </w:pPr>
          </w:p>
        </w:tc>
      </w:tr>
      <w:tr>
        <w:trPr>
          <w:trHeight w:val="81"/>
        </w:trPr>
        <w:tc>
          <w:tcPr>
            <w:tcW w:w="23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640" w:type="dxa"/>
            <w:vAlign w:val="bottom"/>
            <w:tcBorders>
              <w:right w:val="single" w:sz="8" w:color="auto"/>
            </w:tcBorders>
          </w:tcPr>
          <w:p>
            <w:pPr>
              <w:spacing w:after="0"/>
              <w:rPr>
                <w:sz w:val="6"/>
                <w:szCs w:val="6"/>
                <w:color w:val="auto"/>
              </w:rPr>
            </w:pPr>
          </w:p>
        </w:tc>
        <w:tc>
          <w:tcPr>
            <w:tcW w:w="1800" w:type="dxa"/>
            <w:vAlign w:val="bottom"/>
            <w:tcBorders>
              <w:bottom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360" w:type="dxa"/>
            <w:vAlign w:val="bottom"/>
            <w:tcBorders>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Discount for lack of control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7"/>
        </w:trPr>
        <w:tc>
          <w:tcPr>
            <w:tcW w:w="23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Discounted Cash</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c>
          <w:tcPr>
            <w:tcW w:w="840" w:type="dxa"/>
            <w:vAlign w:val="bottom"/>
          </w:tcPr>
          <w:p>
            <w:pPr>
              <w:ind w:left="2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76"/>
        </w:trPr>
        <w:tc>
          <w:tcPr>
            <w:tcW w:w="23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3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640" w:type="dxa"/>
            <w:vAlign w:val="bottom"/>
            <w:tcBorders>
              <w:right w:val="single" w:sz="8" w:color="auto"/>
            </w:tcBorders>
            <w:vMerge w:val="continue"/>
          </w:tcPr>
          <w:p>
            <w:pPr>
              <w:spacing w:after="0"/>
              <w:rPr>
                <w:sz w:val="2"/>
                <w:szCs w:val="2"/>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Long-term revenue growth</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line="20" w:lineRule="exact"/>
              <w:rPr>
                <w:sz w:val="1"/>
                <w:szCs w:val="1"/>
                <w:color w:val="auto"/>
              </w:rPr>
            </w:pPr>
          </w:p>
        </w:tc>
      </w:tr>
      <w:tr>
        <w:trPr>
          <w:trHeight w:val="235"/>
        </w:trPr>
        <w:tc>
          <w:tcPr>
            <w:tcW w:w="23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5,809,036</w:t>
            </w:r>
          </w:p>
        </w:tc>
        <w:tc>
          <w:tcPr>
            <w:tcW w:w="1640" w:type="dxa"/>
            <w:vAlign w:val="bottom"/>
            <w:tcBorders>
              <w:bottom w:val="single" w:sz="8" w:color="auto"/>
              <w:right w:val="single" w:sz="8" w:color="auto"/>
            </w:tcBorders>
          </w:tcPr>
          <w:p>
            <w:pPr>
              <w:jc w:val="center"/>
              <w:spacing w:after="0" w:line="222" w:lineRule="exact"/>
              <w:rPr>
                <w:sz w:val="20"/>
                <w:szCs w:val="20"/>
                <w:color w:val="auto"/>
              </w:rPr>
            </w:pPr>
            <w:r>
              <w:rPr>
                <w:rFonts w:ascii="Arial" w:cs="Arial" w:eastAsia="Arial" w:hAnsi="Arial"/>
                <w:sz w:val="14"/>
                <w:szCs w:val="14"/>
                <w:color w:val="auto"/>
                <w:w w:val="91"/>
              </w:rPr>
              <w:t>Flow</w:t>
            </w:r>
            <w:r>
              <w:rPr>
                <w:rFonts w:ascii="Arial" w:cs="Arial" w:eastAsia="Arial" w:hAnsi="Arial"/>
                <w:sz w:val="23"/>
                <w:szCs w:val="23"/>
                <w:color w:val="auto"/>
                <w:w w:val="91"/>
                <w:vertAlign w:val="superscript"/>
              </w:rPr>
              <w:t>(2)</w:t>
            </w:r>
          </w:p>
        </w:tc>
        <w:tc>
          <w:tcPr>
            <w:tcW w:w="1800" w:type="dxa"/>
            <w:vAlign w:val="bottom"/>
            <w:tcBorders>
              <w:bottom w:val="single" w:sz="8" w:color="auto"/>
              <w:right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3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color w:val="auto"/>
                <w:w w:val="97"/>
              </w:rPr>
              <w:t>Long-term profit margin</w:t>
            </w:r>
          </w:p>
        </w:tc>
        <w:tc>
          <w:tcPr>
            <w:tcW w:w="720" w:type="dxa"/>
            <w:vAlign w:val="bottom"/>
            <w:vMerge w:val="restart"/>
          </w:tcPr>
          <w:p>
            <w:pPr>
              <w:jc w:val="right"/>
              <w:spacing w:after="0" w:line="153" w:lineRule="exact"/>
              <w:rPr>
                <w:sz w:val="20"/>
                <w:szCs w:val="20"/>
                <w:color w:val="auto"/>
              </w:rPr>
            </w:pPr>
            <w:r>
              <w:rPr>
                <w:rFonts w:ascii="Arial" w:cs="Arial" w:eastAsia="Arial" w:hAnsi="Arial"/>
                <w:sz w:val="14"/>
                <w:szCs w:val="14"/>
                <w:color w:val="auto"/>
              </w:rPr>
              <w:t>25.0%</w:t>
            </w:r>
          </w:p>
        </w:tc>
        <w:tc>
          <w:tcPr>
            <w:tcW w:w="840" w:type="dxa"/>
            <w:vAlign w:val="bottom"/>
            <w:vMerge w:val="restart"/>
          </w:tcPr>
          <w:p>
            <w:pPr>
              <w:ind w:left="20"/>
              <w:spacing w:after="0" w:line="153"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88"/>
        </w:trPr>
        <w:tc>
          <w:tcPr>
            <w:tcW w:w="23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3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4"/>
                <w:szCs w:val="14"/>
                <w:color w:val="auto"/>
                <w:w w:val="94"/>
              </w:rPr>
              <w:t>Option Pricing Method</w:t>
            </w:r>
            <w:r>
              <w:rPr>
                <w:rFonts w:ascii="Arial" w:cs="Arial" w:eastAsia="Arial" w:hAnsi="Arial"/>
                <w:sz w:val="22"/>
                <w:szCs w:val="22"/>
                <w:color w:val="auto"/>
                <w:w w:val="94"/>
                <w:vertAlign w:val="superscript"/>
              </w:rPr>
              <w:t>(2)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(EBIT)</w:t>
            </w: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Time to liquidity (Years)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0"/>
        </w:trPr>
        <w:tc>
          <w:tcPr>
            <w:tcW w:w="2360" w:type="dxa"/>
            <w:vAlign w:val="bottom"/>
            <w:tcBorders>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Equity Volatility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4,176,901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PWERM</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7"/>
        </w:trPr>
        <w:tc>
          <w:tcPr>
            <w:tcW w:w="23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$7,903,509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Liquidation Value</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68"/>
        </w:trPr>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Debt Investments</w:t>
            </w:r>
          </w:p>
        </w:tc>
        <w:tc>
          <w:tcPr>
            <w:tcW w:w="8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245,830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Term to expiration (Years)</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4"/>
              </w:rPr>
              <w:t>0.9 – 2.8 (2.1)</w:t>
            </w:r>
          </w:p>
        </w:tc>
        <w:tc>
          <w:tcPr>
            <w:tcW w:w="0" w:type="dxa"/>
            <w:vAlign w:val="bottom"/>
          </w:tcPr>
          <w:p>
            <w:pPr>
              <w:spacing w:after="0"/>
              <w:rPr>
                <w:sz w:val="1"/>
                <w:szCs w:val="1"/>
                <w:color w:val="auto"/>
              </w:rPr>
            </w:pPr>
          </w:p>
        </w:tc>
      </w:tr>
      <w:tr>
        <w:trPr>
          <w:trHeight w:val="130"/>
        </w:trPr>
        <w:tc>
          <w:tcPr>
            <w:tcW w:w="23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7"/>
              </w:rPr>
              <w:t>Warrants</w:t>
            </w:r>
          </w:p>
        </w:tc>
        <w:tc>
          <w:tcPr>
            <w:tcW w:w="8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3"/>
              </w:rPr>
              <w:t>11.5% – 48.0% (40.7%)</w:t>
            </w:r>
          </w:p>
        </w:tc>
        <w:tc>
          <w:tcPr>
            <w:tcW w:w="0" w:type="dxa"/>
            <w:vAlign w:val="bottom"/>
          </w:tcPr>
          <w:p>
            <w:pPr>
              <w:spacing w:after="0"/>
              <w:rPr>
                <w:sz w:val="1"/>
                <w:szCs w:val="1"/>
                <w:color w:val="auto"/>
              </w:rPr>
            </w:pPr>
          </w:p>
        </w:tc>
      </w:tr>
      <w:tr>
        <w:trPr>
          <w:trHeight w:val="117"/>
        </w:trPr>
        <w:tc>
          <w:tcPr>
            <w:tcW w:w="2360" w:type="dxa"/>
            <w:vAlign w:val="bottom"/>
            <w:tcBorders>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00" w:hanging="272"/>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Precedent transactions include recent rounds of financing, recent purchases made by the Company, and tender offers.</w:t>
      </w:r>
    </w:p>
    <w:p>
      <w:pPr>
        <w:spacing w:after="0" w:line="128" w:lineRule="exact"/>
        <w:rPr>
          <w:rFonts w:ascii="Arial" w:cs="Arial" w:eastAsia="Arial" w:hAnsi="Arial"/>
          <w:sz w:val="17"/>
          <w:szCs w:val="17"/>
          <w:color w:val="auto"/>
        </w:rPr>
      </w:pPr>
    </w:p>
    <w:p>
      <w:pPr>
        <w:ind w:left="300" w:right="679" w:hanging="272"/>
        <w:spacing w:after="0" w:line="286"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December 31, 2016, the Company used a market approach to value certain common and preferred stock investments. As of March 31, 2017, the Company used a hybrid market and income approach to value certain common and preferred stock investments as the Company felt this approach better reflected the fair value of these investments.</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3" w:name="page34"/>
    <w:bookmarkEnd w:id="3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118110</wp:posOffset>
            </wp:positionV>
            <wp:extent cx="5218430" cy="2336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8430" cy="2336800"/>
                    </a:xfrm>
                    <a:prstGeom prst="rect">
                      <a:avLst/>
                    </a:prstGeom>
                    <a:noFill/>
                  </pic:spPr>
                </pic:pic>
              </a:graphicData>
            </a:graphic>
          </wp:anchor>
        </w:drawing>
      </w:r>
    </w:p>
    <w:p>
      <w:pPr>
        <w:spacing w:after="0" w:line="255"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As of December 31, 2016</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9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auto"/>
              <w:right w:val="single" w:sz="8" w:color="auto"/>
            </w:tcBorders>
            <w:vMerge w:val="continue"/>
          </w:tcPr>
          <w:p>
            <w:pPr>
              <w:spacing w:after="0"/>
              <w:rPr>
                <w:sz w:val="18"/>
                <w:szCs w:val="18"/>
                <w:color w:val="auto"/>
              </w:rPr>
            </w:pPr>
          </w:p>
        </w:tc>
        <w:tc>
          <w:tcPr>
            <w:tcW w:w="940" w:type="dxa"/>
            <w:vAlign w:val="bottom"/>
            <w:tcBorders>
              <w:bottom w:val="single" w:sz="8" w:color="auto"/>
              <w:right w:val="single" w:sz="8" w:color="auto"/>
            </w:tcBorders>
            <w:vMerge w:val="continue"/>
          </w:tcPr>
          <w:p>
            <w:pPr>
              <w:spacing w:after="0"/>
              <w:rPr>
                <w:sz w:val="18"/>
                <w:szCs w:val="18"/>
                <w:color w:val="auto"/>
              </w:rPr>
            </w:pPr>
          </w:p>
        </w:tc>
        <w:tc>
          <w:tcPr>
            <w:tcW w:w="1500" w:type="dxa"/>
            <w:vAlign w:val="bottom"/>
            <w:tcBorders>
              <w:bottom w:val="single" w:sz="8" w:color="auto"/>
              <w:right w:val="single" w:sz="8" w:color="auto"/>
            </w:tcBorders>
            <w:vMerge w:val="continue"/>
          </w:tcPr>
          <w:p>
            <w:pPr>
              <w:spacing w:after="0"/>
              <w:rPr>
                <w:sz w:val="18"/>
                <w:szCs w:val="18"/>
                <w:color w:val="auto"/>
              </w:rPr>
            </w:pPr>
          </w:p>
        </w:tc>
        <w:tc>
          <w:tcPr>
            <w:tcW w:w="1820" w:type="dxa"/>
            <w:vAlign w:val="bottom"/>
            <w:tcBorders>
              <w:bottom w:val="single" w:sz="8" w:color="auto"/>
              <w:right w:val="single" w:sz="8" w:color="auto"/>
            </w:tcBorders>
            <w:vMerge w:val="continue"/>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77"/>
        </w:trPr>
        <w:tc>
          <w:tcPr>
            <w:tcW w:w="23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Revenue multiples</w:t>
            </w: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6"/>
              </w:rPr>
              <w:t>0.8x – 5.2x (3.3x)</w:t>
            </w:r>
          </w:p>
        </w:tc>
        <w:tc>
          <w:tcPr>
            <w:tcW w:w="0" w:type="dxa"/>
            <w:vAlign w:val="bottom"/>
          </w:tcPr>
          <w:p>
            <w:pPr>
              <w:spacing w:after="0"/>
              <w:rPr>
                <w:sz w:val="1"/>
                <w:szCs w:val="1"/>
                <w:color w:val="auto"/>
              </w:rPr>
            </w:pPr>
          </w:p>
        </w:tc>
      </w:tr>
      <w:tr>
        <w:trPr>
          <w:trHeight w:val="49"/>
        </w:trPr>
        <w:tc>
          <w:tcPr>
            <w:tcW w:w="238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Common stock in private companies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$83,074,410</w:t>
            </w:r>
          </w:p>
        </w:tc>
        <w:tc>
          <w:tcPr>
            <w:tcW w:w="150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EBIT multiples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37.5x</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(37.5x)</w:t>
            </w:r>
          </w:p>
        </w:tc>
        <w:tc>
          <w:tcPr>
            <w:tcW w:w="0" w:type="dxa"/>
            <w:vAlign w:val="bottom"/>
          </w:tcPr>
          <w:p>
            <w:pPr>
              <w:spacing w:after="0"/>
              <w:rPr>
                <w:sz w:val="1"/>
                <w:szCs w:val="1"/>
                <w:color w:val="auto"/>
              </w:rPr>
            </w:pPr>
          </w:p>
        </w:tc>
      </w:tr>
      <w:tr>
        <w:trPr>
          <w:trHeight w:val="250"/>
        </w:trPr>
        <w:tc>
          <w:tcPr>
            <w:tcW w:w="238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3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Revenue multiples</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0.8x – 5.3x (2.7x)</w:t>
            </w:r>
          </w:p>
        </w:tc>
        <w:tc>
          <w:tcPr>
            <w:tcW w:w="0" w:type="dxa"/>
            <w:vAlign w:val="bottom"/>
          </w:tcPr>
          <w:p>
            <w:pPr>
              <w:spacing w:after="0"/>
              <w:rPr>
                <w:sz w:val="1"/>
                <w:szCs w:val="1"/>
                <w:color w:val="auto"/>
              </w:rPr>
            </w:pPr>
          </w:p>
        </w:tc>
      </w:tr>
      <w:tr>
        <w:trPr>
          <w:trHeight w:val="210"/>
        </w:trPr>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Preferred stock in private companies</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$157,929,101</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EBIT multiples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37.5x</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(37.5x)</w:t>
            </w:r>
          </w:p>
        </w:tc>
        <w:tc>
          <w:tcPr>
            <w:tcW w:w="0" w:type="dxa"/>
            <w:vAlign w:val="bottom"/>
          </w:tcPr>
          <w:p>
            <w:pPr>
              <w:spacing w:after="0"/>
              <w:rPr>
                <w:sz w:val="1"/>
                <w:szCs w:val="1"/>
                <w:color w:val="auto"/>
              </w:rPr>
            </w:pPr>
          </w:p>
        </w:tc>
      </w:tr>
      <w:tr>
        <w:trPr>
          <w:trHeight w:val="52"/>
        </w:trPr>
        <w:tc>
          <w:tcPr>
            <w:tcW w:w="2380" w:type="dxa"/>
            <w:vAlign w:val="bottom"/>
            <w:tcBorders>
              <w:right w:val="single" w:sz="8" w:color="auto"/>
            </w:tcBorders>
            <w:vMerge w:val="continue"/>
          </w:tcPr>
          <w:p>
            <w:pPr>
              <w:spacing w:after="0"/>
              <w:rPr>
                <w:sz w:val="4"/>
                <w:szCs w:val="4"/>
                <w:color w:val="auto"/>
              </w:rPr>
            </w:pPr>
          </w:p>
        </w:tc>
        <w:tc>
          <w:tcPr>
            <w:tcW w:w="940" w:type="dxa"/>
            <w:vAlign w:val="bottom"/>
            <w:tcBorders>
              <w:right w:val="single" w:sz="8" w:color="auto"/>
            </w:tcBorders>
            <w:vMerge w:val="continue"/>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Subscriber multiples</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669.9x</w:t>
            </w: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(669.6x)</w:t>
            </w:r>
          </w:p>
        </w:tc>
        <w:tc>
          <w:tcPr>
            <w:tcW w:w="0" w:type="dxa"/>
            <w:vAlign w:val="bottom"/>
          </w:tcPr>
          <w:p>
            <w:pPr>
              <w:spacing w:after="0"/>
              <w:rPr>
                <w:sz w:val="1"/>
                <w:szCs w:val="1"/>
                <w:color w:val="auto"/>
              </w:rPr>
            </w:pPr>
          </w:p>
        </w:tc>
      </w:tr>
      <w:tr>
        <w:trPr>
          <w:trHeight w:val="162"/>
        </w:trPr>
        <w:tc>
          <w:tcPr>
            <w:tcW w:w="23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Discount for lack of control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$4,309,778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PWERM</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Debt Investments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$7,821,948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Liquidation Value</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Warrants</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$150,904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Term to expiration (Years)</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1.2 – 3.0 (2.1)</w:t>
            </w:r>
          </w:p>
        </w:tc>
        <w:tc>
          <w:tcPr>
            <w:tcW w:w="0" w:type="dxa"/>
            <w:vAlign w:val="bottom"/>
          </w:tcPr>
          <w:p>
            <w:pPr>
              <w:spacing w:after="0"/>
              <w:rPr>
                <w:sz w:val="1"/>
                <w:szCs w:val="1"/>
                <w:color w:val="auto"/>
              </w:rPr>
            </w:pPr>
          </w:p>
        </w:tc>
      </w:tr>
      <w:tr>
        <w:trPr>
          <w:trHeight w:val="106"/>
        </w:trPr>
        <w:tc>
          <w:tcPr>
            <w:tcW w:w="23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Volatility</w:t>
            </w:r>
          </w:p>
        </w:tc>
        <w:tc>
          <w:tcPr>
            <w:tcW w:w="15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10.4% – 49.3% (43.2%)</w:t>
            </w:r>
          </w:p>
        </w:tc>
        <w:tc>
          <w:tcPr>
            <w:tcW w:w="0" w:type="dxa"/>
            <w:vAlign w:val="bottom"/>
          </w:tcPr>
          <w:p>
            <w:pPr>
              <w:spacing w:after="0"/>
              <w:rPr>
                <w:sz w:val="1"/>
                <w:szCs w:val="1"/>
                <w:color w:val="auto"/>
              </w:rPr>
            </w:pPr>
          </w:p>
        </w:tc>
      </w:tr>
      <w:tr>
        <w:trPr>
          <w:trHeight w:val="90"/>
        </w:trPr>
        <w:tc>
          <w:tcPr>
            <w:tcW w:w="238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vMerge w:val="continue"/>
          </w:tcPr>
          <w:p>
            <w:pPr>
              <w:spacing w:after="0"/>
              <w:rPr>
                <w:sz w:val="7"/>
                <w:szCs w:val="7"/>
                <w:color w:val="auto"/>
              </w:rPr>
            </w:pPr>
          </w:p>
        </w:tc>
        <w:tc>
          <w:tcPr>
            <w:tcW w:w="15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ind w:left="180" w:right="75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values of Level 3 assets and liabilities changed during the three months ended March 31, 2017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47625</wp:posOffset>
            </wp:positionV>
            <wp:extent cx="5188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4"/>
              </w:rPr>
              <w:t>Three months ended March 31, 2017 (Unaudited)</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60" w:type="dxa"/>
            <w:vAlign w:val="bottom"/>
            <w:gridSpan w:val="3"/>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83,074,410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162,238,879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7,821,948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253,286,141</w:t>
            </w:r>
          </w:p>
        </w:tc>
        <w:tc>
          <w:tcPr>
            <w:tcW w:w="0" w:type="dxa"/>
            <w:vAlign w:val="bottom"/>
          </w:tcPr>
          <w:p>
            <w:pPr>
              <w:spacing w:after="0"/>
              <w:rPr>
                <w:sz w:val="1"/>
                <w:szCs w:val="1"/>
                <w:color w:val="auto"/>
              </w:rPr>
            </w:pPr>
          </w:p>
        </w:tc>
      </w:tr>
      <w:tr>
        <w:trPr>
          <w:trHeight w:val="203"/>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Transfers out of Level 3</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(2,184,565)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(2,184,565)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(4,369,130)</w:t>
            </w:r>
          </w:p>
        </w:tc>
        <w:tc>
          <w:tcPr>
            <w:tcW w:w="0" w:type="dxa"/>
            <w:vAlign w:val="bottom"/>
          </w:tcPr>
          <w:p>
            <w:pPr>
              <w:spacing w:after="0"/>
              <w:rPr>
                <w:sz w:val="1"/>
                <w:szCs w:val="1"/>
                <w:color w:val="auto"/>
              </w:rPr>
            </w:pPr>
          </w:p>
        </w:tc>
      </w:tr>
      <w:tr>
        <w:trPr>
          <w:trHeight w:val="203"/>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Purchases, capitalized fees and interest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18,177</w:t>
            </w:r>
          </w:p>
        </w:tc>
        <w:tc>
          <w:tcPr>
            <w:tcW w:w="0" w:type="dxa"/>
            <w:vAlign w:val="bottom"/>
          </w:tcPr>
          <w:p>
            <w:pPr>
              <w:spacing w:after="0"/>
              <w:rPr>
                <w:sz w:val="1"/>
                <w:szCs w:val="1"/>
                <w:color w:val="auto"/>
              </w:rPr>
            </w:pPr>
          </w:p>
        </w:tc>
      </w:tr>
      <w:tr>
        <w:trPr>
          <w:trHeight w:val="203"/>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Realized losses</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(8,201,725)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(16,183,412)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(305,280)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(24,690,417)</w:t>
            </w:r>
          </w:p>
        </w:tc>
        <w:tc>
          <w:tcPr>
            <w:tcW w:w="0" w:type="dxa"/>
            <w:vAlign w:val="bottom"/>
          </w:tcPr>
          <w:p>
            <w:pPr>
              <w:spacing w:after="0"/>
              <w:rPr>
                <w:sz w:val="1"/>
                <w:szCs w:val="1"/>
                <w:color w:val="auto"/>
              </w:rPr>
            </w:pPr>
          </w:p>
        </w:tc>
      </w:tr>
      <w:tr>
        <w:trPr>
          <w:trHeight w:val="243"/>
        </w:trPr>
        <w:tc>
          <w:tcPr>
            <w:tcW w:w="31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Exercises, conversions and assignments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2,506,119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(2,506,119)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Amortization of fixed income security</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tcPr>
          <w:p>
            <w:pPr>
              <w:ind w:left="180"/>
              <w:spacing w:after="0"/>
              <w:rPr>
                <w:sz w:val="20"/>
                <w:szCs w:val="20"/>
                <w:color w:val="auto"/>
              </w:rPr>
            </w:pPr>
            <w:r>
              <w:rPr>
                <w:rFonts w:ascii="Arial" w:cs="Arial" w:eastAsia="Arial" w:hAnsi="Arial"/>
                <w:sz w:val="16"/>
                <w:szCs w:val="16"/>
                <w:color w:val="auto"/>
              </w:rPr>
              <w:t>premiums and discounts</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32,796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32,796</w:t>
            </w:r>
          </w:p>
        </w:tc>
        <w:tc>
          <w:tcPr>
            <w:tcW w:w="0" w:type="dxa"/>
            <w:vAlign w:val="bottom"/>
          </w:tcPr>
          <w:p>
            <w:pPr>
              <w:spacing w:after="0"/>
              <w:rPr>
                <w:sz w:val="1"/>
                <w:szCs w:val="1"/>
                <w:color w:val="auto"/>
              </w:rPr>
            </w:pPr>
          </w:p>
        </w:tc>
      </w:tr>
      <w:tr>
        <w:trPr>
          <w:trHeight w:val="196"/>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change in unrealized appreciation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included in earnings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9,643,423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20,452,987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30,527,204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Fair Value as of March 31, 2017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84,837,662</w:t>
            </w:r>
          </w:p>
        </w:tc>
        <w:tc>
          <w:tcPr>
            <w:tcW w:w="180" w:type="dxa"/>
            <w:vAlign w:val="bottom"/>
            <w:gridSpan w:val="2"/>
          </w:tcPr>
          <w:p>
            <w:pPr>
              <w:ind w:left="100"/>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161,817,770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7,903,509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245,830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254,804,771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4"/>
              </w:rPr>
              <w:t>Net change in unrealized appreciation of Level</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 investments still held as of March 31,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2017</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1,441,698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4,264,227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30,588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5,831,439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-745490</wp:posOffset>
            </wp:positionV>
            <wp:extent cx="521398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420" w:right="539" w:hanging="27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three months ended March 31, 2017,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339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c>
          <w:tcPr>
            <w:tcW w:w="1980" w:type="dxa"/>
            <w:vAlign w:val="bottom"/>
          </w:tcPr>
          <w:p>
            <w:pPr>
              <w:spacing w:after="0"/>
              <w:rPr>
                <w:sz w:val="14"/>
                <w:szCs w:val="14"/>
                <w:color w:val="auto"/>
              </w:rPr>
            </w:pPr>
          </w:p>
        </w:tc>
      </w:tr>
      <w:tr>
        <w:trPr>
          <w:trHeight w:val="224"/>
        </w:trPr>
        <w:tc>
          <w:tcPr>
            <w:tcW w:w="1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w w:val="95"/>
              </w:rPr>
              <w:t>A Place for Rover Inc. (f/k/a DogVacay, Inc.)</w:t>
            </w:r>
          </w:p>
        </w:tc>
        <w:tc>
          <w:tcPr>
            <w:tcW w:w="16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Preferred shares, Series B-1</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980" w:type="dxa"/>
            <w:vAlign w:val="bottom"/>
          </w:tcPr>
          <w:p>
            <w:pPr>
              <w:spacing w:after="0"/>
              <w:rPr>
                <w:sz w:val="19"/>
                <w:szCs w:val="19"/>
                <w:color w:val="auto"/>
              </w:rPr>
            </w:pPr>
          </w:p>
        </w:tc>
      </w:tr>
      <w:tr>
        <w:trPr>
          <w:trHeight w:val="755"/>
        </w:trPr>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80" w:type="dxa"/>
            <w:vAlign w:val="bottom"/>
            <w:gridSpan w:val="2"/>
          </w:tcPr>
          <w:p>
            <w:pPr>
              <w:jc w:val="right"/>
              <w:ind w:right="1059"/>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3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values of Level 3 assets and liabilities changed during the year ended December 31,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1885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4"/>
                <w:szCs w:val="14"/>
                <w:b w:val="1"/>
                <w:bCs w:val="1"/>
                <w:color w:val="auto"/>
              </w:rPr>
              <w:t>Year ended December 31, 2016</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10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0"/>
                <w:szCs w:val="10"/>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102,319,140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8"/>
              </w:rPr>
              <w:t>$216,291,092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$ 4,175,859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469,306</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$323,255,397</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Transfers into Level 3</w:t>
            </w: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143,733</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143,733</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3,080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9,016,702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5,201,294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103,655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14,324,731</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Sales of investments</w:t>
            </w: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(3,509,238)</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(7,651,891)</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(574,380)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(11,735,509)</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(7,127,146)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4,430,221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(246,714)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(2,943,639)</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line="242" w:lineRule="exact"/>
              <w:rPr>
                <w:sz w:val="20"/>
                <w:szCs w:val="20"/>
                <w:color w:val="auto"/>
              </w:rPr>
            </w:pPr>
            <w:r>
              <w:rPr>
                <w:rFonts w:ascii="Arial" w:cs="Arial" w:eastAsia="Arial" w:hAnsi="Arial"/>
                <w:sz w:val="16"/>
                <w:szCs w:val="16"/>
                <w:color w:val="auto"/>
                <w:w w:val="99"/>
              </w:rPr>
              <w:t>Exercises, conversions and assignments</w:t>
            </w:r>
            <w:r>
              <w:rPr>
                <w:rFonts w:ascii="Arial" w:cs="Arial" w:eastAsia="Arial" w:hAnsi="Arial"/>
                <w:sz w:val="27"/>
                <w:szCs w:val="27"/>
                <w:color w:val="auto"/>
                <w:w w:val="99"/>
                <w:vertAlign w:val="superscript"/>
              </w:rPr>
              <w:t>(1)</w:t>
            </w:r>
          </w:p>
        </w:tc>
        <w:tc>
          <w:tcPr>
            <w:tcW w:w="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23,588,443</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(23,588,443)</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fixed income security</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and discounts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44,714</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Arial" w:cs="Arial" w:eastAsia="Arial" w:hAnsi="Arial"/>
                <w:sz w:val="16"/>
                <w:szCs w:val="16"/>
                <w:color w:val="auto"/>
              </w:rPr>
              <w:t>Net change in unrealized depreciation</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00"/>
              <w:spacing w:after="0"/>
              <w:rPr>
                <w:sz w:val="20"/>
                <w:szCs w:val="20"/>
                <w:color w:val="auto"/>
              </w:rPr>
            </w:pPr>
            <w:r>
              <w:rPr>
                <w:rFonts w:ascii="Arial" w:cs="Arial" w:eastAsia="Arial" w:hAnsi="Arial"/>
                <w:sz w:val="16"/>
                <w:szCs w:val="16"/>
                <w:color w:val="auto"/>
              </w:rPr>
              <w:t>included in earnings</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(32,343,602)</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(36,258,802)</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(1,025,539)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(175,343)</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(69,803,286)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83,074,410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162,238,879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$ 7,821,948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150,904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253,286,141</w:t>
            </w:r>
          </w:p>
        </w:tc>
        <w:tc>
          <w:tcPr>
            <w:tcW w:w="0" w:type="dxa"/>
            <w:vAlign w:val="bottom"/>
          </w:tcPr>
          <w:p>
            <w:pPr>
              <w:spacing w:after="0"/>
              <w:rPr>
                <w:sz w:val="1"/>
                <w:szCs w:val="1"/>
                <w:color w:val="auto"/>
              </w:rPr>
            </w:pPr>
          </w:p>
        </w:tc>
      </w:tr>
      <w:tr>
        <w:trPr>
          <w:trHeight w:val="186"/>
        </w:trPr>
        <w:tc>
          <w:tcPr>
            <w:tcW w:w="31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w w:val="94"/>
              </w:rPr>
              <w:t>Net change in unrealized depreciation of Level</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00"/>
              <w:spacing w:after="0"/>
              <w:rPr>
                <w:sz w:val="20"/>
                <w:szCs w:val="20"/>
                <w:color w:val="auto"/>
              </w:rPr>
            </w:pPr>
            <w:r>
              <w:rPr>
                <w:rFonts w:ascii="Arial" w:cs="Arial" w:eastAsia="Arial" w:hAnsi="Arial"/>
                <w:sz w:val="16"/>
                <w:szCs w:val="16"/>
                <w:color w:val="auto"/>
                <w:w w:val="95"/>
              </w:rPr>
              <w:t>3 investments still held as of December 31,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tcPr>
          <w:p>
            <w:pPr>
              <w:ind w:left="200"/>
              <w:spacing w:after="0"/>
              <w:rPr>
                <w:sz w:val="20"/>
                <w:szCs w:val="20"/>
                <w:color w:val="auto"/>
              </w:rPr>
            </w:pPr>
            <w:r>
              <w:rPr>
                <w:rFonts w:ascii="Arial" w:cs="Arial" w:eastAsia="Arial" w:hAnsi="Arial"/>
                <w:sz w:val="16"/>
                <w:szCs w:val="16"/>
                <w:color w:val="auto"/>
              </w:rPr>
              <w:t>2016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(39,307,692)</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w w:val="97"/>
              </w:rPr>
              <w:t>$ (40,126,793)</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$(1,025,539)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(195,637)</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w w:val="97"/>
              </w:rPr>
              <w:t>$ (80,655,661)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-415925</wp:posOffset>
            </wp:positionV>
            <wp:extent cx="5213985" cy="420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42037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00" w:right="89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year ended December 31, 2016,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6"/>
        </w:trPr>
        <w:tc>
          <w:tcPr>
            <w:tcW w:w="3000" w:type="dxa"/>
            <w:vAlign w:val="bottom"/>
          </w:tcPr>
          <w:p>
            <w:pPr>
              <w:ind w:left="20"/>
              <w:spacing w:after="0"/>
              <w:rPr>
                <w:sz w:val="20"/>
                <w:szCs w:val="20"/>
                <w:color w:val="auto"/>
              </w:rPr>
            </w:pPr>
            <w:r>
              <w:rPr>
                <w:rFonts w:ascii="Arial" w:cs="Arial" w:eastAsia="Arial" w:hAnsi="Arial"/>
                <w:sz w:val="16"/>
                <w:szCs w:val="16"/>
                <w:color w:val="auto"/>
                <w:w w:val="96"/>
              </w:rPr>
              <w:t>4C Insights (f/k/a The Echo Systems Corp.)</w:t>
            </w:r>
          </w:p>
        </w:tc>
        <w:tc>
          <w:tcPr>
            <w:tcW w:w="1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Preferred shares, Series A</w:t>
            </w: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PayNearMe,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Preferred shares, Series E</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7"/>
              </w:rPr>
              <w:t>Preferred shares, Series C</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Preferred shares, Series D</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3"/>
              </w:rPr>
              <w:t>Convertible Promissory</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3"/>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Note 10% Due 3/2/2016</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3"/>
              </w:rPr>
              <w:t>Convertible Promissory</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6"/>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Note 10% Due 3/14/2017</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bl>
    <w:p>
      <w:pPr>
        <w:spacing w:after="0" w:line="100"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1199" w:firstLine="270"/>
        <w:spacing w:after="0" w:line="277" w:lineRule="auto"/>
        <w:rPr>
          <w:sz w:val="20"/>
          <w:szCs w:val="20"/>
          <w:color w:val="auto"/>
        </w:rPr>
      </w:pPr>
      <w:r>
        <w:rPr>
          <w:rFonts w:ascii="Arial" w:cs="Arial" w:eastAsia="Arial" w:hAnsi="Arial"/>
          <w:sz w:val="18"/>
          <w:szCs w:val="18"/>
          <w:color w:val="auto"/>
        </w:rPr>
        <w:t>No new shares of the Company’s common stock were issued during the three months ended March 31, 2017 and 2016, respectively.</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58" w:lineRule="exact"/>
        <w:rPr>
          <w:sz w:val="20"/>
          <w:szCs w:val="20"/>
          <w:color w:val="auto"/>
        </w:rPr>
      </w:pPr>
    </w:p>
    <w:p>
      <w:pPr>
        <w:ind w:left="60" w:right="579" w:firstLine="270"/>
        <w:spacing w:after="0" w:line="310" w:lineRule="auto"/>
        <w:rPr>
          <w:sz w:val="20"/>
          <w:szCs w:val="20"/>
          <w:color w:val="auto"/>
        </w:rPr>
      </w:pPr>
      <w:r>
        <w:rPr>
          <w:rFonts w:ascii="Arial" w:cs="Arial" w:eastAsia="Arial" w:hAnsi="Arial"/>
          <w:sz w:val="15"/>
          <w:szCs w:val="15"/>
          <w:color w:val="auto"/>
        </w:rPr>
        <w:t>The following information sets forth the computation of basic and diluted net increase/(decrease) in net assets resulting from operations per common share for the three months ended March 31, 2017 and 2016.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(Unaudited)</w:t>
            </w:r>
          </w:p>
        </w:tc>
      </w:tr>
      <w:tr>
        <w:trPr>
          <w:trHeight w:val="198"/>
        </w:trPr>
        <w:tc>
          <w:tcPr>
            <w:tcW w:w="6000" w:type="dxa"/>
            <w:vAlign w:val="bottom"/>
            <w:gridSpan w:val="3"/>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3"/>
              </w:rPr>
              <w:t>Net increase/(decrease) in net assets resulting from operations per share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3,782,886</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(24,949,064)</w:t>
            </w:r>
          </w:p>
        </w:tc>
      </w:tr>
      <w:tr>
        <w:trPr>
          <w:trHeight w:val="21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22,181,003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r>
      <w:tr>
        <w:trPr>
          <w:trHeight w:val="191"/>
        </w:trPr>
        <w:tc>
          <w:tcPr>
            <w:tcW w:w="6000" w:type="dxa"/>
            <w:vAlign w:val="bottom"/>
            <w:tcBorders>
              <w:top w:val="single" w:sz="8" w:color="CCEEFF"/>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3"/>
              </w:rPr>
              <w:t>Net increase/(decrease) in net assets resulting from operations per share –</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980" w:type="dxa"/>
            <w:vAlign w:val="bottom"/>
            <w:gridSpan w:val="2"/>
          </w:tcPr>
          <w:p>
            <w:pPr>
              <w:ind w:left="22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191"/>
        </w:trPr>
        <w:tc>
          <w:tcPr>
            <w:tcW w:w="600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3"/>
              </w:rPr>
              <w:t>Net increase/(decrease) in net assets resulting from operations per share –</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60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increase/(decrease) in net assets resulting from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3,782,886</w:t>
            </w:r>
          </w:p>
        </w:tc>
        <w:tc>
          <w:tcPr>
            <w:tcW w:w="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(24,949,064)</w:t>
            </w:r>
          </w:p>
        </w:tc>
      </w:tr>
      <w:tr>
        <w:trPr>
          <w:trHeight w:val="202"/>
        </w:trPr>
        <w:tc>
          <w:tcPr>
            <w:tcW w:w="60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Adjustments for interest on Convertible Senior Notes and deferred financing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000" w:type="dxa"/>
            <w:vAlign w:val="bottom"/>
            <w:gridSpan w:val="3"/>
          </w:tcPr>
          <w:p>
            <w:pPr>
              <w:ind w:left="20"/>
              <w:spacing w:after="0"/>
              <w:rPr>
                <w:sz w:val="20"/>
                <w:szCs w:val="20"/>
                <w:color w:val="auto"/>
              </w:rPr>
            </w:pPr>
            <w:r>
              <w:rPr>
                <w:rFonts w:ascii="Arial" w:cs="Arial" w:eastAsia="Arial" w:hAnsi="Arial"/>
                <w:sz w:val="18"/>
                <w:szCs w:val="18"/>
                <w:color w:val="auto"/>
                <w:w w:val="98"/>
              </w:rPr>
              <w:t>Net increase/(decrease) in net assets resulting from operations, as adjusted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3,782,886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(24,949,064)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22,181,003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r>
      <w:tr>
        <w:trPr>
          <w:trHeight w:val="257"/>
        </w:trPr>
        <w:tc>
          <w:tcPr>
            <w:tcW w:w="60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Adjustments for dilutive effect of Convertible Senior Notes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22,181,003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r>
      <w:tr>
        <w:trPr>
          <w:trHeight w:val="191"/>
        </w:trPr>
        <w:tc>
          <w:tcPr>
            <w:tcW w:w="6000" w:type="dxa"/>
            <w:vAlign w:val="bottom"/>
            <w:tcBorders>
              <w:top w:val="single" w:sz="8" w:color="CCEEFF"/>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3"/>
              </w:rPr>
              <w:t>Net increase/(decrease) in net assets resulting from operations per share –</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980" w:type="dxa"/>
            <w:vAlign w:val="bottom"/>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-2237740</wp:posOffset>
            </wp:positionV>
            <wp:extent cx="5213985" cy="29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213985"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317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ind w:left="300" w:right="839" w:hanging="272"/>
        <w:spacing w:after="0" w:line="312"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the three months ended March 31, 2017 and 2016, 5,751,815 and 5,710,212 potentially dilutive common shares, respectively, were excluded from the weighted-average common shares outstanding for diluted net increase/(decrease) in net assets resulting from operations per common share because the effect of these shares would have been anti-dilutive.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60" w:right="85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March 31, 2017 and December 31, 2016, the Company had not entered into any investment agreements that required it to make a future investment in a portfolio company.</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 – (continued)</w:t>
      </w:r>
    </w:p>
    <w:p>
      <w:pPr>
        <w:spacing w:after="0" w:line="121" w:lineRule="exact"/>
        <w:rPr>
          <w:sz w:val="20"/>
          <w:szCs w:val="20"/>
          <w:color w:val="auto"/>
        </w:rPr>
      </w:pPr>
    </w:p>
    <w:p>
      <w:pPr>
        <w:ind w:left="60" w:right="6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225"/>
        </w:trPr>
        <w:tc>
          <w:tcPr>
            <w:tcW w:w="5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1"/>
        </w:trPr>
        <w:tc>
          <w:tcPr>
            <w:tcW w:w="5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57"/>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Net investment income/(loss)</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(0.22)</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Realized loss</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(1.11)</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(0.27)</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Change in unrealized appreciation/(depreciation)</w:t>
            </w: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1.50</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(0.87)</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(10.93)%</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(15.28)%</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1.96%</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(9.27)%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22,181,003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22,181,003</w:t>
            </w:r>
          </w:p>
        </w:tc>
        <w:tc>
          <w:tcPr>
            <w:tcW w:w="0" w:type="dxa"/>
            <w:vAlign w:val="bottom"/>
          </w:tcPr>
          <w:p>
            <w:pPr>
              <w:spacing w:after="0"/>
              <w:rPr>
                <w:sz w:val="1"/>
                <w:szCs w:val="1"/>
                <w:color w:val="auto"/>
              </w:rPr>
            </w:pPr>
          </w:p>
        </w:tc>
      </w:tr>
      <w:tr>
        <w:trPr>
          <w:trHeight w:val="216"/>
        </w:trPr>
        <w:tc>
          <w:tcPr>
            <w:tcW w:w="522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195,911,696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243,061,881</w:t>
            </w:r>
          </w:p>
        </w:tc>
        <w:tc>
          <w:tcPr>
            <w:tcW w:w="0" w:type="dxa"/>
            <w:vAlign w:val="bottom"/>
          </w:tcPr>
          <w:p>
            <w:pPr>
              <w:spacing w:after="0"/>
              <w:rPr>
                <w:sz w:val="1"/>
                <w:szCs w:val="1"/>
                <w:color w:val="auto"/>
              </w:rPr>
            </w:pPr>
          </w:p>
        </w:tc>
      </w:tr>
      <w:tr>
        <w:trPr>
          <w:trHeight w:val="216"/>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191,439,679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275,907,870</w:t>
            </w:r>
          </w:p>
        </w:tc>
        <w:tc>
          <w:tcPr>
            <w:tcW w:w="0" w:type="dxa"/>
            <w:vAlign w:val="bottom"/>
          </w:tcPr>
          <w:p>
            <w:pPr>
              <w:spacing w:after="0"/>
              <w:rPr>
                <w:sz w:val="1"/>
                <w:szCs w:val="1"/>
                <w:color w:val="auto"/>
              </w:rPr>
            </w:pPr>
          </w:p>
        </w:tc>
      </w:tr>
      <w:tr>
        <w:trPr>
          <w:trHeight w:val="176"/>
        </w:trPr>
        <w:tc>
          <w:tcPr>
            <w:tcW w:w="52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Annualized Ratios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-1989455</wp:posOffset>
            </wp:positionV>
            <wp:extent cx="521398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-480060</wp:posOffset>
            </wp:positionV>
            <wp:extent cx="521398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hanging="27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period.</w:t>
      </w:r>
    </w:p>
    <w:p>
      <w:pPr>
        <w:spacing w:after="0" w:line="117" w:lineRule="exact"/>
        <w:rPr>
          <w:rFonts w:ascii="Arial" w:cs="Arial" w:eastAsia="Arial" w:hAnsi="Arial"/>
          <w:sz w:val="18"/>
          <w:szCs w:val="18"/>
          <w:color w:val="auto"/>
        </w:rPr>
      </w:pPr>
    </w:p>
    <w:p>
      <w:pPr>
        <w:ind w:left="300" w:right="879" w:hanging="272"/>
        <w:spacing w:after="0" w:line="264"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jc w:val="both"/>
        <w:ind w:left="300" w:right="719" w:hanging="272"/>
        <w:spacing w:after="0" w:line="327" w:lineRule="auto"/>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months ended March 31, 2017 and 2016, the Company did not incur any non-recurring expenses.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w:t>
      </w:r>
    </w:p>
    <w:p>
      <w:pPr>
        <w:spacing w:after="0" w:line="59"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(i.e.,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70"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 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74"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As of both March 31, 2017 and December 31, 3016, the Company recorded a deferred tax liability of approximately $10.4 million, of which approximately $10.2 million has been recorded in the event that such gains are recognized by December 31, 2018, and approximately $0.2 million relates to the difference in the book and tax basis of certain equity investments and tax net operating losses held by the GSVC Holdings.</w:t>
      </w:r>
    </w:p>
    <w:p>
      <w:pPr>
        <w:spacing w:after="0" w:line="79"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2013 – 2016 and 2012 – 2016, respectively.</w:t>
      </w:r>
    </w:p>
    <w:p>
      <w:pPr>
        <w:spacing w:after="0" w:line="62"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March 31, 2017, there were no interest or penalties incurred related to uncertain tax positions.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LONG-TERM LIABILITIES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Convertible Senior Notes Payable</w:t>
      </w:r>
    </w:p>
    <w:p>
      <w:pPr>
        <w:spacing w:after="0" w:line="121" w:lineRule="exact"/>
        <w:rPr>
          <w:sz w:val="20"/>
          <w:szCs w:val="20"/>
          <w:color w:val="auto"/>
        </w:rPr>
      </w:pPr>
    </w:p>
    <w:p>
      <w:pPr>
        <w:ind w:left="60" w:right="659" w:firstLine="270"/>
        <w:spacing w:after="0" w:line="291" w:lineRule="auto"/>
        <w:rPr>
          <w:sz w:val="20"/>
          <w:szCs w:val="20"/>
          <w:color w:val="auto"/>
        </w:rPr>
      </w:pPr>
      <w:r>
        <w:rPr>
          <w:rFonts w:ascii="Arial" w:cs="Arial" w:eastAsia="Arial" w:hAnsi="Arial"/>
          <w:sz w:val="16"/>
          <w:szCs w:val="16"/>
          <w:color w:val="auto"/>
        </w:rPr>
        <w:t>On September 17, 2013, the Company issued $69 million aggregate principal amount of Convertible Senior Notes, which bear interest at a fixed rate of 5.25% per year, payable semi-annually in arrears on March 15 and September 15 of each year, commencing on March 15, 2014 (the “Convertible Senior Notes”). The Convertible Senior Notes mature on September 15, 2018, unless previously repurchased or converted in accordance with their terms. The Company does not have the right to redeem the Convertible Senior Notes prior to maturity. The Convertible Senior Notes are convertible into shares of the Company’s common stock based on a conversion rate of 83.3596 shares of the Company’s common stock per $1,000 of principal amount of the Convertible Senior Notes, which is equivalent to a conversion price of approximately $12.00 per share of common stock.</w:t>
      </w:r>
    </w:p>
    <w:p>
      <w:pPr>
        <w:spacing w:after="0" w:line="59"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Convertible Senior Notes to the balance shown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960" w:type="dxa"/>
            <w:vAlign w:val="bottom"/>
          </w:tcPr>
          <w:p>
            <w:pPr>
              <w:spacing w:after="0"/>
              <w:rPr>
                <w:sz w:val="14"/>
                <w:szCs w:val="14"/>
                <w:color w:val="auto"/>
              </w:rPr>
            </w:pPr>
          </w:p>
        </w:tc>
        <w:tc>
          <w:tcPr>
            <w:tcW w:w="920" w:type="dxa"/>
            <w:vAlign w:val="bottom"/>
          </w:tcPr>
          <w:p>
            <w:pPr>
              <w:jc w:val="center"/>
              <w:ind w:left="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11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r>
      <w:tr>
        <w:trPr>
          <w:trHeight w:val="195"/>
        </w:trPr>
        <w:tc>
          <w:tcPr>
            <w:tcW w:w="5960" w:type="dxa"/>
            <w:vAlign w:val="bottom"/>
          </w:tcPr>
          <w:p>
            <w:pPr>
              <w:spacing w:after="0"/>
              <w:rPr>
                <w:sz w:val="16"/>
                <w:szCs w:val="16"/>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$69,000,000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$ 69,000,000</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embedded derivative discount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(224,885)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(261,099)</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(1,059,242)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(1,226,103)</w:t>
            </w:r>
          </w:p>
        </w:tc>
      </w:tr>
      <w:tr>
        <w:trPr>
          <w:trHeight w:val="20"/>
        </w:trPr>
        <w:tc>
          <w:tcPr>
            <w:tcW w:w="5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67,715,873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$ 67,512,798</w:t>
            </w:r>
          </w:p>
        </w:tc>
      </w:tr>
      <w:tr>
        <w:trPr>
          <w:trHeight w:val="20"/>
        </w:trPr>
        <w:tc>
          <w:tcPr>
            <w:tcW w:w="59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As of March 31, 2017 and December 31, 2016,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to any future secured indebtedness to the extent of the value of the assets securing such indebtedness, and structurally junior to all future indebtedness (including trade payables) incurred by the Company’s subsidiaries.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Embedded Derivative</w:t>
      </w:r>
    </w:p>
    <w:p>
      <w:pPr>
        <w:spacing w:after="0" w:line="121"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Convertible Senior Notes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notes being converted, the cash proceeds from the sale by the escrow agent of the portion of the U.S. Treasury Strips in the escrow account that were remaining with respect to any of the first six interest payments that had not been made on the notes being converted. Under FASB ASC 815-10-15-74(a), the interest make-whole payment was considered an embedded derivative and was separated from the host</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LONG-TERM LIABILITIES – (continued)</w:t>
      </w:r>
    </w:p>
    <w:p>
      <w:pPr>
        <w:spacing w:after="0" w:line="121"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contract, the Convertible Senior Notes, and carried at fair value. The interest make-whole payment provision expired on September 15, 2016 rendering the embedded derivative with no value, however the original value of the embedded derivative of $700,000 continues to be amortized over the life of the Convertible Senior Notes.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21" w:lineRule="exact"/>
        <w:rPr>
          <w:sz w:val="20"/>
          <w:szCs w:val="20"/>
          <w:color w:val="auto"/>
        </w:rPr>
      </w:pPr>
    </w:p>
    <w:p>
      <w:pPr>
        <w:jc w:val="both"/>
        <w:ind w:left="40" w:right="559" w:firstLine="270"/>
        <w:spacing w:after="0" w:line="302" w:lineRule="auto"/>
        <w:rPr>
          <w:sz w:val="20"/>
          <w:szCs w:val="20"/>
          <w:color w:val="auto"/>
        </w:rPr>
      </w:pPr>
      <w:r>
        <w:rPr>
          <w:rFonts w:ascii="Arial" w:cs="Arial" w:eastAsia="Arial" w:hAnsi="Arial"/>
          <w:sz w:val="16"/>
          <w:szCs w:val="16"/>
          <w:color w:val="auto"/>
        </w:rPr>
        <w:t>The Company entered into a Loan and Security Agreement, effective December 31, 2013 (the “Loan Agreement”), with Silicon Valley Bank, pursuant to which Silicon Valley Bank agreed to provide the Company with an $18 million credit facility (the “Credit Facility”). The Credit Facility expired on December 31, 2016 in accordance with its terms. Under the Credit Facility, the Company was permitted to borrow an amount equal to the lesser of $18 million or 20% of the Company’s then-current net asset value.</w:t>
      </w:r>
    </w:p>
    <w:p>
      <w:pPr>
        <w:spacing w:after="0" w:line="46"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The Credit Facility bore interest at a per annum rate equal to the greater of (i) the prime rate plus 4.75% or (ii) 8.0% on amounts drawn under the Credit Facility based on a 360-day year. In addition, a fee of $180,000 per annum (1.0% of the $18 million revolving line of credit) was charged under the Loan Agreement. Under the terms of the Credit Facility, the Company was required to repay all outstanding borrowings on the Credit Facility so that there is at least one 30-day period every 12 months during which the Company has no balance outstanding. The Company made certain customary representations and warranties under the Loan Agreement and was required to comply with various covenants, reporting requirements, and other customary requirements for similar credit facilities. The Loan Agreement included usual and customary events of default for credit facilities of a similar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The Credit Facility was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Borrowing under the Credit Facility was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 For the three months ended March 31, 2016, the Company had no borrowings outstanding under the Credit Facility.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March 31, 2017 through May 10, 2017, the Company did not purchase or sell any investments.</w:t>
      </w:r>
    </w:p>
    <w:p>
      <w:pPr>
        <w:spacing w:after="0" w:line="117"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SUPPLEMENTAL FINANCIAL DATA</w:t>
      </w:r>
    </w:p>
    <w:p>
      <w:pPr>
        <w:spacing w:after="0" w:line="121" w:lineRule="exact"/>
        <w:rPr>
          <w:sz w:val="20"/>
          <w:szCs w:val="20"/>
          <w:color w:val="auto"/>
        </w:rPr>
      </w:pPr>
    </w:p>
    <w:p>
      <w:pPr>
        <w:ind w:left="180" w:right="539" w:firstLine="270"/>
        <w:spacing w:after="0" w:line="276" w:lineRule="auto"/>
        <w:rPr>
          <w:sz w:val="20"/>
          <w:szCs w:val="20"/>
          <w:color w:val="auto"/>
        </w:rPr>
      </w:pPr>
      <w:r>
        <w:rPr>
          <w:rFonts w:ascii="Arial" w:cs="Arial" w:eastAsia="Arial" w:hAnsi="Arial"/>
          <w:sz w:val="17"/>
          <w:szCs w:val="17"/>
          <w:color w:val="auto"/>
        </w:rPr>
        <w:t>In accordance with the SEC’s Regulation S-X and GAAP, we are not permitted to consolidate any subsidiary or other entity that is not an investment company, including those in which we have a controlling interest. We had an unconsolidated subsidiary for the three months ended March 31, 2017, that met at least one of the significant conditions of the SEC’s Regulation S-X. Accordingly, pursuant to Regulation S-X, summarized, comparative financial information is presented below for our unconsolidated significant subsidiary for the three months ended March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6985</wp:posOffset>
            </wp:positionV>
            <wp:extent cx="5213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Statement Data for the Three Months Ended: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10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89"/>
              </w:rPr>
              <w:t>2016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6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$1,125,028</w:t>
            </w: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  863,646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1,101,751</w:t>
            </w:r>
          </w:p>
        </w:tc>
        <w:tc>
          <w:tcPr>
            <w:tcW w:w="11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811,938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(185,648)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(604,777)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net income including net income attributable to non-controlling interest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(185,648)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(604,777)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20" w:type="dxa"/>
            <w:vAlign w:val="bottom"/>
          </w:tcPr>
          <w:p>
            <w:pPr>
              <w:spacing w:after="0"/>
              <w:rPr>
                <w:sz w:val="24"/>
                <w:szCs w:val="24"/>
                <w:color w:val="auto"/>
              </w:rPr>
            </w:pPr>
          </w:p>
        </w:tc>
        <w:tc>
          <w:tcPr>
            <w:tcW w:w="6000" w:type="dxa"/>
            <w:vAlign w:val="bottom"/>
          </w:tcPr>
          <w:p>
            <w:pPr>
              <w:ind w:left="45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investment activities;</w:t>
      </w:r>
    </w:p>
    <w:p>
      <w:pPr>
        <w:spacing w:after="0" w:line="128" w:lineRule="exact"/>
        <w:rPr>
          <w:rFonts w:ascii="Arial" w:cs="Arial" w:eastAsia="Arial" w:hAnsi="Arial"/>
          <w:sz w:val="17"/>
          <w:szCs w:val="17"/>
          <w:color w:val="auto"/>
        </w:rPr>
      </w:pPr>
    </w:p>
    <w:p>
      <w:pPr>
        <w:ind w:left="600" w:right="9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this quarterly report on Form 10-Q and our annual report on Form 10-K, and in our filings with the SEC.</w:t>
      </w:r>
    </w:p>
    <w:p>
      <w:pPr>
        <w:spacing w:after="0" w:line="62"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this quarterly report on Form 10-Q and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64" w:lineRule="exact"/>
        <w:rPr>
          <w:sz w:val="20"/>
          <w:szCs w:val="20"/>
          <w:color w:val="auto"/>
        </w:rPr>
      </w:pPr>
    </w:p>
    <w:p>
      <w:pPr>
        <w:ind w:left="40" w:right="539" w:firstLine="270"/>
        <w:spacing w:after="0" w:line="312" w:lineRule="auto"/>
        <w:rPr>
          <w:sz w:val="20"/>
          <w:szCs w:val="20"/>
          <w:color w:val="auto"/>
        </w:rPr>
      </w:pPr>
      <w:r>
        <w:rPr>
          <w:rFonts w:ascii="Arial" w:cs="Arial" w:eastAsia="Arial" w:hAnsi="Arial"/>
          <w:sz w:val="16"/>
          <w:szCs w:val="16"/>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3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2017, of all of our portfolio investments, excluding U.S. Treasury Bills, was $270,654,707.</w:t>
      </w:r>
    </w:p>
    <w:p>
      <w:pPr>
        <w:spacing w:after="0" w:line="79" w:lineRule="exact"/>
        <w:rPr>
          <w:sz w:val="20"/>
          <w:szCs w:val="20"/>
          <w:color w:val="auto"/>
        </w:rPr>
      </w:pPr>
    </w:p>
    <w:p>
      <w:pPr>
        <w:jc w:val="both"/>
        <w:ind w:left="60" w:right="699" w:firstLine="270"/>
        <w:spacing w:after="0" w:line="264" w:lineRule="auto"/>
        <w:rPr>
          <w:sz w:val="20"/>
          <w:szCs w:val="20"/>
          <w:color w:val="auto"/>
        </w:rPr>
      </w:pPr>
      <w:r>
        <w:rPr>
          <w:rFonts w:ascii="Arial" w:cs="Arial" w:eastAsia="Arial" w:hAnsi="Arial"/>
          <w:sz w:val="18"/>
          <w:szCs w:val="18"/>
          <w:color w:val="auto"/>
        </w:rPr>
        <w:t>During the three months ended March 31, 2017, we did not purchase or close on any investments. We did, however, pay $280 in capitalized fees. The table below summarizes the portfolio investments we wrote-off during the three months ended March 31, 2017:</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Realized</w:t>
            </w:r>
          </w:p>
        </w:tc>
      </w:tr>
      <w:tr>
        <w:trPr>
          <w:trHeight w:val="202"/>
        </w:trPr>
        <w:tc>
          <w:tcPr>
            <w:tcW w:w="5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Net Proceeds</w:t>
            </w:r>
          </w:p>
        </w:tc>
        <w:tc>
          <w:tcPr>
            <w:tcW w:w="160" w:type="dxa"/>
            <w:vAlign w:val="bottom"/>
          </w:tcPr>
          <w:p>
            <w:pPr>
              <w:spacing w:after="0"/>
              <w:rPr>
                <w:sz w:val="17"/>
                <w:szCs w:val="17"/>
                <w:color w:val="auto"/>
              </w:rPr>
            </w:pPr>
          </w:p>
        </w:tc>
        <w:tc>
          <w:tcPr>
            <w:tcW w:w="108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4"/>
                <w:szCs w:val="14"/>
                <w:b w:val="1"/>
                <w:bCs w:val="1"/>
                <w:color w:val="auto"/>
                <w:w w:val="87"/>
              </w:rPr>
              <w:t>Gains/(Losses)</w:t>
            </w:r>
            <w:r>
              <w:rPr>
                <w:rFonts w:ascii="Arial" w:cs="Arial" w:eastAsia="Arial" w:hAnsi="Arial"/>
                <w:sz w:val="23"/>
                <w:szCs w:val="23"/>
                <w:b w:val="1"/>
                <w:bCs w:val="1"/>
                <w:color w:val="auto"/>
                <w:w w:val="87"/>
                <w:vertAlign w:val="superscript"/>
              </w:rPr>
              <w:t>(1)</w:t>
            </w:r>
          </w:p>
        </w:tc>
      </w:tr>
      <w:tr>
        <w:trPr>
          <w:trHeight w:val="210"/>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AliphCom, Inc. (d/b/a Jawbone)</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(793,152)</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AlwaysOn, Inc.</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(1,903,414)</w:t>
            </w: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Beamreach Solar, Inc. (f/k/a Solexel, Inc.)</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(14,272,840)</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Cricket Media (f/k/a ePals Corporation)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(2,448,959)</w:t>
            </w: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EarlyShares.com, Inc.</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(312,438)</w:t>
            </w: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Orchestra One, Inc. (f/k/a Learnist, Inc.)</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(4,959,614)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(24,690,417)</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Realized losses exclude any realized losses incurred on the maturity of our treasury 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portfolio investments we sold during the three months ended March 31, 2016:</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Realized</w:t>
            </w:r>
          </w:p>
        </w:tc>
      </w:tr>
      <w:tr>
        <w:trPr>
          <w:trHeight w:val="202"/>
        </w:trPr>
        <w:tc>
          <w:tcPr>
            <w:tcW w:w="5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7"/>
                <w:szCs w:val="17"/>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Net Proceeds</w:t>
            </w:r>
          </w:p>
        </w:tc>
        <w:tc>
          <w:tcPr>
            <w:tcW w:w="160" w:type="dxa"/>
            <w:vAlign w:val="bottom"/>
          </w:tcPr>
          <w:p>
            <w:pPr>
              <w:spacing w:after="0"/>
              <w:rPr>
                <w:sz w:val="17"/>
                <w:szCs w:val="17"/>
                <w:color w:val="auto"/>
              </w:rPr>
            </w:pPr>
          </w:p>
        </w:tc>
        <w:tc>
          <w:tcPr>
            <w:tcW w:w="108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4"/>
                <w:szCs w:val="14"/>
                <w:b w:val="1"/>
                <w:bCs w:val="1"/>
                <w:color w:val="auto"/>
                <w:w w:val="87"/>
              </w:rPr>
              <w:t>Gains/(Losses)</w:t>
            </w:r>
            <w:r>
              <w:rPr>
                <w:rFonts w:ascii="Arial" w:cs="Arial" w:eastAsia="Arial" w:hAnsi="Arial"/>
                <w:sz w:val="23"/>
                <w:szCs w:val="23"/>
                <w:b w:val="1"/>
                <w:bCs w:val="1"/>
                <w:color w:val="auto"/>
                <w:w w:val="87"/>
                <w:vertAlign w:val="superscript"/>
              </w:rPr>
              <w:t>(1)</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Bloom Energy 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2,973,437</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(882,162)</w:t>
            </w:r>
          </w:p>
        </w:tc>
      </w:tr>
      <w:tr>
        <w:trPr>
          <w:trHeight w:val="257"/>
        </w:trPr>
        <w:tc>
          <w:tcPr>
            <w:tcW w:w="58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Gilt Groupe Holdings, Inc.</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427,270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(6,167,164)</w:t>
            </w:r>
          </w:p>
        </w:tc>
      </w:tr>
      <w:tr>
        <w:trPr>
          <w:trHeight w:val="216"/>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1,638,925</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974,224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Total Sales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5,039,632</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(6,075,102)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Realized gains/(losses) exclude any realized gains/(losses) incurred on the maturity of our treasury investments.</w:t>
      </w:r>
    </w:p>
    <w:p>
      <w:pPr>
        <w:spacing w:after="0" w:line="117" w:lineRule="exact"/>
        <w:rPr>
          <w:rFonts w:ascii="Arial" w:cs="Arial" w:eastAsia="Arial" w:hAnsi="Arial"/>
          <w:sz w:val="18"/>
          <w:szCs w:val="18"/>
          <w:color w:val="auto"/>
        </w:rPr>
      </w:pPr>
    </w:p>
    <w:p>
      <w:pPr>
        <w:ind w:left="300" w:right="1019" w:hanging="27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2016, Gilt Groupe Holdings, Inc. sold for $250 million to Hudson’s Bay Co., the parent company of Saks Fifth Avenue.</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For the three months ended March 31, 2017 and 2016</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months ended March 31,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Per Basic</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Per Basic</w:t>
            </w:r>
          </w:p>
        </w:tc>
        <w:tc>
          <w:tcPr>
            <w:tcW w:w="0" w:type="dxa"/>
            <w:vAlign w:val="bottom"/>
          </w:tcPr>
          <w:p>
            <w:pPr>
              <w:spacing w:after="0"/>
              <w:rPr>
                <w:sz w:val="1"/>
                <w:szCs w:val="1"/>
                <w:color w:val="auto"/>
              </w:rPr>
            </w:pPr>
          </w:p>
        </w:tc>
      </w:tr>
      <w:tr>
        <w:trPr>
          <w:trHeight w:val="202"/>
        </w:trPr>
        <w:tc>
          <w:tcPr>
            <w:tcW w:w="4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4"/>
                <w:szCs w:val="14"/>
                <w:b w:val="1"/>
                <w:bCs w:val="1"/>
                <w:color w:val="auto"/>
                <w:w w:val="90"/>
              </w:rPr>
              <w:t>Share</w:t>
            </w:r>
            <w:r>
              <w:rPr>
                <w:rFonts w:ascii="Arial" w:cs="Arial" w:eastAsia="Arial" w:hAnsi="Arial"/>
                <w:sz w:val="23"/>
                <w:szCs w:val="23"/>
                <w:b w:val="1"/>
                <w:bCs w:val="1"/>
                <w:color w:val="auto"/>
                <w:w w:val="90"/>
                <w:vertAlign w:val="superscript"/>
              </w:rPr>
              <w:t>(1)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840" w:type="dxa"/>
            <w:vAlign w:val="bottom"/>
            <w:tcBorders>
              <w:bottom w:val="single" w:sz="8" w:color="auto"/>
            </w:tcBorders>
          </w:tcPr>
          <w:p>
            <w:pPr>
              <w:jc w:val="right"/>
              <w:ind w:right="82"/>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42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338,459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102,652</w:t>
            </w:r>
          </w:p>
        </w:tc>
        <w:tc>
          <w:tcPr>
            <w:tcW w:w="60" w:type="dxa"/>
            <w:vAlign w:val="bottom"/>
          </w:tcPr>
          <w:p>
            <w:pPr>
              <w:spacing w:after="0"/>
              <w:rPr>
                <w:sz w:val="18"/>
                <w:szCs w:val="18"/>
                <w:color w:val="auto"/>
              </w:rPr>
            </w:pPr>
          </w:p>
        </w:tc>
        <w:tc>
          <w:tcPr>
            <w:tcW w:w="840" w:type="dxa"/>
            <w:vAlign w:val="bottom"/>
          </w:tcPr>
          <w:p>
            <w:pPr>
              <w:jc w:val="right"/>
              <w:ind w:right="10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163,459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97,367</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5,285</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5,146,671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(444,355)</w:t>
            </w:r>
          </w:p>
        </w:tc>
        <w:tc>
          <w:tcPr>
            <w:tcW w:w="9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1,272,618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1,958,000</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fees/(reversal of 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1,717,308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(5,118,584)</w:t>
            </w:r>
          </w:p>
        </w:tc>
        <w:tc>
          <w:tcPr>
            <w:tcW w:w="9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531,484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599,950</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82,917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86,250</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262,190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637,128</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1,126,773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1,183,163</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152,581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209,738</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Net investment income/(loss)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(4,808,212)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547,007</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(24,689,167)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(6,075,070)</w:t>
            </w:r>
          </w:p>
        </w:tc>
        <w:tc>
          <w:tcPr>
            <w:tcW w:w="9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Net change in unrealized appreciation/(depreciation) of</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w w:val="93"/>
              </w:rPr>
              <w:t>33,280,265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(19,421,001)</w:t>
            </w:r>
          </w:p>
        </w:tc>
        <w:tc>
          <w:tcPr>
            <w:tcW w:w="900" w:type="dxa"/>
            <w:vAlign w:val="bottom"/>
            <w:gridSpan w:val="2"/>
          </w:tcPr>
          <w:p>
            <w:pPr>
              <w:jc w:val="right"/>
              <w:ind w:right="42"/>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Net increase/(decrease) in net assets resulting from</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3,782,886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(24,949,064)</w:t>
            </w:r>
          </w:p>
        </w:tc>
        <w:tc>
          <w:tcPr>
            <w:tcW w:w="9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93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22,181,003 shares outstanding for each of the three months ended March 31, 2017 and 2016.</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0" w:right="779" w:firstLine="270"/>
        <w:spacing w:after="0" w:line="255" w:lineRule="auto"/>
        <w:rPr>
          <w:sz w:val="20"/>
          <w:szCs w:val="20"/>
          <w:color w:val="auto"/>
        </w:rPr>
      </w:pPr>
      <w:r>
        <w:rPr>
          <w:rFonts w:ascii="Arial" w:cs="Arial" w:eastAsia="Arial" w:hAnsi="Arial"/>
          <w:sz w:val="18"/>
          <w:szCs w:val="18"/>
          <w:color w:val="auto"/>
        </w:rPr>
        <w:t>Investment income increased to $338,459 for the three months ended March 31, 2017, from $102,652 for the three months ended March 31, 2016. The increase was primarily due to increased dividend income and, to a lesser extent, increased interest income. The increase in dividend income resulted from a $175,000 dividend from our investment in SPBRX, Inc. (f/k/a GSV Sustainability Partners, Inc.). The increase in interest income resulted from our acquisition of additional interest-bearing debt investments during the three months ended March 31, 2017. As of March 31, 2017, the cost of our debt investments increased to $8,595,126 from $5,688,296 as of March 31, 2016, which allowed us to earn additional interest income on our portfolio investments.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 w:right="639" w:firstLine="270"/>
        <w:spacing w:after="0" w:line="270" w:lineRule="auto"/>
        <w:rPr>
          <w:sz w:val="20"/>
          <w:szCs w:val="20"/>
          <w:color w:val="auto"/>
        </w:rPr>
      </w:pPr>
      <w:r>
        <w:rPr>
          <w:rFonts w:ascii="Arial" w:cs="Arial" w:eastAsia="Arial" w:hAnsi="Arial"/>
          <w:sz w:val="17"/>
          <w:szCs w:val="17"/>
          <w:color w:val="auto"/>
        </w:rPr>
        <w:t>Total operating expenses increased to $5,146,671 for the three months ended March 31, 2017, from $(444,355) for the three months ended March 31, 2016. Total operating expenses increased during the three months ended March 31, 2017, as compared to the three months ended March 31, 2016, primarily due to fact that we had a reversal of accrued incentive fees for the three months ended March 31, 2016, whereas we accrued incentive fees during the three months ended March 31, 2017. We accrued incentive fees during the three months ended March 31, 2017 as a result of the unrealized appreciation of our portfolio investments in the aggregate during the period. The increase in total operating expenses caused by the accrual of incentive fees during the three months ended March 31, 2017, as discussed above, was partially offset by lower management fees period over period, resulting from lower average gross assets outstanding, as well as a decrease in professional fees period over period, which includes legal, valuation, audit and consulting fees.</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Income/Loss</w:t>
      </w:r>
    </w:p>
    <w:p>
      <w:pPr>
        <w:spacing w:after="0" w:line="117" w:lineRule="exact"/>
        <w:rPr>
          <w:sz w:val="20"/>
          <w:szCs w:val="20"/>
          <w:color w:val="auto"/>
        </w:rPr>
      </w:pPr>
    </w:p>
    <w:p>
      <w:pPr>
        <w:ind w:left="60" w:right="819" w:firstLine="270"/>
        <w:spacing w:after="0" w:line="259" w:lineRule="auto"/>
        <w:rPr>
          <w:sz w:val="20"/>
          <w:szCs w:val="20"/>
          <w:color w:val="auto"/>
        </w:rPr>
      </w:pPr>
      <w:r>
        <w:rPr>
          <w:rFonts w:ascii="Arial" w:cs="Arial" w:eastAsia="Arial" w:hAnsi="Arial"/>
          <w:sz w:val="18"/>
          <w:szCs w:val="18"/>
          <w:color w:val="auto"/>
        </w:rPr>
        <w:t>For the three months ended March 31, 2017, we recognized net investment loss of $4,808,212, compared to net investment income of $547,007 for the three months ended March 31, 2016. The increase in net investment loss resulted primarily from the accrual of incentive fees during the three months ended March 31, 2017, as discussed above, partially offset by the increase in investment income.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117"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For the three months ended March 31, 2017, we recognized net realized losses of $24,689,167, compared to net realized losses of $6,075,070 for the three months ended March 31, 2016. The components of our net realized losses on portfolio investments, excluding treasury investments, are reflected above, under “— Overview — Investments — (Portfolio Activity).”</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For the three months ended March 31, 2017, we had a net change in unrealized appreciation of $33,280,265. For the three months ended March 31, 2016, we had a net change in unrealized depreciation of $19,421,001. The following tables summarize, by portfolio company, the significant changes in unrealized appreciation/(depreciation) of our investment portfolio for each of the three months ended March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0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90"/>
              </w:rPr>
              <w:t>March 31, 2017</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3"/>
                <w:szCs w:val="13"/>
                <w:b w:val="1"/>
                <w:bCs w:val="1"/>
                <w:color w:val="auto"/>
                <w:w w:val="88"/>
              </w:rPr>
              <w:t>December 31, 2016</w:t>
            </w: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8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5"/>
              </w:rPr>
              <w:t>Unrealized</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0" w:type="dxa"/>
            <w:vAlign w:val="bottom"/>
          </w:tcPr>
          <w:p>
            <w:pPr>
              <w:spacing w:after="0"/>
              <w:rPr>
                <w:sz w:val="1"/>
                <w:szCs w:val="1"/>
                <w:color w:val="auto"/>
              </w:rPr>
            </w:pPr>
          </w:p>
        </w:tc>
      </w:tr>
      <w:tr>
        <w:trPr>
          <w:trHeight w:val="153"/>
        </w:trPr>
        <w:tc>
          <w:tcPr>
            <w:tcW w:w="1800" w:type="dxa"/>
            <w:vAlign w:val="bottom"/>
          </w:tcPr>
          <w:p>
            <w:pPr>
              <w:ind w:left="20"/>
              <w:spacing w:after="0"/>
              <w:rPr>
                <w:sz w:val="20"/>
                <w:szCs w:val="20"/>
                <w:color w:val="auto"/>
              </w:rPr>
            </w:pPr>
            <w:r>
              <w:rPr>
                <w:rFonts w:ascii="Arial" w:cs="Arial" w:eastAsia="Arial" w:hAnsi="Arial"/>
                <w:sz w:val="13"/>
                <w:szCs w:val="13"/>
                <w:b w:val="1"/>
                <w:bCs w:val="1"/>
                <w:color w:val="auto"/>
              </w:rPr>
              <w:t>Portfolio Company</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(Depreciation)</w:t>
            </w:r>
          </w:p>
        </w:tc>
        <w:tc>
          <w:tcPr>
            <w:tcW w:w="100" w:type="dxa"/>
            <w:vAlign w:val="bottom"/>
          </w:tcPr>
          <w:p>
            <w:pPr>
              <w:spacing w:after="0"/>
              <w:rPr>
                <w:sz w:val="13"/>
                <w:szCs w:val="13"/>
                <w:color w:val="auto"/>
              </w:rPr>
            </w:pPr>
          </w:p>
        </w:tc>
        <w:tc>
          <w:tcPr>
            <w:tcW w:w="720" w:type="dxa"/>
            <w:vAlign w:val="bottom"/>
          </w:tcPr>
          <w:p>
            <w:pPr>
              <w:ind w:left="22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3"/>
                <w:szCs w:val="13"/>
                <w:b w:val="1"/>
                <w:bCs w:val="1"/>
                <w:color w:val="auto"/>
                <w:w w:val="96"/>
              </w:rPr>
              <w:t>Fair Value</w:t>
            </w:r>
          </w:p>
        </w:tc>
        <w:tc>
          <w:tcPr>
            <w:tcW w:w="1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0" w:type="dxa"/>
            <w:vAlign w:val="bottom"/>
          </w:tcPr>
          <w:p>
            <w:pPr>
              <w:spacing w:after="0"/>
              <w:rPr>
                <w:sz w:val="1"/>
                <w:szCs w:val="1"/>
                <w:color w:val="auto"/>
              </w:rPr>
            </w:pPr>
          </w:p>
        </w:tc>
      </w:tr>
      <w:tr>
        <w:trPr>
          <w:trHeight w:val="123"/>
        </w:trPr>
        <w:tc>
          <w:tcPr>
            <w:tcW w:w="180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rPr>
              <w:t>Beamreach Solar lnc. (f/k/a</w:t>
            </w: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200"/>
              <w:spacing w:after="0"/>
              <w:rPr>
                <w:sz w:val="20"/>
                <w:szCs w:val="20"/>
                <w:color w:val="auto"/>
              </w:rPr>
            </w:pPr>
            <w:r>
              <w:rPr>
                <w:rFonts w:ascii="Arial" w:cs="Arial" w:eastAsia="Arial" w:hAnsi="Arial"/>
                <w:sz w:val="14"/>
                <w:szCs w:val="14"/>
                <w:color w:val="auto"/>
              </w:rPr>
              <w:t>Solexel, Inc.)</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$14,272,843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14,272,843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 (14,272,843)</w:t>
            </w:r>
          </w:p>
        </w:tc>
        <w:tc>
          <w:tcPr>
            <w:tcW w:w="0" w:type="dxa"/>
            <w:vAlign w:val="bottom"/>
          </w:tcPr>
          <w:p>
            <w:pPr>
              <w:spacing w:after="0"/>
              <w:rPr>
                <w:sz w:val="1"/>
                <w:szCs w:val="1"/>
                <w:color w:val="auto"/>
              </w:rPr>
            </w:pPr>
          </w:p>
        </w:tc>
      </w:tr>
      <w:tr>
        <w:trPr>
          <w:trHeight w:val="130"/>
        </w:trPr>
        <w:tc>
          <w:tcPr>
            <w:tcW w:w="1800" w:type="dxa"/>
            <w:vAlign w:val="bottom"/>
            <w:tcBorders>
              <w:right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Orchestra One, Inc. (f/k/a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Learnist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4,959,614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4,959,614</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(4,959,614)</w:t>
            </w:r>
          </w:p>
        </w:tc>
        <w:tc>
          <w:tcPr>
            <w:tcW w:w="0" w:type="dxa"/>
            <w:vAlign w:val="bottom"/>
          </w:tcPr>
          <w:p>
            <w:pPr>
              <w:spacing w:after="0"/>
              <w:rPr>
                <w:sz w:val="1"/>
                <w:szCs w:val="1"/>
                <w:color w:val="auto"/>
              </w:rPr>
            </w:pPr>
          </w:p>
        </w:tc>
      </w:tr>
      <w:tr>
        <w:trPr>
          <w:trHeight w:val="149"/>
        </w:trPr>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Dropbox, Inc.</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3,871,834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17,062,318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3,405,392</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13,190,484</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(466,442)</w:t>
            </w:r>
          </w:p>
        </w:tc>
        <w:tc>
          <w:tcPr>
            <w:tcW w:w="0" w:type="dxa"/>
            <w:vAlign w:val="bottom"/>
          </w:tcPr>
          <w:p>
            <w:pPr>
              <w:spacing w:after="0"/>
              <w:rPr>
                <w:sz w:val="1"/>
                <w:szCs w:val="1"/>
                <w:color w:val="auto"/>
              </w:rPr>
            </w:pPr>
          </w:p>
        </w:tc>
      </w:tr>
      <w:tr>
        <w:trPr>
          <w:trHeight w:val="130"/>
        </w:trPr>
        <w:tc>
          <w:tcPr>
            <w:tcW w:w="1800" w:type="dxa"/>
            <w:vAlign w:val="bottom"/>
            <w:tcBorders>
              <w:right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Cricket Media (f/k/a ePals</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2,448,959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2,448,959</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(2,448,959)</w:t>
            </w:r>
          </w:p>
        </w:tc>
        <w:tc>
          <w:tcPr>
            <w:tcW w:w="0" w:type="dxa"/>
            <w:vAlign w:val="bottom"/>
          </w:tcPr>
          <w:p>
            <w:pPr>
              <w:spacing w:after="0"/>
              <w:rPr>
                <w:sz w:val="1"/>
                <w:szCs w:val="1"/>
                <w:color w:val="auto"/>
              </w:rPr>
            </w:pPr>
          </w:p>
        </w:tc>
      </w:tr>
      <w:tr>
        <w:trPr>
          <w:trHeight w:val="149"/>
        </w:trPr>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AlwaysOn Inc.</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1,903,414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1,903,414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(1,903,414)</w:t>
            </w:r>
          </w:p>
        </w:tc>
        <w:tc>
          <w:tcPr>
            <w:tcW w:w="0" w:type="dxa"/>
            <w:vAlign w:val="bottom"/>
          </w:tcPr>
          <w:p>
            <w:pPr>
              <w:spacing w:after="0"/>
              <w:rPr>
                <w:sz w:val="1"/>
                <w:szCs w:val="1"/>
                <w:color w:val="auto"/>
              </w:rPr>
            </w:pPr>
          </w:p>
        </w:tc>
      </w:tr>
      <w:tr>
        <w:trPr>
          <w:trHeight w:val="130"/>
        </w:trPr>
        <w:tc>
          <w:tcPr>
            <w:tcW w:w="1800" w:type="dxa"/>
            <w:vAlign w:val="bottom"/>
            <w:tcBorders>
              <w:right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NestGSV, Inc. (d/b/a GSV</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Labs,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1,825,524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9,649,163</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6,979,883</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(2,669,280)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9,601,555</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5,106,751</w:t>
            </w:r>
          </w:p>
        </w:tc>
        <w:tc>
          <w:tcPr>
            <w:tcW w:w="98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(4,494,804)</w:t>
            </w:r>
          </w:p>
        </w:tc>
        <w:tc>
          <w:tcPr>
            <w:tcW w:w="0" w:type="dxa"/>
            <w:vAlign w:val="bottom"/>
          </w:tcPr>
          <w:p>
            <w:pPr>
              <w:spacing w:after="0"/>
              <w:rPr>
                <w:sz w:val="1"/>
                <w:szCs w:val="1"/>
                <w:color w:val="auto"/>
              </w:rPr>
            </w:pPr>
          </w:p>
        </w:tc>
      </w:tr>
      <w:tr>
        <w:trPr>
          <w:trHeight w:val="149"/>
        </w:trPr>
        <w:tc>
          <w:tcPr>
            <w:tcW w:w="1800" w:type="dxa"/>
            <w:vAlign w:val="bottom"/>
          </w:tcPr>
          <w:p>
            <w:pPr>
              <w:ind w:left="20"/>
              <w:spacing w:after="0" w:line="149" w:lineRule="exact"/>
              <w:rPr>
                <w:sz w:val="20"/>
                <w:szCs w:val="20"/>
                <w:color w:val="auto"/>
              </w:rPr>
            </w:pPr>
            <w:r>
              <w:rPr>
                <w:rFonts w:ascii="Arial" w:cs="Arial" w:eastAsia="Arial" w:hAnsi="Arial"/>
                <w:sz w:val="14"/>
                <w:szCs w:val="14"/>
                <w:color w:val="auto"/>
                <w:w w:val="92"/>
              </w:rPr>
              <w:t>General Assembly Space, Inc.</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1,309,215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5,999,961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15,055,979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9,056,018</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5,999,961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13,746,764</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7,746,803</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Chegg, Inc.</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1,253,759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9,982,764</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(4,040,099)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8,729,005</w:t>
            </w:r>
          </w:p>
        </w:tc>
        <w:tc>
          <w:tcPr>
            <w:tcW w:w="98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(5,293,858)</w:t>
            </w:r>
          </w:p>
        </w:tc>
        <w:tc>
          <w:tcPr>
            <w:tcW w:w="0" w:type="dxa"/>
            <w:vAlign w:val="bottom"/>
          </w:tcPr>
          <w:p>
            <w:pPr>
              <w:spacing w:after="0"/>
              <w:rPr>
                <w:sz w:val="1"/>
                <w:szCs w:val="1"/>
                <w:color w:val="auto"/>
              </w:rPr>
            </w:pPr>
          </w:p>
        </w:tc>
      </w:tr>
      <w:tr>
        <w:trPr>
          <w:trHeight w:val="149"/>
        </w:trPr>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JAMF Holdings, Inc.</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1,033,181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9,999,928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14,889,935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4,890,007</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9,999,928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13,856,754</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3,856,826</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Palantir Technologies, Inc.</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(2,435,346)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17,198,903</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39,073,619</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21,874,716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17,198,903</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41,508,965</w:t>
            </w:r>
          </w:p>
        </w:tc>
        <w:tc>
          <w:tcPr>
            <w:tcW w:w="98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24,310,062</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2,837,268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243,597,086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227,607,209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(15,989,877)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214,702,058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195,874,913</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(18,827,145)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0" w:type="dxa"/>
            <w:vAlign w:val="bottom"/>
            <w:tcBorders>
              <w:right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Totals</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33,280,265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314,124,830</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330,651,707</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6"/>
              </w:rPr>
              <w:t>16,526,877</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308,767,024</w:t>
            </w:r>
          </w:p>
        </w:tc>
        <w:tc>
          <w:tcPr>
            <w:tcW w:w="20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292,013,636</w:t>
            </w:r>
          </w:p>
        </w:tc>
        <w:tc>
          <w:tcPr>
            <w:tcW w:w="980" w:type="dxa"/>
            <w:vAlign w:val="bottom"/>
            <w:tcBorders>
              <w:left w:val="single" w:sz="8" w:color="CCEEFF"/>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(16,753,388)</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11404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11404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-33655</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-8255</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-33655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2827655</wp:posOffset>
            </wp:positionH>
            <wp:positionV relativeFrom="paragraph">
              <wp:posOffset>-33655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2827655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-33655</wp:posOffset>
            </wp:positionV>
            <wp:extent cx="102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-8255</wp:posOffset>
            </wp:positionV>
            <wp:extent cx="102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-33655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-33655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-33655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-8255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214630</wp:posOffset>
            </wp:positionV>
            <wp:extent cx="59518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0"/>
              </w:rPr>
              <w:t>Change in Unrealized</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w w:val="97"/>
              </w:rPr>
              <w:t>March 31, 2016</w:t>
            </w: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88"/>
              </w:rPr>
              <w:t>December 31, 2015</w:t>
            </w: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rPr>
              <w:t>Unrealized</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53"/>
        </w:trPr>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0"/>
              </w:rPr>
              <w:t>Appreciation/(Depreciation)</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Cost</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9"/>
              </w:rPr>
              <w:t>Fair Value</w:t>
            </w: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89"/>
              </w:rPr>
              <w:t>Appreciation/(Depreciation)</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Cost</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6"/>
              </w:rPr>
              <w:t>Fair Value</w:t>
            </w: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87"/>
              </w:rPr>
              <w:t>Appreciation/(Depreciation)</w:t>
            </w:r>
          </w:p>
        </w:tc>
        <w:tc>
          <w:tcPr>
            <w:tcW w:w="0" w:type="dxa"/>
            <w:vAlign w:val="bottom"/>
          </w:tcPr>
          <w:p>
            <w:pPr>
              <w:spacing w:after="0"/>
              <w:rPr>
                <w:sz w:val="1"/>
                <w:szCs w:val="1"/>
                <w:color w:val="auto"/>
              </w:rPr>
            </w:pPr>
          </w:p>
        </w:tc>
      </w:tr>
      <w:tr>
        <w:trPr>
          <w:trHeight w:val="142"/>
        </w:trPr>
        <w:tc>
          <w:tcPr>
            <w:tcW w:w="18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Palantir Technologies, Inc.</w:t>
            </w:r>
          </w:p>
        </w:tc>
        <w:tc>
          <w:tcPr>
            <w:tcW w:w="1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(10,236,707)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
              <w:spacing w:after="0" w:line="142" w:lineRule="exact"/>
              <w:rPr>
                <w:sz w:val="20"/>
                <w:szCs w:val="20"/>
                <w:color w:val="auto"/>
              </w:rPr>
            </w:pPr>
            <w:r>
              <w:rPr>
                <w:rFonts w:ascii="Arial" w:cs="Arial" w:eastAsia="Arial" w:hAnsi="Arial"/>
                <w:sz w:val="14"/>
                <w:szCs w:val="14"/>
                <w:color w:val="auto"/>
                <w:w w:val="99"/>
              </w:rPr>
              <w:t>17,198,903</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9"/>
              <w:spacing w:after="0" w:line="142" w:lineRule="exact"/>
              <w:rPr>
                <w:sz w:val="20"/>
                <w:szCs w:val="20"/>
                <w:color w:val="auto"/>
              </w:rPr>
            </w:pPr>
            <w:r>
              <w:rPr>
                <w:rFonts w:ascii="Arial" w:cs="Arial" w:eastAsia="Arial" w:hAnsi="Arial"/>
                <w:sz w:val="14"/>
                <w:szCs w:val="14"/>
                <w:color w:val="auto"/>
              </w:rPr>
              <w:t>46,116,541</w:t>
            </w:r>
          </w:p>
        </w:tc>
        <w:tc>
          <w:tcPr>
            <w:tcW w:w="3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28,917,638</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17,198,903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
              <w:spacing w:after="0" w:line="142" w:lineRule="exact"/>
              <w:rPr>
                <w:sz w:val="20"/>
                <w:szCs w:val="20"/>
                <w:color w:val="auto"/>
              </w:rPr>
            </w:pPr>
            <w:r>
              <w:rPr>
                <w:rFonts w:ascii="Arial" w:cs="Arial" w:eastAsia="Arial" w:hAnsi="Arial"/>
                <w:sz w:val="14"/>
                <w:szCs w:val="14"/>
                <w:color w:val="auto"/>
                <w:w w:val="99"/>
              </w:rPr>
              <w:t>56,353,248</w:t>
            </w:r>
          </w:p>
        </w:tc>
        <w:tc>
          <w:tcPr>
            <w:tcW w:w="4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39,154,345</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Gilt Groupe Holdings, Inc.</w:t>
            </w:r>
          </w:p>
        </w:tc>
        <w:tc>
          <w:tcPr>
            <w:tcW w:w="120" w:type="dxa"/>
            <w:vAlign w:val="bottom"/>
            <w:shd w:val="clear" w:color="auto" w:fill="CCEEFF"/>
          </w:tcPr>
          <w:p>
            <w:pPr>
              <w:spacing w:after="0"/>
              <w:rPr>
                <w:sz w:val="12"/>
                <w:szCs w:val="12"/>
                <w:color w:val="auto"/>
              </w:rPr>
            </w:pPr>
          </w:p>
        </w:tc>
        <w:tc>
          <w:tcPr>
            <w:tcW w:w="14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6,055,046</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6,594,433</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539,387</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(6,055,046)</w:t>
            </w:r>
          </w:p>
        </w:tc>
        <w:tc>
          <w:tcPr>
            <w:tcW w:w="0" w:type="dxa"/>
            <w:vAlign w:val="bottom"/>
          </w:tcPr>
          <w:p>
            <w:pPr>
              <w:spacing w:after="0"/>
              <w:rPr>
                <w:sz w:val="1"/>
                <w:szCs w:val="1"/>
                <w:color w:val="auto"/>
              </w:rPr>
            </w:pPr>
          </w:p>
        </w:tc>
      </w:tr>
      <w:tr>
        <w:trPr>
          <w:trHeight w:val="149"/>
        </w:trPr>
        <w:tc>
          <w:tcPr>
            <w:tcW w:w="1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Stormwind, LLC</w:t>
            </w:r>
          </w:p>
        </w:tc>
        <w:tc>
          <w:tcPr>
            <w:tcW w:w="12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1,032,647</w:t>
            </w:r>
          </w:p>
        </w:tc>
        <w:tc>
          <w:tcPr>
            <w:tcW w:w="80" w:type="dxa"/>
            <w:vAlign w:val="bottom"/>
          </w:tcPr>
          <w:p>
            <w:pPr>
              <w:spacing w:after="0"/>
              <w:rPr>
                <w:sz w:val="12"/>
                <w:szCs w:val="12"/>
                <w:color w:val="auto"/>
              </w:rPr>
            </w:pP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rPr>
              <w:t>6,130,474</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10,783,593</w:t>
            </w:r>
          </w:p>
        </w:tc>
        <w:tc>
          <w:tcPr>
            <w:tcW w:w="3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4,653,119</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6,130,474</w:t>
            </w:r>
          </w:p>
        </w:tc>
        <w:tc>
          <w:tcPr>
            <w:tcW w:w="80" w:type="dxa"/>
            <w:vAlign w:val="bottom"/>
          </w:tcPr>
          <w:p>
            <w:pPr>
              <w:spacing w:after="0"/>
              <w:rPr>
                <w:sz w:val="12"/>
                <w:szCs w:val="12"/>
                <w:color w:val="auto"/>
              </w:rPr>
            </w:pP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rPr>
              <w:t>9,750,946</w:t>
            </w:r>
          </w:p>
        </w:tc>
        <w:tc>
          <w:tcPr>
            <w:tcW w:w="44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3,620,472</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120" w:type="dxa"/>
            <w:vAlign w:val="bottom"/>
            <w:shd w:val="clear" w:color="auto" w:fill="CCEEFF"/>
          </w:tcPr>
          <w:p>
            <w:pPr>
              <w:spacing w:after="0"/>
              <w:rPr>
                <w:sz w:val="12"/>
                <w:szCs w:val="12"/>
                <w:color w:val="auto"/>
              </w:rPr>
            </w:pPr>
          </w:p>
        </w:tc>
        <w:tc>
          <w:tcPr>
            <w:tcW w:w="14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(5,275,954)</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9"/>
              </w:rPr>
              <w:t>14,271,866</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13,249,930</w:t>
            </w:r>
          </w:p>
        </w:tc>
        <w:tc>
          <w:tcPr>
            <w:tcW w:w="3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(1,021,936)</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14,271,866</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9"/>
              </w:rPr>
              <w:t>18,525,884</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4,254,018</w:t>
            </w:r>
          </w:p>
        </w:tc>
        <w:tc>
          <w:tcPr>
            <w:tcW w:w="0" w:type="dxa"/>
            <w:vAlign w:val="bottom"/>
          </w:tcPr>
          <w:p>
            <w:pPr>
              <w:spacing w:after="0"/>
              <w:rPr>
                <w:sz w:val="1"/>
                <w:szCs w:val="1"/>
                <w:color w:val="auto"/>
              </w:rPr>
            </w:pPr>
          </w:p>
        </w:tc>
      </w:tr>
      <w:tr>
        <w:trPr>
          <w:trHeight w:val="149"/>
        </w:trPr>
        <w:tc>
          <w:tcPr>
            <w:tcW w:w="1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12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(3,047,448)</w:t>
            </w:r>
          </w:p>
        </w:tc>
        <w:tc>
          <w:tcPr>
            <w:tcW w:w="80" w:type="dxa"/>
            <w:vAlign w:val="bottom"/>
          </w:tcPr>
          <w:p>
            <w:pPr>
              <w:spacing w:after="0"/>
              <w:rPr>
                <w:sz w:val="12"/>
                <w:szCs w:val="12"/>
                <w:color w:val="auto"/>
              </w:rPr>
            </w:pP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w w:val="99"/>
              </w:rPr>
              <w:t>13,656,926</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19,184,740</w:t>
            </w:r>
          </w:p>
        </w:tc>
        <w:tc>
          <w:tcPr>
            <w:tcW w:w="3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5,527,814</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13,656,926</w:t>
            </w:r>
          </w:p>
        </w:tc>
        <w:tc>
          <w:tcPr>
            <w:tcW w:w="80" w:type="dxa"/>
            <w:vAlign w:val="bottom"/>
          </w:tcPr>
          <w:p>
            <w:pPr>
              <w:spacing w:after="0"/>
              <w:rPr>
                <w:sz w:val="12"/>
                <w:szCs w:val="12"/>
                <w:color w:val="auto"/>
              </w:rPr>
            </w:pP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w w:val="99"/>
              </w:rPr>
              <w:t>22,232,188</w:t>
            </w:r>
          </w:p>
        </w:tc>
        <w:tc>
          <w:tcPr>
            <w:tcW w:w="44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8,575,262</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Chegg, Inc.</w:t>
            </w:r>
          </w:p>
        </w:tc>
        <w:tc>
          <w:tcPr>
            <w:tcW w:w="120" w:type="dxa"/>
            <w:vAlign w:val="bottom"/>
            <w:shd w:val="clear" w:color="auto" w:fill="CCEEFF"/>
          </w:tcPr>
          <w:p>
            <w:pPr>
              <w:spacing w:after="0"/>
              <w:rPr>
                <w:sz w:val="12"/>
                <w:szCs w:val="12"/>
                <w:color w:val="auto"/>
              </w:rPr>
            </w:pPr>
          </w:p>
        </w:tc>
        <w:tc>
          <w:tcPr>
            <w:tcW w:w="14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(2,684,938)</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9"/>
              </w:rPr>
              <w:t>14,022,863</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5,275,252</w:t>
            </w:r>
          </w:p>
        </w:tc>
        <w:tc>
          <w:tcPr>
            <w:tcW w:w="3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(8,747,611)</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14,022,863</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7,960,190</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(6,062,673)</w:t>
            </w:r>
          </w:p>
        </w:tc>
        <w:tc>
          <w:tcPr>
            <w:tcW w:w="0" w:type="dxa"/>
            <w:vAlign w:val="bottom"/>
          </w:tcPr>
          <w:p>
            <w:pPr>
              <w:spacing w:after="0"/>
              <w:rPr>
                <w:sz w:val="1"/>
                <w:szCs w:val="1"/>
                <w:color w:val="auto"/>
              </w:rPr>
            </w:pPr>
          </w:p>
        </w:tc>
      </w:tr>
      <w:tr>
        <w:trPr>
          <w:trHeight w:val="149"/>
        </w:trPr>
        <w:tc>
          <w:tcPr>
            <w:tcW w:w="1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12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(2,607,255)</w:t>
            </w:r>
          </w:p>
        </w:tc>
        <w:tc>
          <w:tcPr>
            <w:tcW w:w="80" w:type="dxa"/>
            <w:vAlign w:val="bottom"/>
          </w:tcPr>
          <w:p>
            <w:pPr>
              <w:spacing w:after="0"/>
              <w:rPr>
                <w:sz w:val="12"/>
                <w:szCs w:val="12"/>
                <w:color w:val="auto"/>
              </w:rPr>
            </w:pP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8,781,134</w:t>
            </w:r>
          </w:p>
        </w:tc>
        <w:tc>
          <w:tcPr>
            <w:tcW w:w="3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5,616,869</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w w:val="99"/>
              </w:rPr>
              <w:t>11,388,389</w:t>
            </w:r>
          </w:p>
        </w:tc>
        <w:tc>
          <w:tcPr>
            <w:tcW w:w="44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8,224,124</w:t>
            </w:r>
          </w:p>
        </w:tc>
        <w:tc>
          <w:tcPr>
            <w:tcW w:w="0" w:type="dxa"/>
            <w:vAlign w:val="bottom"/>
          </w:tcPr>
          <w:p>
            <w:pPr>
              <w:spacing w:after="0"/>
              <w:rPr>
                <w:sz w:val="1"/>
                <w:szCs w:val="1"/>
                <w:color w:val="auto"/>
              </w:rPr>
            </w:pPr>
          </w:p>
        </w:tc>
      </w:tr>
      <w:tr>
        <w:trPr>
          <w:trHeight w:val="149"/>
        </w:trPr>
        <w:tc>
          <w:tcPr>
            <w:tcW w:w="180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120" w:type="dxa"/>
            <w:vAlign w:val="bottom"/>
            <w:shd w:val="clear" w:color="auto" w:fill="CCEEFF"/>
          </w:tcPr>
          <w:p>
            <w:pPr>
              <w:spacing w:after="0"/>
              <w:rPr>
                <w:sz w:val="12"/>
                <w:szCs w:val="12"/>
                <w:color w:val="auto"/>
              </w:rPr>
            </w:pPr>
          </w:p>
        </w:tc>
        <w:tc>
          <w:tcPr>
            <w:tcW w:w="14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(1,356,844)</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6,977,024</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8,626,462</w:t>
            </w:r>
          </w:p>
        </w:tc>
        <w:tc>
          <w:tcPr>
            <w:tcW w:w="3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1,649,438</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6,977,024</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9,983,306</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3,006,282</w:t>
            </w:r>
          </w:p>
        </w:tc>
        <w:tc>
          <w:tcPr>
            <w:tcW w:w="0" w:type="dxa"/>
            <w:vAlign w:val="bottom"/>
          </w:tcPr>
          <w:p>
            <w:pPr>
              <w:spacing w:after="0"/>
              <w:rPr>
                <w:sz w:val="1"/>
                <w:szCs w:val="1"/>
                <w:color w:val="auto"/>
              </w:rPr>
            </w:pPr>
          </w:p>
        </w:tc>
      </w:tr>
      <w:tr>
        <w:trPr>
          <w:trHeight w:val="130"/>
        </w:trPr>
        <w:tc>
          <w:tcPr>
            <w:tcW w:w="18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SPBRX, INC. (f/k/a GSV</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Sustainability Partners,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12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(1,245,000)</w:t>
            </w:r>
          </w:p>
        </w:tc>
        <w:tc>
          <w:tcPr>
            <w:tcW w:w="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7,161,412</w:t>
            </w:r>
          </w:p>
        </w:tc>
        <w:tc>
          <w:tcPr>
            <w:tcW w:w="8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5,005,000</w:t>
            </w:r>
          </w:p>
        </w:tc>
        <w:tc>
          <w:tcPr>
            <w:tcW w:w="3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(2,156,412)</w:t>
            </w:r>
          </w:p>
        </w:tc>
        <w:tc>
          <w:tcPr>
            <w:tcW w:w="8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7,161,412</w:t>
            </w:r>
          </w:p>
        </w:tc>
        <w:tc>
          <w:tcPr>
            <w:tcW w:w="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6,250,000</w:t>
            </w:r>
          </w:p>
        </w:tc>
        <w:tc>
          <w:tcPr>
            <w:tcW w:w="4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(911,412)</w:t>
            </w:r>
          </w:p>
        </w:tc>
        <w:tc>
          <w:tcPr>
            <w:tcW w:w="0" w:type="dxa"/>
            <w:vAlign w:val="bottom"/>
          </w:tcPr>
          <w:p>
            <w:pPr>
              <w:spacing w:after="0"/>
              <w:rPr>
                <w:sz w:val="1"/>
                <w:szCs w:val="1"/>
                <w:color w:val="auto"/>
              </w:rPr>
            </w:pPr>
          </w:p>
        </w:tc>
      </w:tr>
      <w:tr>
        <w:trPr>
          <w:trHeight w:val="189"/>
        </w:trPr>
        <w:tc>
          <w:tcPr>
            <w:tcW w:w="180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(54,548)</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237,512,703</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2"/>
              </w:rPr>
              <w:t>240,113,240</w:t>
            </w:r>
          </w:p>
        </w:tc>
        <w:tc>
          <w:tcPr>
            <w:tcW w:w="380" w:type="dxa"/>
            <w:vAlign w:val="bottom"/>
            <w:shd w:val="clear" w:color="auto" w:fill="CCEEFF"/>
          </w:tcPr>
          <w:p>
            <w:pPr>
              <w:spacing w:after="0"/>
              <w:rPr>
                <w:sz w:val="16"/>
                <w:szCs w:val="16"/>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2,600,537</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2"/>
              </w:rPr>
              <w:t>237,846,837</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240,501,922</w:t>
            </w:r>
          </w:p>
        </w:tc>
        <w:tc>
          <w:tcPr>
            <w:tcW w:w="4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2,655,085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Totals</w:t>
            </w:r>
          </w:p>
        </w:tc>
        <w:tc>
          <w:tcPr>
            <w:tcW w:w="1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(19,421,001)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
              <w:spacing w:after="0" w:line="142" w:lineRule="exact"/>
              <w:rPr>
                <w:sz w:val="20"/>
                <w:szCs w:val="20"/>
                <w:color w:val="auto"/>
              </w:rPr>
            </w:pPr>
            <w:r>
              <w:rPr>
                <w:rFonts w:ascii="Arial" w:cs="Arial" w:eastAsia="Arial" w:hAnsi="Arial"/>
                <w:sz w:val="14"/>
                <w:szCs w:val="14"/>
                <w:color w:val="auto"/>
                <w:w w:val="89"/>
              </w:rPr>
              <w:t>320,096,436</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9"/>
              <w:spacing w:after="0" w:line="142" w:lineRule="exact"/>
              <w:rPr>
                <w:sz w:val="20"/>
                <w:szCs w:val="20"/>
                <w:color w:val="auto"/>
              </w:rPr>
            </w:pPr>
            <w:r>
              <w:rPr>
                <w:rFonts w:ascii="Arial" w:cs="Arial" w:eastAsia="Arial" w:hAnsi="Arial"/>
                <w:sz w:val="14"/>
                <w:szCs w:val="14"/>
                <w:color w:val="auto"/>
                <w:w w:val="92"/>
              </w:rPr>
              <w:t>357,135,892</w:t>
            </w:r>
          </w:p>
        </w:tc>
        <w:tc>
          <w:tcPr>
            <w:tcW w:w="3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37,039,456</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9"/>
              <w:spacing w:after="0" w:line="142" w:lineRule="exact"/>
              <w:rPr>
                <w:sz w:val="20"/>
                <w:szCs w:val="20"/>
                <w:color w:val="auto"/>
              </w:rPr>
            </w:pPr>
            <w:r>
              <w:rPr>
                <w:rFonts w:ascii="Arial" w:cs="Arial" w:eastAsia="Arial" w:hAnsi="Arial"/>
                <w:sz w:val="14"/>
                <w:szCs w:val="14"/>
                <w:color w:val="auto"/>
                <w:w w:val="92"/>
              </w:rPr>
              <w:t>327,025,003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
              <w:spacing w:after="0" w:line="142" w:lineRule="exact"/>
              <w:rPr>
                <w:sz w:val="20"/>
                <w:szCs w:val="20"/>
                <w:color w:val="auto"/>
              </w:rPr>
            </w:pPr>
            <w:r>
              <w:rPr>
                <w:rFonts w:ascii="Arial" w:cs="Arial" w:eastAsia="Arial" w:hAnsi="Arial"/>
                <w:sz w:val="14"/>
                <w:szCs w:val="14"/>
                <w:color w:val="auto"/>
                <w:w w:val="89"/>
              </w:rPr>
              <w:t>383,485,460</w:t>
            </w:r>
          </w:p>
        </w:tc>
        <w:tc>
          <w:tcPr>
            <w:tcW w:w="4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56,460,457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636333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42" w:lineRule="auto"/>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represents all investments (including U.S. Treasury Bills and U.S. Treasury Strips) for which individual change in unrealized appreciation/(depreciation) was less than $1,000,000 for the three months ended March 31, 2017 and 2016.</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Increase/Decrease in Net Assets Resulting from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March 31, 2017, our net increase in net assets resulting from operations was $3,782,886.</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March 31, 2016, our net decrease in net assets resulting from operations was $24,949,064.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619" w:firstLine="270"/>
        <w:spacing w:after="0" w:line="257" w:lineRule="auto"/>
        <w:rPr>
          <w:sz w:val="20"/>
          <w:szCs w:val="20"/>
          <w:color w:val="auto"/>
        </w:rPr>
      </w:pPr>
      <w:r>
        <w:rPr>
          <w:rFonts w:ascii="Arial" w:cs="Arial" w:eastAsia="Arial" w:hAnsi="Arial"/>
          <w:sz w:val="18"/>
          <w:szCs w:val="18"/>
          <w:color w:val="auto"/>
        </w:rPr>
        <w:t>Our liquidity and capital resources are generated primarily from the sales of our investments and advances from any credit facility from which we may borrow. For example, prior to its expiration in accordance with its terms on December 31, 2016, we also generated liquidity and capital resources from advances from the Credit Facility and may enter into an agreement for a new credit facility in the future. In management’s view, we have sufficient liquidity and capital resources to pay our operating expenses and conduct investment activities.</w:t>
      </w:r>
    </w:p>
    <w:p>
      <w:pPr>
        <w:spacing w:after="0" w:line="80" w:lineRule="exact"/>
        <w:rPr>
          <w:sz w:val="20"/>
          <w:szCs w:val="20"/>
          <w:color w:val="auto"/>
        </w:rPr>
      </w:pPr>
    </w:p>
    <w:p>
      <w:pPr>
        <w:ind w:left="60" w:right="659" w:firstLine="270"/>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three months ended March 31, 2017 and 2016, our operating expenses were $5,146,671, and $(444,355),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1968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1,358,545</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8,332,634</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Securities of publicly traded portfolio companies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8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9,982,764</w:t>
            </w:r>
          </w:p>
        </w:tc>
        <w:tc>
          <w:tcPr>
            <w:tcW w:w="2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5,867,172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securities of publicly traded portfolio companies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15,849,936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cash reserves and liquid securities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17,208,481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17,061,639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08" w:lineRule="auto"/>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“Unrestricted securities” represents common stock of our publicly traded companies that are not subject to any restrictions upon sale. We may incur losses if we liquidate these positions to pay operating expenses or fund new investments.</w:t>
      </w:r>
    </w:p>
    <w:p>
      <w:pPr>
        <w:spacing w:after="0" w:line="38" w:lineRule="exact"/>
        <w:rPr>
          <w:rFonts w:ascii="Arial" w:cs="Arial" w:eastAsia="Arial" w:hAnsi="Arial"/>
          <w:sz w:val="17"/>
          <w:szCs w:val="17"/>
          <w:color w:val="auto"/>
        </w:rPr>
      </w:pPr>
    </w:p>
    <w:p>
      <w:pPr>
        <w:ind w:left="300" w:right="113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March 31, 2017, this balance represents our shares of common stock of Snap Inc. (f/k/a Snapchat, Inc.), which are restricted until July 31, 2017 due to Snap Inc.’s IPO.</w:t>
      </w:r>
    </w:p>
    <w:p>
      <w:pPr>
        <w:spacing w:after="0" w:line="62" w:lineRule="exact"/>
        <w:rPr>
          <w:sz w:val="20"/>
          <w:szCs w:val="20"/>
          <w:color w:val="auto"/>
        </w:rPr>
      </w:pPr>
    </w:p>
    <w:p>
      <w:pPr>
        <w:ind w:left="60" w:right="759" w:firstLine="270"/>
        <w:spacing w:after="0" w:line="297" w:lineRule="auto"/>
        <w:rPr>
          <w:sz w:val="20"/>
          <w:szCs w:val="20"/>
          <w:color w:val="auto"/>
        </w:rPr>
      </w:pPr>
      <w:r>
        <w:rPr>
          <w:rFonts w:ascii="Arial" w:cs="Arial" w:eastAsia="Arial" w:hAnsi="Arial"/>
          <w:sz w:val="16"/>
          <w:szCs w:val="16"/>
          <w:color w:val="auto"/>
        </w:rPr>
        <w:t>During the three months ended March 31, 2017, cash and cash equivalents decreased to $1,358,545 from $8,332,634 at the beginning of the period. The decrease was primarily due to an additional $2,500,000 margin deposit posted for the purchase of a Treasury Bill, as well as $1,811,250 in interest payments on the Convertible Senior Notes, $1,372,466 in management fees paid, $717,274 in allocation of overhead expenses paid to GSV Capital Service Company and $291,185 of audit fees. During the three months ended March 31, 2017, there were no significant financing activities that impacted our cash and cash equivalents.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our equity or debt securities during the three months ended March 31, 2017 or 2016.</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9"/>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(dollars in millions)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1 – 3 years</w:t>
            </w:r>
          </w:p>
        </w:tc>
        <w:tc>
          <w:tcPr>
            <w:tcW w:w="16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 5 years</w:t>
            </w:r>
          </w:p>
        </w:tc>
        <w:tc>
          <w:tcPr>
            <w:tcW w:w="16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8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54.0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54.0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599" w:hanging="272"/>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The payable for securities purchased was subsequently repaid on April 6, 2017, when the $60.0 million United States Treasury Bill matured and the $6.0 million margin deposit that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balance shown for the Convertible Senior Notes reflects the principal balance payable to investors. Refer to “Note</w:t>
      </w:r>
    </w:p>
    <w:p>
      <w:pPr>
        <w:spacing w:after="0" w:line="34"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9 — Long-Term Liabilities” to our condensed consolidated financial statements as of March 31, 2017, for more information.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899" w:firstLine="270"/>
        <w:spacing w:after="0" w:line="342" w:lineRule="auto"/>
        <w:rPr>
          <w:sz w:val="20"/>
          <w:szCs w:val="20"/>
          <w:color w:val="auto"/>
        </w:rPr>
      </w:pPr>
      <w:r>
        <w:rPr>
          <w:rFonts w:ascii="Arial" w:cs="Arial" w:eastAsia="Arial" w:hAnsi="Arial"/>
          <w:sz w:val="16"/>
          <w:szCs w:val="16"/>
          <w:color w:val="auto"/>
        </w:rPr>
        <w:t>As of March 31, 2017, we had no off-balance sheet arrangements, including any risk management of commodity pricing or other hedging practices. However, we may employ hedging and other risk management techniques in the future.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2017.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per Share</w:t>
            </w:r>
          </w:p>
        </w:tc>
        <w:tc>
          <w:tcPr>
            <w:tcW w:w="0" w:type="dxa"/>
            <w:vAlign w:val="bottom"/>
          </w:tcPr>
          <w:p>
            <w:pPr>
              <w:spacing w:after="0"/>
              <w:rPr>
                <w:sz w:val="1"/>
                <w:szCs w:val="1"/>
                <w:color w:val="auto"/>
              </w:rPr>
            </w:pPr>
          </w:p>
        </w:tc>
      </w:tr>
      <w:tr>
        <w:trPr>
          <w:trHeight w:val="210"/>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November 16, 2015</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31, 2015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16, 2016</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2" w:lineRule="auto"/>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69" w:lineRule="exact"/>
        <w:rPr>
          <w:rFonts w:ascii="Arial" w:cs="Arial" w:eastAsia="Arial" w:hAnsi="Arial"/>
          <w:sz w:val="17"/>
          <w:szCs w:val="17"/>
          <w:color w:val="auto"/>
        </w:rPr>
      </w:pPr>
    </w:p>
    <w:p>
      <w:pPr>
        <w:ind w:left="300" w:right="71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spacing w:after="0" w:line="62" w:lineRule="exact"/>
        <w:rPr>
          <w:sz w:val="20"/>
          <w:szCs w:val="20"/>
          <w:color w:val="auto"/>
        </w:rPr>
      </w:pPr>
    </w:p>
    <w:p>
      <w:pPr>
        <w:ind w:left="60" w:right="7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200" w:lineRule="exact"/>
        <w:rPr>
          <w:sz w:val="20"/>
          <w:szCs w:val="20"/>
          <w:color w:val="auto"/>
        </w:rPr>
      </w:pPr>
    </w:p>
    <w:p>
      <w:pPr>
        <w:spacing w:after="0" w:line="34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Our current intention is to make any future distributions out of assets legally available therefrom in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40" w:right="599" w:firstLine="270"/>
        <w:spacing w:after="0" w:line="268" w:lineRule="auto"/>
        <w:rPr>
          <w:sz w:val="20"/>
          <w:szCs w:val="20"/>
          <w:color w:val="auto"/>
        </w:rPr>
      </w:pPr>
      <w:r>
        <w:rPr>
          <w:rFonts w:ascii="Arial" w:cs="Arial" w:eastAsia="Arial" w:hAnsi="Arial"/>
          <w:sz w:val="17"/>
          <w:szCs w:val="17"/>
          <w:color w:val="auto"/>
        </w:rPr>
        <w:t>We elected to be treated as a RIC under Subchapter M of the Code beginning with our taxable year ended December 31, 2014 and continue to qualify to be treated as a RIC.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condensed consolidated financial statements as of March 31, 2017 for more information. The GSVC Holdings included in our condensed consolidated financial statements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On September 17, 2013, we issued $69 million aggregate principal amount of Convertible Senior Notes (including $9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March 31, 2017, the Convertible Senior Notes were convertible into shares of our common stock based on a conversion rate of 83.3596 shares of our common stock per $1,000 principal amount of the Convertible Senior Notes, which is equivalent to a conversion price of approximately $12.00 per share of common stock. Refer to “Note 1 — Nature of Operations and Significant Accounting Policies — Summary of Significant Accounting Policies” and “Note 9 — Long-Term Liabilities” to our condensed consolidated financial statements as of March 31, 2017 for more information regarding the Convertible Senior Notes.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could differ materially from such estimates. See “Note 1 — Nature of Operations and Significant Accounting Policies — Summary of Significant Accounting Policies” to our condensed consolidated financial statements as of March 31, 2017 for further detail regarding our critical accounting policies and recently issued accounting pronouncements not yet required to be adopted by us.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March 31, 2017 through May 10, 2017, we did not purchase or sell any investments.</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22" w:lineRule="exact"/>
        <w:rPr>
          <w:sz w:val="20"/>
          <w:szCs w:val="20"/>
          <w:color w:val="auto"/>
        </w:rPr>
      </w:pPr>
    </w:p>
    <w:p>
      <w:pPr>
        <w:ind w:left="40" w:right="4819"/>
        <w:spacing w:after="0" w:line="40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such as the recent market volatility in China, geopolitical unrest in the Middle East and as a result of the referendum vote relating to the United Kingdom’s exit from the European Union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As of March 31, 2017, all of our debt investments bore a fixed rate of interest. The Convertible Senior Notes bear a fixed rate of interest.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As of March 31, 2017, we,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61"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Although we and our subsidiaries may, from time to time, be involved in litigation arising out of our and our subsidiaries’ operations in the normal course of business or otherwise, neither we nor any of our subsidiaries are currently party to any pending material legal proceedings.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“Item 1A. Risk Factors” in our annual report on Form 10-K for the fiscal year ended December 31, 2016, filed with the SEC on March 16, 2017, which could materially affect our business, financial condition and/or operating results. The risks described in our annual report on Form 10-K are not the only risks we face. Additional risks and uncertainties not currently known to us, or that we currently deem to be immaterial, also may materially and adversely affect our business, financial condition and/or operating results. Other than as described below, during the three months ended March 31, 2017, there have been no material changes to the risk factors discussed in “Item 1A. Risk Factors” of our annual report on Form 10-K for the fiscal year ended December 31, 2016:</w:t>
      </w:r>
    </w:p>
    <w:p>
      <w:pPr>
        <w:spacing w:after="0" w:line="86" w:lineRule="exact"/>
        <w:rPr>
          <w:sz w:val="20"/>
          <w:szCs w:val="20"/>
          <w:color w:val="auto"/>
        </w:rPr>
      </w:pPr>
    </w:p>
    <w:p>
      <w:pPr>
        <w:jc w:val="both"/>
        <w:ind w:left="40" w:right="839"/>
        <w:spacing w:after="0" w:line="312" w:lineRule="auto"/>
        <w:rPr>
          <w:sz w:val="20"/>
          <w:szCs w:val="20"/>
          <w:color w:val="auto"/>
        </w:rPr>
      </w:pPr>
      <w:r>
        <w:rPr>
          <w:rFonts w:ascii="Arial" w:cs="Arial" w:eastAsia="Arial" w:hAnsi="Arial"/>
          <w:sz w:val="16"/>
          <w:szCs w:val="16"/>
          <w:b w:val="1"/>
          <w:bCs w:val="1"/>
          <w:i w:val="1"/>
          <w:iCs w:val="1"/>
          <w:color w:val="auto"/>
        </w:rPr>
        <w:t>Our inability to successfully appoint a new independent member to our board of directors may result in our failure to regain compliance with Nasdaq Listing Rules and our common stock may be delisted from the Nasdaq Capital Market, which may reduce the price of our common stock and levels of liquidity available to our stockholders.</w:t>
      </w:r>
    </w:p>
    <w:p>
      <w:pPr>
        <w:spacing w:after="0" w:line="39"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On March 15, 2017, each of Catherine J. Friedman and Bradford C. Koenig resigned as a member of our board of directors, effective as of March 17, 2017. Both Ms. Friedman and Mr. Koenig were independent directors of the board of directors and, as a result of their resignations, our board of directors no longer comprises a majority of independent directors (as defined by Nasdaq Listing Rule 5605(a)(2)), as required by Nasdaq Listing Rule 5605(b)(1).</w:t>
      </w:r>
    </w:p>
    <w:p>
      <w:pPr>
        <w:spacing w:after="0" w:line="63"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On March 22, 2017, in accordance with the Nasdaq Listing Rules and in connection with the resignations of Ms. Friedman and Mr. Koenig, we notified Nasdaq of our noncompliance with Nasdaq Listing Rule 5605(b)(1) and our desire to use the cure period provided by Nasdaq Listing Rule 5605(b)(1)(A). Later on March 22, 2017, we received a notice from Nasdaq acknowledging our noncompliance and confirming that Nasdaq will provide us with the requisite cure period.</w:t>
      </w:r>
    </w:p>
    <w:p>
      <w:pPr>
        <w:spacing w:after="0" w:line="63"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In accordance with Nasdaq Listing Rule 5605(b)(1)(A), we have until the earlier of our next annual stockholders’ meeting or March 17, 2018, or if our next annual stockholders’ meeting is held before September 13, 2017, then we have until September 13, 2017 to regain compliance with Nasdaq Listing Rule 5605(b)(1).</w:t>
      </w:r>
    </w:p>
    <w:p>
      <w:pPr>
        <w:spacing w:after="0" w:line="73" w:lineRule="exact"/>
        <w:rPr>
          <w:sz w:val="20"/>
          <w:szCs w:val="20"/>
          <w:color w:val="auto"/>
        </w:rPr>
      </w:pPr>
    </w:p>
    <w:p>
      <w:pPr>
        <w:ind w:left="40" w:right="699" w:firstLine="270"/>
        <w:spacing w:after="0" w:line="253" w:lineRule="auto"/>
        <w:rPr>
          <w:sz w:val="20"/>
          <w:szCs w:val="20"/>
          <w:color w:val="auto"/>
        </w:rPr>
      </w:pPr>
      <w:r>
        <w:rPr>
          <w:rFonts w:ascii="Arial" w:cs="Arial" w:eastAsia="Arial" w:hAnsi="Arial"/>
          <w:sz w:val="18"/>
          <w:szCs w:val="18"/>
          <w:color w:val="auto"/>
        </w:rPr>
        <w:t>To remedy the noncompliance with Nasdaq Listing Rule 5605(b)(1) prior to the expiration of the applicable cure period described above, our board of directors has appointed two new directors: Marc Mazur and David S. Pottruck. Mr. Mazur was appointed to serve as a member of the board of directors, effective March 17, 2017, in order to fill the vacancy created by Ms. Friedman’s resignation. Mr. Mazur is an “independent director,” as defined by Nasdaq Listing Rule 5605(a)(2). David S. Pottruck was appointed to serve as a member of the board of directors, effective May 31, 2017, in order to fill the vacancy created by Mr. Koenig’s resignation. Upon the effective date of his appointment to the board of directors, Mr. Pottruck is expected to be an “independent director,” as defined by Nasdaq Listing Rule 5605(a)(2). As a result of the appointments of Messrs. Mazur and Pottruck to the board of directors, we expect to be back in compliance with Nasdaq Listing Rule 5605(b)(1) effective May 31, 2017.</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If we fail to regain compliance with Nasdaq Listing Rules, our common stock may be delisted from the Nasdaq Capital Market. Therefore, there can be no assurance that the Nasdaq Listing Council will determine to continue the listing of our common stock on the Nasdaq Capital Market. If our common stock is delisted, it may become more difficult for our stockholders to sell our stock in the public market and the price of our common stock may be adversely affected. Delisting from the Nasdaq Capital Market could also result in other negative implications including the potential loss or reduction of confidence by customers, creditors, suppliers and employees, the potential loss or reduction of investor interest, and fewer business development opportunities, any of which could materially adversely affect our results of operations and financial condition.</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47167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48" w:lineRule="exact"/>
        <w:rPr>
          <w:sz w:val="20"/>
          <w:szCs w:val="20"/>
          <w:color w:val="auto"/>
        </w:rPr>
      </w:pPr>
    </w:p>
    <w:tbl>
      <w:tblPr>
        <w:tblLayout w:type="fixed"/>
        <w:tblInd w:w="80" w:type="dxa"/>
        <w:tblCellMar>
          <w:top w:w="0" w:type="dxa"/>
          <w:left w:w="0" w:type="dxa"/>
          <w:bottom w:w="0" w:type="dxa"/>
          <w:right w:w="0" w:type="dxa"/>
        </w:tblCellMar>
      </w:tblPr>
      <w:tr>
        <w:trPr>
          <w:trHeight w:val="345"/>
        </w:trPr>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940" w:type="dxa"/>
            <w:vAlign w:val="bottom"/>
          </w:tcPr>
          <w:p>
            <w:pPr>
              <w:ind w:left="16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r>
      <w:tr>
        <w:trPr>
          <w:trHeight w:val="257"/>
        </w:trPr>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940" w:type="dxa"/>
            <w:vAlign w:val="bottom"/>
          </w:tcPr>
          <w:p>
            <w:pPr>
              <w:ind w:left="16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r>
      <w:tr>
        <w:trPr>
          <w:trHeight w:val="257"/>
        </w:trPr>
        <w:tc>
          <w:tcPr>
            <w:tcW w:w="4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940" w:type="dxa"/>
            <w:vAlign w:val="bottom"/>
          </w:tcPr>
          <w:p>
            <w:pPr>
              <w:ind w:left="16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11.1</w:t>
            </w:r>
          </w:p>
        </w:tc>
        <w:tc>
          <w:tcPr>
            <w:tcW w:w="6940" w:type="dxa"/>
            <w:vAlign w:val="bottom"/>
          </w:tcPr>
          <w:p>
            <w:pPr>
              <w:ind w:left="160"/>
              <w:spacing w:after="0"/>
              <w:rPr>
                <w:sz w:val="20"/>
                <w:szCs w:val="20"/>
                <w:color w:val="auto"/>
              </w:rPr>
            </w:pPr>
            <w:r>
              <w:rPr>
                <w:rFonts w:ascii="Arial" w:cs="Arial" w:eastAsia="Arial" w:hAnsi="Arial"/>
                <w:sz w:val="18"/>
                <w:szCs w:val="18"/>
                <w:color w:val="auto"/>
              </w:rPr>
              <w:t>Statement re Computation of per Share Earnings (Included in “Note 5 — Net</w:t>
            </w:r>
          </w:p>
        </w:tc>
      </w:tr>
      <w:tr>
        <w:trPr>
          <w:trHeight w:val="216"/>
        </w:trPr>
        <w:tc>
          <w:tcPr>
            <w:tcW w:w="4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3"/>
              </w:rPr>
              <w:t>Increase/(Decrease) in Net Assets Resulting from Operations per Common Share — Basic</w:t>
            </w:r>
          </w:p>
        </w:tc>
      </w:tr>
      <w:tr>
        <w:trPr>
          <w:trHeight w:val="216"/>
        </w:trPr>
        <w:tc>
          <w:tcPr>
            <w:tcW w:w="4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2"/>
              </w:rPr>
              <w:t>and Diluted” to our Condensed Consolidated Financial Statements contained in this report)*</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31.1</w:t>
            </w:r>
          </w:p>
        </w:tc>
        <w:tc>
          <w:tcPr>
            <w:tcW w:w="6940" w:type="dxa"/>
            <w:vAlign w:val="bottom"/>
          </w:tcPr>
          <w:p>
            <w:pPr>
              <w:ind w:left="16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w:t>
            </w:r>
          </w:p>
        </w:tc>
      </w:tr>
      <w:tr>
        <w:trPr>
          <w:trHeight w:val="216"/>
        </w:trPr>
        <w:tc>
          <w:tcPr>
            <w:tcW w:w="4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Act of 1934, as amended*</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31.2</w:t>
            </w:r>
          </w:p>
        </w:tc>
        <w:tc>
          <w:tcPr>
            <w:tcW w:w="6940" w:type="dxa"/>
            <w:vAlign w:val="bottom"/>
          </w:tcPr>
          <w:p>
            <w:pPr>
              <w:ind w:left="16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w:t>
            </w:r>
          </w:p>
        </w:tc>
      </w:tr>
      <w:tr>
        <w:trPr>
          <w:trHeight w:val="216"/>
        </w:trPr>
        <w:tc>
          <w:tcPr>
            <w:tcW w:w="4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Act of 1934, as amended*</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32.1</w:t>
            </w:r>
          </w:p>
        </w:tc>
        <w:tc>
          <w:tcPr>
            <w:tcW w:w="6940" w:type="dxa"/>
            <w:vAlign w:val="bottom"/>
          </w:tcPr>
          <w:p>
            <w:pPr>
              <w:ind w:left="16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w:t>
            </w:r>
          </w:p>
        </w:tc>
      </w:tr>
      <w:tr>
        <w:trPr>
          <w:trHeight w:val="216"/>
        </w:trPr>
        <w:tc>
          <w:tcPr>
            <w:tcW w:w="4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2002*</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32.2</w:t>
            </w:r>
          </w:p>
        </w:tc>
        <w:tc>
          <w:tcPr>
            <w:tcW w:w="6940" w:type="dxa"/>
            <w:vAlign w:val="bottom"/>
          </w:tcPr>
          <w:p>
            <w:pPr>
              <w:ind w:left="1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w:t>
            </w:r>
          </w:p>
        </w:tc>
      </w:tr>
      <w:tr>
        <w:trPr>
          <w:trHeight w:val="230"/>
        </w:trPr>
        <w:tc>
          <w:tcPr>
            <w:tcW w:w="46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80" w:right="859" w:hanging="272"/>
        <w:spacing w:after="0" w:line="277"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March 31,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10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Amount of</w:t>
            </w:r>
          </w:p>
        </w:tc>
        <w:tc>
          <w:tcPr>
            <w:tcW w:w="9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Purchases,</w:t>
            </w: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880" w:type="dxa"/>
            <w:vAlign w:val="bottom"/>
            <w:vMerge w:val="continue"/>
          </w:tcPr>
          <w:p>
            <w:pPr>
              <w:spacing w:after="0"/>
              <w:rPr>
                <w:sz w:val="12"/>
                <w:szCs w:val="12"/>
                <w:color w:val="auto"/>
              </w:rPr>
            </w:pPr>
          </w:p>
        </w:tc>
        <w:tc>
          <w:tcPr>
            <w:tcW w:w="158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93"/>
              </w:rPr>
              <w:t>Realized and</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Control Investments</w:t>
            </w:r>
          </w:p>
        </w:tc>
        <w:tc>
          <w:tcPr>
            <w:tcW w:w="11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98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11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Credited in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Fees and</w:t>
            </w:r>
          </w:p>
        </w:tc>
        <w:tc>
          <w:tcPr>
            <w:tcW w:w="15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Arial" w:cs="Arial" w:eastAsia="Arial" w:hAnsi="Arial"/>
                <w:sz w:val="14"/>
                <w:szCs w:val="14"/>
                <w:b w:val="1"/>
                <w:bCs w:val="1"/>
                <w:color w:val="auto"/>
              </w:rPr>
              <w:t>Portfolio Company/Type of Investment*</w:t>
            </w:r>
          </w:p>
        </w:tc>
        <w:tc>
          <w:tcPr>
            <w:tcW w:w="11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580" w:type="dxa"/>
            <w:vAlign w:val="bottom"/>
          </w:tcPr>
          <w:p>
            <w:pPr>
              <w:ind w:left="120"/>
              <w:spacing w:after="0"/>
              <w:rPr>
                <w:sz w:val="20"/>
                <w:szCs w:val="20"/>
                <w:color w:val="auto"/>
              </w:rPr>
            </w:pPr>
            <w:r>
              <w:rPr>
                <w:rFonts w:ascii="Arial" w:cs="Arial" w:eastAsia="Arial" w:hAnsi="Arial"/>
                <w:sz w:val="14"/>
                <w:szCs w:val="14"/>
                <w:b w:val="1"/>
                <w:bCs w:val="1"/>
                <w:color w:val="auto"/>
                <w:w w:val="99"/>
              </w:rPr>
              <w:t xml:space="preserve">Sales  </w:t>
            </w:r>
            <w:r>
              <w:rPr>
                <w:rFonts w:ascii="Arial" w:cs="Arial" w:eastAsia="Arial" w:hAnsi="Arial"/>
                <w:sz w:val="14"/>
                <w:szCs w:val="14"/>
                <w:b w:val="1"/>
                <w:bCs w:val="1"/>
                <w:u w:val="single" w:color="auto"/>
                <w:color w:val="auto"/>
                <w:w w:val="99"/>
              </w:rPr>
              <w:t>Gains/(Losses)</w:t>
            </w: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5"/>
          </w:tcPr>
          <w:p>
            <w:pPr>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(1)</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shares, Series C</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80" w:type="dxa"/>
            <w:vAlign w:val="bottom"/>
            <w:gridSpan w:val="5"/>
          </w:tcPr>
          <w:p>
            <w:pPr>
              <w:spacing w:after="0" w:line="176" w:lineRule="exact"/>
              <w:rPr>
                <w:sz w:val="20"/>
                <w:szCs w:val="20"/>
                <w:color w:val="auto"/>
              </w:rPr>
            </w:pPr>
            <w:r>
              <w:rPr>
                <w:rFonts w:ascii="Arial" w:cs="Arial" w:eastAsia="Arial" w:hAnsi="Arial"/>
                <w:sz w:val="16"/>
                <w:szCs w:val="16"/>
                <w:b w:val="1"/>
                <w:bCs w:val="1"/>
                <w:color w:val="auto"/>
              </w:rPr>
              <w:t>NestGSV, Inc. (d/b/a GSV Labs, Inc.)</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5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w w:val="95"/>
              </w:rPr>
              <w:t>Convertible Promissory Note 8% Due</w:t>
            </w:r>
          </w:p>
        </w:tc>
        <w:tc>
          <w:tcPr>
            <w:tcW w:w="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1240" w:type="dxa"/>
            <w:vAlign w:val="bottom"/>
            <w:gridSpan w:val="3"/>
          </w:tcPr>
          <w:p>
            <w:pPr>
              <w:ind w:left="200"/>
              <w:spacing w:after="0"/>
              <w:rPr>
                <w:sz w:val="20"/>
                <w:szCs w:val="20"/>
                <w:color w:val="auto"/>
              </w:rPr>
            </w:pPr>
            <w:r>
              <w:rPr>
                <w:rFonts w:ascii="Arial" w:cs="Arial" w:eastAsia="Arial" w:hAnsi="Arial"/>
                <w:sz w:val="16"/>
                <w:szCs w:val="16"/>
                <w:color w:val="auto"/>
              </w:rPr>
              <w:t>07/31/2017***</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29,197</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Unsecured Promissory Note 12% Due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1240" w:type="dxa"/>
            <w:vAlign w:val="bottom"/>
            <w:gridSpan w:val="3"/>
          </w:tcPr>
          <w:p>
            <w:pPr>
              <w:ind w:left="200"/>
              <w:spacing w:after="0"/>
              <w:rPr>
                <w:sz w:val="20"/>
                <w:szCs w:val="20"/>
                <w:color w:val="auto"/>
              </w:rPr>
            </w:pPr>
            <w:r>
              <w:rPr>
                <w:rFonts w:ascii="Arial" w:cs="Arial" w:eastAsia="Arial" w:hAnsi="Arial"/>
                <w:sz w:val="16"/>
                <w:szCs w:val="16"/>
                <w:color w:val="auto"/>
              </w:rPr>
              <w:t>05/29/2017***</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30,212</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stock Series A-4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stock Series A-3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stock Series A-2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stock Series A-1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w w:val="93"/>
              </w:rPr>
              <w:t>Preferred Warrant Series A-3 – Strike Price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4"/>
          </w:tcPr>
          <w:p>
            <w:pPr>
              <w:spacing w:after="0"/>
              <w:rPr>
                <w:sz w:val="20"/>
                <w:szCs w:val="20"/>
                <w:color w:val="auto"/>
              </w:rPr>
            </w:pPr>
            <w:r>
              <w:rPr>
                <w:rFonts w:ascii="Arial" w:cs="Arial" w:eastAsia="Arial" w:hAnsi="Arial"/>
                <w:sz w:val="16"/>
                <w:szCs w:val="16"/>
                <w:color w:val="auto"/>
              </w:rPr>
              <w:t>$1.33, Expiration Date 4/4/2019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w w:val="93"/>
              </w:rPr>
              <w:t>Preferred Warrant Series A-4 – Strike Price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4"/>
          </w:tcPr>
          <w:p>
            <w:pPr>
              <w:spacing w:after="0"/>
              <w:rPr>
                <w:sz w:val="20"/>
                <w:szCs w:val="20"/>
                <w:color w:val="auto"/>
              </w:rPr>
            </w:pPr>
            <w:r>
              <w:rPr>
                <w:rFonts w:ascii="Arial" w:cs="Arial" w:eastAsia="Arial" w:hAnsi="Arial"/>
                <w:sz w:val="16"/>
                <w:szCs w:val="16"/>
                <w:color w:val="auto"/>
              </w:rPr>
              <w:t>$1.33, Expiration Date 10/6/2019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w w:val="93"/>
              </w:rPr>
              <w:t>Preferred Warrant Series A-4 – Strike Price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4"/>
          </w:tcPr>
          <w:p>
            <w:pPr>
              <w:spacing w:after="0"/>
              <w:rPr>
                <w:sz w:val="20"/>
                <w:szCs w:val="20"/>
                <w:color w:val="auto"/>
              </w:rPr>
            </w:pPr>
            <w:r>
              <w:rPr>
                <w:rFonts w:ascii="Arial" w:cs="Arial" w:eastAsia="Arial" w:hAnsi="Arial"/>
                <w:sz w:val="16"/>
                <w:szCs w:val="16"/>
                <w:color w:val="auto"/>
              </w:rPr>
              <w:t>$1.33, Expiration Date 7/18/2021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w w:val="93"/>
              </w:rPr>
              <w:t>Preferred Warrant Series A-4 – Strike Price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4"/>
          </w:tcPr>
          <w:p>
            <w:pPr>
              <w:spacing w:after="0"/>
              <w:rPr>
                <w:sz w:val="20"/>
                <w:szCs w:val="20"/>
                <w:color w:val="auto"/>
              </w:rPr>
            </w:pPr>
            <w:r>
              <w:rPr>
                <w:rFonts w:ascii="Arial" w:cs="Arial" w:eastAsia="Arial" w:hAnsi="Arial"/>
                <w:sz w:val="16"/>
                <w:szCs w:val="16"/>
                <w:color w:val="auto"/>
              </w:rPr>
              <w:t>$1.33, Expiration Date 11/29/2021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80" w:type="dxa"/>
            <w:vAlign w:val="bottom"/>
            <w:gridSpan w:val="5"/>
          </w:tcPr>
          <w:p>
            <w:pPr>
              <w:spacing w:after="0" w:line="176" w:lineRule="exact"/>
              <w:rPr>
                <w:sz w:val="20"/>
                <w:szCs w:val="20"/>
                <w:color w:val="auto"/>
              </w:rPr>
            </w:pPr>
            <w:r>
              <w:rPr>
                <w:rFonts w:ascii="Arial" w:cs="Arial" w:eastAsia="Arial" w:hAnsi="Arial"/>
                <w:sz w:val="16"/>
                <w:szCs w:val="16"/>
                <w:b w:val="1"/>
                <w:bCs w:val="1"/>
                <w:color w:val="auto"/>
              </w:rPr>
              <w:t>SPBRX, INC. (f/k/a GSV Sustainability</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93"/>
              </w:rPr>
              <w:t>Partners, Inc.)</w:t>
            </w:r>
          </w:p>
        </w:tc>
        <w:tc>
          <w:tcPr>
            <w:tcW w:w="1500" w:type="dxa"/>
            <w:vAlign w:val="bottom"/>
            <w:tcBorders>
              <w:top w:val="single" w:sz="8" w:color="auto"/>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color w:val="auto"/>
              </w:rPr>
              <w:t>Preferred shares, Class 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175,000</w:t>
            </w: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w w:val="92"/>
              </w:rPr>
              <w:t>$ 4,650,838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  —  $</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  4,650,838</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4,470,403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4,470,403</w:t>
            </w:r>
          </w:p>
        </w:tc>
      </w:tr>
      <w:tr>
        <w:trPr>
          <w:trHeight w:val="206"/>
        </w:trPr>
        <w:tc>
          <w:tcPr>
            <w:tcW w:w="860" w:type="dxa"/>
            <w:vAlign w:val="bottom"/>
          </w:tcPr>
          <w:p>
            <w:pPr>
              <w:jc w:val="right"/>
              <w:spacing w:after="0"/>
              <w:rPr>
                <w:sz w:val="20"/>
                <w:szCs w:val="20"/>
                <w:color w:val="auto"/>
              </w:rPr>
            </w:pPr>
            <w:r>
              <w:rPr>
                <w:rFonts w:ascii="Arial" w:cs="Arial" w:eastAsia="Arial" w:hAnsi="Arial"/>
                <w:sz w:val="16"/>
                <w:szCs w:val="16"/>
                <w:color w:val="auto"/>
              </w:rPr>
              <w:t>499,796</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499,796</w:t>
            </w:r>
          </w:p>
        </w:tc>
      </w:tr>
      <w:tr>
        <w:trPr>
          <w:trHeight w:val="608"/>
        </w:trPr>
        <w:tc>
          <w:tcPr>
            <w:tcW w:w="860" w:type="dxa"/>
            <w:vAlign w:val="bottom"/>
          </w:tcPr>
          <w:p>
            <w:pPr>
              <w:jc w:val="right"/>
              <w:spacing w:after="0"/>
              <w:rPr>
                <w:sz w:val="20"/>
                <w:szCs w:val="20"/>
                <w:color w:val="auto"/>
              </w:rPr>
            </w:pPr>
            <w:r>
              <w:rPr>
                <w:rFonts w:ascii="Arial" w:cs="Arial" w:eastAsia="Arial" w:hAnsi="Arial"/>
                <w:sz w:val="16"/>
                <w:szCs w:val="16"/>
                <w:color w:val="auto"/>
              </w:rPr>
              <w:t>427,900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33,176</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27,412</w:t>
            </w:r>
          </w:p>
        </w:tc>
        <w:tc>
          <w:tcPr>
            <w:tcW w:w="960" w:type="dxa"/>
            <w:vAlign w:val="bottom"/>
          </w:tcPr>
          <w:p>
            <w:pPr>
              <w:jc w:val="right"/>
              <w:spacing w:after="0"/>
              <w:rPr>
                <w:sz w:val="20"/>
                <w:szCs w:val="20"/>
                <w:color w:val="auto"/>
              </w:rPr>
            </w:pPr>
            <w:r>
              <w:rPr>
                <w:rFonts w:ascii="Arial" w:cs="Arial" w:eastAsia="Arial" w:hAnsi="Arial"/>
                <w:sz w:val="16"/>
                <w:szCs w:val="16"/>
                <w:color w:val="auto"/>
              </w:rPr>
              <w:t>488,488</w:t>
            </w:r>
          </w:p>
        </w:tc>
      </w:tr>
      <w:tr>
        <w:trPr>
          <w:trHeight w:val="401"/>
        </w:trPr>
        <w:tc>
          <w:tcPr>
            <w:tcW w:w="860" w:type="dxa"/>
            <w:vAlign w:val="bottom"/>
          </w:tcPr>
          <w:p>
            <w:pPr>
              <w:jc w:val="right"/>
              <w:spacing w:after="0"/>
              <w:rPr>
                <w:sz w:val="20"/>
                <w:szCs w:val="20"/>
                <w:color w:val="auto"/>
              </w:rPr>
            </w:pPr>
            <w:r>
              <w:rPr>
                <w:rFonts w:ascii="Arial" w:cs="Arial" w:eastAsia="Arial" w:hAnsi="Arial"/>
                <w:sz w:val="16"/>
                <w:szCs w:val="16"/>
                <w:color w:val="auto"/>
              </w:rPr>
              <w:t>496,725</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14,432</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5,077</w:t>
            </w:r>
          </w:p>
        </w:tc>
        <w:tc>
          <w:tcPr>
            <w:tcW w:w="960" w:type="dxa"/>
            <w:vAlign w:val="bottom"/>
          </w:tcPr>
          <w:p>
            <w:pPr>
              <w:jc w:val="right"/>
              <w:spacing w:after="0"/>
              <w:rPr>
                <w:sz w:val="20"/>
                <w:szCs w:val="20"/>
                <w:color w:val="auto"/>
              </w:rPr>
            </w:pPr>
            <w:r>
              <w:rPr>
                <w:rFonts w:ascii="Arial" w:cs="Arial" w:eastAsia="Arial" w:hAnsi="Arial"/>
                <w:sz w:val="16"/>
                <w:szCs w:val="16"/>
                <w:color w:val="auto"/>
              </w:rPr>
              <w:t>516,234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2,715,910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1,116,127</w:t>
            </w:r>
          </w:p>
        </w:tc>
        <w:tc>
          <w:tcPr>
            <w:tcW w:w="960" w:type="dxa"/>
            <w:vAlign w:val="bottom"/>
          </w:tcPr>
          <w:p>
            <w:pPr>
              <w:jc w:val="right"/>
              <w:spacing w:after="0"/>
              <w:rPr>
                <w:sz w:val="20"/>
                <w:szCs w:val="20"/>
                <w:color w:val="auto"/>
              </w:rPr>
            </w:pPr>
            <w:r>
              <w:rPr>
                <w:rFonts w:ascii="Arial" w:cs="Arial" w:eastAsia="Arial" w:hAnsi="Arial"/>
                <w:sz w:val="16"/>
                <w:szCs w:val="16"/>
                <w:color w:val="auto"/>
              </w:rPr>
              <w:t>3,832,037</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952,591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390,407</w:t>
            </w:r>
          </w:p>
        </w:tc>
        <w:tc>
          <w:tcPr>
            <w:tcW w:w="960" w:type="dxa"/>
            <w:vAlign w:val="bottom"/>
          </w:tcPr>
          <w:p>
            <w:pPr>
              <w:jc w:val="right"/>
              <w:spacing w:after="0"/>
              <w:rPr>
                <w:sz w:val="20"/>
                <w:szCs w:val="20"/>
                <w:color w:val="auto"/>
              </w:rPr>
            </w:pPr>
            <w:r>
              <w:rPr>
                <w:rFonts w:ascii="Arial" w:cs="Arial" w:eastAsia="Arial" w:hAnsi="Arial"/>
                <w:sz w:val="16"/>
                <w:szCs w:val="16"/>
                <w:color w:val="auto"/>
              </w:rPr>
              <w:t>1,342,998</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166,500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67,501</w:t>
            </w:r>
          </w:p>
        </w:tc>
        <w:tc>
          <w:tcPr>
            <w:tcW w:w="960" w:type="dxa"/>
            <w:vAlign w:val="bottom"/>
          </w:tcPr>
          <w:p>
            <w:pPr>
              <w:jc w:val="right"/>
              <w:spacing w:after="0"/>
              <w:rPr>
                <w:sz w:val="20"/>
                <w:szCs w:val="20"/>
                <w:color w:val="auto"/>
              </w:rPr>
            </w:pPr>
            <w:r>
              <w:rPr>
                <w:rFonts w:ascii="Arial" w:cs="Arial" w:eastAsia="Arial" w:hAnsi="Arial"/>
                <w:sz w:val="16"/>
                <w:szCs w:val="16"/>
                <w:color w:val="auto"/>
              </w:rPr>
              <w:t>234,001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270,000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130,000</w:t>
            </w:r>
          </w:p>
        </w:tc>
        <w:tc>
          <w:tcPr>
            <w:tcW w:w="96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06"/>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405"/>
        </w:trPr>
        <w:tc>
          <w:tcPr>
            <w:tcW w:w="860" w:type="dxa"/>
            <w:vAlign w:val="bottom"/>
          </w:tcPr>
          <w:p>
            <w:pPr>
              <w:jc w:val="right"/>
              <w:spacing w:after="0"/>
              <w:rPr>
                <w:sz w:val="20"/>
                <w:szCs w:val="20"/>
                <w:color w:val="auto"/>
              </w:rPr>
            </w:pPr>
            <w:r>
              <w:rPr>
                <w:rFonts w:ascii="Arial" w:cs="Arial" w:eastAsia="Arial" w:hAnsi="Arial"/>
                <w:sz w:val="16"/>
                <w:szCs w:val="16"/>
                <w:color w:val="auto"/>
              </w:rPr>
              <w:t>5,625</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960" w:type="dxa"/>
            <w:vAlign w:val="bottom"/>
          </w:tcPr>
          <w:p>
            <w:pPr>
              <w:jc w:val="right"/>
              <w:spacing w:after="0"/>
              <w:rPr>
                <w:sz w:val="20"/>
                <w:szCs w:val="20"/>
                <w:color w:val="auto"/>
              </w:rPr>
            </w:pPr>
            <w:r>
              <w:rPr>
                <w:rFonts w:ascii="Arial" w:cs="Arial" w:eastAsia="Arial" w:hAnsi="Arial"/>
                <w:sz w:val="16"/>
                <w:szCs w:val="16"/>
                <w:color w:val="auto"/>
              </w:rPr>
              <w:t>13,125</w:t>
            </w:r>
          </w:p>
        </w:tc>
      </w:tr>
      <w:tr>
        <w:trPr>
          <w:trHeight w:val="405"/>
        </w:trPr>
        <w:tc>
          <w:tcPr>
            <w:tcW w:w="860" w:type="dxa"/>
            <w:vAlign w:val="bottom"/>
          </w:tcPr>
          <w:p>
            <w:pPr>
              <w:jc w:val="right"/>
              <w:spacing w:after="0"/>
              <w:rPr>
                <w:sz w:val="20"/>
                <w:szCs w:val="20"/>
                <w:color w:val="auto"/>
              </w:rPr>
            </w:pPr>
            <w:r>
              <w:rPr>
                <w:rFonts w:ascii="Arial" w:cs="Arial" w:eastAsia="Arial" w:hAnsi="Arial"/>
                <w:sz w:val="16"/>
                <w:szCs w:val="16"/>
                <w:color w:val="auto"/>
              </w:rPr>
              <w:t>40,000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96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405"/>
        </w:trPr>
        <w:tc>
          <w:tcPr>
            <w:tcW w:w="860" w:type="dxa"/>
            <w:vAlign w:val="bottom"/>
          </w:tcPr>
          <w:p>
            <w:pPr>
              <w:jc w:val="right"/>
              <w:spacing w:after="0"/>
              <w:rPr>
                <w:sz w:val="20"/>
                <w:szCs w:val="20"/>
                <w:color w:val="auto"/>
              </w:rPr>
            </w:pPr>
            <w:r>
              <w:rPr>
                <w:rFonts w:ascii="Arial" w:cs="Arial" w:eastAsia="Arial" w:hAnsi="Arial"/>
                <w:sz w:val="16"/>
                <w:szCs w:val="16"/>
                <w:color w:val="auto"/>
              </w:rPr>
              <w:t>22,500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22,500</w:t>
            </w:r>
          </w:p>
        </w:tc>
        <w:tc>
          <w:tcPr>
            <w:tcW w:w="960" w:type="dxa"/>
            <w:vAlign w:val="bottom"/>
          </w:tcPr>
          <w:p>
            <w:pPr>
              <w:jc w:val="right"/>
              <w:spacing w:after="0"/>
              <w:rPr>
                <w:sz w:val="20"/>
                <w:szCs w:val="20"/>
                <w:color w:val="auto"/>
              </w:rPr>
            </w:pPr>
            <w:r>
              <w:rPr>
                <w:rFonts w:ascii="Arial" w:cs="Arial" w:eastAsia="Arial" w:hAnsi="Arial"/>
                <w:sz w:val="16"/>
                <w:szCs w:val="16"/>
                <w:color w:val="auto"/>
              </w:rPr>
              <w:t>45,000</w:t>
            </w:r>
          </w:p>
        </w:tc>
      </w:tr>
      <w:tr>
        <w:trPr>
          <w:trHeight w:val="405"/>
        </w:trPr>
        <w:tc>
          <w:tcPr>
            <w:tcW w:w="860" w:type="dxa"/>
            <w:vAlign w:val="bottom"/>
          </w:tcPr>
          <w:p>
            <w:pPr>
              <w:jc w:val="right"/>
              <w:spacing w:after="0"/>
              <w:rPr>
                <w:sz w:val="20"/>
                <w:szCs w:val="20"/>
                <w:color w:val="auto"/>
              </w:rPr>
            </w:pPr>
            <w:r>
              <w:rPr>
                <w:rFonts w:ascii="Arial" w:cs="Arial" w:eastAsia="Arial" w:hAnsi="Arial"/>
                <w:sz w:val="16"/>
                <w:szCs w:val="16"/>
                <w:color w:val="auto"/>
              </w:rPr>
              <w:t>9,000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9,000</w:t>
            </w:r>
          </w:p>
        </w:tc>
        <w:tc>
          <w:tcPr>
            <w:tcW w:w="960" w:type="dxa"/>
            <w:vAlign w:val="bottom"/>
          </w:tcPr>
          <w:p>
            <w:pPr>
              <w:jc w:val="right"/>
              <w:spacing w:after="0"/>
              <w:rPr>
                <w:sz w:val="20"/>
                <w:szCs w:val="20"/>
                <w:color w:val="auto"/>
              </w:rPr>
            </w:pPr>
            <w:r>
              <w:rPr>
                <w:rFonts w:ascii="Arial" w:cs="Arial" w:eastAsia="Arial" w:hAnsi="Arial"/>
                <w:sz w:val="16"/>
                <w:szCs w:val="16"/>
                <w:color w:val="auto"/>
              </w:rPr>
              <w:t>18,000</w:t>
            </w:r>
          </w:p>
        </w:tc>
      </w:tr>
      <w:tr>
        <w:trPr>
          <w:trHeight w:val="608"/>
        </w:trPr>
        <w:tc>
          <w:tcPr>
            <w:tcW w:w="860" w:type="dxa"/>
            <w:vAlign w:val="bottom"/>
          </w:tcPr>
          <w:p>
            <w:pPr>
              <w:jc w:val="right"/>
              <w:spacing w:after="0"/>
              <w:rPr>
                <w:sz w:val="20"/>
                <w:szCs w:val="20"/>
                <w:color w:val="auto"/>
              </w:rPr>
            </w:pPr>
            <w:r>
              <w:rPr>
                <w:rFonts w:ascii="Arial" w:cs="Arial" w:eastAsia="Arial" w:hAnsi="Arial"/>
                <w:sz w:val="16"/>
                <w:szCs w:val="16"/>
                <w:color w:val="auto"/>
              </w:rPr>
              <w:t>4,309,778</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(132,877)</w:t>
            </w:r>
          </w:p>
        </w:tc>
        <w:tc>
          <w:tcPr>
            <w:tcW w:w="960" w:type="dxa"/>
            <w:vAlign w:val="bottom"/>
          </w:tcPr>
          <w:p>
            <w:pPr>
              <w:jc w:val="right"/>
              <w:spacing w:after="0"/>
              <w:rPr>
                <w:sz w:val="20"/>
                <w:szCs w:val="20"/>
                <w:color w:val="auto"/>
              </w:rPr>
            </w:pPr>
            <w:r>
              <w:rPr>
                <w:rFonts w:ascii="Arial" w:cs="Arial" w:eastAsia="Arial" w:hAnsi="Arial"/>
                <w:sz w:val="16"/>
                <w:szCs w:val="16"/>
                <w:color w:val="auto"/>
              </w:rPr>
              <w:t>4,176,901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-2954020</wp:posOffset>
            </wp:positionV>
            <wp:extent cx="521398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-2696845</wp:posOffset>
            </wp:positionV>
            <wp:extent cx="521398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-2310765</wp:posOffset>
            </wp:positionV>
            <wp:extent cx="5213985"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25717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-1925320</wp:posOffset>
            </wp:positionV>
            <wp:extent cx="521398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-1667510</wp:posOffset>
            </wp:positionV>
            <wp:extent cx="521398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-1410335</wp:posOffset>
            </wp:positionV>
            <wp:extent cx="5213985" cy="257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25717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-895985</wp:posOffset>
            </wp:positionV>
            <wp:extent cx="5213985"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25717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-381635</wp:posOffset>
            </wp:positionV>
            <wp:extent cx="5213985"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25717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00" w:space="100"/>
            <w:col w:w="61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9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Total Control Investments</w:t>
            </w:r>
          </w:p>
        </w:tc>
        <w:tc>
          <w:tcPr>
            <w:tcW w:w="780" w:type="dxa"/>
            <w:vAlign w:val="bottom"/>
          </w:tcPr>
          <w:p>
            <w:pPr>
              <w:jc w:val="right"/>
              <w:spacing w:after="0"/>
              <w:rPr>
                <w:sz w:val="20"/>
                <w:szCs w:val="20"/>
                <w:color w:val="auto"/>
              </w:rPr>
            </w:pPr>
            <w:r>
              <w:rPr>
                <w:rFonts w:ascii="Arial" w:cs="Arial" w:eastAsia="Arial" w:hAnsi="Arial"/>
                <w:sz w:val="16"/>
                <w:szCs w:val="16"/>
                <w:color w:val="auto"/>
              </w:rPr>
              <w:t>$  234,409</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19,037,566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47,608</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$ 1,692,647</w:t>
            </w:r>
          </w:p>
        </w:tc>
        <w:tc>
          <w:tcPr>
            <w:tcW w:w="940" w:type="dxa"/>
            <w:vAlign w:val="bottom"/>
          </w:tcPr>
          <w:p>
            <w:pPr>
              <w:jc w:val="right"/>
              <w:spacing w:after="0"/>
              <w:rPr>
                <w:sz w:val="20"/>
                <w:szCs w:val="20"/>
                <w:color w:val="auto"/>
              </w:rPr>
            </w:pPr>
            <w:r>
              <w:rPr>
                <w:rFonts w:ascii="Arial" w:cs="Arial" w:eastAsia="Arial" w:hAnsi="Arial"/>
                <w:sz w:val="16"/>
                <w:szCs w:val="16"/>
                <w:color w:val="auto"/>
                <w:w w:val="94"/>
              </w:rPr>
              <w:t>$ 20,777,821</w:t>
            </w:r>
          </w:p>
        </w:tc>
      </w:tr>
      <w:tr>
        <w:trPr>
          <w:trHeight w:val="21"/>
        </w:trPr>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21398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 of March 31, 2017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Purchases,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Fees or</w:t>
            </w:r>
          </w:p>
        </w:tc>
        <w:tc>
          <w:tcPr>
            <w:tcW w:w="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8"/>
              </w:rPr>
              <w:t>Realized and</w:t>
            </w:r>
          </w:p>
        </w:tc>
        <w:tc>
          <w:tcPr>
            <w:tcW w:w="8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96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Dividends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Capitalized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14"/>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Credited in</w:t>
            </w:r>
          </w:p>
        </w:tc>
        <w:tc>
          <w:tcPr>
            <w:tcW w:w="8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Fees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Gains/(Losses)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2960" w:type="dxa"/>
            <w:vAlign w:val="bottom"/>
            <w:tcBorders>
              <w:right w:val="single" w:sz="8" w:color="CCEEFF"/>
            </w:tcBorders>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2"/>
                <w:szCs w:val="22"/>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162"/>
        </w:trPr>
        <w:tc>
          <w:tcPr>
            <w:tcW w:w="2960" w:type="dxa"/>
            <w:vAlign w:val="bottom"/>
            <w:gridSpan w:val="14"/>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 Corp.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top w:val="single" w:sz="8" w:color="auto"/>
            </w:tcBorders>
            <w:gridSpan w:val="12"/>
          </w:tcPr>
          <w:p>
            <w:pPr>
              <w:ind w:left="180"/>
              <w:spacing w:after="0" w:line="183" w:lineRule="exact"/>
              <w:rPr>
                <w:sz w:val="20"/>
                <w:szCs w:val="20"/>
                <w:color w:val="auto"/>
              </w:rPr>
            </w:pPr>
            <w:r>
              <w:rPr>
                <w:rFonts w:ascii="Arial" w:cs="Arial" w:eastAsia="Arial" w:hAnsi="Arial"/>
                <w:sz w:val="16"/>
                <w:szCs w:val="16"/>
                <w:b w:val="1"/>
                <w:bCs w:val="1"/>
                <w:color w:val="auto"/>
              </w:rPr>
              <w:t>(d/b/a S3i))</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Promissory Note, 12%, 11/17/2017***</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28,008</w:t>
            </w:r>
          </w:p>
        </w:tc>
        <w:tc>
          <w:tcPr>
            <w:tcW w:w="0" w:type="dxa"/>
            <w:vAlign w:val="bottom"/>
          </w:tcPr>
          <w:p>
            <w:pPr>
              <w:spacing w:after="0"/>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484,769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(167,805)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316,964</w:t>
            </w:r>
          </w:p>
        </w:tc>
        <w:tc>
          <w:tcPr>
            <w:tcW w:w="0" w:type="dxa"/>
            <w:vAlign w:val="bottom"/>
          </w:tcPr>
          <w:p>
            <w:pPr>
              <w:spacing w:after="0"/>
              <w:rPr>
                <w:sz w:val="1"/>
                <w:szCs w:val="1"/>
                <w:color w:val="auto"/>
              </w:rPr>
            </w:pPr>
          </w:p>
        </w:tc>
      </w:tr>
      <w:tr>
        <w:trPr>
          <w:trHeight w:val="19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40" w:type="dxa"/>
            <w:vAlign w:val="bottom"/>
            <w:tcBorders>
              <w:right w:val="single" w:sz="8" w:color="CCEEFF"/>
            </w:tcBorders>
            <w:gridSpan w:val="13"/>
            <w:shd w:val="clear" w:color="auto" w:fill="CCEEFF"/>
          </w:tcPr>
          <w:p>
            <w:pPr>
              <w:ind w:left="180"/>
              <w:spacing w:after="0"/>
              <w:rPr>
                <w:sz w:val="20"/>
                <w:szCs w:val="20"/>
                <w:color w:val="auto"/>
              </w:rPr>
            </w:pPr>
            <w:r>
              <w:rPr>
                <w:rFonts w:ascii="Arial" w:cs="Arial" w:eastAsia="Arial" w:hAnsi="Arial"/>
                <w:sz w:val="16"/>
                <w:szCs w:val="16"/>
                <w:color w:val="auto"/>
              </w:rPr>
              <w:t>Expiration Date 11/18/2022</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warrants, $1.17 Strike Price,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13"/>
          </w:tcPr>
          <w:p>
            <w:pPr>
              <w:ind w:left="180"/>
              <w:spacing w:after="0"/>
              <w:rPr>
                <w:sz w:val="20"/>
                <w:szCs w:val="20"/>
                <w:color w:val="auto"/>
              </w:rPr>
            </w:pPr>
            <w:r>
              <w:rPr>
                <w:rFonts w:ascii="Arial" w:cs="Arial" w:eastAsia="Arial" w:hAnsi="Arial"/>
                <w:sz w:val="16"/>
                <w:szCs w:val="16"/>
                <w:color w:val="auto"/>
              </w:rPr>
              <w:t>Expiration Date 8/29/2021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40" w:type="dxa"/>
            <w:vAlign w:val="bottom"/>
            <w:tcBorders>
              <w:right w:val="single" w:sz="8" w:color="CCEEFF"/>
            </w:tcBorders>
            <w:gridSpan w:val="13"/>
            <w:shd w:val="clear" w:color="auto" w:fill="CCEEFF"/>
          </w:tcPr>
          <w:p>
            <w:pPr>
              <w:ind w:left="180"/>
              <w:spacing w:after="0"/>
              <w:rPr>
                <w:sz w:val="20"/>
                <w:szCs w:val="20"/>
                <w:color w:val="auto"/>
              </w:rPr>
            </w:pPr>
            <w:r>
              <w:rPr>
                <w:rFonts w:ascii="Arial" w:cs="Arial" w:eastAsia="Arial" w:hAnsi="Arial"/>
                <w:sz w:val="16"/>
                <w:szCs w:val="16"/>
                <w:color w:val="auto"/>
              </w:rPr>
              <w:t>Expiration Date 6/26/2021</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warrants, $1.17 Strike Price,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13"/>
          </w:tcPr>
          <w:p>
            <w:pPr>
              <w:ind w:left="180"/>
              <w:spacing w:after="0"/>
              <w:rPr>
                <w:sz w:val="20"/>
                <w:szCs w:val="20"/>
                <w:color w:val="auto"/>
              </w:rPr>
            </w:pPr>
            <w:r>
              <w:rPr>
                <w:rFonts w:ascii="Arial" w:cs="Arial" w:eastAsia="Arial" w:hAnsi="Arial"/>
                <w:sz w:val="16"/>
                <w:szCs w:val="16"/>
                <w:color w:val="auto"/>
              </w:rPr>
              <w:t>Expiration Date 9/30/2020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40" w:type="dxa"/>
            <w:vAlign w:val="bottom"/>
            <w:tcBorders>
              <w:right w:val="single" w:sz="8" w:color="CCEEFF"/>
            </w:tcBorders>
            <w:gridSpan w:val="13"/>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960" w:type="dxa"/>
            <w:vAlign w:val="bottom"/>
            <w:gridSpan w:val="14"/>
          </w:tcPr>
          <w:p>
            <w:pPr>
              <w:ind w:left="20"/>
              <w:spacing w:after="0" w:line="162" w:lineRule="exact"/>
              <w:rPr>
                <w:sz w:val="20"/>
                <w:szCs w:val="20"/>
                <w:color w:val="auto"/>
              </w:rPr>
            </w:pPr>
            <w:r>
              <w:rPr>
                <w:rFonts w:ascii="Arial" w:cs="Arial" w:eastAsia="Arial" w:hAnsi="Arial"/>
                <w:sz w:val="16"/>
                <w:szCs w:val="16"/>
                <w:b w:val="1"/>
                <w:bCs w:val="1"/>
                <w:color w:val="auto"/>
              </w:rPr>
              <w:t>CUX, Inc. (d/b/a CorpU)</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940" w:type="dxa"/>
            <w:vAlign w:val="bottom"/>
            <w:tcBorders>
              <w:right w:val="single" w:sz="8" w:color="CCEEFF"/>
            </w:tcBorders>
            <w:gridSpan w:val="13"/>
            <w:shd w:val="clear" w:color="auto" w:fill="CCEEFF"/>
          </w:tcPr>
          <w:p>
            <w:pPr>
              <w:ind w:left="180"/>
              <w:spacing w:after="0"/>
              <w:rPr>
                <w:sz w:val="20"/>
                <w:szCs w:val="20"/>
                <w:color w:val="auto"/>
              </w:rPr>
            </w:pPr>
            <w:r>
              <w:rPr>
                <w:rFonts w:ascii="Arial" w:cs="Arial" w:eastAsia="Arial" w:hAnsi="Arial"/>
                <w:sz w:val="16"/>
                <w:szCs w:val="16"/>
                <w:color w:val="auto"/>
              </w:rPr>
              <w:t>Promissory Note 8% Due</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520" w:type="dxa"/>
            <w:vAlign w:val="bottom"/>
            <w:gridSpan w:val="9"/>
            <w:shd w:val="clear" w:color="auto" w:fill="CCEEFF"/>
          </w:tcPr>
          <w:p>
            <w:pPr>
              <w:ind w:left="200"/>
              <w:spacing w:after="0" w:line="254" w:lineRule="exact"/>
              <w:rPr>
                <w:sz w:val="20"/>
                <w:szCs w:val="20"/>
                <w:color w:val="auto"/>
              </w:rPr>
            </w:pPr>
            <w:r>
              <w:rPr>
                <w:rFonts w:ascii="Arial" w:cs="Arial" w:eastAsia="Arial" w:hAnsi="Arial"/>
                <w:sz w:val="16"/>
                <w:szCs w:val="16"/>
                <w:color w:val="auto"/>
              </w:rPr>
              <w:t>11/26/2018***</w:t>
            </w:r>
            <w:r>
              <w:rPr>
                <w:rFonts w:ascii="Arial" w:cs="Arial" w:eastAsia="Arial" w:hAnsi="Arial"/>
                <w:sz w:val="27"/>
                <w:szCs w:val="27"/>
                <w:color w:val="auto"/>
                <w:vertAlign w:val="superscript"/>
              </w:rPr>
              <w:t>(3)</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1,166,400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1,166,400</w:t>
            </w:r>
          </w:p>
        </w:tc>
        <w:tc>
          <w:tcPr>
            <w:tcW w:w="0" w:type="dxa"/>
            <w:vAlign w:val="bottom"/>
          </w:tcPr>
          <w:p>
            <w:pPr>
              <w:spacing w:after="0"/>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Convertible preferred shares, Series D</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775,861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775,861</w:t>
            </w:r>
          </w:p>
        </w:tc>
        <w:tc>
          <w:tcPr>
            <w:tcW w:w="0" w:type="dxa"/>
            <w:vAlign w:val="bottom"/>
          </w:tcPr>
          <w:p>
            <w:pPr>
              <w:spacing w:after="0"/>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Convertible preferred shares, Series C</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1,913,484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1,913,484</w:t>
            </w:r>
          </w:p>
        </w:tc>
        <w:tc>
          <w:tcPr>
            <w:tcW w:w="0" w:type="dxa"/>
            <w:vAlign w:val="bottom"/>
          </w:tcPr>
          <w:p>
            <w:pPr>
              <w:spacing w:after="0"/>
              <w:rPr>
                <w:sz w:val="1"/>
                <w:szCs w:val="1"/>
                <w:color w:val="auto"/>
              </w:rPr>
            </w:pPr>
          </w:p>
        </w:tc>
      </w:tr>
      <w:tr>
        <w:trPr>
          <w:trHeight w:val="193"/>
        </w:trPr>
        <w:tc>
          <w:tcPr>
            <w:tcW w:w="2960" w:type="dxa"/>
            <w:vAlign w:val="bottom"/>
            <w:gridSpan w:val="14"/>
          </w:tcPr>
          <w:p>
            <w:pPr>
              <w:ind w:left="20"/>
              <w:spacing w:after="0"/>
              <w:rPr>
                <w:sz w:val="20"/>
                <w:szCs w:val="20"/>
                <w:color w:val="auto"/>
              </w:rPr>
            </w:pPr>
            <w:r>
              <w:rPr>
                <w:rFonts w:ascii="Arial" w:cs="Arial" w:eastAsia="Arial" w:hAnsi="Arial"/>
                <w:sz w:val="16"/>
                <w:szCs w:val="16"/>
                <w:color w:val="auto"/>
                <w:w w:val="98"/>
              </w:rPr>
              <w:t>Preferred warrants, Series D, Strike Price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13"/>
          </w:tcPr>
          <w:p>
            <w:pPr>
              <w:ind w:left="180"/>
              <w:spacing w:after="0"/>
              <w:rPr>
                <w:sz w:val="20"/>
                <w:szCs w:val="20"/>
                <w:color w:val="auto"/>
              </w:rPr>
            </w:pPr>
            <w:r>
              <w:rPr>
                <w:rFonts w:ascii="Arial" w:cs="Arial" w:eastAsia="Arial" w:hAnsi="Arial"/>
                <w:sz w:val="16"/>
                <w:szCs w:val="16"/>
                <w:color w:val="auto"/>
              </w:rPr>
              <w:t>$4.59, Expiration Date 2/25/2018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165"/>
        </w:trPr>
        <w:tc>
          <w:tcPr>
            <w:tcW w:w="2960" w:type="dxa"/>
            <w:vAlign w:val="bottom"/>
            <w:tcBorders>
              <w:right w:val="single" w:sz="8" w:color="CCEEFF"/>
            </w:tcBorders>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Curious.com Inc.</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9,984,954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(204,470)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9,780,484</w:t>
            </w:r>
          </w:p>
        </w:tc>
        <w:tc>
          <w:tcPr>
            <w:tcW w:w="0" w:type="dxa"/>
            <w:vAlign w:val="bottom"/>
          </w:tcPr>
          <w:p>
            <w:pPr>
              <w:spacing w:after="0"/>
              <w:rPr>
                <w:sz w:val="1"/>
                <w:szCs w:val="1"/>
                <w:color w:val="auto"/>
              </w:rPr>
            </w:pPr>
          </w:p>
        </w:tc>
      </w:tr>
      <w:tr>
        <w:trPr>
          <w:trHeight w:val="162"/>
        </w:trPr>
        <w:tc>
          <w:tcPr>
            <w:tcW w:w="2960" w:type="dxa"/>
            <w:vAlign w:val="bottom"/>
            <w:tcBorders>
              <w:right w:val="single" w:sz="8" w:color="CCEEFF"/>
            </w:tcBorders>
            <w:gridSpan w:val="14"/>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Convertible Promissory Note 9% Due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20" w:type="dxa"/>
            <w:vAlign w:val="bottom"/>
            <w:gridSpan w:val="6"/>
          </w:tcPr>
          <w:p>
            <w:pPr>
              <w:ind w:left="200"/>
              <w:spacing w:after="0"/>
              <w:rPr>
                <w:sz w:val="20"/>
                <w:szCs w:val="20"/>
                <w:color w:val="auto"/>
              </w:rPr>
            </w:pPr>
            <w:r>
              <w:rPr>
                <w:rFonts w:ascii="Arial" w:cs="Arial" w:eastAsia="Arial" w:hAnsi="Arial"/>
                <w:sz w:val="16"/>
                <w:szCs w:val="16"/>
                <w:color w:val="auto"/>
              </w:rPr>
              <w:t>6/30/2017***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47,062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2,827,020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2,827,020</w:t>
            </w:r>
          </w:p>
        </w:tc>
        <w:tc>
          <w:tcPr>
            <w:tcW w:w="0" w:type="dxa"/>
            <w:vAlign w:val="bottom"/>
          </w:tcPr>
          <w:p>
            <w:pPr>
              <w:spacing w:after="0"/>
              <w:rPr>
                <w:sz w:val="1"/>
                <w:szCs w:val="1"/>
                <w:color w:val="auto"/>
              </w:rPr>
            </w:pPr>
          </w:p>
        </w:tc>
      </w:tr>
      <w:tr>
        <w:trPr>
          <w:trHeight w:val="206"/>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4,786,654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(178,606)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4,608,048</w:t>
            </w:r>
          </w:p>
        </w:tc>
        <w:tc>
          <w:tcPr>
            <w:tcW w:w="0" w:type="dxa"/>
            <w:vAlign w:val="bottom"/>
          </w:tcPr>
          <w:p>
            <w:pPr>
              <w:spacing w:after="0"/>
              <w:rPr>
                <w:sz w:val="1"/>
                <w:szCs w:val="1"/>
                <w:color w:val="auto"/>
              </w:rPr>
            </w:pPr>
          </w:p>
        </w:tc>
      </w:tr>
      <w:tr>
        <w:trPr>
          <w:trHeight w:val="162"/>
        </w:trPr>
        <w:tc>
          <w:tcPr>
            <w:tcW w:w="2960" w:type="dxa"/>
            <w:vAlign w:val="bottom"/>
            <w:gridSpan w:val="14"/>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588,294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(24,718)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563,576</w:t>
            </w:r>
          </w:p>
        </w:tc>
        <w:tc>
          <w:tcPr>
            <w:tcW w:w="0" w:type="dxa"/>
            <w:vAlign w:val="bottom"/>
          </w:tcPr>
          <w:p>
            <w:pPr>
              <w:spacing w:after="0"/>
              <w:rPr>
                <w:sz w:val="1"/>
                <w:szCs w:val="1"/>
                <w:color w:val="auto"/>
              </w:rPr>
            </w:pPr>
          </w:p>
        </w:tc>
      </w:tr>
      <w:tr>
        <w:trPr>
          <w:trHeight w:val="162"/>
        </w:trPr>
        <w:tc>
          <w:tcPr>
            <w:tcW w:w="2960" w:type="dxa"/>
            <w:vAlign w:val="bottom"/>
            <w:tcBorders>
              <w:right w:val="single" w:sz="8" w:color="CCEEFF"/>
            </w:tcBorders>
            <w:gridSpan w:val="14"/>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Global Education</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13"/>
          </w:tcPr>
          <w:p>
            <w:pPr>
              <w:ind w:left="180"/>
              <w:spacing w:after="0" w:line="202" w:lineRule="exact"/>
              <w:rPr>
                <w:sz w:val="20"/>
                <w:szCs w:val="20"/>
                <w:color w:val="auto"/>
              </w:rPr>
            </w:pPr>
            <w:r>
              <w:rPr>
                <w:rFonts w:ascii="Arial" w:cs="Arial" w:eastAsia="Arial" w:hAnsi="Arial"/>
                <w:sz w:val="14"/>
                <w:szCs w:val="14"/>
                <w:b w:val="1"/>
                <w:bCs w:val="1"/>
                <w:color w:val="auto"/>
              </w:rPr>
              <w:t>Learning (Holdings) Ltd.</w:t>
            </w:r>
            <w:r>
              <w:rPr>
                <w:rFonts w:ascii="Arial" w:cs="Arial" w:eastAsia="Arial" w:hAnsi="Arial"/>
                <w:sz w:val="23"/>
                <w:szCs w:val="23"/>
                <w:b w:val="1"/>
                <w:bCs w:val="1"/>
                <w:color w:val="auto"/>
                <w:vertAlign w:val="superscript"/>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960" w:type="dxa"/>
            <w:vAlign w:val="bottom"/>
            <w:gridSpan w:val="14"/>
          </w:tcPr>
          <w:p>
            <w:pPr>
              <w:ind w:left="20"/>
              <w:spacing w:after="0" w:line="162" w:lineRule="exact"/>
              <w:rPr>
                <w:sz w:val="20"/>
                <w:szCs w:val="20"/>
                <w:color w:val="auto"/>
              </w:rPr>
            </w:pPr>
            <w:r>
              <w:rPr>
                <w:rFonts w:ascii="Arial" w:cs="Arial" w:eastAsia="Arial" w:hAnsi="Arial"/>
                <w:sz w:val="16"/>
                <w:szCs w:val="16"/>
                <w:b w:val="1"/>
                <w:bCs w:val="1"/>
                <w:color w:val="auto"/>
              </w:rPr>
              <w:t>Maven Research, Inc.</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1,999,998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0" w:type="dxa"/>
            <w:vAlign w:val="bottom"/>
          </w:tcPr>
          <w:p>
            <w:pPr>
              <w:spacing w:after="0"/>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223,763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33,168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256,931</w:t>
            </w:r>
          </w:p>
        </w:tc>
        <w:tc>
          <w:tcPr>
            <w:tcW w:w="0" w:type="dxa"/>
            <w:vAlign w:val="bottom"/>
          </w:tcPr>
          <w:p>
            <w:pPr>
              <w:spacing w:after="0"/>
              <w:rPr>
                <w:sz w:val="1"/>
                <w:szCs w:val="1"/>
                <w:color w:val="auto"/>
              </w:rPr>
            </w:pPr>
          </w:p>
        </w:tc>
      </w:tr>
      <w:tr>
        <w:trPr>
          <w:trHeight w:val="162"/>
        </w:trPr>
        <w:tc>
          <w:tcPr>
            <w:tcW w:w="2960" w:type="dxa"/>
            <w:vAlign w:val="bottom"/>
            <w:tcBorders>
              <w:right w:val="single" w:sz="8" w:color="CCEEFF"/>
            </w:tcBorders>
            <w:gridSpan w:val="14"/>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Convertible Promissory Note 5%, Due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200" w:type="dxa"/>
            <w:vAlign w:val="bottom"/>
            <w:gridSpan w:val="7"/>
          </w:tcPr>
          <w:p>
            <w:pPr>
              <w:ind w:left="200"/>
              <w:spacing w:after="0" w:line="254" w:lineRule="exact"/>
              <w:rPr>
                <w:sz w:val="20"/>
                <w:szCs w:val="20"/>
                <w:color w:val="auto"/>
              </w:rPr>
            </w:pPr>
            <w:r>
              <w:rPr>
                <w:rFonts w:ascii="Arial" w:cs="Arial" w:eastAsia="Arial" w:hAnsi="Arial"/>
                <w:sz w:val="16"/>
                <w:szCs w:val="16"/>
                <w:color w:val="auto"/>
                <w:w w:val="96"/>
              </w:rPr>
              <w:t>02/28/2018</w:t>
            </w:r>
            <w:r>
              <w:rPr>
                <w:rFonts w:ascii="Arial" w:cs="Arial" w:eastAsia="Arial" w:hAnsi="Arial"/>
                <w:sz w:val="27"/>
                <w:szCs w:val="27"/>
                <w:color w:val="auto"/>
                <w:w w:val="96"/>
                <w:vertAlign w:val="superscript"/>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24,658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2,000,000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4,999,999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0" w:type="dxa"/>
            <w:vAlign w:val="bottom"/>
          </w:tcPr>
          <w:p>
            <w:pPr>
              <w:spacing w:after="0"/>
              <w:rPr>
                <w:sz w:val="1"/>
                <w:szCs w:val="1"/>
                <w:color w:val="auto"/>
              </w:rPr>
            </w:pPr>
          </w:p>
        </w:tc>
      </w:tr>
      <w:tr>
        <w:trPr>
          <w:trHeight w:val="203"/>
        </w:trPr>
        <w:tc>
          <w:tcPr>
            <w:tcW w:w="29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3"/>
        </w:trPr>
        <w:tc>
          <w:tcPr>
            <w:tcW w:w="2960" w:type="dxa"/>
            <w:vAlign w:val="bottom"/>
            <w:gridSpan w:val="14"/>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right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2,052,555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177,078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2,229,633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14"/>
          </w:tcPr>
          <w:p>
            <w:pPr>
              <w:ind w:left="20"/>
              <w:spacing w:after="0"/>
              <w:rPr>
                <w:sz w:val="20"/>
                <w:szCs w:val="20"/>
                <w:color w:val="auto"/>
              </w:rPr>
            </w:pPr>
            <w:r>
              <w:rPr>
                <w:rFonts w:ascii="Arial" w:cs="Arial" w:eastAsia="Arial" w:hAnsi="Arial"/>
                <w:sz w:val="16"/>
                <w:szCs w:val="16"/>
                <w:b w:val="1"/>
                <w:bCs w:val="1"/>
                <w:color w:val="auto"/>
              </w:rPr>
              <w:t>Total Affiliate Investments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95,677</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42,444,690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3,364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(476,746)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41,971,308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79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initial public offering.</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 of March 31, 2017 (unaudited) – (continued)</w:t>
      </w:r>
    </w:p>
    <w:p>
      <w:pPr>
        <w:spacing w:after="0" w:line="103" w:lineRule="exact"/>
        <w:rPr>
          <w:sz w:val="20"/>
          <w:szCs w:val="20"/>
          <w:color w:val="auto"/>
        </w:rPr>
      </w:pPr>
    </w:p>
    <w:p>
      <w:pPr>
        <w:ind w:left="280" w:right="939" w:hanging="272"/>
        <w:spacing w:after="0" w:line="277"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GSV Capital Corp.’s investment in StormWind, LLC is held through its wholly owned subsidiary, GSVC SW Holdings, Inc.</w:t>
      </w:r>
    </w:p>
    <w:p>
      <w:pPr>
        <w:spacing w:after="0" w:line="140" w:lineRule="exact"/>
        <w:rPr>
          <w:rFonts w:ascii="Arial" w:cs="Arial" w:eastAsia="Arial" w:hAnsi="Arial"/>
          <w:sz w:val="16"/>
          <w:szCs w:val="16"/>
          <w:color w:val="auto"/>
        </w:rPr>
      </w:pPr>
    </w:p>
    <w:p>
      <w:pPr>
        <w:ind w:left="280" w:right="839" w:hanging="272"/>
        <w:spacing w:after="0" w:line="26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right="799" w:hanging="272"/>
        <w:spacing w:after="0" w:line="26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280" w:right="739"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080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0801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Transfer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Control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Control Investments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10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Investment To</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Realized and</w:t>
            </w: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420" w:type="dxa"/>
            <w:vAlign w:val="bottom"/>
            <w:gridSpan w:val="8"/>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Non-Control/</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Corporate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Portfolio Company/Type of</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 in</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December 31,</w:t>
            </w:r>
          </w:p>
        </w:tc>
        <w:tc>
          <w:tcPr>
            <w:tcW w:w="10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Non-Affiliate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Investment*</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Action</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Borders>
              <w:right w:val="single" w:sz="8" w:color="CCEEFF"/>
            </w:tcBorders>
            <w:gridSpan w:val="8"/>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4,599,718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51,120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4,650,838</w:t>
            </w:r>
          </w:p>
        </w:tc>
        <w:tc>
          <w:tcPr>
            <w:tcW w:w="0" w:type="dxa"/>
            <w:vAlign w:val="bottom"/>
          </w:tcPr>
          <w:p>
            <w:pPr>
              <w:spacing w:after="0"/>
              <w:rPr>
                <w:sz w:val="1"/>
                <w:szCs w:val="1"/>
                <w:color w:val="auto"/>
              </w:rPr>
            </w:pPr>
          </w:p>
        </w:tc>
      </w:tr>
      <w:tr>
        <w:trPr>
          <w:trHeight w:val="20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4,633,228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(162,825)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4,470,403</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518,000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(18,204)</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499,796</w:t>
            </w:r>
          </w:p>
        </w:tc>
        <w:tc>
          <w:tcPr>
            <w:tcW w:w="0" w:type="dxa"/>
            <w:vAlign w:val="bottom"/>
          </w:tcPr>
          <w:p>
            <w:pPr>
              <w:spacing w:after="0"/>
              <w:rPr>
                <w:sz w:val="1"/>
                <w:szCs w:val="1"/>
                <w:color w:val="auto"/>
              </w:rPr>
            </w:pPr>
          </w:p>
        </w:tc>
      </w:tr>
      <w:tr>
        <w:trPr>
          <w:trHeight w:val="162"/>
        </w:trPr>
        <w:tc>
          <w:tcPr>
            <w:tcW w:w="2420" w:type="dxa"/>
            <w:vAlign w:val="bottom"/>
            <w:tcBorders>
              <w:right w:val="single" w:sz="8" w:color="CCEEFF"/>
            </w:tcBorders>
            <w:gridSpan w:val="8"/>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9"/>
              </w:rPr>
              <w:t>NestGSV, Inc. (d/b/a GSV Labs,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gridSpan w:val="6"/>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Inc.)</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Convertible Promissory Note 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7"/>
          </w:tcPr>
          <w:p>
            <w:pPr>
              <w:ind w:left="180"/>
              <w:spacing w:after="0"/>
              <w:rPr>
                <w:sz w:val="20"/>
                <w:szCs w:val="20"/>
                <w:color w:val="auto"/>
              </w:rPr>
            </w:pPr>
            <w:r>
              <w:rPr>
                <w:rFonts w:ascii="Arial" w:cs="Arial" w:eastAsia="Arial" w:hAnsi="Arial"/>
                <w:sz w:val="16"/>
                <w:szCs w:val="16"/>
                <w:color w:val="auto"/>
              </w:rPr>
              <w:t>Due 07/31/2017***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16,889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425,620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31,972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(29,692)</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427,900</w:t>
            </w:r>
          </w:p>
        </w:tc>
        <w:tc>
          <w:tcPr>
            <w:tcW w:w="0" w:type="dxa"/>
            <w:vAlign w:val="bottom"/>
          </w:tcPr>
          <w:p>
            <w:pPr>
              <w:spacing w:after="0"/>
              <w:rPr>
                <w:sz w:val="1"/>
                <w:szCs w:val="1"/>
                <w:color w:val="auto"/>
              </w:rPr>
            </w:pPr>
          </w:p>
        </w:tc>
      </w:tr>
      <w:tr>
        <w:trPr>
          <w:trHeight w:val="196"/>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Convertible Promissory Note 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0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Due 06/30/16***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48,248</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Promissory Note 10% Due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ind w:left="200"/>
              <w:spacing w:after="0"/>
              <w:rPr>
                <w:sz w:val="20"/>
                <w:szCs w:val="20"/>
                <w:color w:val="auto"/>
              </w:rPr>
            </w:pPr>
            <w:r>
              <w:rPr>
                <w:rFonts w:ascii="Arial" w:cs="Arial" w:eastAsia="Arial" w:hAnsi="Arial"/>
                <w:sz w:val="16"/>
                <w:szCs w:val="16"/>
                <w:color w:val="auto"/>
              </w:rPr>
              <w:t>11/23/2016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(500,000)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w w:val="99"/>
              </w:rPr>
              <w:t>Unsecured Promissory Note 12%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0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Due 05/29/2017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501,802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496,725</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4,960,565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(4,904,498)</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(56,067)</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1,733,404</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(2,005,730)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272,326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(605,500)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605,500</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(1,021,778)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5"/>
              </w:rPr>
              <w:t>1,021,778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stock Series A-4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4,904,498</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(2,188,588)</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2,715,910</w:t>
            </w:r>
          </w:p>
        </w:tc>
        <w:tc>
          <w:tcPr>
            <w:tcW w:w="0" w:type="dxa"/>
            <w:vAlign w:val="bottom"/>
          </w:tcPr>
          <w:p>
            <w:pPr>
              <w:spacing w:after="0"/>
              <w:rPr>
                <w:sz w:val="1"/>
                <w:szCs w:val="1"/>
                <w:color w:val="auto"/>
              </w:rPr>
            </w:pPr>
          </w:p>
        </w:tc>
      </w:tr>
      <w:tr>
        <w:trPr>
          <w:trHeight w:val="20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stock Series A-3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2,005,730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(1,053,139)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952,591</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stock Series A-2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605,500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(439,000)</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166,500</w:t>
            </w:r>
          </w:p>
        </w:tc>
        <w:tc>
          <w:tcPr>
            <w:tcW w:w="0" w:type="dxa"/>
            <w:vAlign w:val="bottom"/>
          </w:tcPr>
          <w:p>
            <w:pPr>
              <w:spacing w:after="0"/>
              <w:rPr>
                <w:sz w:val="1"/>
                <w:szCs w:val="1"/>
                <w:color w:val="auto"/>
              </w:rPr>
            </w:pPr>
          </w:p>
        </w:tc>
      </w:tr>
      <w:tr>
        <w:trPr>
          <w:trHeight w:val="20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stock Series A-1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1,021,778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(751,778)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Warrant Series A-4 –</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2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Strike Price $1.33333,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Expiration Date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10/6/2019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19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Warrant Series A-4 –</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6"/>
          </w:tcPr>
          <w:p>
            <w:pPr>
              <w:ind w:left="40"/>
              <w:spacing w:after="0"/>
              <w:rPr>
                <w:sz w:val="20"/>
                <w:szCs w:val="20"/>
                <w:color w:val="auto"/>
              </w:rPr>
            </w:pPr>
            <w:r>
              <w:rPr>
                <w:rFonts w:ascii="Arial" w:cs="Arial" w:eastAsia="Arial" w:hAnsi="Arial"/>
                <w:sz w:val="16"/>
                <w:szCs w:val="16"/>
                <w:color w:val="auto"/>
              </w:rPr>
              <w:t>Strike Price $1.33333,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7"/>
          </w:tcPr>
          <w:p>
            <w:pPr>
              <w:ind w:left="180"/>
              <w:spacing w:after="0"/>
              <w:rPr>
                <w:sz w:val="20"/>
                <w:szCs w:val="20"/>
                <w:color w:val="auto"/>
              </w:rPr>
            </w:pPr>
            <w:r>
              <w:rPr>
                <w:rFonts w:ascii="Arial" w:cs="Arial" w:eastAsia="Arial" w:hAnsi="Arial"/>
                <w:sz w:val="16"/>
                <w:szCs w:val="16"/>
                <w:color w:val="auto"/>
              </w:rPr>
              <w:t>Expiration Date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ind w:left="200"/>
              <w:spacing w:after="0"/>
              <w:rPr>
                <w:sz w:val="20"/>
                <w:szCs w:val="20"/>
                <w:color w:val="auto"/>
              </w:rPr>
            </w:pPr>
            <w:r>
              <w:rPr>
                <w:rFonts w:ascii="Arial" w:cs="Arial" w:eastAsia="Arial" w:hAnsi="Arial"/>
                <w:sz w:val="16"/>
                <w:szCs w:val="16"/>
                <w:color w:val="auto"/>
              </w:rPr>
              <w:t>7/18/2021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74,380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(51,880)</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196"/>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Warrant Series A-4 –</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2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Strike Price $1.33333,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Expiration Date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11/29/2021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9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Preferred Warrant Series A-3 –</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6"/>
          </w:tcPr>
          <w:p>
            <w:pPr>
              <w:ind w:left="40"/>
              <w:spacing w:after="0"/>
              <w:rPr>
                <w:sz w:val="20"/>
                <w:szCs w:val="20"/>
                <w:color w:val="auto"/>
              </w:rPr>
            </w:pPr>
            <w:r>
              <w:rPr>
                <w:rFonts w:ascii="Arial" w:cs="Arial" w:eastAsia="Arial" w:hAnsi="Arial"/>
                <w:sz w:val="16"/>
                <w:szCs w:val="16"/>
                <w:color w:val="auto"/>
              </w:rPr>
              <w:t>Strike Price $1.33333,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7"/>
          </w:tcPr>
          <w:p>
            <w:pPr>
              <w:ind w:left="180"/>
              <w:spacing w:after="0"/>
              <w:rPr>
                <w:sz w:val="20"/>
                <w:szCs w:val="20"/>
                <w:color w:val="auto"/>
              </w:rPr>
            </w:pPr>
            <w:r>
              <w:rPr>
                <w:rFonts w:ascii="Arial" w:cs="Arial" w:eastAsia="Arial" w:hAnsi="Arial"/>
                <w:sz w:val="16"/>
                <w:szCs w:val="16"/>
                <w:color w:val="auto"/>
              </w:rPr>
              <w:t>Expiration Date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ind w:left="200"/>
              <w:spacing w:after="0"/>
              <w:rPr>
                <w:sz w:val="20"/>
                <w:szCs w:val="20"/>
                <w:color w:val="auto"/>
              </w:rPr>
            </w:pPr>
            <w:r>
              <w:rPr>
                <w:rFonts w:ascii="Arial" w:cs="Arial" w:eastAsia="Arial" w:hAnsi="Arial"/>
                <w:sz w:val="16"/>
                <w:szCs w:val="16"/>
                <w:color w:val="auto"/>
              </w:rPr>
              <w:t>4/4/2019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196"/>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w w:val="90"/>
              </w:rPr>
              <w:t>Preferred warrants, Series D – $1.33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Strike Price, Expiration Date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10/6/2019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420" w:type="dxa"/>
            <w:vAlign w:val="bottom"/>
            <w:gridSpan w:val="8"/>
          </w:tcPr>
          <w:p>
            <w:pPr>
              <w:ind w:left="20"/>
              <w:spacing w:after="0"/>
              <w:rPr>
                <w:sz w:val="20"/>
                <w:szCs w:val="20"/>
                <w:color w:val="auto"/>
              </w:rPr>
            </w:pPr>
            <w:r>
              <w:rPr>
                <w:rFonts w:ascii="Arial" w:cs="Arial" w:eastAsia="Arial" w:hAnsi="Arial"/>
                <w:sz w:val="16"/>
                <w:szCs w:val="16"/>
                <w:color w:val="auto"/>
                <w:w w:val="90"/>
              </w:rPr>
              <w:t>Preferred warrants, Series C – $1.33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7"/>
          </w:tcPr>
          <w:p>
            <w:pPr>
              <w:ind w:left="180"/>
              <w:spacing w:after="0"/>
              <w:rPr>
                <w:sz w:val="20"/>
                <w:szCs w:val="20"/>
                <w:color w:val="auto"/>
              </w:rPr>
            </w:pPr>
            <w:r>
              <w:rPr>
                <w:rFonts w:ascii="Arial" w:cs="Arial" w:eastAsia="Arial" w:hAnsi="Arial"/>
                <w:sz w:val="16"/>
                <w:szCs w:val="16"/>
                <w:color w:val="auto"/>
              </w:rPr>
              <w:t>Strike Price, Expiration Date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ind w:left="200"/>
              <w:spacing w:after="0"/>
              <w:rPr>
                <w:sz w:val="20"/>
                <w:szCs w:val="20"/>
                <w:color w:val="auto"/>
              </w:rPr>
            </w:pPr>
            <w:r>
              <w:rPr>
                <w:rFonts w:ascii="Arial" w:cs="Arial" w:eastAsia="Arial" w:hAnsi="Arial"/>
                <w:sz w:val="16"/>
                <w:szCs w:val="16"/>
                <w:color w:val="auto"/>
              </w:rPr>
              <w:t>4/4/2019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(31,875)</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w w:val="91"/>
              </w:rPr>
              <w:t>Preferred warrants Series D – Strike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Price $1.33, Expiration Date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7/18/2021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420" w:type="dxa"/>
            <w:vAlign w:val="bottom"/>
            <w:gridSpan w:val="8"/>
          </w:tcPr>
          <w:p>
            <w:pPr>
              <w:ind w:left="20"/>
              <w:spacing w:after="0" w:line="162" w:lineRule="exact"/>
              <w:rPr>
                <w:sz w:val="20"/>
                <w:szCs w:val="20"/>
                <w:color w:val="auto"/>
              </w:rPr>
            </w:pPr>
            <w:r>
              <w:rPr>
                <w:rFonts w:ascii="Arial" w:cs="Arial" w:eastAsia="Arial" w:hAnsi="Arial"/>
                <w:sz w:val="16"/>
                <w:szCs w:val="16"/>
                <w:b w:val="1"/>
                <w:bCs w:val="1"/>
                <w:color w:val="auto"/>
              </w:rPr>
              <w:t>SPBRX, INC. (f/k/a GSV</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gridSpan w:val="7"/>
          </w:tcPr>
          <w:p>
            <w:pPr>
              <w:ind w:left="180"/>
              <w:spacing w:after="0" w:line="183" w:lineRule="exact"/>
              <w:rPr>
                <w:sz w:val="20"/>
                <w:szCs w:val="20"/>
                <w:color w:val="auto"/>
              </w:rPr>
            </w:pPr>
            <w:r>
              <w:rPr>
                <w:rFonts w:ascii="Arial" w:cs="Arial" w:eastAsia="Arial" w:hAnsi="Arial"/>
                <w:sz w:val="16"/>
                <w:szCs w:val="16"/>
                <w:b w:val="1"/>
                <w:bCs w:val="1"/>
                <w:color w:val="auto"/>
              </w:rPr>
              <w:t>Sustainability Partners, Inc.)</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6,250,000</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(1,940,222)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4,309,778</w:t>
            </w:r>
          </w:p>
        </w:tc>
        <w:tc>
          <w:tcPr>
            <w:tcW w:w="0" w:type="dxa"/>
            <w:vAlign w:val="bottom"/>
          </w:tcPr>
          <w:p>
            <w:pPr>
              <w:spacing w:after="0"/>
              <w:rPr>
                <w:sz w:val="1"/>
                <w:szCs w:val="1"/>
                <w:color w:val="auto"/>
              </w:rPr>
            </w:pPr>
          </w:p>
        </w:tc>
      </w:tr>
      <w:tr>
        <w:trPr>
          <w:trHeight w:val="203"/>
        </w:trPr>
        <w:tc>
          <w:tcPr>
            <w:tcW w:w="242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b w:val="1"/>
                <w:bCs w:val="1"/>
                <w:color w:val="auto"/>
              </w:rPr>
              <w:t>Total Control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101,999</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22,871,790</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1,563,049</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7"/>
              </w:rPr>
              <w:t xml:space="preserve">(500,000) </w:t>
            </w:r>
            <w:r>
              <w:rPr>
                <w:rFonts w:ascii="Arial" w:cs="Arial" w:eastAsia="Arial" w:hAnsi="Arial"/>
                <w:sz w:val="16"/>
                <w:szCs w:val="16"/>
                <w:u w:val="single" w:color="auto"/>
                <w:color w:val="auto"/>
                <w:w w:val="97"/>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2"/>
              </w:rPr>
              <w:t>(4,897,273)  $</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19,037,566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6080125"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80125"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0972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0972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Affiliate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Investment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Realized and</w:t>
            </w:r>
          </w:p>
        </w:tc>
        <w:tc>
          <w:tcPr>
            <w:tcW w:w="4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840" w:type="dxa"/>
            <w:vAlign w:val="bottom"/>
            <w:gridSpan w:val="11"/>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Non-Control</w:t>
            </w:r>
          </w:p>
        </w:tc>
        <w:tc>
          <w:tcPr>
            <w:tcW w:w="4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Portfolio Company/Type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 in</w:t>
            </w: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/Non-Affiliate</w:t>
            </w:r>
          </w:p>
        </w:tc>
        <w:tc>
          <w:tcPr>
            <w:tcW w:w="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Purchases</w:t>
            </w:r>
          </w:p>
        </w:tc>
        <w:tc>
          <w:tcPr>
            <w:tcW w:w="4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840" w:type="dxa"/>
            <w:vAlign w:val="bottom"/>
            <w:gridSpan w:val="11"/>
          </w:tcPr>
          <w:p>
            <w:pPr>
              <w:ind w:left="20"/>
              <w:spacing w:after="0"/>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Action</w:t>
            </w: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Gains/(Losses)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6"/>
        </w:trPr>
        <w:tc>
          <w:tcPr>
            <w:tcW w:w="2840" w:type="dxa"/>
            <w:vAlign w:val="bottom"/>
            <w:tcBorders>
              <w:top w:val="single" w:sz="8" w:color="auto"/>
            </w:tcBorders>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AlwaysOn, Inc.</w:t>
            </w: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133,978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  $</w:t>
            </w:r>
          </w:p>
        </w:tc>
        <w:tc>
          <w:tcPr>
            <w:tcW w:w="2160" w:type="dxa"/>
            <w:vAlign w:val="bottom"/>
            <w:gridSpan w:val="5"/>
          </w:tcPr>
          <w:p>
            <w:pPr>
              <w:jc w:val="right"/>
              <w:spacing w:after="0"/>
              <w:rPr>
                <w:sz w:val="20"/>
                <w:szCs w:val="20"/>
                <w:color w:val="auto"/>
              </w:rPr>
            </w:pPr>
            <w:r>
              <w:rPr>
                <w:rFonts w:ascii="Arial" w:cs="Arial" w:eastAsia="Arial" w:hAnsi="Arial"/>
                <w:sz w:val="16"/>
                <w:szCs w:val="16"/>
                <w:color w:val="auto"/>
              </w:rPr>
              <w:t>— $  —  $  (133,978)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191,993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(191,993)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w w:val="95"/>
              </w:rPr>
              <w:t>Preferred warrants Series A, $1.00 Strike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0"/>
          </w:tcPr>
          <w:p>
            <w:pPr>
              <w:ind w:left="180"/>
              <w:spacing w:after="0"/>
              <w:rPr>
                <w:sz w:val="20"/>
                <w:szCs w:val="20"/>
                <w:color w:val="auto"/>
              </w:rPr>
            </w:pPr>
            <w:r>
              <w:rPr>
                <w:rFonts w:ascii="Arial" w:cs="Arial" w:eastAsia="Arial" w:hAnsi="Arial"/>
                <w:sz w:val="16"/>
                <w:szCs w:val="16"/>
                <w:color w:val="auto"/>
              </w:rPr>
              <w:t>Price, Expiration Date 1/9/2017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40" w:type="dxa"/>
            <w:vAlign w:val="bottom"/>
            <w:gridSpan w:val="11"/>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3,000,000</w:t>
            </w:r>
          </w:p>
        </w:tc>
        <w:tc>
          <w:tcPr>
            <w:tcW w:w="0" w:type="dxa"/>
            <w:vAlign w:val="bottom"/>
          </w:tcPr>
          <w:p>
            <w:pPr>
              <w:spacing w:after="0"/>
              <w:rPr>
                <w:sz w:val="1"/>
                <w:szCs w:val="1"/>
                <w:color w:val="auto"/>
              </w:rPr>
            </w:pPr>
          </w:p>
        </w:tc>
      </w:tr>
      <w:tr>
        <w:trPr>
          <w:trHeight w:val="20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1,500,000</w:t>
            </w:r>
          </w:p>
        </w:tc>
        <w:tc>
          <w:tcPr>
            <w:tcW w:w="0" w:type="dxa"/>
            <w:vAlign w:val="bottom"/>
          </w:tcPr>
          <w:p>
            <w:pPr>
              <w:spacing w:after="0"/>
              <w:rPr>
                <w:sz w:val="1"/>
                <w:szCs w:val="1"/>
                <w:color w:val="auto"/>
              </w:rPr>
            </w:pPr>
          </w:p>
        </w:tc>
      </w:tr>
      <w:tr>
        <w:trPr>
          <w:trHeight w:val="162"/>
        </w:trPr>
        <w:tc>
          <w:tcPr>
            <w:tcW w:w="284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 Corp.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top w:val="single" w:sz="8" w:color="auto"/>
            </w:tcBorders>
            <w:gridSpan w:val="9"/>
          </w:tcPr>
          <w:p>
            <w:pPr>
              <w:ind w:left="180"/>
              <w:spacing w:after="0" w:line="183" w:lineRule="exact"/>
              <w:rPr>
                <w:sz w:val="20"/>
                <w:szCs w:val="20"/>
                <w:color w:val="auto"/>
              </w:rPr>
            </w:pPr>
            <w:r>
              <w:rPr>
                <w:rFonts w:ascii="Arial" w:cs="Arial" w:eastAsia="Arial" w:hAnsi="Arial"/>
                <w:sz w:val="16"/>
                <w:szCs w:val="16"/>
                <w:b w:val="1"/>
                <w:bCs w:val="1"/>
                <w:color w:val="auto"/>
              </w:rPr>
              <w:t>(d/b/a S3i))</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Promissory Note, 12%, 11/17/2017***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808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26,544</w:t>
            </w:r>
          </w:p>
        </w:tc>
        <w:tc>
          <w:tcPr>
            <w:tcW w:w="0" w:type="dxa"/>
            <w:vAlign w:val="bottom"/>
          </w:tcPr>
          <w:p>
            <w:pPr>
              <w:spacing w:after="0"/>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1,156,175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(671,406)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484,769</w:t>
            </w:r>
          </w:p>
        </w:tc>
        <w:tc>
          <w:tcPr>
            <w:tcW w:w="0" w:type="dxa"/>
            <w:vAlign w:val="bottom"/>
          </w:tcPr>
          <w:p>
            <w:pPr>
              <w:spacing w:after="0"/>
              <w:rPr>
                <w:sz w:val="1"/>
                <w:szCs w:val="1"/>
                <w:color w:val="auto"/>
              </w:rPr>
            </w:pPr>
          </w:p>
        </w:tc>
      </w:tr>
      <w:tr>
        <w:trPr>
          <w:trHeight w:val="19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11/18/2022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0"/>
          </w:tcPr>
          <w:p>
            <w:pPr>
              <w:ind w:left="180"/>
              <w:spacing w:after="0"/>
              <w:rPr>
                <w:sz w:val="20"/>
                <w:szCs w:val="20"/>
                <w:color w:val="auto"/>
              </w:rPr>
            </w:pPr>
            <w:r>
              <w:rPr>
                <w:rFonts w:ascii="Arial" w:cs="Arial" w:eastAsia="Arial" w:hAnsi="Arial"/>
                <w:sz w:val="16"/>
                <w:szCs w:val="16"/>
                <w:color w:val="auto"/>
              </w:rPr>
              <w:t>Expiration Date 8/29/2021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(14,065)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6/26/2021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0"/>
          </w:tcPr>
          <w:p>
            <w:pPr>
              <w:ind w:left="180"/>
              <w:spacing w:after="0"/>
              <w:rPr>
                <w:sz w:val="20"/>
                <w:szCs w:val="20"/>
                <w:color w:val="auto"/>
              </w:rPr>
            </w:pPr>
            <w:r>
              <w:rPr>
                <w:rFonts w:ascii="Arial" w:cs="Arial" w:eastAsia="Arial" w:hAnsi="Arial"/>
                <w:sz w:val="16"/>
                <w:szCs w:val="16"/>
                <w:color w:val="auto"/>
              </w:rPr>
              <w:t>Expiration Date 9/30/2020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12,864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(12,864)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4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CUX, Inc. (d/b/a CorpU)</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82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Promissory Note 8% Due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520" w:type="dxa"/>
            <w:vAlign w:val="bottom"/>
            <w:gridSpan w:val="8"/>
            <w:shd w:val="clear" w:color="auto" w:fill="CCEEFF"/>
          </w:tcPr>
          <w:p>
            <w:pPr>
              <w:ind w:left="200"/>
              <w:spacing w:after="0" w:line="254" w:lineRule="exact"/>
              <w:rPr>
                <w:sz w:val="20"/>
                <w:szCs w:val="20"/>
                <w:color w:val="auto"/>
              </w:rPr>
            </w:pPr>
            <w:r>
              <w:rPr>
                <w:rFonts w:ascii="Arial" w:cs="Arial" w:eastAsia="Arial" w:hAnsi="Arial"/>
                <w:sz w:val="16"/>
                <w:szCs w:val="16"/>
                <w:color w:val="auto"/>
              </w:rPr>
              <w:t>11/26/2018***</w:t>
            </w:r>
            <w:r>
              <w:rPr>
                <w:rFonts w:ascii="Arial" w:cs="Arial" w:eastAsia="Arial" w:hAnsi="Arial"/>
                <w:sz w:val="27"/>
                <w:szCs w:val="27"/>
                <w:color w:val="auto"/>
                <w:vertAlign w:val="superscript"/>
              </w:rPr>
              <w:t>(3)</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87,318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1,080,000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86,400</w:t>
            </w: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1,166,400</w:t>
            </w:r>
          </w:p>
        </w:tc>
        <w:tc>
          <w:tcPr>
            <w:tcW w:w="0" w:type="dxa"/>
            <w:vAlign w:val="bottom"/>
          </w:tcPr>
          <w:p>
            <w:pPr>
              <w:spacing w:after="0"/>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Convertible preferred shares, Series 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775,861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775,861</w:t>
            </w:r>
          </w:p>
        </w:tc>
        <w:tc>
          <w:tcPr>
            <w:tcW w:w="0" w:type="dxa"/>
            <w:vAlign w:val="bottom"/>
          </w:tcPr>
          <w:p>
            <w:pPr>
              <w:spacing w:after="0"/>
              <w:rPr>
                <w:sz w:val="1"/>
                <w:szCs w:val="1"/>
                <w:color w:val="auto"/>
              </w:rPr>
            </w:pPr>
          </w:p>
        </w:tc>
      </w:tr>
      <w:tr>
        <w:trPr>
          <w:trHeight w:val="20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Convertible preferred shares, Series C</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1,959,127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(45,643)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1,913,484</w:t>
            </w:r>
          </w:p>
        </w:tc>
        <w:tc>
          <w:tcPr>
            <w:tcW w:w="0" w:type="dxa"/>
            <w:vAlign w:val="bottom"/>
          </w:tcPr>
          <w:p>
            <w:pPr>
              <w:spacing w:after="0"/>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warrants, $4.59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0"/>
          </w:tcPr>
          <w:p>
            <w:pPr>
              <w:ind w:left="180"/>
              <w:spacing w:after="0"/>
              <w:rPr>
                <w:sz w:val="20"/>
                <w:szCs w:val="20"/>
                <w:color w:val="auto"/>
              </w:rPr>
            </w:pPr>
            <w:r>
              <w:rPr>
                <w:rFonts w:ascii="Arial" w:cs="Arial" w:eastAsia="Arial" w:hAnsi="Arial"/>
                <w:sz w:val="16"/>
                <w:szCs w:val="16"/>
                <w:color w:val="auto"/>
              </w:rPr>
              <w:t>Expiration Date 2/25/2018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165"/>
        </w:trPr>
        <w:tc>
          <w:tcPr>
            <w:tcW w:w="284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Curious.com Inc.</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9,996,311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2,000,003</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(2,011,360)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9,984,954</w:t>
            </w:r>
          </w:p>
        </w:tc>
        <w:tc>
          <w:tcPr>
            <w:tcW w:w="0" w:type="dxa"/>
            <w:vAlign w:val="bottom"/>
          </w:tcPr>
          <w:p>
            <w:pPr>
              <w:spacing w:after="0"/>
              <w:rPr>
                <w:sz w:val="1"/>
                <w:szCs w:val="1"/>
                <w:color w:val="auto"/>
              </w:rPr>
            </w:pPr>
          </w:p>
        </w:tc>
      </w:tr>
      <w:tr>
        <w:trPr>
          <w:trHeight w:val="162"/>
        </w:trPr>
        <w:tc>
          <w:tcPr>
            <w:tcW w:w="2840" w:type="dxa"/>
            <w:vAlign w:val="bottom"/>
            <w:gridSpan w:val="11"/>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Convertible Promissory Note 9% Due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gridSpan w:val="7"/>
          </w:tcPr>
          <w:p>
            <w:pPr>
              <w:ind w:left="200"/>
              <w:spacing w:after="0"/>
              <w:rPr>
                <w:sz w:val="20"/>
                <w:szCs w:val="20"/>
                <w:color w:val="auto"/>
              </w:rPr>
            </w:pPr>
            <w:r>
              <w:rPr>
                <w:rFonts w:ascii="Arial" w:cs="Arial" w:eastAsia="Arial" w:hAnsi="Arial"/>
                <w:sz w:val="16"/>
                <w:szCs w:val="16"/>
                <w:color w:val="auto"/>
              </w:rPr>
              <w:t>6/30/2017***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120,523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120,658</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
              <w:spacing w:after="0"/>
              <w:rPr>
                <w:sz w:val="20"/>
                <w:szCs w:val="20"/>
                <w:color w:val="auto"/>
              </w:rPr>
            </w:pPr>
            <w:r>
              <w:rPr>
                <w:rFonts w:ascii="Arial" w:cs="Arial" w:eastAsia="Arial" w:hAnsi="Arial"/>
                <w:sz w:val="16"/>
                <w:szCs w:val="16"/>
                <w:color w:val="auto"/>
              </w:rPr>
              <w:t>706,362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2,827,020</w:t>
            </w:r>
          </w:p>
        </w:tc>
        <w:tc>
          <w:tcPr>
            <w:tcW w:w="0" w:type="dxa"/>
            <w:vAlign w:val="bottom"/>
          </w:tcPr>
          <w:p>
            <w:pPr>
              <w:spacing w:after="0"/>
              <w:rPr>
                <w:sz w:val="1"/>
                <w:szCs w:val="1"/>
                <w:color w:val="auto"/>
              </w:rPr>
            </w:pPr>
          </w:p>
        </w:tc>
      </w:tr>
      <w:tr>
        <w:trPr>
          <w:trHeight w:val="206"/>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(5,213,345)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4,786,654</w:t>
            </w:r>
          </w:p>
        </w:tc>
        <w:tc>
          <w:tcPr>
            <w:tcW w:w="0" w:type="dxa"/>
            <w:vAlign w:val="bottom"/>
          </w:tcPr>
          <w:p>
            <w:pPr>
              <w:spacing w:after="0"/>
              <w:rPr>
                <w:sz w:val="1"/>
                <w:szCs w:val="1"/>
                <w:color w:val="auto"/>
              </w:rPr>
            </w:pPr>
          </w:p>
        </w:tc>
      </w:tr>
      <w:tr>
        <w:trPr>
          <w:trHeight w:val="162"/>
        </w:trPr>
        <w:tc>
          <w:tcPr>
            <w:tcW w:w="284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524,867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
              <w:spacing w:after="0"/>
              <w:rPr>
                <w:sz w:val="20"/>
                <w:szCs w:val="20"/>
                <w:color w:val="auto"/>
              </w:rPr>
            </w:pPr>
            <w:r>
              <w:rPr>
                <w:rFonts w:ascii="Arial" w:cs="Arial" w:eastAsia="Arial" w:hAnsi="Arial"/>
                <w:sz w:val="16"/>
                <w:szCs w:val="16"/>
                <w:color w:val="auto"/>
              </w:rPr>
              <w:t>63,427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588,294</w:t>
            </w:r>
          </w:p>
        </w:tc>
        <w:tc>
          <w:tcPr>
            <w:tcW w:w="0" w:type="dxa"/>
            <w:vAlign w:val="bottom"/>
          </w:tcPr>
          <w:p>
            <w:pPr>
              <w:spacing w:after="0"/>
              <w:rPr>
                <w:sz w:val="1"/>
                <w:szCs w:val="1"/>
                <w:color w:val="auto"/>
              </w:rPr>
            </w:pPr>
          </w:p>
        </w:tc>
      </w:tr>
      <w:tr>
        <w:trPr>
          <w:trHeight w:val="203"/>
        </w:trPr>
        <w:tc>
          <w:tcPr>
            <w:tcW w:w="284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3"/>
                <w:szCs w:val="23"/>
                <w:b w:val="1"/>
                <w:bCs w:val="1"/>
                <w:color w:val="auto"/>
                <w:vertAlign w:val="superscript"/>
              </w:rPr>
              <w:t>(6)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Convertible Promissory Note, 10% Due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00" w:type="dxa"/>
            <w:vAlign w:val="bottom"/>
            <w:gridSpan w:val="3"/>
          </w:tcPr>
          <w:p>
            <w:pPr>
              <w:ind w:left="200"/>
              <w:spacing w:after="0"/>
              <w:rPr>
                <w:sz w:val="20"/>
                <w:szCs w:val="20"/>
                <w:color w:val="auto"/>
              </w:rPr>
            </w:pPr>
            <w:r>
              <w:rPr>
                <w:rFonts w:ascii="Arial" w:cs="Arial" w:eastAsia="Arial" w:hAnsi="Arial"/>
                <w:sz w:val="16"/>
                <w:szCs w:val="16"/>
                <w:color w:val="auto"/>
              </w:rPr>
              <w:t>3/2/2016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(85,829)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1,020,859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(354,075)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400</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(667,184)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Convertible Promissory Note, 10% Due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95"/>
              </w:rPr>
              <w:t>3/14/2017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1,000,000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(64,151)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3,111,714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1,040</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(3,112,754)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40" w:type="dxa"/>
            <w:vAlign w:val="bottom"/>
            <w:gridSpan w:val="11"/>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0"/>
          </w:tcPr>
          <w:p>
            <w:pPr>
              <w:ind w:left="180"/>
              <w:spacing w:after="0"/>
              <w:rPr>
                <w:sz w:val="20"/>
                <w:szCs w:val="20"/>
                <w:color w:val="auto"/>
              </w:rPr>
            </w:pPr>
            <w:r>
              <w:rPr>
                <w:rFonts w:ascii="Arial" w:cs="Arial" w:eastAsia="Arial" w:hAnsi="Arial"/>
                <w:sz w:val="16"/>
                <w:szCs w:val="16"/>
                <w:color w:val="auto"/>
              </w:rPr>
              <w:t>Expiration Date 3/2/2020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(2,831)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4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3/22/2020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1747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1747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Affiliate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Fair Value at</w:t>
            </w:r>
          </w:p>
        </w:tc>
        <w:tc>
          <w:tcPr>
            <w:tcW w:w="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Investment To</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Realized and</w:t>
            </w:r>
          </w:p>
        </w:tc>
        <w:tc>
          <w:tcPr>
            <w:tcW w:w="40" w:type="dxa"/>
            <w:vAlign w:val="bottom"/>
          </w:tcPr>
          <w:p>
            <w:pPr>
              <w:spacing w:after="0"/>
              <w:rPr>
                <w:sz w:val="12"/>
                <w:szCs w:val="1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860" w:type="dxa"/>
            <w:vAlign w:val="bottom"/>
            <w:gridSpan w:val="11"/>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Non-Control</w:t>
            </w:r>
          </w:p>
        </w:tc>
        <w:tc>
          <w:tcPr>
            <w:tcW w:w="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Corporate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Portfolio Company/Type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Credited in</w:t>
            </w:r>
          </w:p>
        </w:tc>
        <w:tc>
          <w:tcPr>
            <w:tcW w:w="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/Non-Affiliate</w:t>
            </w: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Purchases</w:t>
            </w: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Sales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860" w:type="dxa"/>
            <w:vAlign w:val="bottom"/>
            <w:gridSpan w:val="11"/>
          </w:tcPr>
          <w:p>
            <w:pPr>
              <w:ind w:left="20"/>
              <w:spacing w:after="0"/>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Investment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Action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Borders>
              <w:top w:val="single" w:sz="8" w:color="auto"/>
            </w:tcBorders>
            <w:gridSpan w:val="11"/>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 $</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gridSpan w:val="10"/>
          </w:tcPr>
          <w:p>
            <w:pPr>
              <w:ind w:left="180"/>
              <w:spacing w:after="0"/>
              <w:rPr>
                <w:sz w:val="20"/>
                <w:szCs w:val="20"/>
                <w:color w:val="auto"/>
              </w:rPr>
            </w:pPr>
            <w:r>
              <w:rPr>
                <w:rFonts w:ascii="Arial" w:cs="Arial" w:eastAsia="Arial" w:hAnsi="Arial"/>
                <w:sz w:val="16"/>
                <w:szCs w:val="16"/>
                <w:color w:val="auto"/>
              </w:rPr>
              <w:t>Expiration Date 4/3/2019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4,121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(4,121)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10/10/2018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gridSpan w:val="10"/>
          </w:tcPr>
          <w:p>
            <w:pPr>
              <w:ind w:left="180"/>
              <w:spacing w:after="0"/>
              <w:rPr>
                <w:sz w:val="20"/>
                <w:szCs w:val="20"/>
                <w:color w:val="auto"/>
              </w:rPr>
            </w:pPr>
            <w:r>
              <w:rPr>
                <w:rFonts w:ascii="Arial" w:cs="Arial" w:eastAsia="Arial" w:hAnsi="Arial"/>
                <w:sz w:val="16"/>
                <w:szCs w:val="16"/>
                <w:color w:val="auto"/>
              </w:rPr>
              <w:t>Expiration Date 12/11/2018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2/18/2019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Global Education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40" w:type="dxa"/>
            <w:vAlign w:val="bottom"/>
            <w:gridSpan w:val="10"/>
            <w:shd w:val="clear" w:color="auto" w:fill="CCEEFF"/>
          </w:tcPr>
          <w:p>
            <w:pPr>
              <w:ind w:left="180"/>
              <w:spacing w:after="0" w:line="202" w:lineRule="exact"/>
              <w:rPr>
                <w:sz w:val="20"/>
                <w:szCs w:val="20"/>
                <w:color w:val="auto"/>
              </w:rPr>
            </w:pPr>
            <w:r>
              <w:rPr>
                <w:rFonts w:ascii="Arial" w:cs="Arial" w:eastAsia="Arial" w:hAnsi="Arial"/>
                <w:sz w:val="14"/>
                <w:szCs w:val="14"/>
                <w:b w:val="1"/>
                <w:bCs w:val="1"/>
                <w:color w:val="auto"/>
              </w:rPr>
              <w:t>Learning (Holdings) Ltd.</w:t>
            </w:r>
            <w:r>
              <w:rPr>
                <w:rFonts w:ascii="Arial" w:cs="Arial" w:eastAsia="Arial" w:hAnsi="Arial"/>
                <w:sz w:val="23"/>
                <w:szCs w:val="23"/>
                <w:b w:val="1"/>
                <w:bCs w:val="1"/>
                <w:color w:val="auto"/>
                <w:vertAlign w:val="superscript"/>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60" w:type="dxa"/>
            <w:vAlign w:val="bottom"/>
            <w:gridSpan w:val="11"/>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Maven Research, Inc.</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1,999,998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1,999,998</w:t>
            </w:r>
          </w:p>
        </w:tc>
        <w:tc>
          <w:tcPr>
            <w:tcW w:w="0" w:type="dxa"/>
            <w:vAlign w:val="bottom"/>
          </w:tcPr>
          <w:p>
            <w:pPr>
              <w:spacing w:after="0"/>
              <w:rPr>
                <w:sz w:val="1"/>
                <w:szCs w:val="1"/>
                <w:color w:val="auto"/>
              </w:rPr>
            </w:pPr>
          </w:p>
        </w:tc>
      </w:tr>
      <w:tr>
        <w:trPr>
          <w:trHeight w:val="203"/>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249,691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(25,928)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223,763</w:t>
            </w:r>
          </w:p>
        </w:tc>
        <w:tc>
          <w:tcPr>
            <w:tcW w:w="0" w:type="dxa"/>
            <w:vAlign w:val="bottom"/>
          </w:tcPr>
          <w:p>
            <w:pPr>
              <w:spacing w:after="0"/>
              <w:rPr>
                <w:sz w:val="1"/>
                <w:szCs w:val="1"/>
                <w:color w:val="auto"/>
              </w:rPr>
            </w:pPr>
          </w:p>
        </w:tc>
      </w:tr>
      <w:tr>
        <w:trPr>
          <w:trHeight w:val="162"/>
        </w:trPr>
        <w:tc>
          <w:tcPr>
            <w:tcW w:w="28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w w:val="96"/>
              </w:rPr>
              <w:t>Orchestra One, Inc. (f/k/a Learnist Inc.)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(4)</w:t>
            </w: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4,364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(4,364)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Convertible Promissory Note 5%, Due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180" w:type="dxa"/>
            <w:vAlign w:val="bottom"/>
            <w:gridSpan w:val="5"/>
            <w:shd w:val="clear" w:color="auto" w:fill="CCEEFF"/>
          </w:tcPr>
          <w:p>
            <w:pPr>
              <w:ind w:left="200"/>
              <w:spacing w:after="0" w:line="254" w:lineRule="exact"/>
              <w:rPr>
                <w:sz w:val="20"/>
                <w:szCs w:val="20"/>
                <w:color w:val="auto"/>
              </w:rPr>
            </w:pPr>
            <w:r>
              <w:rPr>
                <w:rFonts w:ascii="Arial" w:cs="Arial" w:eastAsia="Arial" w:hAnsi="Arial"/>
                <w:sz w:val="16"/>
                <w:szCs w:val="16"/>
                <w:color w:val="auto"/>
                <w:w w:val="94"/>
              </w:rPr>
              <w:t>02/28/2018</w:t>
            </w:r>
            <w:r>
              <w:rPr>
                <w:rFonts w:ascii="Arial" w:cs="Arial" w:eastAsia="Arial" w:hAnsi="Arial"/>
                <w:sz w:val="27"/>
                <w:szCs w:val="27"/>
                <w:color w:val="auto"/>
                <w:w w:val="94"/>
                <w:vertAlign w:val="superscript"/>
              </w:rPr>
              <w:t>***</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2,000,000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0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4,690,178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309,821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4,999,999</w:t>
            </w:r>
          </w:p>
        </w:tc>
        <w:tc>
          <w:tcPr>
            <w:tcW w:w="0" w:type="dxa"/>
            <w:vAlign w:val="bottom"/>
          </w:tcPr>
          <w:p>
            <w:pPr>
              <w:spacing w:after="0"/>
              <w:rPr>
                <w:sz w:val="1"/>
                <w:szCs w:val="1"/>
                <w:color w:val="auto"/>
              </w:rPr>
            </w:pPr>
          </w:p>
        </w:tc>
      </w:tr>
      <w:tr>
        <w:trPr>
          <w:trHeight w:val="203"/>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3,907,004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(907,004)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Seed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1,531,812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(921,812)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610,000</w:t>
            </w:r>
          </w:p>
        </w:tc>
        <w:tc>
          <w:tcPr>
            <w:tcW w:w="0" w:type="dxa"/>
            <w:vAlign w:val="bottom"/>
          </w:tcPr>
          <w:p>
            <w:pPr>
              <w:spacing w:after="0"/>
              <w:rPr>
                <w:sz w:val="1"/>
                <w:szCs w:val="1"/>
                <w:color w:val="auto"/>
              </w:rPr>
            </w:pPr>
          </w:p>
        </w:tc>
      </w:tr>
      <w:tr>
        <w:trPr>
          <w:trHeight w:val="203"/>
        </w:trPr>
        <w:tc>
          <w:tcPr>
            <w:tcW w:w="286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3"/>
                <w:szCs w:val="23"/>
                <w:b w:val="1"/>
                <w:bCs w:val="1"/>
                <w:color w:val="auto"/>
                <w:vertAlign w:val="superscript"/>
              </w:rPr>
              <w:t>(6)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13,974,887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(13,974,887)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6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1,001,650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1,050,905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2,052,555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gridSpan w:val="11"/>
            <w:shd w:val="clear" w:color="auto" w:fill="CCEEFF"/>
          </w:tcPr>
          <w:p>
            <w:pPr>
              <w:ind w:left="20"/>
              <w:spacing w:after="0"/>
              <w:rPr>
                <w:sz w:val="20"/>
                <w:szCs w:val="20"/>
                <w:color w:val="auto"/>
              </w:rPr>
            </w:pPr>
            <w:r>
              <w:rPr>
                <w:rFonts w:ascii="Arial" w:cs="Arial" w:eastAsia="Arial" w:hAnsi="Arial"/>
                <w:sz w:val="16"/>
                <w:szCs w:val="16"/>
                <w:b w:val="1"/>
                <w:bCs w:val="1"/>
                <w:color w:val="auto"/>
              </w:rPr>
              <w:t>Total Affiliate Investments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159,016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u w:val="single" w:color="auto"/>
                <w:color w:val="auto"/>
                <w:w w:val="8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7"/>
              </w:rPr>
              <w:t>66,075,585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(15,269,175) $</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5,209,757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(13,571,477) $</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42,444,690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80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617474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74740" cy="34290"/>
                    </a:xfrm>
                    <a:prstGeom prst="rect">
                      <a:avLst/>
                    </a:prstGeom>
                    <a:noFill/>
                  </pic:spPr>
                </pic:pic>
              </a:graphicData>
            </a:graphic>
          </wp:anchor>
        </w:drawing>
      </w:r>
    </w:p>
    <w:p>
      <w:pPr>
        <w:spacing w:after="0" w:line="236" w:lineRule="exact"/>
        <w:rPr>
          <w:sz w:val="20"/>
          <w:szCs w:val="20"/>
          <w:color w:val="auto"/>
        </w:rPr>
      </w:pPr>
    </w:p>
    <w:p>
      <w:pPr>
        <w:ind w:left="300" w:right="79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ind w:left="300" w:hanging="272"/>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jc w:val="both"/>
        <w:ind w:left="300" w:right="519" w:hanging="272"/>
        <w:spacing w:after="0" w:line="264"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99" w:hanging="272"/>
        <w:spacing w:after="0" w:line="264"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 of December 31, 2016 – (continued)</w:t>
      </w:r>
    </w:p>
    <w:p>
      <w:pPr>
        <w:spacing w:after="0" w:line="103" w:lineRule="exact"/>
        <w:rPr>
          <w:sz w:val="20"/>
          <w:szCs w:val="20"/>
          <w:color w:val="auto"/>
        </w:rPr>
      </w:pPr>
    </w:p>
    <w:p>
      <w:pPr>
        <w:ind w:left="280" w:right="639" w:hanging="272"/>
        <w:spacing w:after="0" w:line="257"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GSV Capital Corp.’s ownership percentage in Orchestra One, Inc. (f/k/a Learnist Inc.) decreased to below 5% and, as such, Orchestra One, Inc. is no longer classified as an “affiliate investment” as of September 30, 2016. As such, the Company has reflected a “transfer out” of the “Affiliate Investment” category above as of September 30, 2016 to indicate that the investment in Orchestra One, Inc., while still held as of September 30, 2016, does not meet the criteria of an affiliate investment as defined in the Investment Company Act of 1940, as amended.</w:t>
      </w:r>
    </w:p>
    <w:p>
      <w:pPr>
        <w:spacing w:after="0" w:line="80" w:lineRule="exact"/>
        <w:rPr>
          <w:rFonts w:ascii="Arial" w:cs="Arial" w:eastAsia="Arial" w:hAnsi="Arial"/>
          <w:sz w:val="18"/>
          <w:szCs w:val="18"/>
          <w:color w:val="auto"/>
        </w:rPr>
      </w:pPr>
    </w:p>
    <w:p>
      <w:pPr>
        <w:ind w:left="280" w:right="759" w:hanging="272"/>
        <w:spacing w:after="0" w:line="277"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699" w:hanging="272"/>
        <w:spacing w:after="0" w:line="276" w:lineRule="auto"/>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GSV Capital Corp.’s ownership percentage in PayNearMe, Inc. and Fullbridge, Inc. decreased to below 5% and, as such, PayNearMe, Inc. and Fullbridge, Inc. are no longer classified as “affiliate investments” as of December 31, 2016. As such, the Company has reflected a “transfer out” of the “Affiliate Investment” category above as of December 31, 2016 to indicate that the investment in PayNearMe, Inc. and Fullbridge, Inc., while still held as of December 31, 2016, does not meet the criteria of an affiliate investment as defined in the Investment Company Act of 1940, as amended.</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7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6780" w:type="dxa"/>
            <w:vAlign w:val="bottom"/>
            <w:gridSpan w:val="3"/>
          </w:tcPr>
          <w:p>
            <w:pPr>
              <w:ind w:left="124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2820" w:type="dxa"/>
            <w:vAlign w:val="bottom"/>
          </w:tcPr>
          <w:p>
            <w:pPr>
              <w:ind w:left="140"/>
              <w:spacing w:after="0"/>
              <w:rPr>
                <w:sz w:val="20"/>
                <w:szCs w:val="20"/>
                <w:color w:val="auto"/>
              </w:rPr>
            </w:pPr>
            <w:r>
              <w:rPr>
                <w:rFonts w:ascii="Arial" w:cs="Arial" w:eastAsia="Arial" w:hAnsi="Arial"/>
                <w:sz w:val="18"/>
                <w:szCs w:val="18"/>
                <w:color w:val="auto"/>
              </w:rPr>
              <w:t>Date: May 10, 2017</w:t>
            </w:r>
          </w:p>
        </w:tc>
        <w:tc>
          <w:tcPr>
            <w:tcW w:w="6780" w:type="dxa"/>
            <w:vAlign w:val="bottom"/>
            <w:gridSpan w:val="3"/>
          </w:tcPr>
          <w:p>
            <w:pPr>
              <w:ind w:left="12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2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126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16"/>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2"/>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2820" w:type="dxa"/>
            <w:vAlign w:val="bottom"/>
          </w:tcPr>
          <w:p>
            <w:pPr>
              <w:ind w:left="140"/>
              <w:spacing w:after="0"/>
              <w:rPr>
                <w:sz w:val="20"/>
                <w:szCs w:val="20"/>
                <w:color w:val="auto"/>
              </w:rPr>
            </w:pPr>
            <w:r>
              <w:rPr>
                <w:rFonts w:ascii="Arial" w:cs="Arial" w:eastAsia="Arial" w:hAnsi="Arial"/>
                <w:sz w:val="18"/>
                <w:szCs w:val="18"/>
                <w:color w:val="auto"/>
              </w:rPr>
              <w:t>Date: May 10, 2017</w:t>
            </w:r>
          </w:p>
        </w:tc>
        <w:tc>
          <w:tcPr>
            <w:tcW w:w="6780" w:type="dxa"/>
            <w:vAlign w:val="bottom"/>
            <w:gridSpan w:val="3"/>
          </w:tcPr>
          <w:p>
            <w:pPr>
              <w:ind w:left="12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Tanona</w:t>
            </w:r>
          </w:p>
        </w:tc>
      </w:tr>
      <w:tr>
        <w:trPr>
          <w:trHeight w:val="195"/>
        </w:trPr>
        <w:tc>
          <w:tcPr>
            <w:tcW w:w="2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Tanona</w:t>
            </w:r>
          </w:p>
        </w:tc>
        <w:tc>
          <w:tcPr>
            <w:tcW w:w="126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Treasurer and Secretary</w:t>
            </w:r>
          </w:p>
        </w:tc>
      </w:tr>
      <w:tr>
        <w:trPr>
          <w:trHeight w:val="230"/>
        </w:trPr>
        <w:tc>
          <w:tcPr>
            <w:tcW w:w="2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2820" w:type="dxa"/>
            <w:vAlign w:val="bottom"/>
          </w:tcPr>
          <w:p>
            <w:pPr>
              <w:spacing w:after="0"/>
              <w:rPr>
                <w:sz w:val="24"/>
                <w:szCs w:val="24"/>
                <w:color w:val="auto"/>
              </w:rPr>
            </w:pPr>
          </w:p>
        </w:tc>
        <w:tc>
          <w:tcPr>
            <w:tcW w:w="5520" w:type="dxa"/>
            <w:vAlign w:val="bottom"/>
            <w:gridSpan w:val="2"/>
          </w:tcPr>
          <w:p>
            <w:pPr>
              <w:jc w:val="right"/>
              <w:ind w:right="3370"/>
              <w:spacing w:after="0"/>
              <w:rPr>
                <w:sz w:val="20"/>
                <w:szCs w:val="20"/>
                <w:color w:val="auto"/>
              </w:rPr>
            </w:pPr>
            <w:r>
              <w:rPr>
                <w:rFonts w:ascii="Arial" w:cs="Arial" w:eastAsia="Arial" w:hAnsi="Arial"/>
                <w:sz w:val="18"/>
                <w:szCs w:val="18"/>
                <w:color w:val="auto"/>
              </w:rPr>
              <w:t>57</w:t>
            </w:r>
          </w:p>
        </w:tc>
        <w:tc>
          <w:tcPr>
            <w:tcW w:w="1260" w:type="dxa"/>
            <w:vAlign w:val="bottom"/>
          </w:tcPr>
          <w:p>
            <w:pPr>
              <w:spacing w:after="0"/>
              <w:rPr>
                <w:sz w:val="24"/>
                <w:szCs w:val="24"/>
                <w:color w:val="auto"/>
              </w:rPr>
            </w:pPr>
          </w:p>
        </w:tc>
      </w:tr>
      <w:tr>
        <w:trPr>
          <w:trHeight w:val="162"/>
        </w:trPr>
        <w:tc>
          <w:tcPr>
            <w:tcW w:w="282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39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282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0" w:name="page61"/>
    <w:bookmarkEnd w:id="60"/>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39"/>
        <w:spacing w:after="0" w:line="289" w:lineRule="auto"/>
        <w:rPr>
          <w:sz w:val="20"/>
          <w:szCs w:val="20"/>
          <w:color w:val="auto"/>
        </w:rPr>
      </w:pPr>
      <w:r>
        <w:rPr>
          <w:rFonts w:ascii="Arial" w:cs="Arial" w:eastAsia="Arial" w:hAnsi="Arial"/>
          <w:sz w:val="17"/>
          <w:szCs w:val="17"/>
          <w:b w:val="1"/>
          <w:bCs w:val="1"/>
          <w:color w:val="auto"/>
        </w:rPr>
        <w:t>Certification of Chief Executive Officer of GSV Capital Corp. pursuant to Rule 13a-14(a) under the Exchange Act, as adopted pursuant to Section 302 of the Sarbanes-Oxley Act of 2002</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61" w:name="page62"/>
    <w:bookmarkEnd w:id="61"/>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39"/>
        <w:spacing w:after="0" w:line="289" w:lineRule="auto"/>
        <w:rPr>
          <w:sz w:val="20"/>
          <w:szCs w:val="20"/>
          <w:color w:val="auto"/>
        </w:rPr>
      </w:pPr>
      <w:r>
        <w:rPr>
          <w:rFonts w:ascii="Arial" w:cs="Arial" w:eastAsia="Arial" w:hAnsi="Arial"/>
          <w:sz w:val="17"/>
          <w:szCs w:val="17"/>
          <w:b w:val="1"/>
          <w:bCs w:val="1"/>
          <w:color w:val="auto"/>
        </w:rPr>
        <w:t>Certification of Chief Financial Officer of GSV Capital Corp. pursuant to Rule 13a-14(a) under the Exchange Act, as adopted pursuant to Section 302 of the Sarbanes-Oxley Act of 2002</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62" w:name="page63"/>
    <w:bookmarkEnd w:id="62"/>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79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March 31, 2017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63" w:name="page64"/>
    <w:bookmarkEnd w:id="63"/>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79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March 31, 2017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7"/>
    </w:lvl>
  </w:abstractNum>
  <w:abstractNum w:abstractNumId="12">
    <w:nsid w:val="189A769B"/>
    <w:multiLevelType w:val="hybridMultilevel"/>
    <w:lvl w:ilvl="0">
      <w:lvlJc w:val="left"/>
      <w:lvlText w:val="(%1)"/>
      <w:numFmt w:val="decimal"/>
      <w:start w:val="16"/>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2019-12-29T05:34:07Z</dcterms:created>
  <dcterms:modified xsi:type="dcterms:W3CDTF">2019-12-29T05:34:07Z</dcterms:modified>
</cp:coreProperties>
</file>