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346710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252730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UNITED STATES</w:t>
      </w:r>
    </w:p>
    <w:p>
      <w:pPr>
        <w:spacing w:after="0" w:line="25"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79"/>
        <w:spacing w:after="0"/>
        <w:rPr>
          <w:sz w:val="20"/>
          <w:szCs w:val="20"/>
          <w:color w:val="auto"/>
        </w:rPr>
      </w:pPr>
      <w:r>
        <w:rPr>
          <w:rFonts w:ascii="Arial" w:cs="Arial" w:eastAsia="Arial" w:hAnsi="Arial"/>
          <w:sz w:val="16"/>
          <w:szCs w:val="16"/>
          <w:b w:val="1"/>
          <w:bCs w:val="1"/>
          <w:color w:val="auto"/>
        </w:rPr>
        <w:t>Washington, D.C. 20549</w:t>
      </w:r>
    </w:p>
    <w:p>
      <w:pPr>
        <w:spacing w:after="0" w:line="3" w:lineRule="exact"/>
        <w:rPr>
          <w:sz w:val="24"/>
          <w:szCs w:val="24"/>
          <w:color w:val="auto"/>
        </w:rPr>
      </w:pPr>
    </w:p>
    <w:p>
      <w:pPr>
        <w:ind w:left="4460"/>
        <w:spacing w:after="0"/>
        <w:rPr>
          <w:sz w:val="20"/>
          <w:szCs w:val="20"/>
          <w:color w:val="auto"/>
        </w:rPr>
      </w:pPr>
      <w:r>
        <w:rPr>
          <w:rFonts w:ascii="Arial" w:cs="Arial" w:eastAsia="Arial" w:hAnsi="Arial"/>
          <w:sz w:val="18"/>
          <w:szCs w:val="18"/>
          <w:color w:val="auto"/>
        </w:rPr>
        <w:t>____________________________</w:t>
      </w:r>
    </w:p>
    <w:p>
      <w:pPr>
        <w:spacing w:after="0" w:line="7"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FORM 10-Q</w:t>
      </w:r>
    </w:p>
    <w:p>
      <w:pPr>
        <w:spacing w:after="0" w:line="19" w:lineRule="exact"/>
        <w:rPr>
          <w:sz w:val="24"/>
          <w:szCs w:val="24"/>
          <w:color w:val="auto"/>
        </w:rPr>
      </w:pPr>
    </w:p>
    <w:p>
      <w:pPr>
        <w:ind w:left="4460"/>
        <w:spacing w:after="0"/>
        <w:rPr>
          <w:sz w:val="20"/>
          <w:szCs w:val="20"/>
          <w:color w:val="auto"/>
        </w:rPr>
      </w:pPr>
      <w:r>
        <w:rPr>
          <w:rFonts w:ascii="Arial" w:cs="Arial" w:eastAsia="Arial" w:hAnsi="Arial"/>
          <w:sz w:val="18"/>
          <w:szCs w:val="18"/>
          <w:color w:val="auto"/>
        </w:rPr>
        <w:t>____________________________</w:t>
      </w:r>
    </w:p>
    <w:p>
      <w:pPr>
        <w:spacing w:after="0" w:line="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63"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x </w:t>
      </w:r>
      <w:r>
        <w:rPr>
          <w:rFonts w:ascii="Arial" w:cs="Arial" w:eastAsia="Arial" w:hAnsi="Arial"/>
          <w:sz w:val="16"/>
          <w:szCs w:val="16"/>
          <w:b w:val="1"/>
          <w:bCs w:val="1"/>
          <w:color w:val="auto"/>
        </w:rPr>
        <w:t>QUARTERLY REPORT PURSUANT TO SECTION 13 OR 15(d) OF THE SECURITIES EXCHANGE ACT OF 1934</w:t>
      </w:r>
    </w:p>
    <w:p>
      <w:pPr>
        <w:spacing w:after="0" w:line="154" w:lineRule="exact"/>
        <w:rPr>
          <w:sz w:val="24"/>
          <w:szCs w:val="24"/>
          <w:color w:val="auto"/>
        </w:rPr>
      </w:pPr>
    </w:p>
    <w:p>
      <w:pPr>
        <w:ind w:left="3480"/>
        <w:spacing w:after="0"/>
        <w:rPr>
          <w:sz w:val="20"/>
          <w:szCs w:val="20"/>
          <w:color w:val="auto"/>
        </w:rPr>
      </w:pPr>
      <w:r>
        <w:rPr>
          <w:rFonts w:ascii="Arial" w:cs="Arial" w:eastAsia="Arial" w:hAnsi="Arial"/>
          <w:sz w:val="16"/>
          <w:szCs w:val="16"/>
          <w:b w:val="1"/>
          <w:bCs w:val="1"/>
          <w:color w:val="auto"/>
        </w:rPr>
        <w:t>FOR THE QUARTERLY PERIOD ENDED September 30, 2018</w:t>
      </w:r>
    </w:p>
    <w:p>
      <w:pPr>
        <w:spacing w:after="0" w:line="167" w:lineRule="exact"/>
        <w:rPr>
          <w:sz w:val="24"/>
          <w:szCs w:val="24"/>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54"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COMMISSION FILE NUMBER: 814-00852</w:t>
      </w:r>
    </w:p>
    <w:p>
      <w:pPr>
        <w:spacing w:after="0" w:line="113" w:lineRule="exact"/>
        <w:rPr>
          <w:sz w:val="24"/>
          <w:szCs w:val="24"/>
          <w:color w:val="auto"/>
        </w:rPr>
      </w:pPr>
    </w:p>
    <w:p>
      <w:pPr>
        <w:ind w:left="4460"/>
        <w:spacing w:after="0"/>
        <w:rPr>
          <w:sz w:val="20"/>
          <w:szCs w:val="20"/>
          <w:color w:val="auto"/>
        </w:rPr>
      </w:pPr>
      <w:r>
        <w:rPr>
          <w:rFonts w:ascii="Arial" w:cs="Arial" w:eastAsia="Arial" w:hAnsi="Arial"/>
          <w:sz w:val="18"/>
          <w:szCs w:val="18"/>
          <w:color w:val="auto"/>
        </w:rPr>
        <w:t>____________________________</w:t>
      </w:r>
    </w:p>
    <w:p>
      <w:pPr>
        <w:spacing w:after="0" w:line="23" w:lineRule="exact"/>
        <w:rPr>
          <w:sz w:val="24"/>
          <w:szCs w:val="24"/>
          <w:color w:val="auto"/>
        </w:rPr>
      </w:pPr>
    </w:p>
    <w:p>
      <w:pPr>
        <w:jc w:val="center"/>
        <w:ind w:right="-179"/>
        <w:spacing w:after="0"/>
        <w:rPr>
          <w:sz w:val="20"/>
          <w:szCs w:val="20"/>
          <w:color w:val="auto"/>
        </w:rPr>
      </w:pPr>
      <w:r>
        <w:rPr>
          <w:rFonts w:ascii="Arial" w:cs="Arial" w:eastAsia="Arial" w:hAnsi="Arial"/>
          <w:sz w:val="36"/>
          <w:szCs w:val="36"/>
          <w:b w:val="1"/>
          <w:bCs w:val="1"/>
          <w:color w:val="auto"/>
        </w:rPr>
        <w:t>GSV Capital Corp.</w:t>
      </w:r>
    </w:p>
    <w:p>
      <w:pPr>
        <w:spacing w:after="0" w:line="25"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9" w:lineRule="exact"/>
        <w:rPr>
          <w:sz w:val="24"/>
          <w:szCs w:val="24"/>
          <w:color w:val="auto"/>
        </w:rPr>
      </w:pPr>
    </w:p>
    <w:p>
      <w:pPr>
        <w:ind w:left="4460"/>
        <w:spacing w:after="0"/>
        <w:rPr>
          <w:sz w:val="20"/>
          <w:szCs w:val="20"/>
          <w:color w:val="auto"/>
        </w:rPr>
      </w:pPr>
      <w:r>
        <w:rPr>
          <w:rFonts w:ascii="Arial" w:cs="Arial" w:eastAsia="Arial" w:hAnsi="Arial"/>
          <w:sz w:val="18"/>
          <w:szCs w:val="18"/>
          <w:color w:val="auto"/>
        </w:rPr>
        <w:t>____________________________</w:t>
      </w:r>
    </w:p>
    <w:p>
      <w:pPr>
        <w:sectPr>
          <w:pgSz w:w="11900" w:h="16838" w:orient="portrait"/>
          <w:cols w:equalWidth="0" w:num="1">
            <w:col w:w="11240"/>
          </w:cols>
          <w:pgMar w:left="240" w:top="229" w:right="419" w:bottom="1440" w:gutter="0" w:footer="0" w:header="0"/>
        </w:sectPr>
      </w:pPr>
    </w:p>
    <w:p>
      <w:pPr>
        <w:spacing w:after="0" w:line="169" w:lineRule="exact"/>
        <w:rPr>
          <w:sz w:val="24"/>
          <w:szCs w:val="24"/>
          <w:color w:val="auto"/>
        </w:rPr>
      </w:pPr>
    </w:p>
    <w:p>
      <w:pPr>
        <w:ind w:left="2520"/>
        <w:spacing w:after="0"/>
        <w:rPr>
          <w:sz w:val="20"/>
          <w:szCs w:val="20"/>
          <w:color w:val="auto"/>
        </w:rPr>
      </w:pPr>
      <w:r>
        <w:rPr>
          <w:rFonts w:ascii="Arial" w:cs="Arial" w:eastAsia="Arial" w:hAnsi="Arial"/>
          <w:sz w:val="15"/>
          <w:szCs w:val="15"/>
          <w:b w:val="1"/>
          <w:bCs w:val="1"/>
          <w:color w:val="auto"/>
        </w:rPr>
        <w:t>Maryland</w:t>
      </w:r>
    </w:p>
    <w:p>
      <w:pPr>
        <w:spacing w:after="0" w:line="20" w:lineRule="exact"/>
        <w:rPr>
          <w:sz w:val="24"/>
          <w:szCs w:val="24"/>
          <w:color w:val="auto"/>
        </w:rPr>
      </w:pPr>
      <w:r>
        <w:rPr>
          <w:sz w:val="24"/>
          <w:szCs w:val="24"/>
          <w:color w:val="auto"/>
        </w:rPr>
        <w:br w:type="column"/>
      </w:r>
    </w:p>
    <w:p>
      <w:pPr>
        <w:spacing w:after="0" w:line="14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27-4443543</w:t>
      </w:r>
    </w:p>
    <w:p>
      <w:pPr>
        <w:spacing w:after="0" w:line="90" w:lineRule="exact"/>
        <w:rPr>
          <w:sz w:val="24"/>
          <w:szCs w:val="24"/>
          <w:color w:val="auto"/>
        </w:rPr>
      </w:pPr>
    </w:p>
    <w:p>
      <w:pPr>
        <w:sectPr>
          <w:pgSz w:w="11900" w:h="16838" w:orient="portrait"/>
          <w:cols w:equalWidth="0" w:num="2">
            <w:col w:w="7460" w:space="720"/>
            <w:col w:w="3060"/>
          </w:cols>
          <w:pgMar w:left="240" w:top="229" w:right="419" w:bottom="1440" w:gutter="0" w:footer="0" w:header="0"/>
          <w:type w:val="continuous"/>
        </w:sectPr>
      </w:pPr>
    </w:p>
    <w:p>
      <w:pPr>
        <w:ind w:left="2180"/>
        <w:spacing w:after="0"/>
        <w:rPr>
          <w:sz w:val="20"/>
          <w:szCs w:val="20"/>
          <w:color w:val="auto"/>
        </w:rPr>
      </w:pPr>
      <w:r>
        <w:rPr>
          <w:rFonts w:ascii="Arial" w:cs="Arial" w:eastAsia="Arial" w:hAnsi="Arial"/>
          <w:sz w:val="13"/>
          <w:szCs w:val="13"/>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(I.R.S. Employer Identification No.)</w:t>
      </w:r>
    </w:p>
    <w:p>
      <w:pPr>
        <w:spacing w:after="0" w:line="58" w:lineRule="exact"/>
        <w:rPr>
          <w:sz w:val="24"/>
          <w:szCs w:val="24"/>
          <w:color w:val="auto"/>
        </w:rPr>
      </w:pPr>
    </w:p>
    <w:p>
      <w:pPr>
        <w:sectPr>
          <w:pgSz w:w="11900" w:h="16838" w:orient="portrait"/>
          <w:cols w:equalWidth="0" w:num="2">
            <w:col w:w="6800" w:space="720"/>
            <w:col w:w="3720"/>
          </w:cols>
          <w:pgMar w:left="240" w:top="229" w:right="419" w:bottom="1440" w:gutter="0" w:footer="0" w:header="0"/>
          <w:type w:val="continuous"/>
        </w:sectPr>
      </w:pPr>
    </w:p>
    <w:p>
      <w:pPr>
        <w:ind w:left="1620"/>
        <w:spacing w:after="0"/>
        <w:rPr>
          <w:sz w:val="20"/>
          <w:szCs w:val="20"/>
          <w:color w:val="auto"/>
        </w:rPr>
      </w:pPr>
      <w:r>
        <w:rPr>
          <w:rFonts w:ascii="Arial" w:cs="Arial" w:eastAsia="Arial" w:hAnsi="Arial"/>
          <w:sz w:val="14"/>
          <w:szCs w:val="14"/>
          <w:b w:val="1"/>
          <w:bCs w:val="1"/>
          <w:color w:val="auto"/>
        </w:rPr>
        <w:t>2925 Woodside Road Woodside, CA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94062</w:t>
      </w:r>
    </w:p>
    <w:p>
      <w:pPr>
        <w:spacing w:after="0" w:line="79" w:lineRule="exact"/>
        <w:rPr>
          <w:sz w:val="24"/>
          <w:szCs w:val="24"/>
          <w:color w:val="auto"/>
        </w:rPr>
      </w:pPr>
    </w:p>
    <w:p>
      <w:pPr>
        <w:sectPr>
          <w:pgSz w:w="11900" w:h="16838" w:orient="portrait"/>
          <w:cols w:equalWidth="0" w:num="2">
            <w:col w:w="7640" w:space="720"/>
            <w:col w:w="2880"/>
          </w:cols>
          <w:pgMar w:left="240" w:top="229" w:right="419" w:bottom="1440" w:gutter="0" w:footer="0" w:header="0"/>
          <w:type w:val="continuous"/>
        </w:sectPr>
      </w:pPr>
    </w:p>
    <w:p>
      <w:pPr>
        <w:ind w:left="1720"/>
        <w:spacing w:after="0"/>
        <w:rPr>
          <w:sz w:val="20"/>
          <w:szCs w:val="20"/>
          <w:color w:val="auto"/>
        </w:rPr>
      </w:pPr>
      <w:r>
        <w:rPr>
          <w:rFonts w:ascii="Arial" w:cs="Arial" w:eastAsia="Arial" w:hAnsi="Arial"/>
          <w:sz w:val="13"/>
          <w:szCs w:val="13"/>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(Zip Code)</w:t>
      </w:r>
    </w:p>
    <w:p>
      <w:pPr>
        <w:spacing w:after="0" w:line="175" w:lineRule="exact"/>
        <w:rPr>
          <w:sz w:val="24"/>
          <w:szCs w:val="24"/>
          <w:color w:val="auto"/>
        </w:rPr>
      </w:pPr>
    </w:p>
    <w:p>
      <w:pPr>
        <w:sectPr>
          <w:pgSz w:w="11900" w:h="16838" w:orient="portrait"/>
          <w:cols w:equalWidth="0" w:num="2">
            <w:col w:w="7540" w:space="720"/>
            <w:col w:w="2980"/>
          </w:cols>
          <w:pgMar w:left="240" w:top="229" w:right="419" w:bottom="1440" w:gutter="0" w:footer="0" w:header="0"/>
          <w:type w:val="continuous"/>
        </w:sectPr>
      </w:pPr>
    </w:p>
    <w:p>
      <w:pPr>
        <w:jc w:val="center"/>
        <w:ind w:right="-179"/>
        <w:spacing w:after="0"/>
        <w:rPr>
          <w:sz w:val="20"/>
          <w:szCs w:val="20"/>
          <w:color w:val="auto"/>
        </w:rPr>
      </w:pPr>
      <w:r>
        <w:rPr>
          <w:rFonts w:ascii="Arial" w:cs="Arial" w:eastAsia="Arial" w:hAnsi="Arial"/>
          <w:sz w:val="18"/>
          <w:szCs w:val="18"/>
          <w:b w:val="1"/>
          <w:bCs w:val="1"/>
          <w:color w:val="auto"/>
        </w:rPr>
        <w:t>(650) 235-4769</w:t>
      </w:r>
    </w:p>
    <w:p>
      <w:pPr>
        <w:spacing w:after="0" w:line="67" w:lineRule="exact"/>
        <w:rPr>
          <w:sz w:val="24"/>
          <w:szCs w:val="24"/>
          <w:color w:val="auto"/>
        </w:rPr>
      </w:pPr>
    </w:p>
    <w:p>
      <w:pPr>
        <w:jc w:val="center"/>
        <w:ind w:right="-179"/>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240"/>
          </w:cols>
          <w:pgMar w:left="240" w:top="229" w:right="419" w:bottom="1440" w:gutter="0" w:footer="0" w:header="0"/>
          <w:type w:val="continuous"/>
        </w:sectPr>
      </w:pPr>
    </w:p>
    <w:p>
      <w:pPr>
        <w:spacing w:after="0" w:line="266" w:lineRule="exact"/>
        <w:rPr>
          <w:sz w:val="24"/>
          <w:szCs w:val="24"/>
          <w:color w:val="auto"/>
        </w:rPr>
      </w:pPr>
    </w:p>
    <w:p>
      <w:pPr>
        <w:ind w:right="40" w:firstLine="351"/>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periods as the registrant was required to file such reports), and (2) has been subject to such filing requirements for the past 90 days. YES x NO </w:t>
      </w:r>
      <w:r>
        <w:rPr>
          <w:rFonts w:ascii="MS PGothic" w:cs="MS PGothic" w:eastAsia="MS PGothic" w:hAnsi="MS PGothic"/>
          <w:sz w:val="16"/>
          <w:szCs w:val="16"/>
          <w:color w:val="auto"/>
        </w:rPr>
        <w:t>☐</w:t>
      </w:r>
    </w:p>
    <w:p>
      <w:pPr>
        <w:spacing w:after="0" w:line="156" w:lineRule="exact"/>
        <w:rPr>
          <w:sz w:val="24"/>
          <w:szCs w:val="24"/>
          <w:color w:val="auto"/>
        </w:rPr>
      </w:pPr>
    </w:p>
    <w:p>
      <w:pPr>
        <w:jc w:val="center"/>
        <w:ind w:right="120"/>
        <w:spacing w:after="0"/>
        <w:rPr>
          <w:sz w:val="20"/>
          <w:szCs w:val="20"/>
          <w:color w:val="auto"/>
        </w:rPr>
      </w:pPr>
      <w:r>
        <w:rPr>
          <w:rFonts w:ascii="Arial" w:cs="Arial" w:eastAsia="Arial" w:hAnsi="Arial"/>
          <w:sz w:val="15"/>
          <w:szCs w:val="15"/>
          <w:color w:val="auto"/>
        </w:rPr>
        <w:t>Indicate by check mark whether the registrant has submitted electronically and posted on its corporate Web site, if any, every Interactive Data File required to be</w:t>
      </w:r>
    </w:p>
    <w:p>
      <w:pPr>
        <w:spacing w:after="0" w:line="31" w:lineRule="exact"/>
        <w:rPr>
          <w:sz w:val="24"/>
          <w:szCs w:val="24"/>
          <w:color w:val="auto"/>
        </w:rPr>
      </w:pPr>
    </w:p>
    <w:p>
      <w:pPr>
        <w:ind w:right="120"/>
        <w:spacing w:after="0" w:line="200" w:lineRule="exact"/>
        <w:rPr>
          <w:sz w:val="20"/>
          <w:szCs w:val="20"/>
          <w:color w:val="auto"/>
        </w:rPr>
      </w:pPr>
      <w:r>
        <w:rPr>
          <w:rFonts w:ascii="Arial" w:cs="Arial" w:eastAsia="Arial" w:hAnsi="Arial"/>
          <w:sz w:val="16"/>
          <w:szCs w:val="16"/>
          <w:color w:val="auto"/>
        </w:rPr>
        <w:t xml:space="preserve">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55" w:lineRule="exact"/>
        <w:rPr>
          <w:sz w:val="24"/>
          <w:szCs w:val="24"/>
          <w:color w:val="auto"/>
        </w:rPr>
      </w:pPr>
    </w:p>
    <w:p>
      <w:pPr>
        <w:ind w:firstLine="351"/>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240" w:top="229" w:right="419" w:bottom="1440" w:gutter="0" w:footer="0" w:header="0"/>
          <w:type w:val="continuous"/>
        </w:sectPr>
      </w:pPr>
    </w:p>
    <w:p>
      <w:pPr>
        <w:spacing w:after="0" w:line="99" w:lineRule="exact"/>
        <w:rPr>
          <w:sz w:val="24"/>
          <w:szCs w:val="24"/>
          <w:color w:val="auto"/>
        </w:rPr>
      </w:pPr>
    </w:p>
    <w:p>
      <w:pPr>
        <w:ind w:left="360"/>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 x</w:t>
      </w:r>
    </w:p>
    <w:p>
      <w:pPr>
        <w:spacing w:after="0" w:line="54" w:lineRule="exact"/>
        <w:rPr>
          <w:sz w:val="24"/>
          <w:szCs w:val="24"/>
          <w:color w:val="auto"/>
        </w:rPr>
      </w:pPr>
    </w:p>
    <w:p>
      <w:pPr>
        <w:sectPr>
          <w:pgSz w:w="11900" w:h="16838" w:orient="portrait"/>
          <w:cols w:equalWidth="0" w:num="2">
            <w:col w:w="6180" w:space="720"/>
            <w:col w:w="4340"/>
          </w:cols>
          <w:pgMar w:left="240" w:top="229" w:right="419" w:bottom="1440" w:gutter="0" w:footer="0" w:header="0"/>
          <w:type w:val="continuous"/>
        </w:sectPr>
      </w:pPr>
    </w:p>
    <w:p>
      <w:pPr>
        <w:ind w:left="360"/>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4"/>
          <w:szCs w:val="14"/>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95" w:lineRule="exact"/>
        <w:rPr>
          <w:sz w:val="24"/>
          <w:szCs w:val="24"/>
          <w:color w:val="auto"/>
        </w:rPr>
      </w:pPr>
    </w:p>
    <w:p>
      <w:pPr>
        <w:sectPr>
          <w:pgSz w:w="11900" w:h="16838" w:orient="portrait"/>
          <w:cols w:equalWidth="0" w:num="3">
            <w:col w:w="1920" w:space="40"/>
            <w:col w:w="4220" w:space="720"/>
            <w:col w:w="4340"/>
          </w:cols>
          <w:pgMar w:left="240" w:top="229" w:right="419" w:bottom="1440" w:gutter="0" w:footer="0" w:header="0"/>
          <w:type w:val="continuous"/>
        </w:sectPr>
      </w:pPr>
    </w:p>
    <w:p>
      <w:pPr>
        <w:ind w:left="360"/>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ectPr>
          <w:pgSz w:w="11900" w:h="16838" w:orient="portrait"/>
          <w:cols w:equalWidth="0" w:num="1">
            <w:col w:w="11240"/>
          </w:cols>
          <w:pgMar w:left="240" w:top="229" w:right="419" w:bottom="1440" w:gutter="0" w:footer="0" w:header="0"/>
          <w:type w:val="continuous"/>
        </w:sectPr>
      </w:pPr>
    </w:p>
    <w:p>
      <w:pPr>
        <w:spacing w:after="0" w:line="99" w:lineRule="exact"/>
        <w:rPr>
          <w:sz w:val="24"/>
          <w:szCs w:val="24"/>
          <w:color w:val="auto"/>
        </w:rPr>
      </w:pPr>
    </w:p>
    <w:p>
      <w:pPr>
        <w:ind w:right="220" w:firstLine="351"/>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25" w:lineRule="exact"/>
        <w:rPr>
          <w:sz w:val="24"/>
          <w:szCs w:val="24"/>
          <w:color w:val="auto"/>
        </w:rPr>
      </w:pPr>
    </w:p>
    <w:p>
      <w:pPr>
        <w:ind w:left="34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x</w:t>
      </w:r>
    </w:p>
    <w:p>
      <w:pPr>
        <w:spacing w:after="0" w:line="224" w:lineRule="exact"/>
        <w:rPr>
          <w:sz w:val="24"/>
          <w:szCs w:val="24"/>
          <w:color w:val="auto"/>
        </w:rPr>
      </w:pPr>
    </w:p>
    <w:p>
      <w:pPr>
        <w:ind w:left="340"/>
        <w:spacing w:after="0"/>
        <w:rPr>
          <w:sz w:val="20"/>
          <w:szCs w:val="20"/>
          <w:color w:val="auto"/>
        </w:rPr>
      </w:pPr>
      <w:r>
        <w:rPr>
          <w:rFonts w:ascii="Arial" w:cs="Arial" w:eastAsia="Arial" w:hAnsi="Arial"/>
          <w:sz w:val="16"/>
          <w:szCs w:val="16"/>
          <w:color w:val="auto"/>
        </w:rPr>
        <w:t>The issuer had 19,915,001 shares of common stock, $0.01 par value per share, outstanding as of November 7,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335280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0"/>
          </w:cols>
          <w:pgMar w:left="240" w:top="229" w:right="419" w:bottom="1440" w:gutter="0" w:footer="0" w:header="0"/>
          <w:type w:val="continuous"/>
        </w:sectPr>
      </w:pPr>
    </w:p>
    <w:bookmarkStart w:id="1" w:name="page2"/>
    <w:bookmarkEnd w:id="1"/>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GSV CAPITAL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Borders>
              <w:bottom w:val="single" w:sz="8" w:color="CCEEFF"/>
            </w:tcBorders>
          </w:tcPr>
          <w:p>
            <w:pPr>
              <w:spacing w:after="0"/>
              <w:rPr>
                <w:sz w:val="16"/>
                <w:szCs w:val="16"/>
                <w:color w:val="auto"/>
              </w:rPr>
            </w:pPr>
          </w:p>
        </w:tc>
        <w:tc>
          <w:tcPr>
            <w:tcW w:w="5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CCEEFF"/>
            </w:tcBorders>
          </w:tcPr>
          <w:p>
            <w:pPr>
              <w:spacing w:after="0"/>
              <w:rPr>
                <w:sz w:val="16"/>
                <w:szCs w:val="16"/>
                <w:color w:val="auto"/>
              </w:rPr>
            </w:pPr>
          </w:p>
        </w:tc>
        <w:tc>
          <w:tcPr>
            <w:tcW w:w="60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4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440" w:type="dxa"/>
            <w:vAlign w:val="bottom"/>
            <w:tcBorders>
              <w:bottom w:val="single" w:sz="8" w:color="CCEEFF"/>
            </w:tcBorders>
          </w:tcPr>
          <w:p>
            <w:pPr>
              <w:spacing w:after="0"/>
              <w:rPr>
                <w:sz w:val="16"/>
                <w:szCs w:val="16"/>
                <w:color w:val="auto"/>
              </w:rPr>
            </w:pPr>
          </w:p>
        </w:tc>
        <w:tc>
          <w:tcPr>
            <w:tcW w:w="54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tcPr>
          <w:p>
            <w:pPr>
              <w:spacing w:after="0"/>
              <w:rPr>
                <w:sz w:val="16"/>
                <w:szCs w:val="16"/>
                <w:color w:val="auto"/>
              </w:rPr>
            </w:pPr>
          </w:p>
        </w:tc>
        <w:tc>
          <w:tcPr>
            <w:tcW w:w="1100" w:type="dxa"/>
            <w:vAlign w:val="bottom"/>
            <w:tcBorders>
              <w:bottom w:val="single" w:sz="8" w:color="CCEEFF"/>
            </w:tcBorders>
          </w:tcPr>
          <w:p>
            <w:pPr>
              <w:spacing w:after="0"/>
              <w:rPr>
                <w:sz w:val="16"/>
                <w:szCs w:val="16"/>
                <w:color w:val="auto"/>
              </w:rPr>
            </w:pPr>
          </w:p>
        </w:tc>
        <w:tc>
          <w:tcPr>
            <w:tcW w:w="9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18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58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PAGE</w:t>
            </w:r>
          </w:p>
        </w:tc>
      </w:tr>
      <w:tr>
        <w:trPr>
          <w:trHeight w:val="250"/>
        </w:trPr>
        <w:tc>
          <w:tcPr>
            <w:tcW w:w="10740" w:type="dxa"/>
            <w:vAlign w:val="bottom"/>
            <w:tcBorders>
              <w:bottom w:val="single" w:sz="8" w:color="CCEEFF"/>
            </w:tcBorders>
            <w:gridSpan w:val="23"/>
            <w:shd w:val="clear" w:color="auto" w:fill="CCEEFF"/>
          </w:tcPr>
          <w:p>
            <w:pPr>
              <w:ind w:left="40"/>
              <w:spacing w:after="0"/>
              <w:rPr>
                <w:rFonts w:ascii="Arial" w:cs="Arial" w:eastAsia="Arial" w:hAnsi="Arial"/>
                <w:sz w:val="18"/>
                <w:szCs w:val="18"/>
                <w:b w:val="1"/>
                <w:bCs w:val="1"/>
                <w:color w:val="auto"/>
              </w:rPr>
            </w:pPr>
            <w:hyperlink w:anchor="page3">
              <w:r>
                <w:rPr>
                  <w:rFonts w:ascii="Arial" w:cs="Arial" w:eastAsia="Arial" w:hAnsi="Arial"/>
                  <w:sz w:val="18"/>
                  <w:szCs w:val="18"/>
                  <w:b w:val="1"/>
                  <w:bCs w:val="1"/>
                  <w:color w:val="auto"/>
                </w:rPr>
                <w:t xml:space="preserve">PART I. </w:t>
              </w:r>
            </w:hyperlink>
            <w:r>
              <w:rPr>
                <w:rFonts w:ascii="Arial" w:cs="Arial" w:eastAsia="Arial" w:hAnsi="Arial"/>
                <w:sz w:val="18"/>
                <w:szCs w:val="18"/>
                <w:b w:val="1"/>
                <w:bCs w:val="1"/>
                <w:color w:val="auto"/>
              </w:rPr>
              <w:t>FINANCIAL INFORMATION</w:t>
            </w:r>
          </w:p>
        </w:tc>
        <w:tc>
          <w:tcPr>
            <w:tcW w:w="4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1180" w:type="dxa"/>
            <w:vAlign w:val="bottom"/>
            <w:gridSpan w:val="5"/>
          </w:tcPr>
          <w:p>
            <w:pPr>
              <w:ind w:left="40"/>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9560" w:type="dxa"/>
            <w:vAlign w:val="bottom"/>
            <w:gridSpan w:val="18"/>
          </w:tcPr>
          <w:p>
            <w:pPr>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Financial Statements</w:t>
              </w:r>
            </w:hyperlink>
          </w:p>
        </w:tc>
        <w:tc>
          <w:tcPr>
            <w:tcW w:w="680" w:type="dxa"/>
            <w:vAlign w:val="bottom"/>
            <w:gridSpan w:val="4"/>
          </w:tcPr>
          <w:p>
            <w:pPr>
              <w:jc w:val="right"/>
              <w:ind w:right="20"/>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1</w:t>
              </w:r>
            </w:hyperlink>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1020" w:type="dxa"/>
            <w:vAlign w:val="bottom"/>
            <w:tcBorders>
              <w:top w:val="single" w:sz="8" w:color="0000EE"/>
            </w:tcBorders>
          </w:tcPr>
          <w:p>
            <w:pPr>
              <w:spacing w:after="0"/>
              <w:rPr>
                <w:sz w:val="4"/>
                <w:szCs w:val="4"/>
                <w:color w:val="auto"/>
              </w:rPr>
            </w:pPr>
          </w:p>
        </w:tc>
        <w:tc>
          <w:tcPr>
            <w:tcW w:w="10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560" w:type="dxa"/>
            <w:vAlign w:val="bottom"/>
            <w:gridSpan w:val="18"/>
            <w:shd w:val="clear" w:color="auto" w:fill="CCEEFF"/>
          </w:tcPr>
          <w:p>
            <w:pPr>
              <w:spacing w:after="0" w:line="202" w:lineRule="exact"/>
              <w:rPr>
                <w:rFonts w:ascii="Arial" w:cs="Arial" w:eastAsia="Arial" w:hAnsi="Arial"/>
                <w:sz w:val="18"/>
                <w:szCs w:val="18"/>
                <w:color w:val="0000EE"/>
                <w:w w:val="95"/>
              </w:rPr>
            </w:pPr>
            <w:hyperlink w:anchor="page3">
              <w:r>
                <w:rPr>
                  <w:rFonts w:ascii="Arial" w:cs="Arial" w:eastAsia="Arial" w:hAnsi="Arial"/>
                  <w:sz w:val="18"/>
                  <w:szCs w:val="18"/>
                  <w:color w:val="0000EE"/>
                  <w:w w:val="95"/>
                </w:rPr>
                <w:t>Condensed Consolidated Statements of Assets and Liabilities as of September 30, 2018 (Unaudited) and December 31, 2017</w:t>
              </w:r>
            </w:hyperlink>
          </w:p>
        </w:tc>
        <w:tc>
          <w:tcPr>
            <w:tcW w:w="68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1</w:t>
              </w:r>
            </w:hyperlink>
          </w:p>
        </w:tc>
      </w:tr>
      <w:tr>
        <w:trPr>
          <w:trHeight w:val="203"/>
        </w:trPr>
        <w:tc>
          <w:tcPr>
            <w:tcW w:w="4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8980" w:type="dxa"/>
            <w:vAlign w:val="bottom"/>
            <w:tcBorders>
              <w:top w:val="single" w:sz="8" w:color="0000EE"/>
            </w:tcBorders>
            <w:gridSpan w:val="17"/>
          </w:tcPr>
          <w:p>
            <w:pPr>
              <w:spacing w:after="0" w:line="202" w:lineRule="exact"/>
              <w:rPr>
                <w:rFonts w:ascii="Arial" w:cs="Arial" w:eastAsia="Arial" w:hAnsi="Arial"/>
                <w:sz w:val="18"/>
                <w:szCs w:val="18"/>
                <w:color w:val="0000EE"/>
                <w:w w:val="92"/>
              </w:rPr>
            </w:pPr>
            <w:hyperlink w:anchor="page4">
              <w:r>
                <w:rPr>
                  <w:rFonts w:ascii="Arial" w:cs="Arial" w:eastAsia="Arial" w:hAnsi="Arial"/>
                  <w:sz w:val="18"/>
                  <w:szCs w:val="18"/>
                  <w:color w:val="0000EE"/>
                  <w:w w:val="92"/>
                </w:rPr>
                <w:t>Condensed Consolidated Statements of Operations for the Three and Nine Months Ended September 30, 2018 and 2017</w:t>
              </w:r>
            </w:hyperlink>
          </w:p>
        </w:tc>
        <w:tc>
          <w:tcPr>
            <w:tcW w:w="580" w:type="dxa"/>
            <w:vAlign w:val="bottom"/>
            <w:tcBorders>
              <w:top w:val="single" w:sz="8" w:color="CCEEFF"/>
            </w:tcBorders>
          </w:tcPr>
          <w:p>
            <w:pPr>
              <w:spacing w:after="0"/>
              <w:rPr>
                <w:sz w:val="17"/>
                <w:szCs w:val="17"/>
                <w:color w:val="auto"/>
              </w:rPr>
            </w:pPr>
          </w:p>
        </w:tc>
        <w:tc>
          <w:tcPr>
            <w:tcW w:w="4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4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(Unaudited)</w:t>
              </w:r>
            </w:hyperlink>
          </w:p>
        </w:tc>
        <w:tc>
          <w:tcPr>
            <w:tcW w:w="920" w:type="dxa"/>
            <w:vAlign w:val="bottom"/>
            <w:gridSpan w:val="4"/>
          </w:tcPr>
          <w:p>
            <w:pPr>
              <w:spacing w:after="0"/>
              <w:rPr>
                <w:sz w:val="17"/>
                <w:szCs w:val="17"/>
                <w:color w:val="auto"/>
              </w:rPr>
            </w:pPr>
          </w:p>
        </w:tc>
        <w:tc>
          <w:tcPr>
            <w:tcW w:w="680" w:type="dxa"/>
            <w:vAlign w:val="bottom"/>
            <w:gridSpan w:val="4"/>
          </w:tcPr>
          <w:p>
            <w:pPr>
              <w:jc w:val="right"/>
              <w:ind w:right="20"/>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2</w:t>
              </w:r>
            </w:hyperlink>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8720" w:type="dxa"/>
            <w:vAlign w:val="bottom"/>
            <w:tcBorders>
              <w:bottom w:val="single" w:sz="8" w:color="0000EE"/>
            </w:tcBorders>
            <w:gridSpan w:val="15"/>
            <w:shd w:val="clear" w:color="auto" w:fill="CCEEFF"/>
          </w:tcPr>
          <w:p>
            <w:pPr>
              <w:spacing w:after="0" w:line="202"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Changes in Net Assets for the Nine Months Ended September 30, 2018 and 2017</w:t>
              </w:r>
            </w:hyperlink>
          </w:p>
        </w:tc>
        <w:tc>
          <w:tcPr>
            <w:tcW w:w="840" w:type="dxa"/>
            <w:vAlign w:val="bottom"/>
            <w:tcBorders>
              <w:bottom w:val="single" w:sz="8" w:color="CCEEFF"/>
            </w:tcBorders>
            <w:gridSpan w:val="3"/>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0000EE"/>
            </w:tcBorders>
            <w:gridSpan w:val="2"/>
            <w:shd w:val="clear" w:color="auto" w:fill="CCEEFF"/>
          </w:tcPr>
          <w:p>
            <w:pPr>
              <w:spacing w:after="0" w:line="196" w:lineRule="exact"/>
              <w:rPr>
                <w:rFonts w:ascii="Arial" w:cs="Arial" w:eastAsia="Arial" w:hAnsi="Arial"/>
                <w:sz w:val="18"/>
                <w:szCs w:val="18"/>
                <w:color w:val="0000EE"/>
                <w:w w:val="91"/>
              </w:rPr>
            </w:pPr>
            <w:hyperlink w:anchor="page5">
              <w:r>
                <w:rPr>
                  <w:rFonts w:ascii="Arial" w:cs="Arial" w:eastAsia="Arial" w:hAnsi="Arial"/>
                  <w:sz w:val="18"/>
                  <w:szCs w:val="18"/>
                  <w:color w:val="0000EE"/>
                  <w:w w:val="91"/>
                </w:rPr>
                <w:t>(Unaudited)</w:t>
              </w:r>
            </w:hyperlink>
          </w:p>
        </w:tc>
        <w:tc>
          <w:tcPr>
            <w:tcW w:w="8680" w:type="dxa"/>
            <w:vAlign w:val="bottom"/>
            <w:tcBorders>
              <w:bottom w:val="single" w:sz="8" w:color="CCEEFF"/>
            </w:tcBorders>
            <w:gridSpan w:val="16"/>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right"/>
              <w:spacing w:after="0" w:line="196"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3</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560" w:type="dxa"/>
            <w:vAlign w:val="bottom"/>
            <w:gridSpan w:val="18"/>
          </w:tcPr>
          <w:p>
            <w:pPr>
              <w:spacing w:after="0" w:line="202" w:lineRule="exact"/>
              <w:rPr>
                <w:rFonts w:ascii="Arial" w:cs="Arial" w:eastAsia="Arial" w:hAnsi="Arial"/>
                <w:sz w:val="18"/>
                <w:szCs w:val="18"/>
                <w:color w:val="0000EE"/>
                <w:w w:val="96"/>
              </w:rPr>
            </w:pPr>
            <w:hyperlink w:anchor="page6">
              <w:r>
                <w:rPr>
                  <w:rFonts w:ascii="Arial" w:cs="Arial" w:eastAsia="Arial" w:hAnsi="Arial"/>
                  <w:sz w:val="18"/>
                  <w:szCs w:val="18"/>
                  <w:color w:val="0000EE"/>
                  <w:w w:val="96"/>
                </w:rPr>
                <w:t>Condensed Consolidated Statements of Cash Flows for the Nine Months Ended September 30, 2018 and 2017 (Unaudited)</w:t>
              </w:r>
            </w:hyperlink>
          </w:p>
        </w:tc>
        <w:tc>
          <w:tcPr>
            <w:tcW w:w="680" w:type="dxa"/>
            <w:vAlign w:val="bottom"/>
            <w:gridSpan w:val="4"/>
          </w:tcPr>
          <w:p>
            <w:pPr>
              <w:jc w:val="right"/>
              <w:ind w:right="20"/>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4</w:t>
              </w:r>
            </w:hyperlink>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1020" w:type="dxa"/>
            <w:vAlign w:val="bottom"/>
            <w:tcBorders>
              <w:top w:val="single" w:sz="8" w:color="0000EE"/>
            </w:tcBorders>
          </w:tcPr>
          <w:p>
            <w:pPr>
              <w:spacing w:after="0"/>
              <w:rPr>
                <w:sz w:val="4"/>
                <w:szCs w:val="4"/>
                <w:color w:val="auto"/>
              </w:rPr>
            </w:pPr>
          </w:p>
        </w:tc>
        <w:tc>
          <w:tcPr>
            <w:tcW w:w="1020" w:type="dxa"/>
            <w:vAlign w:val="bottom"/>
            <w:tcBorders>
              <w:top w:val="single" w:sz="8" w:color="0000EE"/>
            </w:tcBorders>
          </w:tcPr>
          <w:p>
            <w:pPr>
              <w:spacing w:after="0"/>
              <w:rPr>
                <w:sz w:val="4"/>
                <w:szCs w:val="4"/>
                <w:color w:val="auto"/>
              </w:rPr>
            </w:pPr>
          </w:p>
        </w:tc>
        <w:tc>
          <w:tcPr>
            <w:tcW w:w="1100" w:type="dxa"/>
            <w:vAlign w:val="bottom"/>
            <w:tcBorders>
              <w:top w:val="single" w:sz="8" w:color="0000EE"/>
            </w:tcBorders>
          </w:tcPr>
          <w:p>
            <w:pPr>
              <w:spacing w:after="0"/>
              <w:rPr>
                <w:sz w:val="4"/>
                <w:szCs w:val="4"/>
                <w:color w:val="auto"/>
              </w:rPr>
            </w:pPr>
          </w:p>
        </w:tc>
        <w:tc>
          <w:tcPr>
            <w:tcW w:w="9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18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560" w:type="dxa"/>
            <w:vAlign w:val="bottom"/>
            <w:gridSpan w:val="18"/>
            <w:shd w:val="clear" w:color="auto" w:fill="CCEEFF"/>
          </w:tcPr>
          <w:p>
            <w:pPr>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Condensed Consolidated Schedule of Investments as of September 30, 2018 (Unaudited)</w:t>
              </w:r>
            </w:hyperlink>
          </w:p>
        </w:tc>
        <w:tc>
          <w:tcPr>
            <w:tcW w:w="68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5</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540" w:type="dxa"/>
            <w:vAlign w:val="bottom"/>
            <w:tcBorders>
              <w:top w:val="single" w:sz="8" w:color="0000EE"/>
            </w:tcBorders>
            <w:shd w:val="clear" w:color="auto" w:fill="CCEEFF"/>
          </w:tcPr>
          <w:p>
            <w:pPr>
              <w:spacing w:after="0"/>
              <w:rPr>
                <w:sz w:val="4"/>
                <w:szCs w:val="4"/>
                <w:color w:val="auto"/>
              </w:rPr>
            </w:pPr>
          </w:p>
        </w:tc>
        <w:tc>
          <w:tcPr>
            <w:tcW w:w="1020" w:type="dxa"/>
            <w:vAlign w:val="bottom"/>
            <w:tcBorders>
              <w:top w:val="single" w:sz="8" w:color="0000EE"/>
            </w:tcBorders>
            <w:shd w:val="clear" w:color="auto" w:fill="CCEEFF"/>
          </w:tcPr>
          <w:p>
            <w:pPr>
              <w:spacing w:after="0"/>
              <w:rPr>
                <w:sz w:val="4"/>
                <w:szCs w:val="4"/>
                <w:color w:val="auto"/>
              </w:rPr>
            </w:pPr>
          </w:p>
        </w:tc>
        <w:tc>
          <w:tcPr>
            <w:tcW w:w="1020" w:type="dxa"/>
            <w:vAlign w:val="bottom"/>
            <w:tcBorders>
              <w:top w:val="single" w:sz="8" w:color="0000EE"/>
            </w:tcBorders>
            <w:shd w:val="clear" w:color="auto" w:fill="CCEEFF"/>
          </w:tcPr>
          <w:p>
            <w:pPr>
              <w:spacing w:after="0"/>
              <w:rPr>
                <w:sz w:val="4"/>
                <w:szCs w:val="4"/>
                <w:color w:val="auto"/>
              </w:rPr>
            </w:pPr>
          </w:p>
        </w:tc>
        <w:tc>
          <w:tcPr>
            <w:tcW w:w="1100" w:type="dxa"/>
            <w:vAlign w:val="bottom"/>
            <w:tcBorders>
              <w:top w:val="single" w:sz="8" w:color="0000EE"/>
            </w:tcBorders>
            <w:shd w:val="clear" w:color="auto" w:fill="CCEEFF"/>
          </w:tcPr>
          <w:p>
            <w:pPr>
              <w:spacing w:after="0"/>
              <w:rPr>
                <w:sz w:val="4"/>
                <w:szCs w:val="4"/>
                <w:color w:val="auto"/>
              </w:rPr>
            </w:pPr>
          </w:p>
        </w:tc>
        <w:tc>
          <w:tcPr>
            <w:tcW w:w="9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8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0" w:type="dxa"/>
            <w:vAlign w:val="bottom"/>
            <w:gridSpan w:val="11"/>
          </w:tcPr>
          <w:p>
            <w:pPr>
              <w:spacing w:after="0" w:line="202" w:lineRule="exact"/>
              <w:rPr>
                <w:rFonts w:ascii="Arial" w:cs="Arial" w:eastAsia="Arial" w:hAnsi="Arial"/>
                <w:sz w:val="18"/>
                <w:szCs w:val="18"/>
                <w:color w:val="0000EE"/>
              </w:rPr>
            </w:pPr>
            <w:hyperlink w:anchor="page12">
              <w:r>
                <w:rPr>
                  <w:rFonts w:ascii="Arial" w:cs="Arial" w:eastAsia="Arial" w:hAnsi="Arial"/>
                  <w:sz w:val="18"/>
                  <w:szCs w:val="18"/>
                  <w:color w:val="0000EE"/>
                </w:rPr>
                <w:t>Condensed Consolidated Schedule of Investments as of December 31, 2017</w:t>
              </w:r>
            </w:hyperlink>
          </w:p>
        </w:tc>
        <w:tc>
          <w:tcPr>
            <w:tcW w:w="3160" w:type="dxa"/>
            <w:vAlign w:val="bottom"/>
            <w:gridSpan w:val="7"/>
          </w:tcPr>
          <w:p>
            <w:pPr>
              <w:spacing w:after="0"/>
              <w:rPr>
                <w:sz w:val="17"/>
                <w:szCs w:val="17"/>
                <w:color w:val="auto"/>
              </w:rPr>
            </w:pPr>
          </w:p>
        </w:tc>
        <w:tc>
          <w:tcPr>
            <w:tcW w:w="680" w:type="dxa"/>
            <w:vAlign w:val="bottom"/>
            <w:gridSpan w:val="4"/>
          </w:tcPr>
          <w:p>
            <w:pPr>
              <w:jc w:val="right"/>
              <w:ind w:right="20"/>
              <w:spacing w:after="0" w:line="202" w:lineRule="exact"/>
              <w:rPr>
                <w:rFonts w:ascii="Arial" w:cs="Arial" w:eastAsia="Arial" w:hAnsi="Arial"/>
                <w:sz w:val="18"/>
                <w:szCs w:val="18"/>
                <w:color w:val="0000EE"/>
              </w:rPr>
            </w:pPr>
            <w:hyperlink w:anchor="page12">
              <w:r>
                <w:rPr>
                  <w:rFonts w:ascii="Arial" w:cs="Arial" w:eastAsia="Arial" w:hAnsi="Arial"/>
                  <w:sz w:val="18"/>
                  <w:szCs w:val="18"/>
                  <w:color w:val="0000EE"/>
                </w:rPr>
                <w:t>10</w:t>
              </w:r>
            </w:hyperlink>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1020" w:type="dxa"/>
            <w:vAlign w:val="bottom"/>
            <w:tcBorders>
              <w:top w:val="single" w:sz="8" w:color="0000EE"/>
            </w:tcBorders>
          </w:tcPr>
          <w:p>
            <w:pPr>
              <w:spacing w:after="0"/>
              <w:rPr>
                <w:sz w:val="4"/>
                <w:szCs w:val="4"/>
                <w:color w:val="auto"/>
              </w:rPr>
            </w:pPr>
          </w:p>
        </w:tc>
        <w:tc>
          <w:tcPr>
            <w:tcW w:w="1020" w:type="dxa"/>
            <w:vAlign w:val="bottom"/>
            <w:tcBorders>
              <w:top w:val="single" w:sz="8" w:color="0000EE"/>
            </w:tcBorders>
          </w:tcPr>
          <w:p>
            <w:pPr>
              <w:spacing w:after="0"/>
              <w:rPr>
                <w:sz w:val="4"/>
                <w:szCs w:val="4"/>
                <w:color w:val="auto"/>
              </w:rPr>
            </w:pPr>
          </w:p>
        </w:tc>
        <w:tc>
          <w:tcPr>
            <w:tcW w:w="1100" w:type="dxa"/>
            <w:vAlign w:val="bottom"/>
            <w:tcBorders>
              <w:top w:val="single" w:sz="8" w:color="0000EE"/>
            </w:tcBorders>
          </w:tcPr>
          <w:p>
            <w:pPr>
              <w:spacing w:after="0"/>
              <w:rPr>
                <w:sz w:val="4"/>
                <w:szCs w:val="4"/>
                <w:color w:val="auto"/>
              </w:rPr>
            </w:pPr>
          </w:p>
        </w:tc>
        <w:tc>
          <w:tcPr>
            <w:tcW w:w="94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800" w:type="dxa"/>
            <w:vAlign w:val="bottom"/>
            <w:gridSpan w:val="13"/>
            <w:shd w:val="clear" w:color="auto" w:fill="CCEEFF"/>
          </w:tcPr>
          <w:p>
            <w:pPr>
              <w:spacing w:after="0" w:line="202" w:lineRule="exact"/>
              <w:rPr>
                <w:rFonts w:ascii="Arial" w:cs="Arial" w:eastAsia="Arial" w:hAnsi="Arial"/>
                <w:sz w:val="18"/>
                <w:szCs w:val="18"/>
                <w:color w:val="0000EE"/>
                <w:w w:val="89"/>
              </w:rPr>
            </w:pPr>
            <w:hyperlink w:anchor="page17">
              <w:r>
                <w:rPr>
                  <w:rFonts w:ascii="Arial" w:cs="Arial" w:eastAsia="Arial" w:hAnsi="Arial"/>
                  <w:sz w:val="18"/>
                  <w:szCs w:val="18"/>
                  <w:color w:val="0000EE"/>
                  <w:w w:val="89"/>
                </w:rPr>
                <w:t>Notes to Condensed Consolidated Financial Statements as of September 30, 2018 (Unaudited)</w:t>
              </w:r>
            </w:hyperlink>
          </w:p>
        </w:tc>
        <w:tc>
          <w:tcPr>
            <w:tcW w:w="2760" w:type="dxa"/>
            <w:vAlign w:val="bottom"/>
            <w:gridSpan w:val="5"/>
            <w:shd w:val="clear" w:color="auto" w:fill="CCEEFF"/>
          </w:tcPr>
          <w:p>
            <w:pPr>
              <w:spacing w:after="0"/>
              <w:rPr>
                <w:sz w:val="17"/>
                <w:szCs w:val="17"/>
                <w:color w:val="auto"/>
              </w:rPr>
            </w:pPr>
          </w:p>
        </w:tc>
        <w:tc>
          <w:tcPr>
            <w:tcW w:w="68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17">
              <w:r>
                <w:rPr>
                  <w:rFonts w:ascii="Arial" w:cs="Arial" w:eastAsia="Arial" w:hAnsi="Arial"/>
                  <w:sz w:val="18"/>
                  <w:szCs w:val="18"/>
                  <w:color w:val="0000EE"/>
                </w:rPr>
                <w:t>15</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540" w:type="dxa"/>
            <w:vAlign w:val="bottom"/>
            <w:tcBorders>
              <w:top w:val="single" w:sz="8" w:color="0000EE"/>
            </w:tcBorders>
            <w:shd w:val="clear" w:color="auto" w:fill="CCEEFF"/>
          </w:tcPr>
          <w:p>
            <w:pPr>
              <w:spacing w:after="0"/>
              <w:rPr>
                <w:sz w:val="4"/>
                <w:szCs w:val="4"/>
                <w:color w:val="auto"/>
              </w:rPr>
            </w:pPr>
          </w:p>
        </w:tc>
        <w:tc>
          <w:tcPr>
            <w:tcW w:w="1020" w:type="dxa"/>
            <w:vAlign w:val="bottom"/>
            <w:tcBorders>
              <w:top w:val="single" w:sz="8" w:color="0000EE"/>
            </w:tcBorders>
            <w:shd w:val="clear" w:color="auto" w:fill="CCEEFF"/>
          </w:tcPr>
          <w:p>
            <w:pPr>
              <w:spacing w:after="0"/>
              <w:rPr>
                <w:sz w:val="4"/>
                <w:szCs w:val="4"/>
                <w:color w:val="auto"/>
              </w:rPr>
            </w:pPr>
          </w:p>
        </w:tc>
        <w:tc>
          <w:tcPr>
            <w:tcW w:w="1020" w:type="dxa"/>
            <w:vAlign w:val="bottom"/>
            <w:tcBorders>
              <w:top w:val="single" w:sz="8" w:color="0000EE"/>
            </w:tcBorders>
            <w:shd w:val="clear" w:color="auto" w:fill="CCEEFF"/>
          </w:tcPr>
          <w:p>
            <w:pPr>
              <w:spacing w:after="0"/>
              <w:rPr>
                <w:sz w:val="4"/>
                <w:szCs w:val="4"/>
                <w:color w:val="auto"/>
              </w:rPr>
            </w:pPr>
          </w:p>
        </w:tc>
        <w:tc>
          <w:tcPr>
            <w:tcW w:w="1100" w:type="dxa"/>
            <w:vAlign w:val="bottom"/>
            <w:tcBorders>
              <w:top w:val="single" w:sz="8" w:color="0000EE"/>
            </w:tcBorders>
            <w:shd w:val="clear" w:color="auto" w:fill="CCEEFF"/>
          </w:tcPr>
          <w:p>
            <w:pPr>
              <w:spacing w:after="0"/>
              <w:rPr>
                <w:sz w:val="4"/>
                <w:szCs w:val="4"/>
                <w:color w:val="auto"/>
              </w:rPr>
            </w:pPr>
          </w:p>
        </w:tc>
        <w:tc>
          <w:tcPr>
            <w:tcW w:w="9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340" w:type="dxa"/>
            <w:vAlign w:val="bottom"/>
            <w:tcBorders>
              <w:top w:val="single" w:sz="8" w:color="0000EE"/>
            </w:tcBorders>
            <w:shd w:val="clear" w:color="auto" w:fill="CCEEFF"/>
          </w:tcPr>
          <w:p>
            <w:pPr>
              <w:spacing w:after="0"/>
              <w:rPr>
                <w:sz w:val="4"/>
                <w:szCs w:val="4"/>
                <w:color w:val="auto"/>
              </w:rPr>
            </w:pPr>
          </w:p>
        </w:tc>
        <w:tc>
          <w:tcPr>
            <w:tcW w:w="18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180" w:type="dxa"/>
            <w:vAlign w:val="bottom"/>
            <w:gridSpan w:val="5"/>
          </w:tcPr>
          <w:p>
            <w:pPr>
              <w:ind w:left="40"/>
              <w:spacing w:after="0" w:line="202" w:lineRule="exact"/>
              <w:rPr>
                <w:rFonts w:ascii="Arial" w:cs="Arial" w:eastAsia="Arial" w:hAnsi="Arial"/>
                <w:sz w:val="18"/>
                <w:szCs w:val="18"/>
                <w:color w:val="0000EE"/>
              </w:rPr>
            </w:pPr>
            <w:hyperlink w:anchor="page59">
              <w:r>
                <w:rPr>
                  <w:rFonts w:ascii="Arial" w:cs="Arial" w:eastAsia="Arial" w:hAnsi="Arial"/>
                  <w:sz w:val="18"/>
                  <w:szCs w:val="18"/>
                  <w:color w:val="0000EE"/>
                </w:rPr>
                <w:t>Item 2.</w:t>
              </w:r>
            </w:hyperlink>
          </w:p>
        </w:tc>
        <w:tc>
          <w:tcPr>
            <w:tcW w:w="6800" w:type="dxa"/>
            <w:vAlign w:val="bottom"/>
            <w:gridSpan w:val="13"/>
          </w:tcPr>
          <w:p>
            <w:pPr>
              <w:spacing w:after="0" w:line="202" w:lineRule="exact"/>
              <w:rPr>
                <w:rFonts w:ascii="Arial" w:cs="Arial" w:eastAsia="Arial" w:hAnsi="Arial"/>
                <w:sz w:val="18"/>
                <w:szCs w:val="18"/>
                <w:color w:val="0000EE"/>
                <w:w w:val="95"/>
              </w:rPr>
            </w:pPr>
            <w:hyperlink w:anchor="page57">
              <w:r>
                <w:rPr>
                  <w:rFonts w:ascii="Arial" w:cs="Arial" w:eastAsia="Arial" w:hAnsi="Arial"/>
                  <w:sz w:val="18"/>
                  <w:szCs w:val="18"/>
                  <w:color w:val="0000EE"/>
                  <w:w w:val="95"/>
                </w:rPr>
                <w:t>Management’s Discussion and Analysis of Financial Condition and Results of Operations</w:t>
              </w:r>
            </w:hyperlink>
          </w:p>
        </w:tc>
        <w:tc>
          <w:tcPr>
            <w:tcW w:w="2760" w:type="dxa"/>
            <w:vAlign w:val="bottom"/>
            <w:gridSpan w:val="5"/>
          </w:tcPr>
          <w:p>
            <w:pPr>
              <w:spacing w:after="0"/>
              <w:rPr>
                <w:sz w:val="17"/>
                <w:szCs w:val="17"/>
                <w:color w:val="auto"/>
              </w:rPr>
            </w:pPr>
          </w:p>
        </w:tc>
        <w:tc>
          <w:tcPr>
            <w:tcW w:w="680" w:type="dxa"/>
            <w:vAlign w:val="bottom"/>
            <w:gridSpan w:val="4"/>
          </w:tcPr>
          <w:p>
            <w:pPr>
              <w:jc w:val="right"/>
              <w:ind w:right="20"/>
              <w:spacing w:after="0" w:line="202" w:lineRule="exact"/>
              <w:rPr>
                <w:rFonts w:ascii="Arial" w:cs="Arial" w:eastAsia="Arial" w:hAnsi="Arial"/>
                <w:sz w:val="18"/>
                <w:szCs w:val="18"/>
                <w:color w:val="0000EE"/>
              </w:rPr>
            </w:pPr>
            <w:hyperlink w:anchor="page57">
              <w:r>
                <w:rPr>
                  <w:rFonts w:ascii="Arial" w:cs="Arial" w:eastAsia="Arial" w:hAnsi="Arial"/>
                  <w:sz w:val="18"/>
                  <w:szCs w:val="18"/>
                  <w:color w:val="0000EE"/>
                </w:rPr>
                <w:t>55</w:t>
              </w:r>
            </w:hyperlink>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1020" w:type="dxa"/>
            <w:vAlign w:val="bottom"/>
            <w:tcBorders>
              <w:top w:val="single" w:sz="8" w:color="0000EE"/>
            </w:tcBorders>
          </w:tcPr>
          <w:p>
            <w:pPr>
              <w:spacing w:after="0"/>
              <w:rPr>
                <w:sz w:val="4"/>
                <w:szCs w:val="4"/>
                <w:color w:val="auto"/>
              </w:rPr>
            </w:pPr>
          </w:p>
        </w:tc>
        <w:tc>
          <w:tcPr>
            <w:tcW w:w="1020" w:type="dxa"/>
            <w:vAlign w:val="bottom"/>
            <w:tcBorders>
              <w:top w:val="single" w:sz="8" w:color="0000EE"/>
            </w:tcBorders>
          </w:tcPr>
          <w:p>
            <w:pPr>
              <w:spacing w:after="0"/>
              <w:rPr>
                <w:sz w:val="4"/>
                <w:szCs w:val="4"/>
                <w:color w:val="auto"/>
              </w:rPr>
            </w:pPr>
          </w:p>
        </w:tc>
        <w:tc>
          <w:tcPr>
            <w:tcW w:w="1100" w:type="dxa"/>
            <w:vAlign w:val="bottom"/>
            <w:tcBorders>
              <w:top w:val="single" w:sz="8" w:color="0000EE"/>
            </w:tcBorders>
          </w:tcPr>
          <w:p>
            <w:pPr>
              <w:spacing w:after="0"/>
              <w:rPr>
                <w:sz w:val="4"/>
                <w:szCs w:val="4"/>
                <w:color w:val="auto"/>
              </w:rPr>
            </w:pPr>
          </w:p>
        </w:tc>
        <w:tc>
          <w:tcPr>
            <w:tcW w:w="9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40" w:type="dxa"/>
            <w:vAlign w:val="bottom"/>
          </w:tcPr>
          <w:p>
            <w:pPr>
              <w:spacing w:after="0"/>
              <w:rPr>
                <w:sz w:val="4"/>
                <w:szCs w:val="4"/>
                <w:color w:val="auto"/>
              </w:rPr>
            </w:pPr>
          </w:p>
        </w:tc>
        <w:tc>
          <w:tcPr>
            <w:tcW w:w="1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180" w:type="dxa"/>
            <w:vAlign w:val="bottom"/>
            <w:gridSpan w:val="5"/>
            <w:shd w:val="clear" w:color="auto" w:fill="CCEEFF"/>
          </w:tcPr>
          <w:p>
            <w:pPr>
              <w:ind w:left="40"/>
              <w:spacing w:after="0" w:line="202" w:lineRule="exact"/>
              <w:rPr>
                <w:rFonts w:ascii="Arial" w:cs="Arial" w:eastAsia="Arial" w:hAnsi="Arial"/>
                <w:sz w:val="18"/>
                <w:szCs w:val="18"/>
                <w:color w:val="0000EE"/>
              </w:rPr>
            </w:pPr>
            <w:hyperlink w:anchor="page69">
              <w:r>
                <w:rPr>
                  <w:rFonts w:ascii="Arial" w:cs="Arial" w:eastAsia="Arial" w:hAnsi="Arial"/>
                  <w:sz w:val="18"/>
                  <w:szCs w:val="18"/>
                  <w:color w:val="0000EE"/>
                </w:rPr>
                <w:t>Item 3.</w:t>
              </w:r>
            </w:hyperlink>
          </w:p>
        </w:tc>
        <w:tc>
          <w:tcPr>
            <w:tcW w:w="9560" w:type="dxa"/>
            <w:vAlign w:val="bottom"/>
            <w:gridSpan w:val="18"/>
            <w:shd w:val="clear" w:color="auto" w:fill="CCEEFF"/>
          </w:tcPr>
          <w:p>
            <w:pPr>
              <w:spacing w:after="0" w:line="202" w:lineRule="exact"/>
              <w:rPr>
                <w:rFonts w:ascii="Arial" w:cs="Arial" w:eastAsia="Arial" w:hAnsi="Arial"/>
                <w:sz w:val="18"/>
                <w:szCs w:val="18"/>
                <w:color w:val="0000EE"/>
              </w:rPr>
            </w:pPr>
            <w:hyperlink w:anchor="page69">
              <w:r>
                <w:rPr>
                  <w:rFonts w:ascii="Arial" w:cs="Arial" w:eastAsia="Arial" w:hAnsi="Arial"/>
                  <w:sz w:val="18"/>
                  <w:szCs w:val="18"/>
                  <w:color w:val="0000EE"/>
                </w:rPr>
                <w:t>Quantitative and Qualitative Disclosures About Market Risk</w:t>
              </w:r>
            </w:hyperlink>
          </w:p>
        </w:tc>
        <w:tc>
          <w:tcPr>
            <w:tcW w:w="68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69">
              <w:r>
                <w:rPr>
                  <w:rFonts w:ascii="Arial" w:cs="Arial" w:eastAsia="Arial" w:hAnsi="Arial"/>
                  <w:sz w:val="18"/>
                  <w:szCs w:val="18"/>
                  <w:color w:val="0000EE"/>
                </w:rPr>
                <w:t>67</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540" w:type="dxa"/>
            <w:vAlign w:val="bottom"/>
            <w:tcBorders>
              <w:top w:val="single" w:sz="8" w:color="0000EE"/>
            </w:tcBorders>
            <w:shd w:val="clear" w:color="auto" w:fill="CCEEFF"/>
          </w:tcPr>
          <w:p>
            <w:pPr>
              <w:spacing w:after="0"/>
              <w:rPr>
                <w:sz w:val="4"/>
                <w:szCs w:val="4"/>
                <w:color w:val="auto"/>
              </w:rPr>
            </w:pPr>
          </w:p>
        </w:tc>
        <w:tc>
          <w:tcPr>
            <w:tcW w:w="1020" w:type="dxa"/>
            <w:vAlign w:val="bottom"/>
            <w:tcBorders>
              <w:top w:val="single" w:sz="8" w:color="0000EE"/>
            </w:tcBorders>
            <w:shd w:val="clear" w:color="auto" w:fill="CCEEFF"/>
          </w:tcPr>
          <w:p>
            <w:pPr>
              <w:spacing w:after="0"/>
              <w:rPr>
                <w:sz w:val="4"/>
                <w:szCs w:val="4"/>
                <w:color w:val="auto"/>
              </w:rPr>
            </w:pPr>
          </w:p>
        </w:tc>
        <w:tc>
          <w:tcPr>
            <w:tcW w:w="1020" w:type="dxa"/>
            <w:vAlign w:val="bottom"/>
            <w:tcBorders>
              <w:top w:val="single" w:sz="8" w:color="0000EE"/>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8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180" w:type="dxa"/>
            <w:vAlign w:val="bottom"/>
            <w:gridSpan w:val="5"/>
          </w:tcPr>
          <w:p>
            <w:pPr>
              <w:ind w:left="40"/>
              <w:spacing w:after="0" w:line="202" w:lineRule="exact"/>
              <w:rPr>
                <w:rFonts w:ascii="Arial" w:cs="Arial" w:eastAsia="Arial" w:hAnsi="Arial"/>
                <w:sz w:val="18"/>
                <w:szCs w:val="18"/>
                <w:color w:val="0000EE"/>
              </w:rPr>
            </w:pPr>
            <w:hyperlink w:anchor="page70">
              <w:r>
                <w:rPr>
                  <w:rFonts w:ascii="Arial" w:cs="Arial" w:eastAsia="Arial" w:hAnsi="Arial"/>
                  <w:sz w:val="18"/>
                  <w:szCs w:val="18"/>
                  <w:color w:val="0000EE"/>
                </w:rPr>
                <w:t>Item 4.</w:t>
              </w:r>
            </w:hyperlink>
          </w:p>
        </w:tc>
        <w:tc>
          <w:tcPr>
            <w:tcW w:w="9560" w:type="dxa"/>
            <w:vAlign w:val="bottom"/>
            <w:gridSpan w:val="18"/>
          </w:tcPr>
          <w:p>
            <w:pPr>
              <w:spacing w:after="0" w:line="202" w:lineRule="exact"/>
              <w:rPr>
                <w:rFonts w:ascii="Arial" w:cs="Arial" w:eastAsia="Arial" w:hAnsi="Arial"/>
                <w:sz w:val="18"/>
                <w:szCs w:val="18"/>
                <w:color w:val="0000EE"/>
              </w:rPr>
            </w:pPr>
            <w:hyperlink w:anchor="page70">
              <w:r>
                <w:rPr>
                  <w:rFonts w:ascii="Arial" w:cs="Arial" w:eastAsia="Arial" w:hAnsi="Arial"/>
                  <w:sz w:val="18"/>
                  <w:szCs w:val="18"/>
                  <w:color w:val="0000EE"/>
                </w:rPr>
                <w:t>Controls and Procedures</w:t>
              </w:r>
            </w:hyperlink>
          </w:p>
        </w:tc>
        <w:tc>
          <w:tcPr>
            <w:tcW w:w="680" w:type="dxa"/>
            <w:vAlign w:val="bottom"/>
            <w:gridSpan w:val="4"/>
          </w:tcPr>
          <w:p>
            <w:pPr>
              <w:jc w:val="right"/>
              <w:ind w:right="20"/>
              <w:spacing w:after="0" w:line="202" w:lineRule="exact"/>
              <w:rPr>
                <w:rFonts w:ascii="Arial" w:cs="Arial" w:eastAsia="Arial" w:hAnsi="Arial"/>
                <w:sz w:val="18"/>
                <w:szCs w:val="18"/>
                <w:color w:val="0000EE"/>
              </w:rPr>
            </w:pPr>
            <w:hyperlink w:anchor="page70">
              <w:r>
                <w:rPr>
                  <w:rFonts w:ascii="Arial" w:cs="Arial" w:eastAsia="Arial" w:hAnsi="Arial"/>
                  <w:sz w:val="18"/>
                  <w:szCs w:val="18"/>
                  <w:color w:val="0000EE"/>
                </w:rPr>
                <w:t>68</w:t>
              </w:r>
            </w:hyperlink>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0740" w:type="dxa"/>
            <w:vAlign w:val="bottom"/>
            <w:tcBorders>
              <w:bottom w:val="single" w:sz="8" w:color="CCEEFF"/>
            </w:tcBorders>
            <w:gridSpan w:val="23"/>
            <w:shd w:val="clear" w:color="auto" w:fill="CCEEFF"/>
          </w:tcPr>
          <w:p>
            <w:pPr>
              <w:ind w:left="40"/>
              <w:spacing w:after="0"/>
              <w:rPr>
                <w:rFonts w:ascii="Arial" w:cs="Arial" w:eastAsia="Arial" w:hAnsi="Arial"/>
                <w:sz w:val="18"/>
                <w:szCs w:val="18"/>
                <w:b w:val="1"/>
                <w:bCs w:val="1"/>
                <w:color w:val="auto"/>
              </w:rPr>
            </w:pPr>
            <w:hyperlink w:anchor="page71">
              <w:r>
                <w:rPr>
                  <w:rFonts w:ascii="Arial" w:cs="Arial" w:eastAsia="Arial" w:hAnsi="Arial"/>
                  <w:sz w:val="18"/>
                  <w:szCs w:val="18"/>
                  <w:b w:val="1"/>
                  <w:bCs w:val="1"/>
                  <w:color w:val="auto"/>
                </w:rPr>
                <w:t xml:space="preserve">PART II. </w:t>
              </w:r>
            </w:hyperlink>
            <w:r>
              <w:rPr>
                <w:rFonts w:ascii="Arial" w:cs="Arial" w:eastAsia="Arial" w:hAnsi="Arial"/>
                <w:sz w:val="18"/>
                <w:szCs w:val="18"/>
                <w:b w:val="1"/>
                <w:bCs w:val="1"/>
                <w:color w:val="auto"/>
              </w:rPr>
              <w:t>OTHER INFORMATION</w:t>
            </w:r>
          </w:p>
        </w:tc>
        <w:tc>
          <w:tcPr>
            <w:tcW w:w="4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1180" w:type="dxa"/>
            <w:vAlign w:val="bottom"/>
            <w:gridSpan w:val="5"/>
          </w:tcPr>
          <w:p>
            <w:pPr>
              <w:ind w:left="40"/>
              <w:spacing w:after="0" w:line="202" w:lineRule="exact"/>
              <w:rPr>
                <w:rFonts w:ascii="Arial" w:cs="Arial" w:eastAsia="Arial" w:hAnsi="Arial"/>
                <w:sz w:val="18"/>
                <w:szCs w:val="18"/>
                <w:color w:val="0000EE"/>
              </w:rPr>
            </w:pPr>
            <w:hyperlink w:anchor="page71">
              <w:r>
                <w:rPr>
                  <w:rFonts w:ascii="Arial" w:cs="Arial" w:eastAsia="Arial" w:hAnsi="Arial"/>
                  <w:sz w:val="18"/>
                  <w:szCs w:val="18"/>
                  <w:color w:val="0000EE"/>
                </w:rPr>
                <w:t>Item 1.</w:t>
              </w:r>
            </w:hyperlink>
          </w:p>
        </w:tc>
        <w:tc>
          <w:tcPr>
            <w:tcW w:w="9560" w:type="dxa"/>
            <w:vAlign w:val="bottom"/>
            <w:gridSpan w:val="18"/>
          </w:tcPr>
          <w:p>
            <w:pPr>
              <w:spacing w:after="0" w:line="202" w:lineRule="exact"/>
              <w:rPr>
                <w:rFonts w:ascii="Arial" w:cs="Arial" w:eastAsia="Arial" w:hAnsi="Arial"/>
                <w:sz w:val="18"/>
                <w:szCs w:val="18"/>
                <w:color w:val="0000EE"/>
              </w:rPr>
            </w:pPr>
            <w:hyperlink w:anchor="page71">
              <w:r>
                <w:rPr>
                  <w:rFonts w:ascii="Arial" w:cs="Arial" w:eastAsia="Arial" w:hAnsi="Arial"/>
                  <w:sz w:val="18"/>
                  <w:szCs w:val="18"/>
                  <w:color w:val="0000EE"/>
                </w:rPr>
                <w:t>Legal Proceedings</w:t>
              </w:r>
            </w:hyperlink>
          </w:p>
        </w:tc>
        <w:tc>
          <w:tcPr>
            <w:tcW w:w="680" w:type="dxa"/>
            <w:vAlign w:val="bottom"/>
            <w:gridSpan w:val="4"/>
          </w:tcPr>
          <w:p>
            <w:pPr>
              <w:jc w:val="right"/>
              <w:ind w:right="20"/>
              <w:spacing w:after="0" w:line="202" w:lineRule="exact"/>
              <w:rPr>
                <w:rFonts w:ascii="Arial" w:cs="Arial" w:eastAsia="Arial" w:hAnsi="Arial"/>
                <w:sz w:val="18"/>
                <w:szCs w:val="18"/>
                <w:color w:val="0000EE"/>
              </w:rPr>
            </w:pPr>
            <w:hyperlink w:anchor="page71">
              <w:r>
                <w:rPr>
                  <w:rFonts w:ascii="Arial" w:cs="Arial" w:eastAsia="Arial" w:hAnsi="Arial"/>
                  <w:sz w:val="18"/>
                  <w:szCs w:val="18"/>
                  <w:color w:val="0000EE"/>
                </w:rPr>
                <w:t>69</w:t>
              </w:r>
            </w:hyperlink>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180" w:type="dxa"/>
            <w:vAlign w:val="bottom"/>
            <w:gridSpan w:val="5"/>
            <w:shd w:val="clear" w:color="auto" w:fill="CCEEFF"/>
          </w:tcPr>
          <w:p>
            <w:pPr>
              <w:ind w:left="40"/>
              <w:spacing w:after="0" w:line="202" w:lineRule="exact"/>
              <w:rPr>
                <w:rFonts w:ascii="Arial" w:cs="Arial" w:eastAsia="Arial" w:hAnsi="Arial"/>
                <w:sz w:val="18"/>
                <w:szCs w:val="18"/>
                <w:color w:val="0000EE"/>
              </w:rPr>
            </w:pPr>
            <w:hyperlink w:anchor="page71">
              <w:r>
                <w:rPr>
                  <w:rFonts w:ascii="Arial" w:cs="Arial" w:eastAsia="Arial" w:hAnsi="Arial"/>
                  <w:sz w:val="18"/>
                  <w:szCs w:val="18"/>
                  <w:color w:val="0000EE"/>
                </w:rPr>
                <w:t>Item 1A.</w:t>
              </w:r>
            </w:hyperlink>
          </w:p>
        </w:tc>
        <w:tc>
          <w:tcPr>
            <w:tcW w:w="9560" w:type="dxa"/>
            <w:vAlign w:val="bottom"/>
            <w:gridSpan w:val="18"/>
            <w:shd w:val="clear" w:color="auto" w:fill="CCEEFF"/>
          </w:tcPr>
          <w:p>
            <w:pPr>
              <w:spacing w:after="0" w:line="202" w:lineRule="exact"/>
              <w:rPr>
                <w:rFonts w:ascii="Arial" w:cs="Arial" w:eastAsia="Arial" w:hAnsi="Arial"/>
                <w:sz w:val="18"/>
                <w:szCs w:val="18"/>
                <w:color w:val="0000EE"/>
              </w:rPr>
            </w:pPr>
            <w:hyperlink w:anchor="page71">
              <w:r>
                <w:rPr>
                  <w:rFonts w:ascii="Arial" w:cs="Arial" w:eastAsia="Arial" w:hAnsi="Arial"/>
                  <w:sz w:val="18"/>
                  <w:szCs w:val="18"/>
                  <w:color w:val="0000EE"/>
                </w:rPr>
                <w:t>Risk Factors</w:t>
              </w:r>
            </w:hyperlink>
          </w:p>
        </w:tc>
        <w:tc>
          <w:tcPr>
            <w:tcW w:w="68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71">
              <w:r>
                <w:rPr>
                  <w:rFonts w:ascii="Arial" w:cs="Arial" w:eastAsia="Arial" w:hAnsi="Arial"/>
                  <w:sz w:val="18"/>
                  <w:szCs w:val="18"/>
                  <w:color w:val="0000EE"/>
                </w:rPr>
                <w:t>69</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8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180" w:type="dxa"/>
            <w:vAlign w:val="bottom"/>
            <w:gridSpan w:val="5"/>
          </w:tcPr>
          <w:p>
            <w:pPr>
              <w:ind w:left="40"/>
              <w:spacing w:after="0" w:line="202" w:lineRule="exact"/>
              <w:rPr>
                <w:rFonts w:ascii="Arial" w:cs="Arial" w:eastAsia="Arial" w:hAnsi="Arial"/>
                <w:sz w:val="18"/>
                <w:szCs w:val="18"/>
                <w:color w:val="0000EE"/>
              </w:rPr>
            </w:pPr>
            <w:hyperlink w:anchor="page72">
              <w:r>
                <w:rPr>
                  <w:rFonts w:ascii="Arial" w:cs="Arial" w:eastAsia="Arial" w:hAnsi="Arial"/>
                  <w:sz w:val="18"/>
                  <w:szCs w:val="18"/>
                  <w:color w:val="0000EE"/>
                </w:rPr>
                <w:t>Item 2.</w:t>
              </w:r>
            </w:hyperlink>
          </w:p>
        </w:tc>
        <w:tc>
          <w:tcPr>
            <w:tcW w:w="9560" w:type="dxa"/>
            <w:vAlign w:val="bottom"/>
            <w:gridSpan w:val="18"/>
          </w:tcPr>
          <w:p>
            <w:pPr>
              <w:spacing w:after="0" w:line="202" w:lineRule="exact"/>
              <w:rPr>
                <w:rFonts w:ascii="Arial" w:cs="Arial" w:eastAsia="Arial" w:hAnsi="Arial"/>
                <w:sz w:val="18"/>
                <w:szCs w:val="18"/>
                <w:color w:val="0000EE"/>
              </w:rPr>
            </w:pPr>
            <w:hyperlink w:anchor="page72">
              <w:r>
                <w:rPr>
                  <w:rFonts w:ascii="Arial" w:cs="Arial" w:eastAsia="Arial" w:hAnsi="Arial"/>
                  <w:sz w:val="18"/>
                  <w:szCs w:val="18"/>
                  <w:color w:val="0000EE"/>
                </w:rPr>
                <w:t>Unregistered Sales of Equity Securities and Use of Proceeds</w:t>
              </w:r>
            </w:hyperlink>
          </w:p>
        </w:tc>
        <w:tc>
          <w:tcPr>
            <w:tcW w:w="680" w:type="dxa"/>
            <w:vAlign w:val="bottom"/>
            <w:gridSpan w:val="4"/>
          </w:tcPr>
          <w:p>
            <w:pPr>
              <w:jc w:val="right"/>
              <w:ind w:right="20"/>
              <w:spacing w:after="0" w:line="202" w:lineRule="exact"/>
              <w:rPr>
                <w:rFonts w:ascii="Arial" w:cs="Arial" w:eastAsia="Arial" w:hAnsi="Arial"/>
                <w:sz w:val="18"/>
                <w:szCs w:val="18"/>
                <w:color w:val="0000EE"/>
              </w:rPr>
            </w:pPr>
            <w:hyperlink w:anchor="page72">
              <w:r>
                <w:rPr>
                  <w:rFonts w:ascii="Arial" w:cs="Arial" w:eastAsia="Arial" w:hAnsi="Arial"/>
                  <w:sz w:val="18"/>
                  <w:szCs w:val="18"/>
                  <w:color w:val="0000EE"/>
                </w:rPr>
                <w:t>70</w:t>
              </w:r>
            </w:hyperlink>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1020" w:type="dxa"/>
            <w:vAlign w:val="bottom"/>
            <w:tcBorders>
              <w:top w:val="single" w:sz="8" w:color="0000EE"/>
            </w:tcBorders>
          </w:tcPr>
          <w:p>
            <w:pPr>
              <w:spacing w:after="0"/>
              <w:rPr>
                <w:sz w:val="4"/>
                <w:szCs w:val="4"/>
                <w:color w:val="auto"/>
              </w:rPr>
            </w:pPr>
          </w:p>
        </w:tc>
        <w:tc>
          <w:tcPr>
            <w:tcW w:w="1020" w:type="dxa"/>
            <w:vAlign w:val="bottom"/>
            <w:tcBorders>
              <w:top w:val="single" w:sz="8" w:color="0000EE"/>
            </w:tcBorders>
          </w:tcPr>
          <w:p>
            <w:pPr>
              <w:spacing w:after="0"/>
              <w:rPr>
                <w:sz w:val="4"/>
                <w:szCs w:val="4"/>
                <w:color w:val="auto"/>
              </w:rPr>
            </w:pPr>
          </w:p>
        </w:tc>
        <w:tc>
          <w:tcPr>
            <w:tcW w:w="1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180" w:type="dxa"/>
            <w:vAlign w:val="bottom"/>
            <w:gridSpan w:val="5"/>
            <w:shd w:val="clear" w:color="auto" w:fill="CCEEFF"/>
          </w:tcPr>
          <w:p>
            <w:pPr>
              <w:ind w:left="40"/>
              <w:spacing w:after="0" w:line="202" w:lineRule="exact"/>
              <w:rPr>
                <w:rFonts w:ascii="Arial" w:cs="Arial" w:eastAsia="Arial" w:hAnsi="Arial"/>
                <w:sz w:val="18"/>
                <w:szCs w:val="18"/>
                <w:color w:val="0000EE"/>
              </w:rPr>
            </w:pPr>
            <w:hyperlink w:anchor="page73">
              <w:r>
                <w:rPr>
                  <w:rFonts w:ascii="Arial" w:cs="Arial" w:eastAsia="Arial" w:hAnsi="Arial"/>
                  <w:sz w:val="18"/>
                  <w:szCs w:val="18"/>
                  <w:color w:val="0000EE"/>
                </w:rPr>
                <w:t>Item 3.</w:t>
              </w:r>
            </w:hyperlink>
          </w:p>
        </w:tc>
        <w:tc>
          <w:tcPr>
            <w:tcW w:w="9560" w:type="dxa"/>
            <w:vAlign w:val="bottom"/>
            <w:gridSpan w:val="18"/>
            <w:shd w:val="clear" w:color="auto" w:fill="CCEEFF"/>
          </w:tcPr>
          <w:p>
            <w:pPr>
              <w:spacing w:after="0" w:line="202" w:lineRule="exact"/>
              <w:rPr>
                <w:rFonts w:ascii="Arial" w:cs="Arial" w:eastAsia="Arial" w:hAnsi="Arial"/>
                <w:sz w:val="18"/>
                <w:szCs w:val="18"/>
                <w:color w:val="0000EE"/>
              </w:rPr>
            </w:pPr>
            <w:hyperlink w:anchor="page73">
              <w:r>
                <w:rPr>
                  <w:rFonts w:ascii="Arial" w:cs="Arial" w:eastAsia="Arial" w:hAnsi="Arial"/>
                  <w:sz w:val="18"/>
                  <w:szCs w:val="18"/>
                  <w:color w:val="0000EE"/>
                </w:rPr>
                <w:t>Defaults Upon Senior Securities</w:t>
              </w:r>
            </w:hyperlink>
          </w:p>
        </w:tc>
        <w:tc>
          <w:tcPr>
            <w:tcW w:w="68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73">
              <w:r>
                <w:rPr>
                  <w:rFonts w:ascii="Arial" w:cs="Arial" w:eastAsia="Arial" w:hAnsi="Arial"/>
                  <w:sz w:val="18"/>
                  <w:szCs w:val="18"/>
                  <w:color w:val="0000EE"/>
                </w:rPr>
                <w:t>71</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540" w:type="dxa"/>
            <w:vAlign w:val="bottom"/>
            <w:tcBorders>
              <w:top w:val="single" w:sz="8" w:color="0000EE"/>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8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180" w:type="dxa"/>
            <w:vAlign w:val="bottom"/>
            <w:gridSpan w:val="5"/>
          </w:tcPr>
          <w:p>
            <w:pPr>
              <w:ind w:left="40"/>
              <w:spacing w:after="0" w:line="202" w:lineRule="exact"/>
              <w:rPr>
                <w:rFonts w:ascii="Arial" w:cs="Arial" w:eastAsia="Arial" w:hAnsi="Arial"/>
                <w:sz w:val="18"/>
                <w:szCs w:val="18"/>
                <w:color w:val="0000EE"/>
              </w:rPr>
            </w:pPr>
            <w:hyperlink w:anchor="page73">
              <w:r>
                <w:rPr>
                  <w:rFonts w:ascii="Arial" w:cs="Arial" w:eastAsia="Arial" w:hAnsi="Arial"/>
                  <w:sz w:val="18"/>
                  <w:szCs w:val="18"/>
                  <w:color w:val="0000EE"/>
                </w:rPr>
                <w:t>Item 4.</w:t>
              </w:r>
            </w:hyperlink>
          </w:p>
        </w:tc>
        <w:tc>
          <w:tcPr>
            <w:tcW w:w="9560" w:type="dxa"/>
            <w:vAlign w:val="bottom"/>
            <w:gridSpan w:val="18"/>
          </w:tcPr>
          <w:p>
            <w:pPr>
              <w:spacing w:after="0" w:line="202" w:lineRule="exact"/>
              <w:rPr>
                <w:rFonts w:ascii="Arial" w:cs="Arial" w:eastAsia="Arial" w:hAnsi="Arial"/>
                <w:sz w:val="18"/>
                <w:szCs w:val="18"/>
                <w:color w:val="0000EE"/>
              </w:rPr>
            </w:pPr>
            <w:hyperlink w:anchor="page73">
              <w:r>
                <w:rPr>
                  <w:rFonts w:ascii="Arial" w:cs="Arial" w:eastAsia="Arial" w:hAnsi="Arial"/>
                  <w:sz w:val="18"/>
                  <w:szCs w:val="18"/>
                  <w:color w:val="0000EE"/>
                </w:rPr>
                <w:t>Mine Safety Disclosures</w:t>
              </w:r>
            </w:hyperlink>
          </w:p>
        </w:tc>
        <w:tc>
          <w:tcPr>
            <w:tcW w:w="680" w:type="dxa"/>
            <w:vAlign w:val="bottom"/>
            <w:gridSpan w:val="4"/>
          </w:tcPr>
          <w:p>
            <w:pPr>
              <w:jc w:val="right"/>
              <w:ind w:right="20"/>
              <w:spacing w:after="0" w:line="202" w:lineRule="exact"/>
              <w:rPr>
                <w:rFonts w:ascii="Arial" w:cs="Arial" w:eastAsia="Arial" w:hAnsi="Arial"/>
                <w:sz w:val="18"/>
                <w:szCs w:val="18"/>
                <w:color w:val="0000EE"/>
              </w:rPr>
            </w:pPr>
            <w:hyperlink w:anchor="page73">
              <w:r>
                <w:rPr>
                  <w:rFonts w:ascii="Arial" w:cs="Arial" w:eastAsia="Arial" w:hAnsi="Arial"/>
                  <w:sz w:val="18"/>
                  <w:szCs w:val="18"/>
                  <w:color w:val="0000EE"/>
                </w:rPr>
                <w:t>71</w:t>
              </w:r>
            </w:hyperlink>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180" w:type="dxa"/>
            <w:vAlign w:val="bottom"/>
            <w:gridSpan w:val="5"/>
            <w:shd w:val="clear" w:color="auto" w:fill="CCEEFF"/>
          </w:tcPr>
          <w:p>
            <w:pPr>
              <w:ind w:left="40"/>
              <w:spacing w:after="0" w:line="202" w:lineRule="exact"/>
              <w:rPr>
                <w:rFonts w:ascii="Arial" w:cs="Arial" w:eastAsia="Arial" w:hAnsi="Arial"/>
                <w:sz w:val="18"/>
                <w:szCs w:val="18"/>
                <w:color w:val="0000EE"/>
              </w:rPr>
            </w:pPr>
            <w:hyperlink w:anchor="page73">
              <w:r>
                <w:rPr>
                  <w:rFonts w:ascii="Arial" w:cs="Arial" w:eastAsia="Arial" w:hAnsi="Arial"/>
                  <w:sz w:val="18"/>
                  <w:szCs w:val="18"/>
                  <w:color w:val="0000EE"/>
                </w:rPr>
                <w:t>Item 5.</w:t>
              </w:r>
            </w:hyperlink>
          </w:p>
        </w:tc>
        <w:tc>
          <w:tcPr>
            <w:tcW w:w="9560" w:type="dxa"/>
            <w:vAlign w:val="bottom"/>
            <w:gridSpan w:val="18"/>
            <w:shd w:val="clear" w:color="auto" w:fill="CCEEFF"/>
          </w:tcPr>
          <w:p>
            <w:pPr>
              <w:spacing w:after="0" w:line="202" w:lineRule="exact"/>
              <w:rPr>
                <w:rFonts w:ascii="Arial" w:cs="Arial" w:eastAsia="Arial" w:hAnsi="Arial"/>
                <w:sz w:val="18"/>
                <w:szCs w:val="18"/>
                <w:color w:val="0000EE"/>
              </w:rPr>
            </w:pPr>
            <w:hyperlink w:anchor="page73">
              <w:r>
                <w:rPr>
                  <w:rFonts w:ascii="Arial" w:cs="Arial" w:eastAsia="Arial" w:hAnsi="Arial"/>
                  <w:sz w:val="18"/>
                  <w:szCs w:val="18"/>
                  <w:color w:val="0000EE"/>
                </w:rPr>
                <w:t>Other Information</w:t>
              </w:r>
            </w:hyperlink>
          </w:p>
        </w:tc>
        <w:tc>
          <w:tcPr>
            <w:tcW w:w="68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73">
              <w:r>
                <w:rPr>
                  <w:rFonts w:ascii="Arial" w:cs="Arial" w:eastAsia="Arial" w:hAnsi="Arial"/>
                  <w:sz w:val="18"/>
                  <w:szCs w:val="18"/>
                  <w:color w:val="0000EE"/>
                </w:rPr>
                <w:t>71</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8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180" w:type="dxa"/>
            <w:vAlign w:val="bottom"/>
            <w:gridSpan w:val="5"/>
          </w:tcPr>
          <w:p>
            <w:pPr>
              <w:ind w:left="40"/>
              <w:spacing w:after="0" w:line="202" w:lineRule="exact"/>
              <w:rPr>
                <w:rFonts w:ascii="Arial" w:cs="Arial" w:eastAsia="Arial" w:hAnsi="Arial"/>
                <w:sz w:val="18"/>
                <w:szCs w:val="18"/>
                <w:color w:val="0000EE"/>
              </w:rPr>
            </w:pPr>
            <w:hyperlink w:anchor="page73">
              <w:r>
                <w:rPr>
                  <w:rFonts w:ascii="Arial" w:cs="Arial" w:eastAsia="Arial" w:hAnsi="Arial"/>
                  <w:sz w:val="18"/>
                  <w:szCs w:val="18"/>
                  <w:color w:val="0000EE"/>
                </w:rPr>
                <w:t>Item 6.</w:t>
              </w:r>
            </w:hyperlink>
          </w:p>
        </w:tc>
        <w:tc>
          <w:tcPr>
            <w:tcW w:w="9560" w:type="dxa"/>
            <w:vAlign w:val="bottom"/>
            <w:gridSpan w:val="18"/>
          </w:tcPr>
          <w:p>
            <w:pPr>
              <w:spacing w:after="0" w:line="202" w:lineRule="exact"/>
              <w:rPr>
                <w:rFonts w:ascii="Arial" w:cs="Arial" w:eastAsia="Arial" w:hAnsi="Arial"/>
                <w:sz w:val="18"/>
                <w:szCs w:val="18"/>
                <w:color w:val="0000EE"/>
              </w:rPr>
            </w:pPr>
            <w:hyperlink w:anchor="page73">
              <w:r>
                <w:rPr>
                  <w:rFonts w:ascii="Arial" w:cs="Arial" w:eastAsia="Arial" w:hAnsi="Arial"/>
                  <w:sz w:val="18"/>
                  <w:szCs w:val="18"/>
                  <w:color w:val="0000EE"/>
                </w:rPr>
                <w:t>Exhibits</w:t>
              </w:r>
            </w:hyperlink>
          </w:p>
        </w:tc>
        <w:tc>
          <w:tcPr>
            <w:tcW w:w="680" w:type="dxa"/>
            <w:vAlign w:val="bottom"/>
            <w:gridSpan w:val="4"/>
          </w:tcPr>
          <w:p>
            <w:pPr>
              <w:jc w:val="right"/>
              <w:ind w:right="20"/>
              <w:spacing w:after="0" w:line="202" w:lineRule="exact"/>
              <w:rPr>
                <w:rFonts w:ascii="Arial" w:cs="Arial" w:eastAsia="Arial" w:hAnsi="Arial"/>
                <w:sz w:val="18"/>
                <w:szCs w:val="18"/>
                <w:color w:val="0000EE"/>
              </w:rPr>
            </w:pPr>
            <w:hyperlink w:anchor="page73">
              <w:r>
                <w:rPr>
                  <w:rFonts w:ascii="Arial" w:cs="Arial" w:eastAsia="Arial" w:hAnsi="Arial"/>
                  <w:sz w:val="18"/>
                  <w:szCs w:val="18"/>
                  <w:color w:val="0000EE"/>
                </w:rPr>
                <w:t>71</w:t>
              </w:r>
            </w:hyperlink>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180" w:type="dxa"/>
            <w:vAlign w:val="bottom"/>
            <w:gridSpan w:val="5"/>
            <w:shd w:val="clear" w:color="auto" w:fill="CCEEFF"/>
          </w:tcPr>
          <w:p>
            <w:pPr>
              <w:ind w:left="40"/>
              <w:spacing w:after="0" w:line="202" w:lineRule="exact"/>
              <w:rPr>
                <w:rFonts w:ascii="Arial" w:cs="Arial" w:eastAsia="Arial" w:hAnsi="Arial"/>
                <w:sz w:val="18"/>
                <w:szCs w:val="18"/>
                <w:color w:val="0000EE"/>
              </w:rPr>
            </w:pPr>
            <w:hyperlink w:anchor="page74">
              <w:r>
                <w:rPr>
                  <w:rFonts w:ascii="Arial" w:cs="Arial" w:eastAsia="Arial" w:hAnsi="Arial"/>
                  <w:sz w:val="18"/>
                  <w:szCs w:val="18"/>
                  <w:color w:val="0000EE"/>
                </w:rPr>
                <w:t>Signatures</w:t>
              </w:r>
            </w:hyperlink>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8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74">
              <w:r>
                <w:rPr>
                  <w:rFonts w:ascii="Arial" w:cs="Arial" w:eastAsia="Arial" w:hAnsi="Arial"/>
                  <w:sz w:val="18"/>
                  <w:szCs w:val="18"/>
                  <w:color w:val="0000EE"/>
                </w:rPr>
                <w:t>72</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8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-3884295</wp:posOffset>
            </wp:positionV>
            <wp:extent cx="68179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17995" cy="8890"/>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121" w:right="239" w:bottom="1440" w:gutter="0" w:footer="0" w:header="0"/>
        </w:sectPr>
      </w:pPr>
    </w:p>
    <w:bookmarkStart w:id="2" w:name="page3"/>
    <w:bookmarkEnd w:id="2"/>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GSV CAPITAL CORP.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ASSETS AND LIABILITIES (UNAUDITED)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4"/>
                <w:szCs w:val="14"/>
                <w:color w:val="auto"/>
              </w:rPr>
            </w:pPr>
          </w:p>
        </w:tc>
        <w:tc>
          <w:tcPr>
            <w:tcW w:w="1440" w:type="dxa"/>
            <w:vAlign w:val="bottom"/>
          </w:tcPr>
          <w:p>
            <w:pPr>
              <w:jc w:val="right"/>
              <w:ind w:right="360"/>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8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20"/>
              <w:spacing w:after="0"/>
              <w:rPr>
                <w:sz w:val="20"/>
                <w:szCs w:val="20"/>
                <w:color w:val="auto"/>
              </w:rPr>
            </w:pPr>
            <w:r>
              <w:rPr>
                <w:rFonts w:ascii="Arial" w:cs="Arial" w:eastAsia="Arial" w:hAnsi="Arial"/>
                <w:sz w:val="14"/>
                <w:szCs w:val="14"/>
                <w:b w:val="1"/>
                <w:bCs w:val="1"/>
                <w:color w:val="auto"/>
              </w:rPr>
              <w:t>2017</w:t>
            </w:r>
          </w:p>
        </w:tc>
      </w:tr>
      <w:tr>
        <w:trPr>
          <w:trHeight w:val="23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Investments at fair value:</w:t>
            </w: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33"/>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Non-controlled/non-affiliate investments (cost of $102,192,243 and $137,526,726, respectively)</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181,222,034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179,908,234</w:t>
            </w:r>
          </w:p>
        </w:tc>
      </w:tr>
      <w:tr>
        <w:trPr>
          <w:trHeight w:val="237"/>
        </w:trPr>
        <w:tc>
          <w:tcPr>
            <w:tcW w:w="8120" w:type="dxa"/>
            <w:vAlign w:val="bottom"/>
          </w:tcPr>
          <w:p>
            <w:pPr>
              <w:ind w:left="220"/>
              <w:spacing w:after="0"/>
              <w:rPr>
                <w:sz w:val="20"/>
                <w:szCs w:val="20"/>
                <w:color w:val="auto"/>
              </w:rPr>
            </w:pPr>
            <w:r>
              <w:rPr>
                <w:rFonts w:ascii="Arial" w:cs="Arial" w:eastAsia="Arial" w:hAnsi="Arial"/>
                <w:sz w:val="16"/>
                <w:szCs w:val="16"/>
                <w:color w:val="auto"/>
              </w:rPr>
              <w:t>Non-controlled/affiliate investments (cost of $42,226,859 and $41,886,312, respectively)</w:t>
            </w:r>
          </w:p>
        </w:tc>
        <w:tc>
          <w:tcPr>
            <w:tcW w:w="200" w:type="dxa"/>
            <w:vAlign w:val="bottom"/>
          </w:tcPr>
          <w:p>
            <w:pPr>
              <w:spacing w:after="0"/>
              <w:rPr>
                <w:sz w:val="20"/>
                <w:szCs w:val="20"/>
                <w:color w:val="auto"/>
              </w:rPr>
            </w:pPr>
          </w:p>
        </w:tc>
        <w:tc>
          <w:tcPr>
            <w:tcW w:w="1300" w:type="dxa"/>
            <w:vAlign w:val="bottom"/>
          </w:tcPr>
          <w:p>
            <w:pPr>
              <w:jc w:val="right"/>
              <w:ind w:right="60"/>
              <w:spacing w:after="0"/>
              <w:rPr>
                <w:sz w:val="20"/>
                <w:szCs w:val="20"/>
                <w:color w:val="auto"/>
              </w:rPr>
            </w:pPr>
            <w:r>
              <w:rPr>
                <w:rFonts w:ascii="Arial" w:cs="Arial" w:eastAsia="Arial" w:hAnsi="Arial"/>
                <w:sz w:val="16"/>
                <w:szCs w:val="16"/>
                <w:color w:val="auto"/>
              </w:rPr>
              <w:t>5,834,265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ind w:right="20"/>
              <w:spacing w:after="0"/>
              <w:rPr>
                <w:sz w:val="20"/>
                <w:szCs w:val="20"/>
                <w:color w:val="auto"/>
              </w:rPr>
            </w:pPr>
            <w:r>
              <w:rPr>
                <w:rFonts w:ascii="Arial" w:cs="Arial" w:eastAsia="Arial" w:hAnsi="Arial"/>
                <w:sz w:val="16"/>
                <w:szCs w:val="16"/>
                <w:color w:val="auto"/>
              </w:rPr>
              <w:t>16,473,098</w:t>
            </w:r>
          </w:p>
        </w:tc>
      </w:tr>
      <w:tr>
        <w:trPr>
          <w:trHeight w:val="33"/>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Controlled investments (cost of $22,616,441 and $23,161,314, respectively)</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30,134,871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24,207,161</w:t>
            </w:r>
          </w:p>
        </w:tc>
      </w:tr>
      <w:tr>
        <w:trPr>
          <w:trHeight w:val="217"/>
        </w:trPr>
        <w:tc>
          <w:tcPr>
            <w:tcW w:w="8120" w:type="dxa"/>
            <w:vAlign w:val="bottom"/>
          </w:tcPr>
          <w:p>
            <w:pPr>
              <w:ind w:left="340"/>
              <w:spacing w:after="0"/>
              <w:rPr>
                <w:sz w:val="20"/>
                <w:szCs w:val="20"/>
                <w:color w:val="auto"/>
              </w:rPr>
            </w:pPr>
            <w:r>
              <w:rPr>
                <w:rFonts w:ascii="Arial" w:cs="Arial" w:eastAsia="Arial" w:hAnsi="Arial"/>
                <w:sz w:val="16"/>
                <w:szCs w:val="16"/>
                <w:color w:val="auto"/>
              </w:rPr>
              <w:t>Total Portfolio Investments</w:t>
            </w: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217,191,170</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220,588,493</w:t>
            </w:r>
          </w:p>
        </w:tc>
      </w:tr>
      <w:tr>
        <w:trPr>
          <w:trHeight w:val="33"/>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Investments in U.S. Treasury bills (cost of $99,967,958 and $99,985,833, respectively)</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99,983,000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99,994,000</w:t>
            </w:r>
          </w:p>
        </w:tc>
      </w:tr>
      <w:tr>
        <w:trPr>
          <w:trHeight w:val="217"/>
        </w:trPr>
        <w:tc>
          <w:tcPr>
            <w:tcW w:w="8120" w:type="dxa"/>
            <w:vAlign w:val="bottom"/>
          </w:tcPr>
          <w:p>
            <w:pPr>
              <w:ind w:left="380"/>
              <w:spacing w:after="0"/>
              <w:rPr>
                <w:sz w:val="20"/>
                <w:szCs w:val="20"/>
                <w:color w:val="auto"/>
              </w:rPr>
            </w:pPr>
            <w:r>
              <w:rPr>
                <w:rFonts w:ascii="Arial" w:cs="Arial" w:eastAsia="Arial" w:hAnsi="Arial"/>
                <w:sz w:val="16"/>
                <w:szCs w:val="16"/>
                <w:color w:val="auto"/>
              </w:rPr>
              <w:t>Total Investments (cost of $267,003,501 and $302,560,185, respectively)</w:t>
            </w: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317,174,170</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320,582,493</w:t>
            </w:r>
          </w:p>
        </w:tc>
      </w:tr>
      <w:tr>
        <w:trPr>
          <w:trHeight w:val="33"/>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36,623,050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59,838,600</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Due from controlled investments</w:t>
            </w:r>
          </w:p>
        </w:tc>
        <w:tc>
          <w:tcPr>
            <w:tcW w:w="200" w:type="dxa"/>
            <w:vAlign w:val="bottom"/>
          </w:tcPr>
          <w:p>
            <w:pPr>
              <w:spacing w:after="0"/>
              <w:rPr>
                <w:sz w:val="20"/>
                <w:szCs w:val="20"/>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440" w:type="dxa"/>
            <w:vAlign w:val="bottom"/>
          </w:tcPr>
          <w:p>
            <w:pPr>
              <w:jc w:val="right"/>
              <w:ind w:right="20"/>
              <w:spacing w:after="0"/>
              <w:rPr>
                <w:sz w:val="20"/>
                <w:szCs w:val="20"/>
                <w:color w:val="auto"/>
              </w:rPr>
            </w:pPr>
            <w:r>
              <w:rPr>
                <w:rFonts w:ascii="Arial" w:cs="Arial" w:eastAsia="Arial" w:hAnsi="Arial"/>
                <w:sz w:val="16"/>
                <w:szCs w:val="16"/>
                <w:color w:val="auto"/>
              </w:rPr>
              <w:t>840</w:t>
            </w:r>
          </w:p>
        </w:tc>
      </w:tr>
      <w:tr>
        <w:trPr>
          <w:trHeight w:val="33"/>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Escrow proceeds receivable</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2,642,281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603,456</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Interest and dividends receivable</w:t>
            </w:r>
          </w:p>
        </w:tc>
        <w:tc>
          <w:tcPr>
            <w:tcW w:w="200" w:type="dxa"/>
            <w:vAlign w:val="bottom"/>
          </w:tcPr>
          <w:p>
            <w:pPr>
              <w:spacing w:after="0"/>
              <w:rPr>
                <w:sz w:val="20"/>
                <w:szCs w:val="20"/>
                <w:color w:val="auto"/>
              </w:rPr>
            </w:pPr>
          </w:p>
        </w:tc>
        <w:tc>
          <w:tcPr>
            <w:tcW w:w="1300" w:type="dxa"/>
            <w:vAlign w:val="bottom"/>
          </w:tcPr>
          <w:p>
            <w:pPr>
              <w:jc w:val="right"/>
              <w:ind w:right="60"/>
              <w:spacing w:after="0"/>
              <w:rPr>
                <w:sz w:val="20"/>
                <w:szCs w:val="20"/>
                <w:color w:val="auto"/>
              </w:rPr>
            </w:pPr>
            <w:r>
              <w:rPr>
                <w:rFonts w:ascii="Arial" w:cs="Arial" w:eastAsia="Arial" w:hAnsi="Arial"/>
                <w:sz w:val="16"/>
                <w:szCs w:val="16"/>
                <w:color w:val="auto"/>
              </w:rPr>
              <w:t>310,683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ind w:right="20"/>
              <w:spacing w:after="0"/>
              <w:rPr>
                <w:sz w:val="20"/>
                <w:szCs w:val="20"/>
                <w:color w:val="auto"/>
              </w:rPr>
            </w:pPr>
            <w:r>
              <w:rPr>
                <w:rFonts w:ascii="Arial" w:cs="Arial" w:eastAsia="Arial" w:hAnsi="Arial"/>
                <w:sz w:val="16"/>
                <w:szCs w:val="16"/>
                <w:color w:val="auto"/>
              </w:rPr>
              <w:t>35,141</w:t>
            </w:r>
          </w:p>
        </w:tc>
      </w:tr>
      <w:tr>
        <w:trPr>
          <w:trHeight w:val="33"/>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Prepaid expenses and other assets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398,184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208,983</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Deferred financing costs</w:t>
            </w:r>
          </w:p>
        </w:tc>
        <w:tc>
          <w:tcPr>
            <w:tcW w:w="200" w:type="dxa"/>
            <w:vAlign w:val="bottom"/>
          </w:tcPr>
          <w:p>
            <w:pPr>
              <w:spacing w:after="0"/>
              <w:rPr>
                <w:sz w:val="20"/>
                <w:szCs w:val="20"/>
                <w:color w:val="auto"/>
              </w:rPr>
            </w:pPr>
          </w:p>
        </w:tc>
        <w:tc>
          <w:tcPr>
            <w:tcW w:w="1300" w:type="dxa"/>
            <w:vAlign w:val="bottom"/>
          </w:tcPr>
          <w:p>
            <w:pPr>
              <w:jc w:val="right"/>
              <w:ind w:right="60"/>
              <w:spacing w:after="0"/>
              <w:rPr>
                <w:sz w:val="20"/>
                <w:szCs w:val="20"/>
                <w:color w:val="auto"/>
              </w:rPr>
            </w:pPr>
            <w:r>
              <w:rPr>
                <w:rFonts w:ascii="Arial" w:cs="Arial" w:eastAsia="Arial" w:hAnsi="Arial"/>
                <w:sz w:val="16"/>
                <w:szCs w:val="16"/>
                <w:color w:val="auto"/>
              </w:rPr>
              <w:t>215,048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ind w:right="20"/>
              <w:spacing w:after="0"/>
              <w:rPr>
                <w:sz w:val="20"/>
                <w:szCs w:val="20"/>
                <w:color w:val="auto"/>
              </w:rPr>
            </w:pPr>
            <w:r>
              <w:rPr>
                <w:rFonts w:ascii="Arial" w:cs="Arial" w:eastAsia="Arial" w:hAnsi="Arial"/>
                <w:sz w:val="16"/>
                <w:szCs w:val="16"/>
                <w:color w:val="auto"/>
              </w:rPr>
              <w:t>413,023</w:t>
            </w:r>
          </w:p>
        </w:tc>
      </w:tr>
      <w:tr>
        <w:trPr>
          <w:trHeight w:val="33"/>
        </w:trPr>
        <w:tc>
          <w:tcPr>
            <w:tcW w:w="8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Total Assets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357,363,416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381,682,536</w:t>
            </w:r>
          </w:p>
        </w:tc>
      </w:tr>
      <w:tr>
        <w:trPr>
          <w:trHeight w:val="217"/>
        </w:trPr>
        <w:tc>
          <w:tcPr>
            <w:tcW w:w="8120" w:type="dxa"/>
            <w:vAlign w:val="bottom"/>
            <w:tcBorders>
              <w:top w:val="single" w:sz="8" w:color="CCEEFF"/>
            </w:tcBorders>
          </w:tcPr>
          <w:p>
            <w:pPr>
              <w:ind w:left="40"/>
              <w:spacing w:after="0"/>
              <w:rPr>
                <w:sz w:val="20"/>
                <w:szCs w:val="20"/>
                <w:color w:val="auto"/>
              </w:rPr>
            </w:pPr>
            <w:r>
              <w:rPr>
                <w:rFonts w:ascii="Arial" w:cs="Arial" w:eastAsia="Arial" w:hAnsi="Arial"/>
                <w:sz w:val="16"/>
                <w:szCs w:val="16"/>
                <w:b w:val="1"/>
                <w:bCs w:val="1"/>
                <w:color w:val="auto"/>
              </w:rPr>
              <w:t>LIABILITIES</w:t>
            </w: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r>
      <w:tr>
        <w:trPr>
          <w:trHeight w:val="33"/>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Due to GSV Asset Management</w:t>
            </w:r>
            <w:r>
              <w:rPr>
                <w:rFonts w:ascii="Arial" w:cs="Arial" w:eastAsia="Arial" w:hAnsi="Arial"/>
                <w:sz w:val="21"/>
                <w:szCs w:val="21"/>
                <w:color w:val="auto"/>
                <w:vertAlign w:val="superscript"/>
              </w:rPr>
              <w:t>(1)</w:t>
            </w: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87</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231,697</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Accounts payable and accrued expenses</w:t>
            </w:r>
          </w:p>
        </w:tc>
        <w:tc>
          <w:tcPr>
            <w:tcW w:w="200" w:type="dxa"/>
            <w:vAlign w:val="bottom"/>
          </w:tcPr>
          <w:p>
            <w:pPr>
              <w:spacing w:after="0"/>
              <w:rPr>
                <w:sz w:val="20"/>
                <w:szCs w:val="20"/>
                <w:color w:val="auto"/>
              </w:rPr>
            </w:pPr>
          </w:p>
        </w:tc>
        <w:tc>
          <w:tcPr>
            <w:tcW w:w="1300" w:type="dxa"/>
            <w:vAlign w:val="bottom"/>
          </w:tcPr>
          <w:p>
            <w:pPr>
              <w:jc w:val="right"/>
              <w:ind w:right="60"/>
              <w:spacing w:after="0"/>
              <w:rPr>
                <w:sz w:val="20"/>
                <w:szCs w:val="20"/>
                <w:color w:val="auto"/>
              </w:rPr>
            </w:pPr>
            <w:r>
              <w:rPr>
                <w:rFonts w:ascii="Arial" w:cs="Arial" w:eastAsia="Arial" w:hAnsi="Arial"/>
                <w:sz w:val="16"/>
                <w:szCs w:val="16"/>
                <w:color w:val="auto"/>
              </w:rPr>
              <w:t>551,243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ind w:right="20"/>
              <w:spacing w:after="0"/>
              <w:rPr>
                <w:sz w:val="20"/>
                <w:szCs w:val="20"/>
                <w:color w:val="auto"/>
              </w:rPr>
            </w:pPr>
            <w:r>
              <w:rPr>
                <w:rFonts w:ascii="Arial" w:cs="Arial" w:eastAsia="Arial" w:hAnsi="Arial"/>
                <w:sz w:val="16"/>
                <w:szCs w:val="16"/>
                <w:color w:val="auto"/>
              </w:rPr>
              <w:t>458,203</w:t>
            </w:r>
          </w:p>
        </w:tc>
      </w:tr>
      <w:tr>
        <w:trPr>
          <w:trHeight w:val="33"/>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Accrued incentive fees, net of waiver of incentive fees</w:t>
            </w:r>
            <w:r>
              <w:rPr>
                <w:rFonts w:ascii="Arial" w:cs="Arial" w:eastAsia="Arial" w:hAnsi="Arial"/>
                <w:sz w:val="21"/>
                <w:szCs w:val="21"/>
                <w:color w:val="auto"/>
                <w:vertAlign w:val="superscript"/>
              </w:rPr>
              <w:t>(1)</w:t>
            </w: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9,142,024</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9,278,085</w:t>
            </w:r>
          </w:p>
        </w:tc>
      </w:tr>
      <w:tr>
        <w:trPr>
          <w:trHeight w:val="270"/>
        </w:trPr>
        <w:tc>
          <w:tcPr>
            <w:tcW w:w="8120" w:type="dxa"/>
            <w:vAlign w:val="bottom"/>
          </w:tcPr>
          <w:p>
            <w:pPr>
              <w:ind w:left="40"/>
              <w:spacing w:after="0"/>
              <w:rPr>
                <w:sz w:val="20"/>
                <w:szCs w:val="20"/>
                <w:color w:val="auto"/>
              </w:rPr>
            </w:pPr>
            <w:r>
              <w:rPr>
                <w:rFonts w:ascii="Arial" w:cs="Arial" w:eastAsia="Arial" w:hAnsi="Arial"/>
                <w:sz w:val="16"/>
                <w:szCs w:val="16"/>
                <w:color w:val="auto"/>
              </w:rPr>
              <w:t>Accrued management fees, net of waiver of management fees</w:t>
            </w:r>
            <w:r>
              <w:rPr>
                <w:rFonts w:ascii="Arial" w:cs="Arial" w:eastAsia="Arial" w:hAnsi="Arial"/>
                <w:sz w:val="21"/>
                <w:szCs w:val="21"/>
                <w:color w:val="auto"/>
                <w:vertAlign w:val="superscript"/>
              </w:rPr>
              <w:t>(1)</w:t>
            </w:r>
          </w:p>
        </w:tc>
        <w:tc>
          <w:tcPr>
            <w:tcW w:w="200" w:type="dxa"/>
            <w:vAlign w:val="bottom"/>
          </w:tcPr>
          <w:p>
            <w:pPr>
              <w:spacing w:after="0"/>
              <w:rPr>
                <w:sz w:val="23"/>
                <w:szCs w:val="23"/>
                <w:color w:val="auto"/>
              </w:rPr>
            </w:pPr>
          </w:p>
        </w:tc>
        <w:tc>
          <w:tcPr>
            <w:tcW w:w="1300" w:type="dxa"/>
            <w:vAlign w:val="bottom"/>
          </w:tcPr>
          <w:p>
            <w:pPr>
              <w:jc w:val="right"/>
              <w:ind w:right="60"/>
              <w:spacing w:after="0"/>
              <w:rPr>
                <w:sz w:val="20"/>
                <w:szCs w:val="20"/>
                <w:color w:val="auto"/>
              </w:rPr>
            </w:pPr>
            <w:r>
              <w:rPr>
                <w:rFonts w:ascii="Arial" w:cs="Arial" w:eastAsia="Arial" w:hAnsi="Arial"/>
                <w:sz w:val="16"/>
                <w:szCs w:val="16"/>
                <w:color w:val="auto"/>
              </w:rPr>
              <w:t>314,338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40" w:type="dxa"/>
            <w:vAlign w:val="bottom"/>
          </w:tcPr>
          <w:p>
            <w:pPr>
              <w:jc w:val="right"/>
              <w:ind w:right="20"/>
              <w:spacing w:after="0"/>
              <w:rPr>
                <w:sz w:val="20"/>
                <w:szCs w:val="20"/>
                <w:color w:val="auto"/>
              </w:rPr>
            </w:pPr>
            <w:r>
              <w:rPr>
                <w:rFonts w:ascii="Arial" w:cs="Arial" w:eastAsia="Arial" w:hAnsi="Arial"/>
                <w:sz w:val="16"/>
                <w:szCs w:val="16"/>
                <w:color w:val="auto"/>
              </w:rPr>
              <w:t>424,447</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Accrued interest payable</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1,056,563</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Payable for securities purchased</w:t>
            </w:r>
          </w:p>
        </w:tc>
        <w:tc>
          <w:tcPr>
            <w:tcW w:w="200" w:type="dxa"/>
            <w:vAlign w:val="bottom"/>
          </w:tcPr>
          <w:p>
            <w:pPr>
              <w:spacing w:after="0"/>
              <w:rPr>
                <w:sz w:val="20"/>
                <w:szCs w:val="20"/>
                <w:color w:val="auto"/>
              </w:rPr>
            </w:pPr>
          </w:p>
        </w:tc>
        <w:tc>
          <w:tcPr>
            <w:tcW w:w="1300" w:type="dxa"/>
            <w:vAlign w:val="bottom"/>
          </w:tcPr>
          <w:p>
            <w:pPr>
              <w:jc w:val="right"/>
              <w:ind w:right="60"/>
              <w:spacing w:after="0"/>
              <w:rPr>
                <w:sz w:val="20"/>
                <w:szCs w:val="20"/>
                <w:color w:val="auto"/>
              </w:rPr>
            </w:pPr>
            <w:r>
              <w:rPr>
                <w:rFonts w:ascii="Arial" w:cs="Arial" w:eastAsia="Arial" w:hAnsi="Arial"/>
                <w:sz w:val="16"/>
                <w:szCs w:val="16"/>
                <w:color w:val="auto"/>
              </w:rPr>
              <w:t>89,577,376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ind w:right="20"/>
              <w:spacing w:after="0"/>
              <w:rPr>
                <w:sz w:val="20"/>
                <w:szCs w:val="20"/>
                <w:color w:val="auto"/>
              </w:rPr>
            </w:pPr>
            <w:r>
              <w:rPr>
                <w:rFonts w:ascii="Arial" w:cs="Arial" w:eastAsia="Arial" w:hAnsi="Arial"/>
                <w:sz w:val="16"/>
                <w:szCs w:val="16"/>
                <w:color w:val="auto"/>
              </w:rPr>
              <w:t>89,485,825</w:t>
            </w:r>
          </w:p>
        </w:tc>
      </w:tr>
      <w:tr>
        <w:trPr>
          <w:trHeight w:val="33"/>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tax liability</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6,033,512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7,602,301</w:t>
            </w:r>
          </w:p>
        </w:tc>
      </w:tr>
      <w:tr>
        <w:trPr>
          <w:trHeight w:val="270"/>
        </w:trPr>
        <w:tc>
          <w:tcPr>
            <w:tcW w:w="8120" w:type="dxa"/>
            <w:vAlign w:val="bottom"/>
          </w:tcPr>
          <w:p>
            <w:pPr>
              <w:ind w:left="40"/>
              <w:spacing w:after="0"/>
              <w:rPr>
                <w:sz w:val="20"/>
                <w:szCs w:val="20"/>
                <w:color w:val="auto"/>
              </w:rPr>
            </w:pPr>
            <w:r>
              <w:rPr>
                <w:rFonts w:ascii="Arial" w:cs="Arial" w:eastAsia="Arial" w:hAnsi="Arial"/>
                <w:sz w:val="16"/>
                <w:szCs w:val="16"/>
                <w:color w:val="auto"/>
              </w:rPr>
              <w:t>5.25% Convertible Senior Notes due September 15, 2018</w:t>
            </w:r>
            <w:r>
              <w:rPr>
                <w:rFonts w:ascii="Arial" w:cs="Arial" w:eastAsia="Arial" w:hAnsi="Arial"/>
                <w:sz w:val="21"/>
                <w:szCs w:val="21"/>
                <w:color w:val="auto"/>
                <w:vertAlign w:val="superscript"/>
              </w:rPr>
              <w:t>(2)</w:t>
            </w:r>
          </w:p>
        </w:tc>
        <w:tc>
          <w:tcPr>
            <w:tcW w:w="200" w:type="dxa"/>
            <w:vAlign w:val="bottom"/>
          </w:tcPr>
          <w:p>
            <w:pPr>
              <w:spacing w:after="0"/>
              <w:rPr>
                <w:sz w:val="23"/>
                <w:szCs w:val="23"/>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1440" w:type="dxa"/>
            <w:vAlign w:val="bottom"/>
          </w:tcPr>
          <w:p>
            <w:pPr>
              <w:jc w:val="right"/>
              <w:ind w:right="20"/>
              <w:spacing w:after="0"/>
              <w:rPr>
                <w:sz w:val="20"/>
                <w:szCs w:val="20"/>
                <w:color w:val="auto"/>
              </w:rPr>
            </w:pPr>
            <w:r>
              <w:rPr>
                <w:rFonts w:ascii="Arial" w:cs="Arial" w:eastAsia="Arial" w:hAnsi="Arial"/>
                <w:sz w:val="16"/>
                <w:szCs w:val="16"/>
                <w:color w:val="auto"/>
              </w:rPr>
              <w:t>68,382,549</w:t>
            </w: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4.75% Convertible Senior Notes due March 28, 2023</w:t>
            </w:r>
            <w:r>
              <w:rPr>
                <w:rFonts w:ascii="Arial" w:cs="Arial" w:eastAsia="Arial" w:hAnsi="Arial"/>
                <w:sz w:val="21"/>
                <w:szCs w:val="21"/>
                <w:color w:val="auto"/>
                <w:vertAlign w:val="superscript"/>
              </w:rPr>
              <w:t>(2)</w:t>
            </w:r>
          </w:p>
        </w:tc>
        <w:tc>
          <w:tcPr>
            <w:tcW w:w="2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38,341,472</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17"/>
        </w:trPr>
        <w:tc>
          <w:tcPr>
            <w:tcW w:w="8120" w:type="dxa"/>
            <w:vAlign w:val="bottom"/>
          </w:tcPr>
          <w:p>
            <w:pPr>
              <w:ind w:left="380"/>
              <w:spacing w:after="0"/>
              <w:rPr>
                <w:sz w:val="20"/>
                <w:szCs w:val="20"/>
                <w:color w:val="auto"/>
              </w:rPr>
            </w:pPr>
            <w:r>
              <w:rPr>
                <w:rFonts w:ascii="Arial" w:cs="Arial" w:eastAsia="Arial" w:hAnsi="Arial"/>
                <w:sz w:val="16"/>
                <w:szCs w:val="16"/>
                <w:b w:val="1"/>
                <w:bCs w:val="1"/>
                <w:color w:val="auto"/>
              </w:rPr>
              <w:t>Total Liabilities</w:t>
            </w:r>
          </w:p>
        </w:tc>
        <w:tc>
          <w:tcPr>
            <w:tcW w:w="200" w:type="dxa"/>
            <w:vAlign w:val="bottom"/>
          </w:tcPr>
          <w:p>
            <w:pPr>
              <w:spacing w:after="0"/>
              <w:rPr>
                <w:sz w:val="18"/>
                <w:szCs w:val="18"/>
                <w:color w:val="auto"/>
              </w:rPr>
            </w:pPr>
          </w:p>
        </w:tc>
        <w:tc>
          <w:tcPr>
            <w:tcW w:w="1300" w:type="dxa"/>
            <w:vAlign w:val="bottom"/>
          </w:tcPr>
          <w:p>
            <w:pPr>
              <w:jc w:val="right"/>
              <w:ind w:right="60"/>
              <w:spacing w:after="0"/>
              <w:rPr>
                <w:sz w:val="20"/>
                <w:szCs w:val="20"/>
                <w:color w:val="auto"/>
              </w:rPr>
            </w:pPr>
            <w:r>
              <w:rPr>
                <w:rFonts w:ascii="Arial" w:cs="Arial" w:eastAsia="Arial" w:hAnsi="Arial"/>
                <w:sz w:val="16"/>
                <w:szCs w:val="16"/>
                <w:color w:val="auto"/>
              </w:rPr>
              <w:t>143,960,052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20"/>
              <w:spacing w:after="0"/>
              <w:rPr>
                <w:sz w:val="20"/>
                <w:szCs w:val="20"/>
                <w:color w:val="auto"/>
              </w:rPr>
            </w:pPr>
            <w:r>
              <w:rPr>
                <w:rFonts w:ascii="Arial" w:cs="Arial" w:eastAsia="Arial" w:hAnsi="Arial"/>
                <w:sz w:val="16"/>
                <w:szCs w:val="16"/>
                <w:color w:val="auto"/>
              </w:rPr>
              <w:t>176,919,670</w:t>
            </w:r>
          </w:p>
        </w:tc>
      </w:tr>
      <w:tr>
        <w:trPr>
          <w:trHeight w:val="33"/>
        </w:trPr>
        <w:tc>
          <w:tcPr>
            <w:tcW w:w="8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Commitments and contingencies (Notes 7 and 10)</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r>
      <w:tr>
        <w:trPr>
          <w:trHeight w:val="290"/>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Net Assets</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213,403,364</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204,762,866</w:t>
            </w:r>
          </w:p>
        </w:tc>
      </w:tr>
      <w:tr>
        <w:trPr>
          <w:trHeight w:val="22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ASSETS</w:t>
            </w:r>
          </w:p>
        </w:tc>
        <w:tc>
          <w:tcPr>
            <w:tcW w:w="2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spacing w:after="0"/>
              <w:rPr>
                <w:sz w:val="19"/>
                <w:szCs w:val="19"/>
                <w:color w:val="auto"/>
              </w:rPr>
            </w:pPr>
          </w:p>
        </w:tc>
      </w:tr>
      <w:tr>
        <w:trPr>
          <w:trHeight w:val="220"/>
        </w:trPr>
        <w:tc>
          <w:tcPr>
            <w:tcW w:w="8120" w:type="dxa"/>
            <w:vAlign w:val="bottom"/>
          </w:tcPr>
          <w:p>
            <w:pPr>
              <w:ind w:left="40"/>
              <w:spacing w:after="0"/>
              <w:rPr>
                <w:sz w:val="20"/>
                <w:szCs w:val="20"/>
                <w:color w:val="auto"/>
              </w:rPr>
            </w:pPr>
            <w:r>
              <w:rPr>
                <w:rFonts w:ascii="Arial" w:cs="Arial" w:eastAsia="Arial" w:hAnsi="Arial"/>
                <w:sz w:val="16"/>
                <w:szCs w:val="16"/>
                <w:color w:val="auto"/>
                <w:w w:val="94"/>
              </w:rPr>
              <w:t>Common stock, par value $0.01 per share (100,000,000 authorized; 20,174,955 and 21,246,345 issued and outstanding,</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06"/>
        </w:trPr>
        <w:tc>
          <w:tcPr>
            <w:tcW w:w="8120" w:type="dxa"/>
            <w:vAlign w:val="bottom"/>
          </w:tcPr>
          <w:p>
            <w:pPr>
              <w:ind w:left="200"/>
              <w:spacing w:after="0"/>
              <w:rPr>
                <w:sz w:val="20"/>
                <w:szCs w:val="20"/>
                <w:color w:val="auto"/>
              </w:rPr>
            </w:pPr>
            <w:r>
              <w:rPr>
                <w:rFonts w:ascii="Arial" w:cs="Arial" w:eastAsia="Arial" w:hAnsi="Arial"/>
                <w:sz w:val="16"/>
                <w:szCs w:val="16"/>
                <w:color w:val="auto"/>
              </w:rPr>
              <w:t>respectively)</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60"/>
              <w:spacing w:after="0"/>
              <w:rPr>
                <w:sz w:val="20"/>
                <w:szCs w:val="20"/>
                <w:color w:val="auto"/>
              </w:rPr>
            </w:pPr>
            <w:r>
              <w:rPr>
                <w:rFonts w:ascii="Arial" w:cs="Arial" w:eastAsia="Arial" w:hAnsi="Arial"/>
                <w:sz w:val="16"/>
                <w:szCs w:val="16"/>
                <w:color w:val="auto"/>
              </w:rPr>
              <w:t>201,749</w:t>
            </w:r>
          </w:p>
        </w:tc>
        <w:tc>
          <w:tcPr>
            <w:tcW w:w="12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20"/>
              <w:spacing w:after="0"/>
              <w:rPr>
                <w:sz w:val="20"/>
                <w:szCs w:val="20"/>
                <w:color w:val="auto"/>
              </w:rPr>
            </w:pPr>
            <w:r>
              <w:rPr>
                <w:rFonts w:ascii="Arial" w:cs="Arial" w:eastAsia="Arial" w:hAnsi="Arial"/>
                <w:sz w:val="16"/>
                <w:szCs w:val="16"/>
                <w:color w:val="auto"/>
              </w:rPr>
              <w:t>212,463</w:t>
            </w:r>
          </w:p>
        </w:tc>
      </w:tr>
      <w:tr>
        <w:trPr>
          <w:trHeight w:val="33"/>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Paid-in capital in excess of par</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195,110,116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202,584,012</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Accumulated net investment loss</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(17,911,239)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(8,593,717)</w:t>
            </w:r>
          </w:p>
        </w:tc>
      </w:tr>
      <w:tr>
        <w:trPr>
          <w:trHeight w:val="33"/>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Accumulated net realized gains/(losses) on investments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(7,790,909)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140,100</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Accumulated net unrealized appreciation of investments</w:t>
            </w:r>
          </w:p>
        </w:tc>
        <w:tc>
          <w:tcPr>
            <w:tcW w:w="200" w:type="dxa"/>
            <w:vAlign w:val="bottom"/>
          </w:tcPr>
          <w:p>
            <w:pPr>
              <w:spacing w:after="0"/>
              <w:rPr>
                <w:sz w:val="20"/>
                <w:szCs w:val="20"/>
                <w:color w:val="auto"/>
              </w:rPr>
            </w:pPr>
          </w:p>
        </w:tc>
        <w:tc>
          <w:tcPr>
            <w:tcW w:w="1300" w:type="dxa"/>
            <w:vAlign w:val="bottom"/>
          </w:tcPr>
          <w:p>
            <w:pPr>
              <w:jc w:val="right"/>
              <w:ind w:right="60"/>
              <w:spacing w:after="0"/>
              <w:rPr>
                <w:sz w:val="20"/>
                <w:szCs w:val="20"/>
                <w:color w:val="auto"/>
              </w:rPr>
            </w:pPr>
            <w:r>
              <w:rPr>
                <w:rFonts w:ascii="Arial" w:cs="Arial" w:eastAsia="Arial" w:hAnsi="Arial"/>
                <w:sz w:val="16"/>
                <w:szCs w:val="16"/>
                <w:color w:val="auto"/>
              </w:rPr>
              <w:t>43,793,648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ind w:right="20"/>
              <w:spacing w:after="0"/>
              <w:rPr>
                <w:sz w:val="20"/>
                <w:szCs w:val="20"/>
                <w:color w:val="auto"/>
              </w:rPr>
            </w:pPr>
            <w:r>
              <w:rPr>
                <w:rFonts w:ascii="Arial" w:cs="Arial" w:eastAsia="Arial" w:hAnsi="Arial"/>
                <w:sz w:val="16"/>
                <w:szCs w:val="16"/>
                <w:color w:val="auto"/>
              </w:rPr>
              <w:t>10,420,008</w:t>
            </w:r>
          </w:p>
        </w:tc>
      </w:tr>
      <w:tr>
        <w:trPr>
          <w:trHeight w:val="33"/>
        </w:trPr>
        <w:tc>
          <w:tcPr>
            <w:tcW w:w="8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Net Assets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213,403,364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204,762,866</w:t>
            </w:r>
          </w:p>
        </w:tc>
      </w:tr>
      <w:tr>
        <w:trPr>
          <w:trHeight w:val="20"/>
        </w:trPr>
        <w:tc>
          <w:tcPr>
            <w:tcW w:w="8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24"/>
        </w:trPr>
        <w:tc>
          <w:tcPr>
            <w:tcW w:w="8120" w:type="dxa"/>
            <w:vAlign w:val="bottom"/>
          </w:tcPr>
          <w:p>
            <w:pPr>
              <w:ind w:left="380"/>
              <w:spacing w:after="0"/>
              <w:rPr>
                <w:sz w:val="20"/>
                <w:szCs w:val="20"/>
                <w:color w:val="auto"/>
              </w:rPr>
            </w:pPr>
            <w:r>
              <w:rPr>
                <w:rFonts w:ascii="Arial" w:cs="Arial" w:eastAsia="Arial" w:hAnsi="Arial"/>
                <w:sz w:val="16"/>
                <w:szCs w:val="16"/>
                <w:b w:val="1"/>
                <w:bCs w:val="1"/>
                <w:color w:val="auto"/>
              </w:rPr>
              <w:t>Net Asset Value Per Share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60"/>
              <w:spacing w:after="0"/>
              <w:rPr>
                <w:sz w:val="20"/>
                <w:szCs w:val="20"/>
                <w:color w:val="auto"/>
              </w:rPr>
            </w:pPr>
            <w:r>
              <w:rPr>
                <w:rFonts w:ascii="Arial" w:cs="Arial" w:eastAsia="Arial" w:hAnsi="Arial"/>
                <w:sz w:val="16"/>
                <w:szCs w:val="16"/>
                <w:color w:val="auto"/>
              </w:rPr>
              <w:t>10.58</w:t>
            </w:r>
          </w:p>
        </w:tc>
        <w:tc>
          <w:tcPr>
            <w:tcW w:w="12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20"/>
              <w:spacing w:after="0"/>
              <w:rPr>
                <w:sz w:val="20"/>
                <w:szCs w:val="20"/>
                <w:color w:val="auto"/>
              </w:rPr>
            </w:pPr>
            <w:r>
              <w:rPr>
                <w:rFonts w:ascii="Arial" w:cs="Arial" w:eastAsia="Arial" w:hAnsi="Arial"/>
                <w:sz w:val="16"/>
                <w:szCs w:val="16"/>
                <w:color w:val="auto"/>
              </w:rPr>
              <w:t>9.64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12700</wp:posOffset>
            </wp:positionV>
            <wp:extent cx="2101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012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-347345</wp:posOffset>
            </wp:positionV>
            <wp:extent cx="51454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454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-1847850</wp:posOffset>
            </wp:positionV>
            <wp:extent cx="514540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454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-3905885</wp:posOffset>
            </wp:positionV>
            <wp:extent cx="514540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454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-5278120</wp:posOffset>
            </wp:positionV>
            <wp:extent cx="514540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454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-6307455</wp:posOffset>
            </wp:positionV>
            <wp:extent cx="514540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-130175</wp:posOffset>
            </wp:positionV>
            <wp:extent cx="21012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color w:val="auto"/>
        </w:rPr>
        <w:t>__________________________________________________</w:t>
      </w: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This balance references a related-party transaction. Refer to “Note 3—Related-Party Arrangements” for more detail.</w:t>
      </w:r>
    </w:p>
    <w:p>
      <w:pPr>
        <w:spacing w:after="0" w:line="7" w:lineRule="exact"/>
        <w:rPr>
          <w:rFonts w:ascii="Arial" w:cs="Arial" w:eastAsia="Arial" w:hAnsi="Arial"/>
          <w:sz w:val="18"/>
          <w:szCs w:val="18"/>
          <w:color w:val="auto"/>
        </w:rPr>
      </w:pPr>
    </w:p>
    <w:p>
      <w:pPr>
        <w:ind w:left="340" w:right="20" w:hanging="332"/>
        <w:spacing w:after="0" w:line="302" w:lineRule="auto"/>
        <w:tabs>
          <w:tab w:leader="none" w:pos="340" w:val="left"/>
        </w:tabs>
        <w:numPr>
          <w:ilvl w:val="0"/>
          <w:numId w:val="2"/>
        </w:numPr>
        <w:rPr>
          <w:rFonts w:ascii="Arial" w:cs="Arial" w:eastAsia="Arial" w:hAnsi="Arial"/>
          <w:sz w:val="16"/>
          <w:szCs w:val="16"/>
          <w:color w:val="auto"/>
        </w:rPr>
      </w:pPr>
      <w:r>
        <w:rPr>
          <w:rFonts w:ascii="Arial" w:cs="Arial" w:eastAsia="Arial" w:hAnsi="Arial"/>
          <w:sz w:val="16"/>
          <w:szCs w:val="16"/>
          <w:color w:val="auto"/>
        </w:rPr>
        <w:t>As of September 30, 2018 and December 31, 2017, the 5.25% Convertible Senior Notes due September 15, 2018 had a face value of $0 and $69,000,000, respectively. As of September 30, 2018 and December 31, 2017, the 4.75% Convertible Senior Notes due March 28, 2023 had a face value of $40,000,000 and $0, respectively. Refer to “Note 10—Debt Capital Activities” for a reconciliation of the carrying value to the face value.</w:t>
      </w:r>
    </w:p>
    <w:p>
      <w:pPr>
        <w:sectPr>
          <w:pgSz w:w="11900" w:h="16838" w:orient="portrait"/>
          <w:cols w:equalWidth="0" w:num="1">
            <w:col w:w="11420"/>
          </w:cols>
          <w:pgMar w:left="240" w:top="121" w:right="239" w:bottom="1440" w:gutter="0" w:footer="0" w:header="0"/>
        </w:sectPr>
      </w:pP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21" w:right="239" w:bottom="1440" w:gutter="0" w:footer="0" w:header="0"/>
          <w:type w:val="continuous"/>
        </w:sectPr>
      </w:pPr>
    </w:p>
    <w:bookmarkStart w:id="3" w:name="page4"/>
    <w:bookmarkEnd w:id="3"/>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GSV CAPITAL CORP. AND SUBSIDIARIES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20" w:type="dxa"/>
            <w:vAlign w:val="bottom"/>
            <w:gridSpan w:val="5"/>
          </w:tcPr>
          <w:p>
            <w:pPr>
              <w:ind w:left="20"/>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Pr>
          <w:p>
            <w:pPr>
              <w:spacing w:after="0"/>
              <w:rPr>
                <w:sz w:val="16"/>
                <w:szCs w:val="16"/>
                <w:color w:val="auto"/>
              </w:rPr>
            </w:pPr>
          </w:p>
        </w:tc>
        <w:tc>
          <w:tcPr>
            <w:tcW w:w="2240" w:type="dxa"/>
            <w:vAlign w:val="bottom"/>
            <w:gridSpan w:val="4"/>
          </w:tcPr>
          <w:p>
            <w:pPr>
              <w:jc w:val="right"/>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270"/>
        </w:trPr>
        <w:tc>
          <w:tcPr>
            <w:tcW w:w="640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CCEEFF"/>
            </w:tcBorders>
            <w:shd w:val="clear" w:color="auto" w:fill="CCEEFF"/>
          </w:tcPr>
          <w:p>
            <w:pPr>
              <w:spacing w:after="0"/>
              <w:rPr>
                <w:sz w:val="23"/>
                <w:szCs w:val="23"/>
                <w:color w:val="auto"/>
              </w:rPr>
            </w:pPr>
          </w:p>
        </w:tc>
        <w:tc>
          <w:tcPr>
            <w:tcW w:w="1140" w:type="dxa"/>
            <w:vAlign w:val="bottom"/>
            <w:tcBorders>
              <w:top w:val="single" w:sz="8" w:color="auto"/>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top w:val="single" w:sz="8" w:color="auto"/>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CCEEFF"/>
            </w:tcBorders>
            <w:shd w:val="clear" w:color="auto" w:fill="CCEEFF"/>
          </w:tcPr>
          <w:p>
            <w:pPr>
              <w:spacing w:after="0"/>
              <w:rPr>
                <w:sz w:val="23"/>
                <w:szCs w:val="23"/>
                <w:color w:val="auto"/>
              </w:rPr>
            </w:pPr>
          </w:p>
        </w:tc>
        <w:tc>
          <w:tcPr>
            <w:tcW w:w="940" w:type="dxa"/>
            <w:vAlign w:val="bottom"/>
            <w:tcBorders>
              <w:top w:val="single" w:sz="8" w:color="auto"/>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00" w:type="dxa"/>
            <w:vAlign w:val="bottom"/>
            <w:tcBorders>
              <w:top w:val="single" w:sz="8" w:color="auto"/>
              <w:bottom w:val="single" w:sz="8" w:color="CCEEFF"/>
            </w:tcBorders>
            <w:shd w:val="clear" w:color="auto" w:fill="CCEEFF"/>
          </w:tcPr>
          <w:p>
            <w:pPr>
              <w:spacing w:after="0"/>
              <w:rPr>
                <w:sz w:val="23"/>
                <w:szCs w:val="23"/>
                <w:color w:val="auto"/>
              </w:rPr>
            </w:pPr>
          </w:p>
        </w:tc>
        <w:tc>
          <w:tcPr>
            <w:tcW w:w="1020" w:type="dxa"/>
            <w:vAlign w:val="bottom"/>
            <w:tcBorders>
              <w:top w:val="single" w:sz="8" w:color="auto"/>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top w:val="single" w:sz="8" w:color="auto"/>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CCEEFF"/>
            </w:tcBorders>
            <w:shd w:val="clear" w:color="auto" w:fill="CCEEFF"/>
          </w:tcPr>
          <w:p>
            <w:pPr>
              <w:spacing w:after="0"/>
              <w:rPr>
                <w:sz w:val="23"/>
                <w:szCs w:val="23"/>
                <w:color w:val="auto"/>
              </w:rPr>
            </w:pPr>
          </w:p>
        </w:tc>
        <w:tc>
          <w:tcPr>
            <w:tcW w:w="960" w:type="dxa"/>
            <w:vAlign w:val="bottom"/>
            <w:tcBorders>
              <w:top w:val="single" w:sz="8" w:color="auto"/>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2017</w:t>
            </w:r>
          </w:p>
        </w:tc>
      </w:tr>
      <w:tr>
        <w:trPr>
          <w:trHeight w:val="231"/>
        </w:trPr>
        <w:tc>
          <w:tcPr>
            <w:tcW w:w="6400" w:type="dxa"/>
            <w:vAlign w:val="bottom"/>
          </w:tcPr>
          <w:p>
            <w:pPr>
              <w:ind w:left="40"/>
              <w:spacing w:after="0"/>
              <w:rPr>
                <w:sz w:val="20"/>
                <w:szCs w:val="20"/>
                <w:color w:val="auto"/>
              </w:rPr>
            </w:pPr>
            <w:r>
              <w:rPr>
                <w:rFonts w:ascii="Arial" w:cs="Arial" w:eastAsia="Arial" w:hAnsi="Arial"/>
                <w:sz w:val="16"/>
                <w:szCs w:val="16"/>
                <w:b w:val="1"/>
                <w:bCs w:val="1"/>
                <w:color w:val="auto"/>
              </w:rPr>
              <w:t>INVESTMENT INCOME</w:t>
            </w:r>
          </w:p>
        </w:tc>
        <w:tc>
          <w:tcPr>
            <w:tcW w:w="1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r>
      <w:tr>
        <w:trPr>
          <w:trHeight w:val="33"/>
        </w:trPr>
        <w:tc>
          <w:tcPr>
            <w:tcW w:w="6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Non-controlled/non-affiliate investments:</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37"/>
        </w:trPr>
        <w:tc>
          <w:tcPr>
            <w:tcW w:w="6400" w:type="dxa"/>
            <w:vAlign w:val="bottom"/>
          </w:tcPr>
          <w:p>
            <w:pPr>
              <w:ind w:left="380"/>
              <w:spacing w:after="0"/>
              <w:rPr>
                <w:sz w:val="20"/>
                <w:szCs w:val="20"/>
                <w:color w:val="auto"/>
              </w:rPr>
            </w:pPr>
            <w:r>
              <w:rPr>
                <w:rFonts w:ascii="Arial" w:cs="Arial" w:eastAsia="Arial" w:hAnsi="Arial"/>
                <w:sz w:val="16"/>
                <w:szCs w:val="16"/>
                <w:color w:val="auto"/>
              </w:rPr>
              <w:t>Interest income</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164,310</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(21,447)</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174,922</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(4,640)</w:t>
            </w:r>
          </w:p>
        </w:tc>
      </w:tr>
      <w:tr>
        <w:trPr>
          <w:trHeight w:val="33"/>
        </w:trPr>
        <w:tc>
          <w:tcPr>
            <w:tcW w:w="6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income</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73,096</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Non-controlled/affiliate investments:</w:t>
            </w: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3"/>
        </w:trPr>
        <w:tc>
          <w:tcPr>
            <w:tcW w:w="6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Interest income</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65,790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(48,398)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521,685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143,974</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Controlled investments:</w:t>
            </w: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3"/>
        </w:trPr>
        <w:tc>
          <w:tcPr>
            <w:tcW w:w="6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Interest income</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16,252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69,757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41,153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196,534</w:t>
            </w:r>
          </w:p>
        </w:tc>
      </w:tr>
      <w:tr>
        <w:trPr>
          <w:trHeight w:val="237"/>
        </w:trPr>
        <w:tc>
          <w:tcPr>
            <w:tcW w:w="6400" w:type="dxa"/>
            <w:vAlign w:val="bottom"/>
          </w:tcPr>
          <w:p>
            <w:pPr>
              <w:ind w:left="380"/>
              <w:spacing w:after="0"/>
              <w:rPr>
                <w:sz w:val="20"/>
                <w:szCs w:val="20"/>
                <w:color w:val="auto"/>
              </w:rPr>
            </w:pPr>
            <w:r>
              <w:rPr>
                <w:rFonts w:ascii="Arial" w:cs="Arial" w:eastAsia="Arial" w:hAnsi="Arial"/>
                <w:sz w:val="16"/>
                <w:szCs w:val="16"/>
                <w:color w:val="auto"/>
              </w:rPr>
              <w:t>Dividend income</w:t>
            </w:r>
          </w:p>
        </w:tc>
        <w:tc>
          <w:tcPr>
            <w:tcW w:w="16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175,000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350,000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475,000</w:t>
            </w:r>
          </w:p>
        </w:tc>
      </w:tr>
      <w:tr>
        <w:trPr>
          <w:trHeight w:val="33"/>
        </w:trPr>
        <w:tc>
          <w:tcPr>
            <w:tcW w:w="64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b w:val="1"/>
                <w:bCs w:val="1"/>
                <w:color w:val="auto"/>
              </w:rPr>
              <w:t>Total Investment Income</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246,352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174,912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1,087,760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883,964</w:t>
            </w:r>
          </w:p>
        </w:tc>
      </w:tr>
      <w:tr>
        <w:trPr>
          <w:trHeight w:val="231"/>
        </w:trPr>
        <w:tc>
          <w:tcPr>
            <w:tcW w:w="6400" w:type="dxa"/>
            <w:vAlign w:val="bottom"/>
            <w:tcBorders>
              <w:top w:val="single" w:sz="8" w:color="CCEEFF"/>
            </w:tcBorders>
          </w:tcPr>
          <w:p>
            <w:pPr>
              <w:ind w:left="40"/>
              <w:spacing w:after="0"/>
              <w:rPr>
                <w:sz w:val="20"/>
                <w:szCs w:val="20"/>
                <w:color w:val="auto"/>
              </w:rPr>
            </w:pPr>
            <w:r>
              <w:rPr>
                <w:rFonts w:ascii="Arial" w:cs="Arial" w:eastAsia="Arial" w:hAnsi="Arial"/>
                <w:sz w:val="16"/>
                <w:szCs w:val="16"/>
                <w:b w:val="1"/>
                <w:bCs w:val="1"/>
                <w:color w:val="auto"/>
              </w:rPr>
              <w:t>OPERATING EXPENSES</w:t>
            </w:r>
          </w:p>
        </w:tc>
        <w:tc>
          <w:tcPr>
            <w:tcW w:w="1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r>
      <w:tr>
        <w:trPr>
          <w:trHeight w:val="33"/>
        </w:trPr>
        <w:tc>
          <w:tcPr>
            <w:tcW w:w="6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Management fees</w:t>
            </w:r>
            <w:r>
              <w:rPr>
                <w:rFonts w:ascii="Arial" w:cs="Arial" w:eastAsia="Arial" w:hAnsi="Arial"/>
                <w:sz w:val="21"/>
                <w:szCs w:val="21"/>
                <w:color w:val="auto"/>
                <w:vertAlign w:val="superscript"/>
              </w:rPr>
              <w:t>(1)</w:t>
            </w:r>
          </w:p>
        </w:tc>
        <w:tc>
          <w:tcPr>
            <w:tcW w:w="1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1,345,090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1,397,332</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3,954,732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4,210,932</w:t>
            </w:r>
          </w:p>
        </w:tc>
      </w:tr>
      <w:tr>
        <w:trPr>
          <w:trHeight w:val="270"/>
        </w:trPr>
        <w:tc>
          <w:tcPr>
            <w:tcW w:w="6400" w:type="dxa"/>
            <w:vAlign w:val="bottom"/>
          </w:tcPr>
          <w:p>
            <w:pPr>
              <w:ind w:left="40"/>
              <w:spacing w:after="0"/>
              <w:rPr>
                <w:sz w:val="20"/>
                <w:szCs w:val="20"/>
                <w:color w:val="auto"/>
              </w:rPr>
            </w:pPr>
            <w:r>
              <w:rPr>
                <w:rFonts w:ascii="Arial" w:cs="Arial" w:eastAsia="Arial" w:hAnsi="Arial"/>
                <w:sz w:val="16"/>
                <w:szCs w:val="16"/>
                <w:color w:val="auto"/>
              </w:rPr>
              <w:t>Incentive fees</w:t>
            </w:r>
            <w:r>
              <w:rPr>
                <w:rFonts w:ascii="Arial" w:cs="Arial" w:eastAsia="Arial" w:hAnsi="Arial"/>
                <w:sz w:val="21"/>
                <w:szCs w:val="21"/>
                <w:color w:val="auto"/>
                <w:vertAlign w:val="superscript"/>
              </w:rPr>
              <w:t>(1)</w:t>
            </w:r>
          </w:p>
        </w:tc>
        <w:tc>
          <w:tcPr>
            <w:tcW w:w="160" w:type="dxa"/>
            <w:vAlign w:val="bottom"/>
          </w:tcPr>
          <w:p>
            <w:pPr>
              <w:spacing w:after="0"/>
              <w:rPr>
                <w:sz w:val="23"/>
                <w:szCs w:val="23"/>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804,520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3,334,052</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4,863,939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7,482,185</w:t>
            </w:r>
          </w:p>
        </w:tc>
      </w:tr>
      <w:tr>
        <w:trPr>
          <w:trHeight w:val="270"/>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Costs incurred under Administration Agreement</w:t>
            </w:r>
            <w:r>
              <w:rPr>
                <w:rFonts w:ascii="Arial" w:cs="Arial" w:eastAsia="Arial" w:hAnsi="Arial"/>
                <w:sz w:val="21"/>
                <w:szCs w:val="21"/>
                <w:color w:val="auto"/>
                <w:vertAlign w:val="superscript"/>
              </w:rPr>
              <w:t>(1)</w:t>
            </w:r>
          </w:p>
        </w:tc>
        <w:tc>
          <w:tcPr>
            <w:tcW w:w="1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355,599</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472,413</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1,176,857</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1,453,007</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Directors’ fees</w:t>
            </w:r>
          </w:p>
        </w:tc>
        <w:tc>
          <w:tcPr>
            <w:tcW w:w="1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86,250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86,250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258,750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242,230</w:t>
            </w:r>
          </w:p>
        </w:tc>
      </w:tr>
      <w:tr>
        <w:trPr>
          <w:trHeight w:val="33"/>
        </w:trPr>
        <w:tc>
          <w:tcPr>
            <w:tcW w:w="6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Professional fees</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552,179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353,933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1,218,875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1,318,931</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1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1,311,534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1,207,548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3,925,292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3,489,381</w:t>
            </w:r>
          </w:p>
        </w:tc>
      </w:tr>
      <w:tr>
        <w:trPr>
          <w:trHeight w:val="33"/>
        </w:trPr>
        <w:tc>
          <w:tcPr>
            <w:tcW w:w="6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expense</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(6,235)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4,889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142,264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51,379</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Other expenses</w:t>
            </w:r>
          </w:p>
        </w:tc>
        <w:tc>
          <w:tcPr>
            <w:tcW w:w="1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107,688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119,122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756,994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479,419</w:t>
            </w:r>
          </w:p>
        </w:tc>
      </w:tr>
      <w:tr>
        <w:trPr>
          <w:trHeight w:val="33"/>
        </w:trPr>
        <w:tc>
          <w:tcPr>
            <w:tcW w:w="64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Operating Expenses</w:t>
            </w:r>
          </w:p>
        </w:tc>
        <w:tc>
          <w:tcPr>
            <w:tcW w:w="1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4,556,625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6,975,539</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16,297,703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18,727,464</w:t>
            </w:r>
          </w:p>
        </w:tc>
      </w:tr>
      <w:tr>
        <w:trPr>
          <w:trHeight w:val="270"/>
        </w:trPr>
        <w:tc>
          <w:tcPr>
            <w:tcW w:w="6400" w:type="dxa"/>
            <w:vAlign w:val="bottom"/>
          </w:tcPr>
          <w:p>
            <w:pPr>
              <w:ind w:left="220"/>
              <w:spacing w:after="0"/>
              <w:rPr>
                <w:sz w:val="20"/>
                <w:szCs w:val="20"/>
                <w:color w:val="auto"/>
              </w:rPr>
            </w:pPr>
            <w:r>
              <w:rPr>
                <w:rFonts w:ascii="Arial" w:cs="Arial" w:eastAsia="Arial" w:hAnsi="Arial"/>
                <w:sz w:val="16"/>
                <w:szCs w:val="16"/>
                <w:color w:val="auto"/>
              </w:rPr>
              <w:t>Management fee waiver</w:t>
            </w:r>
            <w:r>
              <w:rPr>
                <w:rFonts w:ascii="Arial" w:cs="Arial" w:eastAsia="Arial" w:hAnsi="Arial"/>
                <w:sz w:val="21"/>
                <w:szCs w:val="21"/>
                <w:color w:val="auto"/>
                <w:vertAlign w:val="superscript"/>
              </w:rPr>
              <w:t>(1)</w:t>
            </w:r>
          </w:p>
        </w:tc>
        <w:tc>
          <w:tcPr>
            <w:tcW w:w="1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(402,074)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(174,666)</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(892,421)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(526,366)</w:t>
            </w:r>
          </w:p>
        </w:tc>
      </w:tr>
      <w:tr>
        <w:trPr>
          <w:trHeight w:val="270"/>
        </w:trPr>
        <w:tc>
          <w:tcPr>
            <w:tcW w:w="64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Incentive fee waiver</w:t>
            </w:r>
            <w:r>
              <w:rPr>
                <w:rFonts w:ascii="Arial" w:cs="Arial" w:eastAsia="Arial" w:hAnsi="Arial"/>
                <w:sz w:val="21"/>
                <w:szCs w:val="21"/>
                <w:color w:val="auto"/>
                <w:vertAlign w:val="superscript"/>
              </w:rPr>
              <w:t>(1)</w:t>
            </w:r>
          </w:p>
        </w:tc>
        <w:tc>
          <w:tcPr>
            <w:tcW w:w="16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(5,000,000)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6400" w:type="dxa"/>
            <w:vAlign w:val="bottom"/>
          </w:tcPr>
          <w:p>
            <w:pPr>
              <w:ind w:left="180"/>
              <w:spacing w:after="0"/>
              <w:rPr>
                <w:sz w:val="20"/>
                <w:szCs w:val="20"/>
                <w:color w:val="auto"/>
              </w:rPr>
            </w:pPr>
            <w:r>
              <w:rPr>
                <w:rFonts w:ascii="Arial" w:cs="Arial" w:eastAsia="Arial" w:hAnsi="Arial"/>
                <w:sz w:val="16"/>
                <w:szCs w:val="16"/>
                <w:color w:val="auto"/>
              </w:rPr>
              <w:t>Total operating expenses, net of waiver of management and incentive fees</w:t>
            </w: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4,154,551</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6,800,873</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10,405,282</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18,201,098</w:t>
            </w:r>
          </w:p>
        </w:tc>
      </w:tr>
      <w:tr>
        <w:trPr>
          <w:trHeight w:val="33"/>
        </w:trPr>
        <w:tc>
          <w:tcPr>
            <w:tcW w:w="6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b w:val="1"/>
                <w:bCs w:val="1"/>
                <w:color w:val="auto"/>
              </w:rPr>
              <w:t>Net Investment Loss</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(3,908,199)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(6,625,961)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(9,317,522)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6"/>
              </w:rPr>
              <w:t>(17,317,134)</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b w:val="1"/>
                <w:bCs w:val="1"/>
                <w:color w:val="auto"/>
              </w:rPr>
              <w:t>Realized Gains/(Losses) on Investments:</w:t>
            </w: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3"/>
        </w:trPr>
        <w:tc>
          <w:tcPr>
            <w:tcW w:w="6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Non-controlled/non-affiliated investments</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(10,119,771)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1,033,577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(7,532,483)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6"/>
              </w:rPr>
              <w:t>(21,748,173)</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Controlled investments</w:t>
            </w:r>
          </w:p>
        </w:tc>
        <w:tc>
          <w:tcPr>
            <w:tcW w:w="16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(680)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(2,578,909)</w:t>
            </w:r>
          </w:p>
        </w:tc>
      </w:tr>
      <w:tr>
        <w:trPr>
          <w:trHeight w:val="33"/>
        </w:trPr>
        <w:tc>
          <w:tcPr>
            <w:tcW w:w="64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b w:val="1"/>
                <w:bCs w:val="1"/>
                <w:color w:val="auto"/>
              </w:rPr>
              <w:t>Net Realized Gains/(Losses) on Investments</w:t>
            </w:r>
          </w:p>
        </w:tc>
        <w:tc>
          <w:tcPr>
            <w:tcW w:w="1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(10,119,771)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1,033,577</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(7,533,163)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6"/>
              </w:rPr>
              <w:t>(24,327,082)</w:t>
            </w:r>
          </w:p>
        </w:tc>
      </w:tr>
      <w:tr>
        <w:trPr>
          <w:trHeight w:val="237"/>
        </w:trPr>
        <w:tc>
          <w:tcPr>
            <w:tcW w:w="6400" w:type="dxa"/>
            <w:vAlign w:val="bottom"/>
          </w:tcPr>
          <w:p>
            <w:pPr>
              <w:ind w:left="180"/>
              <w:spacing w:after="0"/>
              <w:rPr>
                <w:sz w:val="20"/>
                <w:szCs w:val="20"/>
                <w:color w:val="auto"/>
              </w:rPr>
            </w:pPr>
            <w:r>
              <w:rPr>
                <w:rFonts w:ascii="Arial" w:cs="Arial" w:eastAsia="Arial" w:hAnsi="Arial"/>
                <w:sz w:val="16"/>
                <w:szCs w:val="16"/>
                <w:color w:val="auto"/>
              </w:rPr>
              <w:t>Realized loss on partial repurchase of 5.25% Convertible Senior Notes due 2018</w:t>
            </w:r>
          </w:p>
        </w:tc>
        <w:tc>
          <w:tcPr>
            <w:tcW w:w="16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(397,846)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Change in Unrealized Appreciation/(Depreciation) of Investments:</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Non-controlled/non-affiliated investments</w:t>
            </w:r>
          </w:p>
        </w:tc>
        <w:tc>
          <w:tcPr>
            <w:tcW w:w="1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16,245,474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20,367,064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36,655,159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65,931,446</w:t>
            </w:r>
          </w:p>
        </w:tc>
      </w:tr>
      <w:tr>
        <w:trPr>
          <w:trHeight w:val="33"/>
        </w:trPr>
        <w:tc>
          <w:tcPr>
            <w:tcW w:w="6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Non-controlled/affiliate investments</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(2,350,413)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(9,822,081)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(10,979,378)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6"/>
              </w:rPr>
              <w:t>(10,082,924)</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Controlled investments</w:t>
            </w:r>
          </w:p>
        </w:tc>
        <w:tc>
          <w:tcPr>
            <w:tcW w:w="1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247,314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5,091,700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6,472,584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5,820,954</w:t>
            </w:r>
          </w:p>
        </w:tc>
      </w:tr>
      <w:tr>
        <w:trPr>
          <w:trHeight w:val="33"/>
        </w:trPr>
        <w:tc>
          <w:tcPr>
            <w:tcW w:w="64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b w:val="1"/>
                <w:bCs w:val="1"/>
                <w:color w:val="auto"/>
              </w:rPr>
              <w:t>Net Change in Unrealized Appreciation/(Depreciation) of Investments</w:t>
            </w:r>
          </w:p>
        </w:tc>
        <w:tc>
          <w:tcPr>
            <w:tcW w:w="1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14,142,375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15,636,683</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32,148,365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61,669,476</w:t>
            </w:r>
          </w:p>
        </w:tc>
      </w:tr>
      <w:tr>
        <w:trPr>
          <w:trHeight w:val="237"/>
        </w:trPr>
        <w:tc>
          <w:tcPr>
            <w:tcW w:w="6400" w:type="dxa"/>
            <w:vAlign w:val="bottom"/>
          </w:tcPr>
          <w:p>
            <w:pPr>
              <w:ind w:left="280"/>
              <w:spacing w:after="0"/>
              <w:rPr>
                <w:sz w:val="20"/>
                <w:szCs w:val="20"/>
                <w:color w:val="auto"/>
              </w:rPr>
            </w:pPr>
            <w:r>
              <w:rPr>
                <w:rFonts w:ascii="Arial" w:cs="Arial" w:eastAsia="Arial" w:hAnsi="Arial"/>
                <w:sz w:val="16"/>
                <w:szCs w:val="16"/>
                <w:color w:val="auto"/>
              </w:rPr>
              <w:t>Benefit from taxes on unrealized depreciation of investments</w:t>
            </w:r>
          </w:p>
        </w:tc>
        <w:tc>
          <w:tcPr>
            <w:tcW w:w="1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214,404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26,705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1,225,275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26,705</w:t>
            </w:r>
          </w:p>
        </w:tc>
      </w:tr>
      <w:tr>
        <w:trPr>
          <w:trHeight w:val="33"/>
        </w:trPr>
        <w:tc>
          <w:tcPr>
            <w:tcW w:w="64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84"/>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b w:val="1"/>
                <w:bCs w:val="1"/>
                <w:color w:val="auto"/>
              </w:rPr>
              <w:t>Net Increase in Net Assets Resulting from Operations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328,810</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10,071,004</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16,125,108</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20,051,965</w:t>
            </w:r>
          </w:p>
        </w:tc>
      </w:tr>
      <w:tr>
        <w:trPr>
          <w:trHeight w:val="224"/>
        </w:trPr>
        <w:tc>
          <w:tcPr>
            <w:tcW w:w="6400" w:type="dxa"/>
            <w:vAlign w:val="bottom"/>
          </w:tcPr>
          <w:p>
            <w:pPr>
              <w:ind w:left="40"/>
              <w:spacing w:after="0"/>
              <w:rPr>
                <w:sz w:val="20"/>
                <w:szCs w:val="20"/>
                <w:color w:val="auto"/>
              </w:rPr>
            </w:pPr>
            <w:r>
              <w:rPr>
                <w:rFonts w:ascii="Arial" w:cs="Arial" w:eastAsia="Arial" w:hAnsi="Arial"/>
                <w:sz w:val="16"/>
                <w:szCs w:val="16"/>
                <w:b w:val="1"/>
                <w:bCs w:val="1"/>
                <w:color w:val="auto"/>
              </w:rPr>
              <w:t>Net Increase in Net Assets Resulting from Operations per Common Share:</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33"/>
        </w:trPr>
        <w:tc>
          <w:tcPr>
            <w:tcW w:w="6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Basic</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0.02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0.46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0.91</w:t>
            </w:r>
          </w:p>
        </w:tc>
      </w:tr>
      <w:tr>
        <w:trPr>
          <w:trHeight w:val="20"/>
        </w:trPr>
        <w:tc>
          <w:tcPr>
            <w:tcW w:w="6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84"/>
        </w:trPr>
        <w:tc>
          <w:tcPr>
            <w:tcW w:w="640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Diluted</w:t>
            </w:r>
            <w:r>
              <w:rPr>
                <w:rFonts w:ascii="Arial" w:cs="Arial" w:eastAsia="Arial" w:hAnsi="Arial"/>
                <w:sz w:val="21"/>
                <w:szCs w:val="21"/>
                <w:color w:val="auto"/>
                <w:vertAlign w:val="superscript"/>
              </w:rPr>
              <w:t>(2)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0.02</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0.40</w:t>
            </w: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0.72</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0.84</w:t>
            </w:r>
          </w:p>
        </w:tc>
      </w:tr>
      <w:tr>
        <w:trPr>
          <w:trHeight w:val="231"/>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Weighted-Average Common Shares Outstanding</w:t>
            </w:r>
          </w:p>
        </w:tc>
        <w:tc>
          <w:tcPr>
            <w:tcW w:w="1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37"/>
        </w:trPr>
        <w:tc>
          <w:tcPr>
            <w:tcW w:w="6400" w:type="dxa"/>
            <w:vAlign w:val="bottom"/>
          </w:tcPr>
          <w:p>
            <w:pPr>
              <w:ind w:left="380"/>
              <w:spacing w:after="0"/>
              <w:rPr>
                <w:sz w:val="20"/>
                <w:szCs w:val="20"/>
                <w:color w:val="auto"/>
              </w:rPr>
            </w:pPr>
            <w:r>
              <w:rPr>
                <w:rFonts w:ascii="Arial" w:cs="Arial" w:eastAsia="Arial" w:hAnsi="Arial"/>
                <w:sz w:val="16"/>
                <w:szCs w:val="16"/>
                <w:color w:val="auto"/>
              </w:rPr>
              <w:t>Basic</w:t>
            </w:r>
          </w:p>
        </w:tc>
        <w:tc>
          <w:tcPr>
            <w:tcW w:w="1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20,462,626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22,000,571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20,858,192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22,120,198</w:t>
            </w:r>
          </w:p>
        </w:tc>
      </w:tr>
      <w:tr>
        <w:trPr>
          <w:trHeight w:val="33"/>
        </w:trPr>
        <w:tc>
          <w:tcPr>
            <w:tcW w:w="6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4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Diluted</w:t>
            </w:r>
            <w:r>
              <w:rPr>
                <w:rFonts w:ascii="Arial" w:cs="Arial" w:eastAsia="Arial" w:hAnsi="Arial"/>
                <w:sz w:val="21"/>
                <w:szCs w:val="21"/>
                <w:color w:val="auto"/>
                <w:vertAlign w:val="superscript"/>
              </w:rPr>
              <w:t>(2)</w:t>
            </w:r>
          </w:p>
        </w:tc>
        <w:tc>
          <w:tcPr>
            <w:tcW w:w="1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20,462,626</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27,752,386</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27,728,434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27,872,013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-5727700</wp:posOffset>
            </wp:positionV>
            <wp:extent cx="406463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0646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-7460615</wp:posOffset>
            </wp:positionV>
            <wp:extent cx="406463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064635"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__________________________________________________</w:t>
      </w: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This balance references a related-party transaction. Refer to “Note 3—Related-Party Arrangements” for more detail.</w:t>
      </w:r>
    </w:p>
    <w:p>
      <w:pPr>
        <w:spacing w:after="0" w:line="7" w:lineRule="exact"/>
        <w:rPr>
          <w:rFonts w:ascii="Arial" w:cs="Arial" w:eastAsia="Arial" w:hAnsi="Arial"/>
          <w:sz w:val="18"/>
          <w:szCs w:val="18"/>
          <w:color w:val="auto"/>
        </w:rPr>
      </w:pPr>
    </w:p>
    <w:p>
      <w:pPr>
        <w:ind w:left="340" w:right="80" w:hanging="332"/>
        <w:spacing w:after="0" w:line="292"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For the three months ended September 30, 2018, 7,173,218 potentially dilutive common shares were excluded from the weighted-average common shares outstanding for diluted net increase in net assets resulting from operations per common share because the effect of these shares would have been anti-dilutive. For the nine months ended September 30, 2018 and the three and nine months ended September 30, 2017 2017, 0 potentially dilutive common shares were excluded from the weighted-average common shares outstanding for diluted net increase in net assets resulting from operations per common share. Refer to “Note 6—Net Increase in Net Assets Resulting from Operations per Common Share—Basic and Diluted” for further detail.</w:t>
      </w:r>
    </w:p>
    <w:p>
      <w:pPr>
        <w:sectPr>
          <w:pgSz w:w="11900" w:h="16838" w:orient="portrait"/>
          <w:cols w:equalWidth="0" w:num="1">
            <w:col w:w="11420"/>
          </w:cols>
          <w:pgMar w:left="240" w:top="122" w:right="239" w:bottom="867" w:gutter="0" w:footer="0" w:header="0"/>
        </w:sectPr>
      </w:pP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122" w:right="239" w:bottom="867" w:gutter="0" w:footer="0" w:header="0"/>
          <w:type w:val="continuous"/>
        </w:sectPr>
      </w:pPr>
    </w:p>
    <w:bookmarkStart w:id="4" w:name="page5"/>
    <w:bookmarkEnd w:id="4"/>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NET ASSETS (UNAUDITED)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gridSpan w:val="2"/>
          </w:tcPr>
          <w:p>
            <w:pPr>
              <w:ind w:left="80"/>
              <w:spacing w:after="0"/>
              <w:rPr>
                <w:sz w:val="20"/>
                <w:szCs w:val="20"/>
                <w:color w:val="auto"/>
              </w:rPr>
            </w:pPr>
            <w:r>
              <w:rPr>
                <w:rFonts w:ascii="Arial" w:cs="Arial" w:eastAsia="Arial" w:hAnsi="Arial"/>
                <w:sz w:val="14"/>
                <w:szCs w:val="14"/>
                <w:b w:val="1"/>
                <w:bCs w:val="1"/>
                <w:color w:val="auto"/>
              </w:rPr>
              <w:t>Nine Months Ended</w:t>
            </w:r>
          </w:p>
        </w:tc>
        <w:tc>
          <w:tcPr>
            <w:tcW w:w="200" w:type="dxa"/>
            <w:vAlign w:val="bottom"/>
          </w:tcPr>
          <w:p>
            <w:pPr>
              <w:spacing w:after="0"/>
              <w:rPr>
                <w:sz w:val="14"/>
                <w:szCs w:val="14"/>
                <w:color w:val="auto"/>
              </w:rPr>
            </w:pPr>
          </w:p>
        </w:tc>
        <w:tc>
          <w:tcPr>
            <w:tcW w:w="1620" w:type="dxa"/>
            <w:vAlign w:val="bottom"/>
          </w:tcPr>
          <w:p>
            <w:pPr>
              <w:jc w:val="right"/>
              <w:ind w:right="212"/>
              <w:spacing w:after="0"/>
              <w:rPr>
                <w:sz w:val="20"/>
                <w:szCs w:val="20"/>
                <w:color w:val="auto"/>
              </w:rPr>
            </w:pPr>
            <w:r>
              <w:rPr>
                <w:rFonts w:ascii="Arial" w:cs="Arial" w:eastAsia="Arial" w:hAnsi="Arial"/>
                <w:sz w:val="14"/>
                <w:szCs w:val="14"/>
                <w:b w:val="1"/>
                <w:bCs w:val="1"/>
                <w:color w:val="auto"/>
                <w:w w:val="99"/>
              </w:rPr>
              <w:t>Nine Months Ended</w:t>
            </w:r>
          </w:p>
        </w:tc>
        <w:tc>
          <w:tcPr>
            <w:tcW w:w="0" w:type="dxa"/>
            <w:vAlign w:val="bottom"/>
          </w:tcPr>
          <w:p>
            <w:pPr>
              <w:spacing w:after="0"/>
              <w:rPr>
                <w:sz w:val="1"/>
                <w:szCs w:val="1"/>
                <w:color w:val="auto"/>
              </w:rPr>
            </w:pPr>
          </w:p>
        </w:tc>
      </w:tr>
      <w:tr>
        <w:trPr>
          <w:trHeight w:val="192"/>
        </w:trPr>
        <w:tc>
          <w:tcPr>
            <w:tcW w:w="76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September 30, 2018</w:t>
            </w: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w w:val="97"/>
              </w:rPr>
              <w:t>September 30, 2017</w:t>
            </w: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Change in Net Assets Resulting from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Net investment loss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(9,317,522)</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(17,317,134)</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realized losses on investments</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(7,533,163)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(24,327,082)</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Realized loss on partial repurchase of 5.25% Convertible Senior Notes due 2018</w:t>
            </w:r>
          </w:p>
        </w:tc>
        <w:tc>
          <w:tcPr>
            <w:tcW w:w="2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(397,846)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change in unrealized appreciation of investments</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32,148,365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61,669,476</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Benefit from taxes on unrealized depreciation of investments</w:t>
            </w:r>
          </w:p>
        </w:tc>
        <w:tc>
          <w:tcPr>
            <w:tcW w:w="22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1,225,275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2"/>
              <w:spacing w:after="0"/>
              <w:rPr>
                <w:sz w:val="20"/>
                <w:szCs w:val="20"/>
                <w:color w:val="auto"/>
              </w:rPr>
            </w:pPr>
            <w:r>
              <w:rPr>
                <w:rFonts w:ascii="Arial" w:cs="Arial" w:eastAsia="Arial" w:hAnsi="Arial"/>
                <w:sz w:val="18"/>
                <w:szCs w:val="18"/>
                <w:color w:val="auto"/>
              </w:rPr>
              <w:t>26,705</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16,125,108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20,051,965</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b w:val="1"/>
                <w:bCs w:val="1"/>
                <w:color w:val="auto"/>
              </w:rPr>
              <w:t>Change in Net Assets Resulting from Capital Transactions</w:t>
            </w: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Repurchases of common stock</w:t>
            </w: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(7,484,610)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(2,800,810)</w:t>
            </w:r>
          </w:p>
        </w:tc>
        <w:tc>
          <w:tcPr>
            <w:tcW w:w="0" w:type="dxa"/>
            <w:vAlign w:val="bottom"/>
          </w:tcPr>
          <w:p>
            <w:pPr>
              <w:spacing w:after="0"/>
              <w:rPr>
                <w:sz w:val="1"/>
                <w:szCs w:val="1"/>
                <w:color w:val="auto"/>
              </w:rPr>
            </w:pPr>
          </w:p>
        </w:tc>
      </w:tr>
      <w:tr>
        <w:trPr>
          <w:trHeight w:val="237"/>
        </w:trPr>
        <w:tc>
          <w:tcPr>
            <w:tcW w:w="7660" w:type="dxa"/>
            <w:vAlign w:val="bottom"/>
            <w:tcBorders>
              <w:top w:val="single" w:sz="8" w:color="CCEEFF"/>
            </w:tcBorders>
          </w:tcPr>
          <w:p>
            <w:pPr>
              <w:ind w:left="280"/>
              <w:spacing w:after="0"/>
              <w:rPr>
                <w:sz w:val="20"/>
                <w:szCs w:val="20"/>
                <w:color w:val="auto"/>
              </w:rPr>
            </w:pPr>
            <w:r>
              <w:rPr>
                <w:rFonts w:ascii="Arial" w:cs="Arial" w:eastAsia="Arial" w:hAnsi="Arial"/>
                <w:sz w:val="18"/>
                <w:szCs w:val="18"/>
                <w:b w:val="1"/>
                <w:bCs w:val="1"/>
                <w:color w:val="auto"/>
              </w:rPr>
              <w:t>Net Decrease in Net Assets Resulting from Capital Transactions</w:t>
            </w:r>
          </w:p>
        </w:tc>
        <w:tc>
          <w:tcPr>
            <w:tcW w:w="22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(7,484,610)</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(2,800,810)</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Total Increase in Net Assets</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8,640,498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17,251,155</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Net assets at beginning of year</w:t>
            </w:r>
          </w:p>
        </w:tc>
        <w:tc>
          <w:tcPr>
            <w:tcW w:w="22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204,762,866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2"/>
              <w:spacing w:after="0"/>
              <w:rPr>
                <w:sz w:val="20"/>
                <w:szCs w:val="20"/>
                <w:color w:val="auto"/>
              </w:rPr>
            </w:pPr>
            <w:r>
              <w:rPr>
                <w:rFonts w:ascii="Arial" w:cs="Arial" w:eastAsia="Arial" w:hAnsi="Arial"/>
                <w:sz w:val="18"/>
                <w:szCs w:val="18"/>
                <w:color w:val="auto"/>
              </w:rPr>
              <w:t>192,128,810</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Net Assets at End of Period</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213,403,364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209,379,965</w:t>
            </w:r>
          </w:p>
        </w:tc>
        <w:tc>
          <w:tcPr>
            <w:tcW w:w="0" w:type="dxa"/>
            <w:vAlign w:val="bottom"/>
          </w:tcPr>
          <w:p>
            <w:pPr>
              <w:spacing w:after="0"/>
              <w:rPr>
                <w:sz w:val="1"/>
                <w:szCs w:val="1"/>
                <w:color w:val="auto"/>
              </w:rPr>
            </w:pPr>
          </w:p>
        </w:tc>
      </w:tr>
      <w:tr>
        <w:trPr>
          <w:trHeight w:val="20"/>
        </w:trPr>
        <w:tc>
          <w:tcPr>
            <w:tcW w:w="76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Capital Share Activity</w:t>
            </w: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6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Shares outstanding at beginning of year</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21,246,345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22,181,003</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Shares issued</w:t>
            </w:r>
          </w:p>
        </w:tc>
        <w:tc>
          <w:tcPr>
            <w:tcW w:w="220" w:type="dxa"/>
            <w:vAlign w:val="bottom"/>
          </w:tcPr>
          <w:p>
            <w:pPr>
              <w:spacing w:after="0"/>
              <w:rPr>
                <w:sz w:val="21"/>
                <w:szCs w:val="21"/>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6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Shares repurchased</w:t>
            </w: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(1,071,390)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(574,109)</w:t>
            </w:r>
          </w:p>
        </w:tc>
        <w:tc>
          <w:tcPr>
            <w:tcW w:w="0" w:type="dxa"/>
            <w:vAlign w:val="bottom"/>
          </w:tcPr>
          <w:p>
            <w:pPr>
              <w:spacing w:after="0"/>
              <w:rPr>
                <w:sz w:val="1"/>
                <w:szCs w:val="1"/>
                <w:color w:val="auto"/>
              </w:rPr>
            </w:pPr>
          </w:p>
        </w:tc>
      </w:tr>
      <w:tr>
        <w:trPr>
          <w:trHeight w:val="257"/>
        </w:trPr>
        <w:tc>
          <w:tcPr>
            <w:tcW w:w="7660" w:type="dxa"/>
            <w:vAlign w:val="bottom"/>
            <w:tcBorders>
              <w:top w:val="single" w:sz="8" w:color="CCEEFF"/>
            </w:tcBorders>
          </w:tcPr>
          <w:p>
            <w:pPr>
              <w:ind w:left="40"/>
              <w:spacing w:after="0"/>
              <w:rPr>
                <w:sz w:val="20"/>
                <w:szCs w:val="20"/>
                <w:color w:val="auto"/>
              </w:rPr>
            </w:pPr>
            <w:r>
              <w:rPr>
                <w:rFonts w:ascii="Arial" w:cs="Arial" w:eastAsia="Arial" w:hAnsi="Arial"/>
                <w:sz w:val="18"/>
                <w:szCs w:val="18"/>
                <w:b w:val="1"/>
                <w:bCs w:val="1"/>
                <w:color w:val="auto"/>
              </w:rPr>
              <w:t>Shares Outstanding at End of Period</w:t>
            </w:r>
          </w:p>
        </w:tc>
        <w:tc>
          <w:tcPr>
            <w:tcW w:w="220" w:type="dxa"/>
            <w:vAlign w:val="bottom"/>
            <w:tcBorders>
              <w:top w:val="single" w:sz="8" w:color="auto"/>
              <w:bottom w:val="single" w:sz="8" w:color="auto"/>
            </w:tcBorders>
          </w:tcPr>
          <w:p>
            <w:pPr>
              <w:spacing w:after="0"/>
              <w:rPr>
                <w:sz w:val="22"/>
                <w:szCs w:val="22"/>
                <w:color w:val="auto"/>
              </w:rPr>
            </w:pPr>
          </w:p>
        </w:tc>
        <w:tc>
          <w:tcPr>
            <w:tcW w:w="16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20,174,955</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6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21,606,894</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-1097280</wp:posOffset>
            </wp:positionV>
            <wp:extent cx="48621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86219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-1448435</wp:posOffset>
            </wp:positionV>
            <wp:extent cx="486219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86219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-3189605</wp:posOffset>
            </wp:positionV>
            <wp:extent cx="486219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862195" cy="8890"/>
                    </a:xfrm>
                    <a:prstGeom prst="rect">
                      <a:avLst/>
                    </a:prstGeom>
                    <a:noFill/>
                  </pic:spPr>
                </pic:pic>
              </a:graphicData>
            </a:graphic>
          </wp:anchor>
        </w:drawing>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GSV CAPITAL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gridSpan w:val="2"/>
          </w:tcPr>
          <w:p>
            <w:pPr>
              <w:ind w:left="20"/>
              <w:spacing w:after="0"/>
              <w:rPr>
                <w:sz w:val="20"/>
                <w:szCs w:val="20"/>
                <w:color w:val="auto"/>
              </w:rPr>
            </w:pPr>
            <w:r>
              <w:rPr>
                <w:rFonts w:ascii="Arial" w:cs="Arial" w:eastAsia="Arial" w:hAnsi="Arial"/>
                <w:sz w:val="14"/>
                <w:szCs w:val="14"/>
                <w:b w:val="1"/>
                <w:bCs w:val="1"/>
                <w:color w:val="auto"/>
              </w:rPr>
              <w:t>Nine Months Ended</w:t>
            </w:r>
          </w:p>
        </w:tc>
        <w:tc>
          <w:tcPr>
            <w:tcW w:w="160" w:type="dxa"/>
            <w:vAlign w:val="bottom"/>
          </w:tcPr>
          <w:p>
            <w:pPr>
              <w:spacing w:after="0"/>
              <w:rPr>
                <w:sz w:val="14"/>
                <w:szCs w:val="14"/>
                <w:color w:val="auto"/>
              </w:rPr>
            </w:pPr>
          </w:p>
        </w:tc>
        <w:tc>
          <w:tcPr>
            <w:tcW w:w="1520" w:type="dxa"/>
            <w:vAlign w:val="bottom"/>
          </w:tcPr>
          <w:p>
            <w:pPr>
              <w:jc w:val="right"/>
              <w:ind w:right="139"/>
              <w:spacing w:after="0"/>
              <w:rPr>
                <w:sz w:val="20"/>
                <w:szCs w:val="20"/>
                <w:color w:val="auto"/>
              </w:rPr>
            </w:pPr>
            <w:r>
              <w:rPr>
                <w:rFonts w:ascii="Arial" w:cs="Arial" w:eastAsia="Arial" w:hAnsi="Arial"/>
                <w:sz w:val="14"/>
                <w:szCs w:val="14"/>
                <w:b w:val="1"/>
                <w:bCs w:val="1"/>
                <w:color w:val="auto"/>
                <w:w w:val="97"/>
              </w:rPr>
              <w:t>Nine Months Ended</w:t>
            </w:r>
          </w:p>
        </w:tc>
      </w:tr>
      <w:tr>
        <w:trPr>
          <w:trHeight w:val="192"/>
        </w:trPr>
        <w:tc>
          <w:tcPr>
            <w:tcW w:w="7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2018</w:t>
            </w:r>
          </w:p>
        </w:tc>
        <w:tc>
          <w:tcPr>
            <w:tcW w:w="160" w:type="dxa"/>
            <w:vAlign w:val="bottom"/>
          </w:tcPr>
          <w:p>
            <w:pPr>
              <w:spacing w:after="0"/>
              <w:rPr>
                <w:sz w:val="16"/>
                <w:szCs w:val="16"/>
                <w:color w:val="auto"/>
              </w:rPr>
            </w:pPr>
          </w:p>
        </w:tc>
        <w:tc>
          <w:tcPr>
            <w:tcW w:w="1520" w:type="dxa"/>
            <w:vAlign w:val="bottom"/>
          </w:tcPr>
          <w:p>
            <w:pPr>
              <w:jc w:val="right"/>
              <w:ind w:right="159"/>
              <w:spacing w:after="0"/>
              <w:rPr>
                <w:sz w:val="20"/>
                <w:szCs w:val="20"/>
                <w:color w:val="auto"/>
              </w:rPr>
            </w:pPr>
            <w:r>
              <w:rPr>
                <w:rFonts w:ascii="Arial" w:cs="Arial" w:eastAsia="Arial" w:hAnsi="Arial"/>
                <w:sz w:val="14"/>
                <w:szCs w:val="14"/>
                <w:b w:val="1"/>
                <w:bCs w:val="1"/>
                <w:color w:val="auto"/>
                <w:w w:val="96"/>
              </w:rPr>
              <w:t>September 30, 2017</w:t>
            </w:r>
          </w:p>
        </w:tc>
      </w:tr>
      <w:tr>
        <w:trPr>
          <w:trHeight w:val="236"/>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5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52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Net increase in net assets resulting from operations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16,125,108</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20,051,965</w:t>
            </w:r>
          </w:p>
        </w:tc>
      </w:tr>
      <w:tr>
        <w:trPr>
          <w:trHeight w:val="33"/>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2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2"/>
              </w:rPr>
              <w:t>Adjustments to reconcile net increase in net assets resulting from operations to net cash provided by/(used in) operating</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19"/>
        </w:trPr>
        <w:tc>
          <w:tcPr>
            <w:tcW w:w="7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activities:</w:t>
            </w:r>
          </w:p>
        </w:tc>
        <w:tc>
          <w:tcPr>
            <w:tcW w:w="22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spacing w:after="0"/>
              <w:rPr>
                <w:sz w:val="19"/>
                <w:szCs w:val="19"/>
                <w:color w:val="auto"/>
              </w:rPr>
            </w:pP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Net realized losses on investments</w:t>
            </w:r>
          </w:p>
        </w:tc>
        <w:tc>
          <w:tcPr>
            <w:tcW w:w="22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7,533,163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24,327,082</w:t>
            </w:r>
          </w:p>
        </w:tc>
      </w:tr>
      <w:tr>
        <w:trPr>
          <w:trHeight w:val="33"/>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change in unrealized (appreciation) of investments</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(32,148,365)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(61,669,476)</w:t>
            </w: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Deferred tax liability</w:t>
            </w:r>
          </w:p>
        </w:tc>
        <w:tc>
          <w:tcPr>
            <w:tcW w:w="2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(1,568,789)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(26,705)</w:t>
            </w:r>
          </w:p>
        </w:tc>
      </w:tr>
      <w:tr>
        <w:trPr>
          <w:trHeight w:val="33"/>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Amortization of discount on 5.25% Convertible Senior Notes due 2018</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492,170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649,926</w:t>
            </w: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Amortization of discount on 4.75% Convertible Senior Notes due 2023</w:t>
            </w:r>
          </w:p>
        </w:tc>
        <w:tc>
          <w:tcPr>
            <w:tcW w:w="22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188,091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Amortization of deferred financing costs</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51,636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27,751</w:t>
            </w: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Write-off of deferred offering costs</w:t>
            </w:r>
          </w:p>
        </w:tc>
        <w:tc>
          <w:tcPr>
            <w:tcW w:w="22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325,248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Amortization of fixed income security premiums and discounts</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(25,909)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(115,162)</w:t>
            </w: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Paid-in-kind-interest</w:t>
            </w:r>
          </w:p>
        </w:tc>
        <w:tc>
          <w:tcPr>
            <w:tcW w:w="2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(254,881)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(24,564)</w:t>
            </w:r>
          </w:p>
        </w:tc>
      </w:tr>
      <w:tr>
        <w:trPr>
          <w:trHeight w:val="33"/>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Purchases of investments in:</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Portfolio investments</w:t>
            </w:r>
          </w:p>
        </w:tc>
        <w:tc>
          <w:tcPr>
            <w:tcW w:w="2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(6,676,590)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(2,080)</w:t>
            </w:r>
          </w:p>
        </w:tc>
      </w:tr>
      <w:tr>
        <w:trPr>
          <w:trHeight w:val="33"/>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U.S. Treasury bills</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(299,911,885)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(260,045,503)</w:t>
            </w: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Proceeds from sales or maturity of investments in:</w:t>
            </w: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33"/>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Portfolio investments</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34,892,791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9,773,257</w:t>
            </w: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U.S. Treasury bills</w:t>
            </w:r>
          </w:p>
        </w:tc>
        <w:tc>
          <w:tcPr>
            <w:tcW w:w="22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300,000,000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190,000,000</w:t>
            </w:r>
          </w:p>
        </w:tc>
      </w:tr>
      <w:tr>
        <w:trPr>
          <w:trHeight w:val="33"/>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Change in operating assets and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Due from controlled investments</w:t>
            </w:r>
          </w:p>
        </w:tc>
        <w:tc>
          <w:tcPr>
            <w:tcW w:w="22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840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Prepaid expenses and other assets</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(189,201)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(83,843)</w:t>
            </w: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Interest and dividends receivable</w:t>
            </w:r>
          </w:p>
        </w:tc>
        <w:tc>
          <w:tcPr>
            <w:tcW w:w="2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(275,542)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(125,491)</w:t>
            </w:r>
          </w:p>
        </w:tc>
      </w:tr>
      <w:tr>
        <w:trPr>
          <w:trHeight w:val="33"/>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Escrow proceeds receivable</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(2,038,825)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7900" w:type="dxa"/>
            <w:vAlign w:val="bottom"/>
          </w:tcPr>
          <w:p>
            <w:pPr>
              <w:ind w:left="180"/>
              <w:spacing w:after="0"/>
              <w:rPr>
                <w:sz w:val="20"/>
                <w:szCs w:val="20"/>
                <w:color w:val="auto"/>
              </w:rPr>
            </w:pPr>
            <w:r>
              <w:rPr>
                <w:rFonts w:ascii="Arial" w:cs="Arial" w:eastAsia="Arial" w:hAnsi="Arial"/>
                <w:sz w:val="16"/>
                <w:szCs w:val="16"/>
                <w:color w:val="auto"/>
              </w:rPr>
              <w:t>Due to GSV Asset Management</w:t>
            </w:r>
            <w:r>
              <w:rPr>
                <w:rFonts w:ascii="Arial" w:cs="Arial" w:eastAsia="Arial" w:hAnsi="Arial"/>
                <w:sz w:val="21"/>
                <w:szCs w:val="21"/>
                <w:color w:val="auto"/>
                <w:vertAlign w:val="superscript"/>
              </w:rPr>
              <w:t>(1)</w:t>
            </w:r>
          </w:p>
        </w:tc>
        <w:tc>
          <w:tcPr>
            <w:tcW w:w="2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(231,610)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(98,128)</w:t>
            </w: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Payable for securities purchased</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91,551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62,992,375</w:t>
            </w: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Accounts payable and accrued expenses</w:t>
            </w:r>
          </w:p>
        </w:tc>
        <w:tc>
          <w:tcPr>
            <w:tcW w:w="22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93,040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(78,225)</w:t>
            </w:r>
          </w:p>
        </w:tc>
      </w:tr>
      <w:tr>
        <w:trPr>
          <w:trHeight w:val="33"/>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9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Accrued incentive fees</w:t>
            </w:r>
            <w:r>
              <w:rPr>
                <w:rFonts w:ascii="Arial" w:cs="Arial" w:eastAsia="Arial" w:hAnsi="Arial"/>
                <w:sz w:val="21"/>
                <w:szCs w:val="21"/>
                <w:color w:val="auto"/>
                <w:vertAlign w:val="superscript"/>
              </w:rPr>
              <w:t>(1)</w:t>
            </w:r>
          </w:p>
        </w:tc>
        <w:tc>
          <w:tcPr>
            <w:tcW w:w="22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(136,061)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7,482,185</w:t>
            </w:r>
          </w:p>
        </w:tc>
      </w:tr>
      <w:tr>
        <w:trPr>
          <w:trHeight w:val="270"/>
        </w:trPr>
        <w:tc>
          <w:tcPr>
            <w:tcW w:w="7900" w:type="dxa"/>
            <w:vAlign w:val="bottom"/>
          </w:tcPr>
          <w:p>
            <w:pPr>
              <w:ind w:left="180"/>
              <w:spacing w:after="0"/>
              <w:rPr>
                <w:sz w:val="20"/>
                <w:szCs w:val="20"/>
                <w:color w:val="auto"/>
              </w:rPr>
            </w:pPr>
            <w:r>
              <w:rPr>
                <w:rFonts w:ascii="Arial" w:cs="Arial" w:eastAsia="Arial" w:hAnsi="Arial"/>
                <w:sz w:val="16"/>
                <w:szCs w:val="16"/>
                <w:color w:val="auto"/>
              </w:rPr>
              <w:t>Accrued management fees</w:t>
            </w:r>
            <w:r>
              <w:rPr>
                <w:rFonts w:ascii="Arial" w:cs="Arial" w:eastAsia="Arial" w:hAnsi="Arial"/>
                <w:sz w:val="21"/>
                <w:szCs w:val="21"/>
                <w:color w:val="auto"/>
                <w:vertAlign w:val="superscript"/>
              </w:rPr>
              <w:t>(1)</w:t>
            </w:r>
          </w:p>
        </w:tc>
        <w:tc>
          <w:tcPr>
            <w:tcW w:w="2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(110,109)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(524,054)</w:t>
            </w:r>
          </w:p>
        </w:tc>
      </w:tr>
      <w:tr>
        <w:trPr>
          <w:trHeight w:val="27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Accrued interest payable</w:t>
            </w: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(1,056,563)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(900,459)</w:t>
            </w:r>
          </w:p>
        </w:tc>
      </w:tr>
      <w:tr>
        <w:trPr>
          <w:trHeight w:val="217"/>
        </w:trPr>
        <w:tc>
          <w:tcPr>
            <w:tcW w:w="7900" w:type="dxa"/>
            <w:vAlign w:val="bottom"/>
          </w:tcPr>
          <w:p>
            <w:pPr>
              <w:ind w:left="40"/>
              <w:spacing w:after="0"/>
              <w:rPr>
                <w:sz w:val="20"/>
                <w:szCs w:val="20"/>
                <w:color w:val="auto"/>
              </w:rPr>
            </w:pPr>
            <w:r>
              <w:rPr>
                <w:rFonts w:ascii="Arial" w:cs="Arial" w:eastAsia="Arial" w:hAnsi="Arial"/>
                <w:sz w:val="16"/>
                <w:szCs w:val="16"/>
                <w:b w:val="1"/>
                <w:bCs w:val="1"/>
                <w:color w:val="auto"/>
              </w:rPr>
              <w:t>Net Cash Provided by/(Used in) Operating Activities</w:t>
            </w:r>
          </w:p>
        </w:tc>
        <w:tc>
          <w:tcPr>
            <w:tcW w:w="22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15,169,308</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(8,389,149)</w:t>
            </w:r>
          </w:p>
        </w:tc>
      </w:tr>
      <w:tr>
        <w:trPr>
          <w:trHeight w:val="33"/>
        </w:trPr>
        <w:tc>
          <w:tcPr>
            <w:tcW w:w="7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2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Proceeds from the issuance of 4.75% Convertible Senior Notes due 2023</w:t>
            </w:r>
          </w:p>
        </w:tc>
        <w:tc>
          <w:tcPr>
            <w:tcW w:w="22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40,000,000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debt issuance costs</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(1,846,620)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Repurchases of common stock</w:t>
            </w:r>
          </w:p>
        </w:tc>
        <w:tc>
          <w:tcPr>
            <w:tcW w:w="2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(7,484,610)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(2,647,250)</w:t>
            </w:r>
          </w:p>
        </w:tc>
      </w:tr>
      <w:tr>
        <w:trPr>
          <w:trHeight w:val="33"/>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Repayment of 5.25% Convertible Senior Notes due 2018</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(69,272,565)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Realized loss on partial repurchase of 5.25% Convertible Senior Notes due 2018</w:t>
            </w:r>
          </w:p>
        </w:tc>
        <w:tc>
          <w:tcPr>
            <w:tcW w:w="22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397,846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Borrowings under credit facility</w:t>
            </w:r>
          </w:p>
        </w:tc>
        <w:tc>
          <w:tcPr>
            <w:tcW w:w="22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16,000,000</w:t>
            </w:r>
          </w:p>
        </w:tc>
      </w:tr>
      <w:tr>
        <w:trPr>
          <w:trHeight w:val="224"/>
        </w:trPr>
        <w:tc>
          <w:tcPr>
            <w:tcW w:w="7900" w:type="dxa"/>
            <w:vAlign w:val="bottom"/>
          </w:tcPr>
          <w:p>
            <w:pPr>
              <w:ind w:left="40"/>
              <w:spacing w:after="0"/>
              <w:rPr>
                <w:sz w:val="20"/>
                <w:szCs w:val="20"/>
                <w:color w:val="auto"/>
              </w:rPr>
            </w:pPr>
            <w:r>
              <w:rPr>
                <w:rFonts w:ascii="Arial" w:cs="Arial" w:eastAsia="Arial" w:hAnsi="Arial"/>
                <w:sz w:val="16"/>
                <w:szCs w:val="16"/>
                <w:color w:val="auto"/>
              </w:rPr>
              <w:t>Deferred credit facility costs</w:t>
            </w:r>
          </w:p>
        </w:tc>
        <w:tc>
          <w:tcPr>
            <w:tcW w:w="220" w:type="dxa"/>
            <w:vAlign w:val="bottom"/>
          </w:tcPr>
          <w:p>
            <w:pPr>
              <w:spacing w:after="0"/>
              <w:rPr>
                <w:sz w:val="19"/>
                <w:szCs w:val="19"/>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(41,486)</w:t>
            </w:r>
          </w:p>
        </w:tc>
      </w:tr>
      <w:tr>
        <w:trPr>
          <w:trHeight w:val="33"/>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offering costs</w:t>
            </w: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(178,910)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(100,313)</w:t>
            </w:r>
          </w:p>
        </w:tc>
      </w:tr>
      <w:tr>
        <w:trPr>
          <w:trHeight w:val="217"/>
        </w:trPr>
        <w:tc>
          <w:tcPr>
            <w:tcW w:w="7900" w:type="dxa"/>
            <w:vAlign w:val="bottom"/>
            <w:tcBorders>
              <w:top w:val="single" w:sz="8" w:color="CCEEFF"/>
            </w:tcBorders>
          </w:tcPr>
          <w:p>
            <w:pPr>
              <w:ind w:left="40"/>
              <w:spacing w:after="0"/>
              <w:rPr>
                <w:sz w:val="20"/>
                <w:szCs w:val="20"/>
                <w:color w:val="auto"/>
              </w:rPr>
            </w:pPr>
            <w:r>
              <w:rPr>
                <w:rFonts w:ascii="Arial" w:cs="Arial" w:eastAsia="Arial" w:hAnsi="Arial"/>
                <w:sz w:val="16"/>
                <w:szCs w:val="16"/>
                <w:b w:val="1"/>
                <w:bCs w:val="1"/>
                <w:color w:val="auto"/>
              </w:rPr>
              <w:t>Net Cash Provided by/(Used in) Financing Activities</w:t>
            </w:r>
          </w:p>
        </w:tc>
        <w:tc>
          <w:tcPr>
            <w:tcW w:w="22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(38,384,859)</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5,210,951</w:t>
            </w:r>
          </w:p>
        </w:tc>
      </w:tr>
      <w:tr>
        <w:trPr>
          <w:trHeight w:val="33"/>
        </w:trPr>
        <w:tc>
          <w:tcPr>
            <w:tcW w:w="7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Decrease in Cash Balance</w:t>
            </w:r>
          </w:p>
        </w:tc>
        <w:tc>
          <w:tcPr>
            <w:tcW w:w="2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(23,215,550)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(3,178,198)</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Cash Balance at Beginning of Year</w:t>
            </w:r>
          </w:p>
        </w:tc>
        <w:tc>
          <w:tcPr>
            <w:tcW w:w="22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59,838,600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8,332,634</w:t>
            </w:r>
          </w:p>
        </w:tc>
      </w:tr>
      <w:tr>
        <w:trPr>
          <w:trHeight w:val="33"/>
        </w:trPr>
        <w:tc>
          <w:tcPr>
            <w:tcW w:w="7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Balance at End of Period</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36,623,050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5,154,436</w:t>
            </w:r>
          </w:p>
        </w:tc>
      </w:tr>
      <w:tr>
        <w:trPr>
          <w:trHeight w:val="217"/>
        </w:trPr>
        <w:tc>
          <w:tcPr>
            <w:tcW w:w="7900" w:type="dxa"/>
            <w:vAlign w:val="bottom"/>
          </w:tcPr>
          <w:p>
            <w:pPr>
              <w:ind w:left="40"/>
              <w:spacing w:after="0"/>
              <w:rPr>
                <w:sz w:val="20"/>
                <w:szCs w:val="20"/>
                <w:color w:val="auto"/>
              </w:rPr>
            </w:pPr>
            <w:r>
              <w:rPr>
                <w:rFonts w:ascii="Arial" w:cs="Arial" w:eastAsia="Arial" w:hAnsi="Arial"/>
                <w:sz w:val="16"/>
                <w:szCs w:val="16"/>
                <w:b w:val="1"/>
                <w:bCs w:val="1"/>
                <w:color w:val="auto"/>
              </w:rPr>
              <w:t>Supplemental Information:</w:t>
            </w:r>
          </w:p>
        </w:tc>
        <w:tc>
          <w:tcPr>
            <w:tcW w:w="22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paid</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4,080,817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3,679,244</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Taxes paid</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492,303</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52,481</w:t>
            </w:r>
          </w:p>
        </w:tc>
      </w:tr>
      <w:tr>
        <w:trPr>
          <w:trHeight w:val="221"/>
        </w:trPr>
        <w:tc>
          <w:tcPr>
            <w:tcW w:w="8120" w:type="dxa"/>
            <w:vAlign w:val="bottom"/>
            <w:gridSpan w:val="2"/>
          </w:tcPr>
          <w:p>
            <w:pPr>
              <w:ind w:left="3340"/>
              <w:spacing w:after="0"/>
              <w:rPr>
                <w:sz w:val="20"/>
                <w:szCs w:val="20"/>
                <w:color w:val="auto"/>
              </w:rPr>
            </w:pPr>
            <w:r>
              <w:rPr>
                <w:rFonts w:ascii="Arial" w:cs="Arial" w:eastAsia="Arial" w:hAnsi="Arial"/>
                <w:sz w:val="16"/>
                <w:szCs w:val="16"/>
                <w:i w:val="1"/>
                <w:iCs w:val="1"/>
                <w:color w:val="auto"/>
                <w:w w:val="90"/>
              </w:rPr>
              <w:t>See accompanying notes to condensed consolidated financial statements.</w:t>
            </w: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30"/>
        </w:trPr>
        <w:tc>
          <w:tcPr>
            <w:tcW w:w="7900" w:type="dxa"/>
            <w:vAlign w:val="bottom"/>
          </w:tcPr>
          <w:p>
            <w:pPr>
              <w:spacing w:after="0"/>
              <w:rPr>
                <w:sz w:val="20"/>
                <w:szCs w:val="20"/>
                <w:color w:val="auto"/>
              </w:rPr>
            </w:pPr>
            <w:r>
              <w:rPr>
                <w:rFonts w:ascii="Arial" w:cs="Arial" w:eastAsia="Arial" w:hAnsi="Arial"/>
                <w:sz w:val="18"/>
                <w:szCs w:val="18"/>
                <w:color w:val="auto"/>
              </w:rPr>
              <w:t>_______________________</w:t>
            </w: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-1980565</wp:posOffset>
            </wp:positionV>
            <wp:extent cx="500824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0082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-8275320</wp:posOffset>
            </wp:positionV>
            <wp:extent cx="500824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008245" cy="8890"/>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(1) This balance references a related-party transaction. Refer to “Note 3—Related-Party Arrangements” for more detail.</w:t>
      </w:r>
    </w:p>
    <w:p>
      <w:pPr>
        <w:sectPr>
          <w:pgSz w:w="11900" w:h="16838" w:orient="portrait"/>
          <w:cols w:equalWidth="0" w:num="1">
            <w:col w:w="11420"/>
          </w:cols>
          <w:pgMar w:left="240" w:top="121" w:right="239" w:bottom="1029"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1" w:right="239" w:bottom="1029" w:gutter="0" w:footer="0" w:header="0"/>
          <w:type w:val="continuous"/>
        </w:sectPr>
      </w:pPr>
    </w:p>
    <w:bookmarkStart w:id="6" w:name="page7"/>
    <w:bookmarkEnd w:id="6"/>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SCHEDULE OF INVESTMENTS (UNAUDITED)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2018</w:t>
      </w:r>
    </w:p>
    <w:p>
      <w:pPr>
        <w:sectPr>
          <w:pgSz w:w="11900" w:h="16838" w:orient="portrait"/>
          <w:cols w:equalWidth="0" w:num="1">
            <w:col w:w="11420"/>
          </w:cols>
          <w:pgMar w:left="240" w:top="121" w:right="239" w:bottom="800" w:gutter="0" w:footer="0" w:header="0"/>
        </w:sectPr>
      </w:pP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3160" w:type="dxa"/>
            <w:vAlign w:val="bottom"/>
            <w:gridSpan w:val="12"/>
            <w:vMerge w:val="restart"/>
          </w:tcPr>
          <w:p>
            <w:pPr>
              <w:spacing w:after="0"/>
              <w:rPr>
                <w:sz w:val="20"/>
                <w:szCs w:val="20"/>
                <w:color w:val="auto"/>
              </w:rPr>
            </w:pPr>
            <w:r>
              <w:rPr>
                <w:rFonts w:ascii="Arial" w:cs="Arial" w:eastAsia="Arial" w:hAnsi="Arial"/>
                <w:sz w:val="14"/>
                <w:szCs w:val="14"/>
                <w:b w:val="1"/>
                <w:bCs w:val="1"/>
                <w:color w:val="auto"/>
              </w:rPr>
              <w:t>Portfolio Investments*</w:t>
            </w:r>
          </w:p>
        </w:tc>
        <w:tc>
          <w:tcPr>
            <w:tcW w:w="140" w:type="dxa"/>
            <w:vAlign w:val="bottom"/>
          </w:tcPr>
          <w:p>
            <w:pPr>
              <w:spacing w:after="0"/>
              <w:rPr>
                <w:sz w:val="14"/>
                <w:szCs w:val="14"/>
                <w:color w:val="auto"/>
              </w:rPr>
            </w:pPr>
          </w:p>
        </w:tc>
        <w:tc>
          <w:tcPr>
            <w:tcW w:w="2620" w:type="dxa"/>
            <w:vAlign w:val="bottom"/>
          </w:tcPr>
          <w:p>
            <w:pPr>
              <w:jc w:val="center"/>
              <w:spacing w:after="0"/>
              <w:rPr>
                <w:sz w:val="20"/>
                <w:szCs w:val="20"/>
                <w:color w:val="auto"/>
              </w:rPr>
            </w:pPr>
            <w:r>
              <w:rPr>
                <w:rFonts w:ascii="Arial" w:cs="Arial" w:eastAsia="Arial" w:hAnsi="Arial"/>
                <w:sz w:val="14"/>
                <w:szCs w:val="14"/>
                <w:b w:val="1"/>
                <w:bCs w:val="1"/>
                <w:color w:val="auto"/>
                <w:w w:val="95"/>
              </w:rPr>
              <w:t>Headquarters/</w:t>
            </w:r>
          </w:p>
        </w:tc>
        <w:tc>
          <w:tcPr>
            <w:tcW w:w="0" w:type="dxa"/>
            <w:vAlign w:val="bottom"/>
          </w:tcPr>
          <w:p>
            <w:pPr>
              <w:spacing w:after="0"/>
              <w:rPr>
                <w:sz w:val="1"/>
                <w:szCs w:val="1"/>
                <w:color w:val="auto"/>
              </w:rPr>
            </w:pPr>
          </w:p>
        </w:tc>
      </w:tr>
      <w:tr>
        <w:trPr>
          <w:trHeight w:val="192"/>
        </w:trPr>
        <w:tc>
          <w:tcPr>
            <w:tcW w:w="4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12"/>
            <w:vMerge w:val="continue"/>
          </w:tcPr>
          <w:p>
            <w:pPr>
              <w:spacing w:after="0"/>
              <w:rPr>
                <w:sz w:val="16"/>
                <w:szCs w:val="16"/>
                <w:color w:val="auto"/>
              </w:rPr>
            </w:pPr>
          </w:p>
        </w:tc>
        <w:tc>
          <w:tcPr>
            <w:tcW w:w="140" w:type="dxa"/>
            <w:vAlign w:val="bottom"/>
          </w:tcPr>
          <w:p>
            <w:pPr>
              <w:spacing w:after="0"/>
              <w:rPr>
                <w:sz w:val="16"/>
                <w:szCs w:val="16"/>
                <w:color w:val="auto"/>
              </w:rPr>
            </w:pPr>
          </w:p>
        </w:tc>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Industry</w:t>
            </w:r>
          </w:p>
        </w:tc>
        <w:tc>
          <w:tcPr>
            <w:tcW w:w="0" w:type="dxa"/>
            <w:vAlign w:val="bottom"/>
          </w:tcPr>
          <w:p>
            <w:pPr>
              <w:spacing w:after="0"/>
              <w:rPr>
                <w:sz w:val="1"/>
                <w:szCs w:val="1"/>
                <w:color w:val="auto"/>
              </w:rPr>
            </w:pPr>
          </w:p>
        </w:tc>
      </w:tr>
      <w:tr>
        <w:trPr>
          <w:trHeight w:val="258"/>
        </w:trPr>
        <w:tc>
          <w:tcPr>
            <w:tcW w:w="40" w:type="dxa"/>
            <w:vAlign w:val="bottom"/>
          </w:tcPr>
          <w:p>
            <w:pPr>
              <w:spacing w:after="0"/>
              <w:rPr>
                <w:sz w:val="22"/>
                <w:szCs w:val="22"/>
                <w:color w:val="auto"/>
              </w:rPr>
            </w:pPr>
          </w:p>
        </w:tc>
        <w:tc>
          <w:tcPr>
            <w:tcW w:w="3160" w:type="dxa"/>
            <w:vAlign w:val="bottom"/>
            <w:gridSpan w:val="12"/>
          </w:tcPr>
          <w:p>
            <w:pPr>
              <w:spacing w:after="0"/>
              <w:rPr>
                <w:sz w:val="20"/>
                <w:szCs w:val="20"/>
                <w:color w:val="auto"/>
              </w:rPr>
            </w:pPr>
            <w:r>
              <w:rPr>
                <w:rFonts w:ascii="Arial" w:cs="Arial" w:eastAsia="Arial" w:hAnsi="Arial"/>
                <w:sz w:val="14"/>
                <w:szCs w:val="14"/>
                <w:b w:val="1"/>
                <w:bCs w:val="1"/>
                <w:color w:val="auto"/>
              </w:rPr>
              <w:t>NON-CONTROLLED/NON-AFFILIATE</w:t>
            </w:r>
          </w:p>
        </w:tc>
        <w:tc>
          <w:tcPr>
            <w:tcW w:w="14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40" w:type="dxa"/>
            <w:vAlign w:val="bottom"/>
          </w:tcPr>
          <w:p>
            <w:pPr>
              <w:spacing w:after="0"/>
              <w:rPr>
                <w:sz w:val="21"/>
                <w:szCs w:val="21"/>
                <w:color w:val="auto"/>
              </w:rPr>
            </w:pPr>
          </w:p>
        </w:tc>
        <w:tc>
          <w:tcPr>
            <w:tcW w:w="3160" w:type="dxa"/>
            <w:vAlign w:val="bottom"/>
            <w:gridSpan w:val="12"/>
          </w:tcPr>
          <w:p>
            <w:pPr>
              <w:spacing w:after="0"/>
              <w:rPr>
                <w:sz w:val="20"/>
                <w:szCs w:val="20"/>
                <w:color w:val="auto"/>
              </w:rPr>
            </w:pPr>
            <w:r>
              <w:rPr>
                <w:rFonts w:ascii="Arial" w:cs="Arial" w:eastAsia="Arial" w:hAnsi="Arial"/>
                <w:sz w:val="14"/>
                <w:szCs w:val="14"/>
                <w:b w:val="1"/>
                <w:bCs w:val="1"/>
                <w:color w:val="auto"/>
              </w:rPr>
              <w:t>Spotify Technology S.A.</w:t>
            </w: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2620" w:type="dxa"/>
            <w:vAlign w:val="bottom"/>
          </w:tcPr>
          <w:p>
            <w:pPr>
              <w:jc w:val="center"/>
              <w:spacing w:after="0"/>
              <w:rPr>
                <w:sz w:val="20"/>
                <w:szCs w:val="20"/>
                <w:color w:val="auto"/>
              </w:rPr>
            </w:pPr>
            <w:r>
              <w:rPr>
                <w:rFonts w:ascii="Arial" w:cs="Arial" w:eastAsia="Arial" w:hAnsi="Arial"/>
                <w:sz w:val="14"/>
                <w:szCs w:val="14"/>
                <w:color w:val="auto"/>
                <w:w w:val="92"/>
              </w:rPr>
              <w:t>Stockholm, Sweden</w:t>
            </w: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1460" w:type="dxa"/>
            <w:vAlign w:val="bottom"/>
            <w:tcBorders>
              <w:top w:val="single" w:sz="8" w:color="auto"/>
            </w:tcBorders>
            <w:gridSpan w:val="9"/>
          </w:tcPr>
          <w:p>
            <w:pPr>
              <w:spacing w:after="0"/>
              <w:rPr>
                <w:sz w:val="20"/>
                <w:szCs w:val="20"/>
                <w:color w:val="auto"/>
              </w:rPr>
            </w:pPr>
            <w:r>
              <w:rPr>
                <w:rFonts w:ascii="Arial" w:cs="Arial" w:eastAsia="Arial" w:hAnsi="Arial"/>
                <w:sz w:val="14"/>
                <w:szCs w:val="14"/>
                <w:color w:val="auto"/>
              </w:rPr>
              <w:t>Common shares</w:t>
            </w:r>
            <w:r>
              <w:rPr>
                <w:rFonts w:ascii="Arial" w:cs="Arial" w:eastAsia="Arial" w:hAnsi="Arial"/>
                <w:sz w:val="8"/>
                <w:szCs w:val="8"/>
                <w:color w:val="auto"/>
              </w:rPr>
              <w:t>(3)(7)</w:t>
            </w:r>
          </w:p>
        </w:tc>
        <w:tc>
          <w:tcPr>
            <w:tcW w:w="1700" w:type="dxa"/>
            <w:vAlign w:val="bottom"/>
            <w:gridSpan w:val="3"/>
          </w:tcPr>
          <w:p>
            <w:pPr>
              <w:spacing w:after="0"/>
              <w:rPr>
                <w:sz w:val="24"/>
                <w:szCs w:val="24"/>
                <w:color w:val="auto"/>
              </w:rPr>
            </w:pPr>
          </w:p>
        </w:tc>
        <w:tc>
          <w:tcPr>
            <w:tcW w:w="14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4"/>
                <w:szCs w:val="14"/>
                <w:color w:val="auto"/>
                <w:w w:val="94"/>
              </w:rPr>
              <w:t>On-Demand Music Streaming</w:t>
            </w:r>
          </w:p>
        </w:tc>
        <w:tc>
          <w:tcPr>
            <w:tcW w:w="0" w:type="dxa"/>
            <w:vAlign w:val="bottom"/>
          </w:tcPr>
          <w:p>
            <w:pPr>
              <w:spacing w:after="0"/>
              <w:rPr>
                <w:sz w:val="1"/>
                <w:szCs w:val="1"/>
                <w:color w:val="auto"/>
              </w:rPr>
            </w:pPr>
          </w:p>
        </w:tc>
      </w:tr>
      <w:tr>
        <w:trPr>
          <w:trHeight w:val="242"/>
        </w:trPr>
        <w:tc>
          <w:tcPr>
            <w:tcW w:w="40" w:type="dxa"/>
            <w:vAlign w:val="bottom"/>
          </w:tcPr>
          <w:p>
            <w:pPr>
              <w:spacing w:after="0"/>
              <w:rPr>
                <w:sz w:val="21"/>
                <w:szCs w:val="21"/>
                <w:color w:val="auto"/>
              </w:rPr>
            </w:pPr>
          </w:p>
        </w:tc>
        <w:tc>
          <w:tcPr>
            <w:tcW w:w="3160" w:type="dxa"/>
            <w:vAlign w:val="bottom"/>
            <w:gridSpan w:val="12"/>
          </w:tcPr>
          <w:p>
            <w:pPr>
              <w:spacing w:after="0"/>
              <w:rPr>
                <w:sz w:val="20"/>
                <w:szCs w:val="20"/>
                <w:color w:val="auto"/>
              </w:rPr>
            </w:pPr>
            <w:r>
              <w:rPr>
                <w:rFonts w:ascii="Arial" w:cs="Arial" w:eastAsia="Arial" w:hAnsi="Arial"/>
                <w:sz w:val="14"/>
                <w:szCs w:val="14"/>
                <w:b w:val="1"/>
                <w:bCs w:val="1"/>
                <w:color w:val="auto"/>
              </w:rPr>
              <w:t>Palantir Technologies, Inc.</w:t>
            </w:r>
          </w:p>
        </w:tc>
        <w:tc>
          <w:tcPr>
            <w:tcW w:w="140" w:type="dxa"/>
            <w:vAlign w:val="bottom"/>
          </w:tcPr>
          <w:p>
            <w:pPr>
              <w:spacing w:after="0"/>
              <w:rPr>
                <w:sz w:val="21"/>
                <w:szCs w:val="21"/>
                <w:color w:val="auto"/>
              </w:rPr>
            </w:pPr>
          </w:p>
        </w:tc>
        <w:tc>
          <w:tcPr>
            <w:tcW w:w="2620" w:type="dxa"/>
            <w:vAlign w:val="bottom"/>
          </w:tcPr>
          <w:p>
            <w:pPr>
              <w:jc w:val="center"/>
              <w:spacing w:after="0"/>
              <w:rPr>
                <w:sz w:val="20"/>
                <w:szCs w:val="20"/>
                <w:color w:val="auto"/>
              </w:rPr>
            </w:pPr>
            <w:r>
              <w:rPr>
                <w:rFonts w:ascii="Arial" w:cs="Arial" w:eastAsia="Arial" w:hAnsi="Arial"/>
                <w:sz w:val="14"/>
                <w:szCs w:val="14"/>
                <w:color w:val="auto"/>
                <w:w w:val="98"/>
              </w:rPr>
              <w:t>Palo Alto, CA</w:t>
            </w: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1620" w:type="dxa"/>
            <w:vAlign w:val="bottom"/>
            <w:tcBorders>
              <w:top w:val="single" w:sz="8" w:color="auto"/>
            </w:tcBorders>
            <w:gridSpan w:val="10"/>
          </w:tcPr>
          <w:p>
            <w:pPr>
              <w:spacing w:after="0"/>
              <w:rPr>
                <w:sz w:val="20"/>
                <w:szCs w:val="20"/>
                <w:color w:val="auto"/>
              </w:rPr>
            </w:pPr>
            <w:r>
              <w:rPr>
                <w:rFonts w:ascii="Arial" w:cs="Arial" w:eastAsia="Arial" w:hAnsi="Arial"/>
                <w:sz w:val="14"/>
                <w:szCs w:val="14"/>
                <w:color w:val="auto"/>
              </w:rPr>
              <w:t>Common shares, Class A</w:t>
            </w:r>
          </w:p>
        </w:tc>
        <w:tc>
          <w:tcPr>
            <w:tcW w:w="1540" w:type="dxa"/>
            <w:vAlign w:val="bottom"/>
            <w:gridSpan w:val="2"/>
          </w:tcPr>
          <w:p>
            <w:pPr>
              <w:spacing w:after="0"/>
              <w:rPr>
                <w:sz w:val="24"/>
                <w:szCs w:val="24"/>
                <w:color w:val="auto"/>
              </w:rPr>
            </w:pPr>
          </w:p>
        </w:tc>
        <w:tc>
          <w:tcPr>
            <w:tcW w:w="14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4"/>
                <w:szCs w:val="14"/>
                <w:color w:val="auto"/>
                <w:w w:val="95"/>
              </w:rPr>
              <w:t>Data Analysis</w:t>
            </w:r>
          </w:p>
        </w:tc>
        <w:tc>
          <w:tcPr>
            <w:tcW w:w="0" w:type="dxa"/>
            <w:vAlign w:val="bottom"/>
          </w:tcPr>
          <w:p>
            <w:pPr>
              <w:spacing w:after="0"/>
              <w:rPr>
                <w:sz w:val="1"/>
                <w:szCs w:val="1"/>
                <w:color w:val="auto"/>
              </w:rPr>
            </w:pPr>
          </w:p>
        </w:tc>
      </w:tr>
      <w:tr>
        <w:trPr>
          <w:trHeight w:val="242"/>
        </w:trPr>
        <w:tc>
          <w:tcPr>
            <w:tcW w:w="40" w:type="dxa"/>
            <w:vAlign w:val="bottom"/>
          </w:tcPr>
          <w:p>
            <w:pPr>
              <w:spacing w:after="0"/>
              <w:rPr>
                <w:sz w:val="21"/>
                <w:szCs w:val="21"/>
                <w:color w:val="auto"/>
              </w:rPr>
            </w:pPr>
          </w:p>
        </w:tc>
        <w:tc>
          <w:tcPr>
            <w:tcW w:w="3160" w:type="dxa"/>
            <w:vAlign w:val="bottom"/>
            <w:gridSpan w:val="12"/>
          </w:tcPr>
          <w:p>
            <w:pPr>
              <w:spacing w:after="0"/>
              <w:rPr>
                <w:sz w:val="20"/>
                <w:szCs w:val="20"/>
                <w:color w:val="auto"/>
              </w:rPr>
            </w:pPr>
            <w:r>
              <w:rPr>
                <w:rFonts w:ascii="Arial" w:cs="Arial" w:eastAsia="Arial" w:hAnsi="Arial"/>
                <w:sz w:val="14"/>
                <w:szCs w:val="14"/>
                <w:b w:val="1"/>
                <w:bCs w:val="1"/>
                <w:color w:val="auto"/>
              </w:rPr>
              <w:t>Dropbox, Inc.</w:t>
            </w: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2620" w:type="dxa"/>
            <w:vAlign w:val="bottom"/>
          </w:tcPr>
          <w:p>
            <w:pPr>
              <w:jc w:val="center"/>
              <w:spacing w:after="0"/>
              <w:rPr>
                <w:sz w:val="20"/>
                <w:szCs w:val="20"/>
                <w:color w:val="auto"/>
              </w:rPr>
            </w:pPr>
            <w:r>
              <w:rPr>
                <w:rFonts w:ascii="Arial" w:cs="Arial" w:eastAsia="Arial" w:hAnsi="Arial"/>
                <w:sz w:val="14"/>
                <w:szCs w:val="14"/>
                <w:color w:val="auto"/>
                <w:w w:val="92"/>
              </w:rPr>
              <w:t>San Francisco, CA</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9"/>
        </w:trPr>
        <w:tc>
          <w:tcPr>
            <w:tcW w:w="40" w:type="dxa"/>
            <w:vAlign w:val="bottom"/>
          </w:tcPr>
          <w:p>
            <w:pPr>
              <w:spacing w:after="0"/>
              <w:rPr>
                <w:sz w:val="24"/>
                <w:szCs w:val="24"/>
                <w:color w:val="auto"/>
              </w:rPr>
            </w:pPr>
          </w:p>
        </w:tc>
        <w:tc>
          <w:tcPr>
            <w:tcW w:w="3160" w:type="dxa"/>
            <w:vAlign w:val="bottom"/>
            <w:gridSpan w:val="12"/>
          </w:tcPr>
          <w:p>
            <w:pPr>
              <w:spacing w:after="0"/>
              <w:rPr>
                <w:sz w:val="20"/>
                <w:szCs w:val="20"/>
                <w:color w:val="auto"/>
              </w:rPr>
            </w:pPr>
            <w:r>
              <w:rPr>
                <w:rFonts w:ascii="Arial" w:cs="Arial" w:eastAsia="Arial" w:hAnsi="Arial"/>
                <w:sz w:val="14"/>
                <w:szCs w:val="14"/>
                <w:color w:val="auto"/>
              </w:rPr>
              <w:t>Common shares</w:t>
            </w:r>
            <w:r>
              <w:rPr>
                <w:rFonts w:ascii="Arial" w:cs="Arial" w:eastAsia="Arial" w:hAnsi="Arial"/>
                <w:sz w:val="8"/>
                <w:szCs w:val="8"/>
                <w:color w:val="auto"/>
              </w:rPr>
              <w:t>(3)(8)</w:t>
            </w:r>
          </w:p>
        </w:tc>
        <w:tc>
          <w:tcPr>
            <w:tcW w:w="14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4"/>
                <w:szCs w:val="14"/>
                <w:color w:val="auto"/>
                <w:w w:val="94"/>
              </w:rPr>
              <w:t>Cloud Computing Services</w:t>
            </w:r>
          </w:p>
        </w:tc>
        <w:tc>
          <w:tcPr>
            <w:tcW w:w="0" w:type="dxa"/>
            <w:vAlign w:val="bottom"/>
          </w:tcPr>
          <w:p>
            <w:pPr>
              <w:spacing w:after="0"/>
              <w:rPr>
                <w:sz w:val="1"/>
                <w:szCs w:val="1"/>
                <w:color w:val="auto"/>
              </w:rPr>
            </w:pPr>
          </w:p>
        </w:tc>
      </w:tr>
      <w:tr>
        <w:trPr>
          <w:trHeight w:val="242"/>
        </w:trPr>
        <w:tc>
          <w:tcPr>
            <w:tcW w:w="40" w:type="dxa"/>
            <w:vAlign w:val="bottom"/>
          </w:tcPr>
          <w:p>
            <w:pPr>
              <w:spacing w:after="0"/>
              <w:rPr>
                <w:sz w:val="21"/>
                <w:szCs w:val="21"/>
                <w:color w:val="auto"/>
              </w:rPr>
            </w:pPr>
          </w:p>
        </w:tc>
        <w:tc>
          <w:tcPr>
            <w:tcW w:w="88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2"/>
              </w:rPr>
              <w:t>Coursera, Inc.</w:t>
            </w:r>
          </w:p>
        </w:tc>
        <w:tc>
          <w:tcPr>
            <w:tcW w:w="2280" w:type="dxa"/>
            <w:vAlign w:val="bottom"/>
            <w:gridSpan w:val="8"/>
          </w:tcPr>
          <w:p>
            <w:pPr>
              <w:spacing w:after="0"/>
              <w:rPr>
                <w:sz w:val="21"/>
                <w:szCs w:val="21"/>
                <w:color w:val="auto"/>
              </w:rPr>
            </w:pPr>
          </w:p>
        </w:tc>
        <w:tc>
          <w:tcPr>
            <w:tcW w:w="140" w:type="dxa"/>
            <w:vAlign w:val="bottom"/>
          </w:tcPr>
          <w:p>
            <w:pPr>
              <w:spacing w:after="0"/>
              <w:rPr>
                <w:sz w:val="21"/>
                <w:szCs w:val="21"/>
                <w:color w:val="auto"/>
              </w:rPr>
            </w:pPr>
          </w:p>
        </w:tc>
        <w:tc>
          <w:tcPr>
            <w:tcW w:w="2620" w:type="dxa"/>
            <w:vAlign w:val="bottom"/>
          </w:tcPr>
          <w:p>
            <w:pPr>
              <w:jc w:val="center"/>
              <w:spacing w:after="0"/>
              <w:rPr>
                <w:sz w:val="20"/>
                <w:szCs w:val="20"/>
                <w:color w:val="auto"/>
              </w:rPr>
            </w:pPr>
            <w:r>
              <w:rPr>
                <w:rFonts w:ascii="Arial" w:cs="Arial" w:eastAsia="Arial" w:hAnsi="Arial"/>
                <w:sz w:val="14"/>
                <w:szCs w:val="14"/>
                <w:color w:val="auto"/>
                <w:w w:val="97"/>
              </w:rPr>
              <w:t>Mountain View, CA</w:t>
            </w: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3160" w:type="dxa"/>
            <w:vAlign w:val="bottom"/>
            <w:gridSpan w:val="12"/>
          </w:tcPr>
          <w:p>
            <w:pPr>
              <w:spacing w:after="0"/>
              <w:rPr>
                <w:sz w:val="20"/>
                <w:szCs w:val="20"/>
                <w:color w:val="auto"/>
              </w:rPr>
            </w:pPr>
            <w:r>
              <w:rPr>
                <w:rFonts w:ascii="Arial" w:cs="Arial" w:eastAsia="Arial" w:hAnsi="Arial"/>
                <w:sz w:val="14"/>
                <w:szCs w:val="14"/>
                <w:color w:val="auto"/>
              </w:rPr>
              <w:t>Preferred shares, Series B</w:t>
            </w:r>
          </w:p>
        </w:tc>
        <w:tc>
          <w:tcPr>
            <w:tcW w:w="14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4"/>
                <w:szCs w:val="14"/>
                <w:color w:val="auto"/>
                <w:w w:val="95"/>
              </w:rPr>
              <w:t>Online Education</w:t>
            </w:r>
          </w:p>
        </w:tc>
        <w:tc>
          <w:tcPr>
            <w:tcW w:w="0" w:type="dxa"/>
            <w:vAlign w:val="bottom"/>
          </w:tcPr>
          <w:p>
            <w:pPr>
              <w:spacing w:after="0"/>
              <w:rPr>
                <w:sz w:val="1"/>
                <w:szCs w:val="1"/>
                <w:color w:val="auto"/>
              </w:rPr>
            </w:pPr>
          </w:p>
        </w:tc>
      </w:tr>
      <w:tr>
        <w:trPr>
          <w:trHeight w:val="242"/>
        </w:trPr>
        <w:tc>
          <w:tcPr>
            <w:tcW w:w="40" w:type="dxa"/>
            <w:vAlign w:val="bottom"/>
          </w:tcPr>
          <w:p>
            <w:pPr>
              <w:spacing w:after="0"/>
              <w:rPr>
                <w:sz w:val="21"/>
                <w:szCs w:val="21"/>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Lyft, Inc.</w:t>
            </w:r>
          </w:p>
        </w:tc>
        <w:tc>
          <w:tcPr>
            <w:tcW w:w="2600" w:type="dxa"/>
            <w:vAlign w:val="bottom"/>
            <w:gridSpan w:val="11"/>
          </w:tcPr>
          <w:p>
            <w:pPr>
              <w:spacing w:after="0"/>
              <w:rPr>
                <w:sz w:val="21"/>
                <w:szCs w:val="21"/>
                <w:color w:val="auto"/>
              </w:rPr>
            </w:pPr>
          </w:p>
        </w:tc>
        <w:tc>
          <w:tcPr>
            <w:tcW w:w="140" w:type="dxa"/>
            <w:vAlign w:val="bottom"/>
          </w:tcPr>
          <w:p>
            <w:pPr>
              <w:spacing w:after="0"/>
              <w:rPr>
                <w:sz w:val="21"/>
                <w:szCs w:val="21"/>
                <w:color w:val="auto"/>
              </w:rPr>
            </w:pPr>
          </w:p>
        </w:tc>
        <w:tc>
          <w:tcPr>
            <w:tcW w:w="2620" w:type="dxa"/>
            <w:vAlign w:val="bottom"/>
          </w:tcPr>
          <w:p>
            <w:pPr>
              <w:jc w:val="center"/>
              <w:spacing w:after="0"/>
              <w:rPr>
                <w:sz w:val="20"/>
                <w:szCs w:val="20"/>
                <w:color w:val="auto"/>
              </w:rPr>
            </w:pPr>
            <w:r>
              <w:rPr>
                <w:rFonts w:ascii="Arial" w:cs="Arial" w:eastAsia="Arial" w:hAnsi="Arial"/>
                <w:sz w:val="14"/>
                <w:szCs w:val="14"/>
                <w:color w:val="auto"/>
                <w:w w:val="92"/>
              </w:rPr>
              <w:t>San Francisco, CA</w:t>
            </w: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3160" w:type="dxa"/>
            <w:vAlign w:val="bottom"/>
            <w:gridSpan w:val="12"/>
          </w:tcPr>
          <w:p>
            <w:pPr>
              <w:spacing w:after="0"/>
              <w:rPr>
                <w:sz w:val="20"/>
                <w:szCs w:val="20"/>
                <w:color w:val="auto"/>
              </w:rPr>
            </w:pPr>
            <w:r>
              <w:rPr>
                <w:rFonts w:ascii="Arial" w:cs="Arial" w:eastAsia="Arial" w:hAnsi="Arial"/>
                <w:sz w:val="14"/>
                <w:szCs w:val="14"/>
                <w:color w:val="auto"/>
              </w:rPr>
              <w:t>Preferred shares, Series E</w:t>
            </w:r>
          </w:p>
        </w:tc>
        <w:tc>
          <w:tcPr>
            <w:tcW w:w="14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4"/>
                <w:szCs w:val="14"/>
                <w:color w:val="auto"/>
                <w:w w:val="92"/>
              </w:rPr>
              <w:t>On-Demand Transportation Services</w:t>
            </w: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3160" w:type="dxa"/>
            <w:vAlign w:val="bottom"/>
            <w:gridSpan w:val="12"/>
          </w:tcPr>
          <w:p>
            <w:pPr>
              <w:spacing w:after="0"/>
              <w:rPr>
                <w:sz w:val="20"/>
                <w:szCs w:val="20"/>
                <w:color w:val="auto"/>
              </w:rPr>
            </w:pPr>
            <w:r>
              <w:rPr>
                <w:rFonts w:ascii="Arial" w:cs="Arial" w:eastAsia="Arial" w:hAnsi="Arial"/>
                <w:sz w:val="14"/>
                <w:szCs w:val="14"/>
                <w:color w:val="auto"/>
              </w:rPr>
              <w:t>Preferred shares, Series D</w:t>
            </w:r>
          </w:p>
        </w:tc>
        <w:tc>
          <w:tcPr>
            <w:tcW w:w="1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0" w:type="dxa"/>
            <w:vAlign w:val="bottom"/>
            <w:tcBorders>
              <w:bottom w:val="single" w:sz="8" w:color="CCEEFF"/>
            </w:tcBorders>
            <w:shd w:val="clear" w:color="auto" w:fill="CCEEFF"/>
          </w:tcPr>
          <w:p>
            <w:pPr>
              <w:spacing w:after="0"/>
              <w:rPr>
                <w:sz w:val="24"/>
                <w:szCs w:val="24"/>
                <w:color w:val="auto"/>
              </w:rPr>
            </w:pPr>
          </w:p>
        </w:tc>
        <w:tc>
          <w:tcPr>
            <w:tcW w:w="3160" w:type="dxa"/>
            <w:vAlign w:val="bottom"/>
            <w:tcBorders>
              <w:bottom w:val="single" w:sz="8" w:color="CCEEFF"/>
            </w:tcBorders>
            <w:gridSpan w:val="12"/>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140" w:type="dxa"/>
            <w:vAlign w:val="bottom"/>
            <w:tcBorders>
              <w:bottom w:val="single" w:sz="8" w:color="CCEEFF"/>
            </w:tcBorders>
          </w:tcPr>
          <w:p>
            <w:pPr>
              <w:spacing w:after="0"/>
              <w:rPr>
                <w:sz w:val="24"/>
                <w:szCs w:val="24"/>
                <w:color w:val="auto"/>
              </w:rPr>
            </w:pPr>
          </w:p>
        </w:tc>
        <w:tc>
          <w:tcPr>
            <w:tcW w:w="262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160" w:type="dxa"/>
            <w:vAlign w:val="bottom"/>
            <w:gridSpan w:val="12"/>
          </w:tcPr>
          <w:p>
            <w:pPr>
              <w:spacing w:after="0"/>
              <w:rPr>
                <w:sz w:val="20"/>
                <w:szCs w:val="20"/>
                <w:color w:val="auto"/>
              </w:rPr>
            </w:pPr>
            <w:r>
              <w:rPr>
                <w:rFonts w:ascii="Arial" w:cs="Arial" w:eastAsia="Arial" w:hAnsi="Arial"/>
                <w:sz w:val="14"/>
                <w:szCs w:val="14"/>
                <w:b w:val="1"/>
                <w:bCs w:val="1"/>
                <w:color w:val="auto"/>
              </w:rPr>
              <w:t>Course Hero, Inc.</w:t>
            </w:r>
          </w:p>
        </w:tc>
        <w:tc>
          <w:tcPr>
            <w:tcW w:w="140" w:type="dxa"/>
            <w:vAlign w:val="bottom"/>
          </w:tcPr>
          <w:p>
            <w:pPr>
              <w:spacing w:after="0"/>
              <w:rPr>
                <w:sz w:val="19"/>
                <w:szCs w:val="19"/>
                <w:color w:val="auto"/>
              </w:rPr>
            </w:pPr>
          </w:p>
        </w:tc>
        <w:tc>
          <w:tcPr>
            <w:tcW w:w="2620" w:type="dxa"/>
            <w:vAlign w:val="bottom"/>
          </w:tcPr>
          <w:p>
            <w:pPr>
              <w:jc w:val="center"/>
              <w:spacing w:after="0"/>
              <w:rPr>
                <w:sz w:val="20"/>
                <w:szCs w:val="20"/>
                <w:color w:val="auto"/>
              </w:rPr>
            </w:pPr>
            <w:r>
              <w:rPr>
                <w:rFonts w:ascii="Arial" w:cs="Arial" w:eastAsia="Arial" w:hAnsi="Arial"/>
                <w:sz w:val="14"/>
                <w:szCs w:val="14"/>
                <w:color w:val="auto"/>
                <w:w w:val="96"/>
              </w:rPr>
              <w:t>Redwood City, CA</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60" w:type="dxa"/>
            <w:vAlign w:val="bottom"/>
            <w:gridSpan w:val="3"/>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9"/>
        </w:trPr>
        <w:tc>
          <w:tcPr>
            <w:tcW w:w="40" w:type="dxa"/>
            <w:vAlign w:val="bottom"/>
          </w:tcPr>
          <w:p>
            <w:pPr>
              <w:spacing w:after="0"/>
              <w:rPr>
                <w:sz w:val="24"/>
                <w:szCs w:val="24"/>
                <w:color w:val="auto"/>
              </w:rPr>
            </w:pPr>
          </w:p>
        </w:tc>
        <w:tc>
          <w:tcPr>
            <w:tcW w:w="3160" w:type="dxa"/>
            <w:vAlign w:val="bottom"/>
            <w:gridSpan w:val="12"/>
          </w:tcPr>
          <w:p>
            <w:pPr>
              <w:spacing w:after="0"/>
              <w:rPr>
                <w:sz w:val="20"/>
                <w:szCs w:val="20"/>
                <w:color w:val="auto"/>
              </w:rPr>
            </w:pPr>
            <w:r>
              <w:rPr>
                <w:rFonts w:ascii="Arial" w:cs="Arial" w:eastAsia="Arial" w:hAnsi="Arial"/>
                <w:sz w:val="14"/>
                <w:szCs w:val="14"/>
                <w:color w:val="auto"/>
              </w:rPr>
              <w:t>Preferred shares, Series A</w:t>
            </w:r>
          </w:p>
        </w:tc>
        <w:tc>
          <w:tcPr>
            <w:tcW w:w="14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4"/>
                <w:szCs w:val="14"/>
                <w:color w:val="auto"/>
                <w:w w:val="95"/>
              </w:rPr>
              <w:t>Online Education</w:t>
            </w:r>
          </w:p>
        </w:tc>
        <w:tc>
          <w:tcPr>
            <w:tcW w:w="0" w:type="dxa"/>
            <w:vAlign w:val="bottom"/>
          </w:tcPr>
          <w:p>
            <w:pPr>
              <w:spacing w:after="0"/>
              <w:rPr>
                <w:sz w:val="1"/>
                <w:szCs w:val="1"/>
                <w:color w:val="auto"/>
              </w:rPr>
            </w:pPr>
          </w:p>
        </w:tc>
      </w:tr>
      <w:tr>
        <w:trPr>
          <w:trHeight w:val="242"/>
        </w:trPr>
        <w:tc>
          <w:tcPr>
            <w:tcW w:w="40" w:type="dxa"/>
            <w:vAlign w:val="bottom"/>
          </w:tcPr>
          <w:p>
            <w:pPr>
              <w:spacing w:after="0"/>
              <w:rPr>
                <w:sz w:val="21"/>
                <w:szCs w:val="21"/>
                <w:color w:val="auto"/>
              </w:rPr>
            </w:pPr>
          </w:p>
        </w:tc>
        <w:tc>
          <w:tcPr>
            <w:tcW w:w="3160" w:type="dxa"/>
            <w:vAlign w:val="bottom"/>
            <w:gridSpan w:val="12"/>
          </w:tcPr>
          <w:p>
            <w:pPr>
              <w:spacing w:after="0"/>
              <w:rPr>
                <w:sz w:val="20"/>
                <w:szCs w:val="20"/>
                <w:color w:val="auto"/>
              </w:rPr>
            </w:pPr>
            <w:r>
              <w:rPr>
                <w:rFonts w:ascii="Arial" w:cs="Arial" w:eastAsia="Arial" w:hAnsi="Arial"/>
                <w:sz w:val="14"/>
                <w:szCs w:val="14"/>
                <w:b w:val="1"/>
                <w:bCs w:val="1"/>
                <w:color w:val="auto"/>
              </w:rPr>
              <w:t>Nextdoor.com, Inc.</w:t>
            </w:r>
          </w:p>
        </w:tc>
        <w:tc>
          <w:tcPr>
            <w:tcW w:w="140" w:type="dxa"/>
            <w:vAlign w:val="bottom"/>
          </w:tcPr>
          <w:p>
            <w:pPr>
              <w:spacing w:after="0"/>
              <w:rPr>
                <w:sz w:val="21"/>
                <w:szCs w:val="21"/>
                <w:color w:val="auto"/>
              </w:rPr>
            </w:pPr>
          </w:p>
        </w:tc>
        <w:tc>
          <w:tcPr>
            <w:tcW w:w="2620" w:type="dxa"/>
            <w:vAlign w:val="bottom"/>
          </w:tcPr>
          <w:p>
            <w:pPr>
              <w:jc w:val="center"/>
              <w:spacing w:after="0"/>
              <w:rPr>
                <w:sz w:val="20"/>
                <w:szCs w:val="20"/>
                <w:color w:val="auto"/>
              </w:rPr>
            </w:pPr>
            <w:r>
              <w:rPr>
                <w:rFonts w:ascii="Arial" w:cs="Arial" w:eastAsia="Arial" w:hAnsi="Arial"/>
                <w:sz w:val="14"/>
                <w:szCs w:val="14"/>
                <w:color w:val="auto"/>
                <w:w w:val="92"/>
              </w:rPr>
              <w:t>San Francisco, CA</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3160" w:type="dxa"/>
            <w:vAlign w:val="bottom"/>
            <w:tcBorders>
              <w:bottom w:val="single" w:sz="8" w:color="CCEEFF"/>
            </w:tcBorders>
            <w:gridSpan w:val="12"/>
            <w:shd w:val="clear" w:color="auto" w:fill="CCEEFF"/>
          </w:tcPr>
          <w:p>
            <w:pPr>
              <w:spacing w:after="0"/>
              <w:rPr>
                <w:sz w:val="20"/>
                <w:szCs w:val="20"/>
                <w:color w:val="auto"/>
              </w:rPr>
            </w:pPr>
            <w:r>
              <w:rPr>
                <w:rFonts w:ascii="Arial" w:cs="Arial" w:eastAsia="Arial" w:hAnsi="Arial"/>
                <w:sz w:val="14"/>
                <w:szCs w:val="14"/>
                <w:color w:val="auto"/>
              </w:rPr>
              <w:t>Common shares</w:t>
            </w:r>
          </w:p>
        </w:tc>
        <w:tc>
          <w:tcPr>
            <w:tcW w:w="140" w:type="dxa"/>
            <w:vAlign w:val="bottom"/>
            <w:tcBorders>
              <w:bottom w:val="single" w:sz="8" w:color="CCEEFF"/>
            </w:tcBorders>
          </w:tcPr>
          <w:p>
            <w:pPr>
              <w:spacing w:after="0"/>
              <w:rPr>
                <w:sz w:val="22"/>
                <w:szCs w:val="22"/>
                <w:color w:val="auto"/>
              </w:rPr>
            </w:pPr>
          </w:p>
        </w:tc>
        <w:tc>
          <w:tcPr>
            <w:tcW w:w="262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6"/>
              </w:rPr>
              <w:t>Social Networking</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98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92"/>
              </w:rPr>
              <w:t>Parchment, Inc.</w:t>
            </w:r>
          </w:p>
        </w:tc>
        <w:tc>
          <w:tcPr>
            <w:tcW w:w="2180" w:type="dxa"/>
            <w:vAlign w:val="bottom"/>
            <w:gridSpan w:val="7"/>
          </w:tcPr>
          <w:p>
            <w:pPr>
              <w:spacing w:after="0"/>
              <w:rPr>
                <w:sz w:val="19"/>
                <w:szCs w:val="19"/>
                <w:color w:val="auto"/>
              </w:rPr>
            </w:pPr>
          </w:p>
        </w:tc>
        <w:tc>
          <w:tcPr>
            <w:tcW w:w="140" w:type="dxa"/>
            <w:vAlign w:val="bottom"/>
          </w:tcPr>
          <w:p>
            <w:pPr>
              <w:spacing w:after="0"/>
              <w:rPr>
                <w:sz w:val="19"/>
                <w:szCs w:val="19"/>
                <w:color w:val="auto"/>
              </w:rPr>
            </w:pPr>
          </w:p>
        </w:tc>
        <w:tc>
          <w:tcPr>
            <w:tcW w:w="2620" w:type="dxa"/>
            <w:vAlign w:val="bottom"/>
          </w:tcPr>
          <w:p>
            <w:pPr>
              <w:jc w:val="center"/>
              <w:spacing w:after="0"/>
              <w:rPr>
                <w:sz w:val="20"/>
                <w:szCs w:val="20"/>
                <w:color w:val="auto"/>
              </w:rPr>
            </w:pPr>
            <w:r>
              <w:rPr>
                <w:rFonts w:ascii="Arial" w:cs="Arial" w:eastAsia="Arial" w:hAnsi="Arial"/>
                <w:sz w:val="14"/>
                <w:szCs w:val="14"/>
                <w:color w:val="auto"/>
                <w:w w:val="94"/>
              </w:rPr>
              <w:t>Scottsdale, AZ</w:t>
            </w: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3160" w:type="dxa"/>
            <w:vAlign w:val="bottom"/>
            <w:gridSpan w:val="12"/>
          </w:tcPr>
          <w:p>
            <w:pPr>
              <w:spacing w:after="0"/>
              <w:rPr>
                <w:sz w:val="20"/>
                <w:szCs w:val="20"/>
                <w:color w:val="auto"/>
              </w:rPr>
            </w:pPr>
            <w:r>
              <w:rPr>
                <w:rFonts w:ascii="Arial" w:cs="Arial" w:eastAsia="Arial" w:hAnsi="Arial"/>
                <w:sz w:val="14"/>
                <w:szCs w:val="14"/>
                <w:color w:val="auto"/>
              </w:rPr>
              <w:t>Preferred shares, Series D 8%</w:t>
            </w:r>
          </w:p>
        </w:tc>
        <w:tc>
          <w:tcPr>
            <w:tcW w:w="14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4"/>
                <w:szCs w:val="14"/>
                <w:color w:val="auto"/>
                <w:w w:val="92"/>
              </w:rPr>
              <w:t>E-Transcript Exchange</w:t>
            </w:r>
          </w:p>
        </w:tc>
        <w:tc>
          <w:tcPr>
            <w:tcW w:w="0" w:type="dxa"/>
            <w:vAlign w:val="bottom"/>
          </w:tcPr>
          <w:p>
            <w:pPr>
              <w:spacing w:after="0"/>
              <w:rPr>
                <w:sz w:val="1"/>
                <w:szCs w:val="1"/>
                <w:color w:val="auto"/>
              </w:rPr>
            </w:pPr>
          </w:p>
        </w:tc>
      </w:tr>
      <w:tr>
        <w:trPr>
          <w:trHeight w:val="242"/>
        </w:trPr>
        <w:tc>
          <w:tcPr>
            <w:tcW w:w="40" w:type="dxa"/>
            <w:vAlign w:val="bottom"/>
          </w:tcPr>
          <w:p>
            <w:pPr>
              <w:spacing w:after="0"/>
              <w:rPr>
                <w:sz w:val="21"/>
                <w:szCs w:val="21"/>
                <w:color w:val="auto"/>
              </w:rPr>
            </w:pPr>
          </w:p>
        </w:tc>
        <w:tc>
          <w:tcPr>
            <w:tcW w:w="1400" w:type="dxa"/>
            <w:vAlign w:val="bottom"/>
            <w:tcBorders>
              <w:bottom w:val="single" w:sz="8" w:color="auto"/>
            </w:tcBorders>
            <w:gridSpan w:val="8"/>
          </w:tcPr>
          <w:p>
            <w:pPr>
              <w:spacing w:after="0"/>
              <w:rPr>
                <w:sz w:val="20"/>
                <w:szCs w:val="20"/>
                <w:color w:val="auto"/>
              </w:rPr>
            </w:pPr>
            <w:r>
              <w:rPr>
                <w:rFonts w:ascii="Arial" w:cs="Arial" w:eastAsia="Arial" w:hAnsi="Arial"/>
                <w:sz w:val="14"/>
                <w:szCs w:val="14"/>
                <w:b w:val="1"/>
                <w:bCs w:val="1"/>
                <w:color w:val="auto"/>
                <w:w w:val="90"/>
              </w:rPr>
              <w:t>Enjoy Technology, Inc.</w:t>
            </w:r>
          </w:p>
        </w:tc>
        <w:tc>
          <w:tcPr>
            <w:tcW w:w="1760" w:type="dxa"/>
            <w:vAlign w:val="bottom"/>
            <w:gridSpan w:val="4"/>
          </w:tcPr>
          <w:p>
            <w:pPr>
              <w:spacing w:after="0"/>
              <w:rPr>
                <w:sz w:val="21"/>
                <w:szCs w:val="21"/>
                <w:color w:val="auto"/>
              </w:rPr>
            </w:pPr>
          </w:p>
        </w:tc>
        <w:tc>
          <w:tcPr>
            <w:tcW w:w="140" w:type="dxa"/>
            <w:vAlign w:val="bottom"/>
          </w:tcPr>
          <w:p>
            <w:pPr>
              <w:spacing w:after="0"/>
              <w:rPr>
                <w:sz w:val="21"/>
                <w:szCs w:val="21"/>
                <w:color w:val="auto"/>
              </w:rPr>
            </w:pPr>
          </w:p>
        </w:tc>
        <w:tc>
          <w:tcPr>
            <w:tcW w:w="2620" w:type="dxa"/>
            <w:vAlign w:val="bottom"/>
          </w:tcPr>
          <w:p>
            <w:pPr>
              <w:jc w:val="center"/>
              <w:spacing w:after="0"/>
              <w:rPr>
                <w:sz w:val="20"/>
                <w:szCs w:val="20"/>
                <w:color w:val="auto"/>
              </w:rPr>
            </w:pPr>
            <w:r>
              <w:rPr>
                <w:rFonts w:ascii="Arial" w:cs="Arial" w:eastAsia="Arial" w:hAnsi="Arial"/>
                <w:sz w:val="14"/>
                <w:szCs w:val="14"/>
                <w:color w:val="auto"/>
                <w:w w:val="95"/>
              </w:rPr>
              <w:t>Menlo Park, CA</w:t>
            </w: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3160" w:type="dxa"/>
            <w:vAlign w:val="bottom"/>
            <w:gridSpan w:val="12"/>
          </w:tcPr>
          <w:p>
            <w:pPr>
              <w:spacing w:after="0"/>
              <w:rPr>
                <w:sz w:val="20"/>
                <w:szCs w:val="20"/>
                <w:color w:val="auto"/>
              </w:rPr>
            </w:pPr>
            <w:r>
              <w:rPr>
                <w:rFonts w:ascii="Arial" w:cs="Arial" w:eastAsia="Arial" w:hAnsi="Arial"/>
                <w:sz w:val="14"/>
                <w:szCs w:val="14"/>
                <w:color w:val="auto"/>
              </w:rPr>
              <w:t>Preferred shares, Series B</w:t>
            </w:r>
          </w:p>
        </w:tc>
        <w:tc>
          <w:tcPr>
            <w:tcW w:w="14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4"/>
                <w:szCs w:val="14"/>
                <w:color w:val="auto"/>
                <w:w w:val="92"/>
              </w:rPr>
              <w:t>On-Demand Commerce</w:t>
            </w: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3160" w:type="dxa"/>
            <w:vAlign w:val="bottom"/>
            <w:gridSpan w:val="12"/>
          </w:tcPr>
          <w:p>
            <w:pPr>
              <w:spacing w:after="0"/>
              <w:rPr>
                <w:sz w:val="20"/>
                <w:szCs w:val="20"/>
                <w:color w:val="auto"/>
              </w:rPr>
            </w:pPr>
            <w:r>
              <w:rPr>
                <w:rFonts w:ascii="Arial" w:cs="Arial" w:eastAsia="Arial" w:hAnsi="Arial"/>
                <w:sz w:val="14"/>
                <w:szCs w:val="14"/>
                <w:color w:val="auto"/>
              </w:rPr>
              <w:t>Preferred shares, Series A</w:t>
            </w:r>
          </w:p>
        </w:tc>
        <w:tc>
          <w:tcPr>
            <w:tcW w:w="1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0" w:type="dxa"/>
            <w:vAlign w:val="bottom"/>
            <w:tcBorders>
              <w:bottom w:val="single" w:sz="8" w:color="CCEEFF"/>
            </w:tcBorders>
            <w:shd w:val="clear" w:color="auto" w:fill="CCEEFF"/>
          </w:tcPr>
          <w:p>
            <w:pPr>
              <w:spacing w:after="0"/>
              <w:rPr>
                <w:sz w:val="24"/>
                <w:szCs w:val="24"/>
                <w:color w:val="auto"/>
              </w:rPr>
            </w:pPr>
          </w:p>
        </w:tc>
        <w:tc>
          <w:tcPr>
            <w:tcW w:w="3160" w:type="dxa"/>
            <w:vAlign w:val="bottom"/>
            <w:tcBorders>
              <w:bottom w:val="single" w:sz="8" w:color="CCEEFF"/>
            </w:tcBorders>
            <w:gridSpan w:val="12"/>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140" w:type="dxa"/>
            <w:vAlign w:val="bottom"/>
          </w:tcPr>
          <w:p>
            <w:pPr>
              <w:spacing w:after="0"/>
              <w:rPr>
                <w:sz w:val="24"/>
                <w:szCs w:val="24"/>
                <w:color w:val="auto"/>
              </w:rPr>
            </w:pPr>
          </w:p>
        </w:tc>
        <w:tc>
          <w:tcPr>
            <w:tcW w:w="262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740" w:type="dxa"/>
            <w:vAlign w:val="bottom"/>
            <w:tcBorders>
              <w:bottom w:val="single" w:sz="8" w:color="auto"/>
            </w:tcBorders>
            <w:gridSpan w:val="11"/>
          </w:tcPr>
          <w:p>
            <w:pPr>
              <w:spacing w:after="0"/>
              <w:rPr>
                <w:sz w:val="20"/>
                <w:szCs w:val="20"/>
                <w:color w:val="auto"/>
              </w:rPr>
            </w:pPr>
            <w:r>
              <w:rPr>
                <w:rFonts w:ascii="Arial" w:cs="Arial" w:eastAsia="Arial" w:hAnsi="Arial"/>
                <w:sz w:val="14"/>
                <w:szCs w:val="14"/>
                <w:b w:val="1"/>
                <w:bCs w:val="1"/>
                <w:color w:val="auto"/>
                <w:w w:val="93"/>
              </w:rPr>
              <w:t>A Place for Rover Inc. (f/k/a DogVacay, Inc.)</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20" w:type="dxa"/>
            <w:vAlign w:val="bottom"/>
          </w:tcPr>
          <w:p>
            <w:pPr>
              <w:jc w:val="center"/>
              <w:spacing w:after="0"/>
              <w:rPr>
                <w:sz w:val="20"/>
                <w:szCs w:val="20"/>
                <w:color w:val="auto"/>
              </w:rPr>
            </w:pPr>
            <w:r>
              <w:rPr>
                <w:rFonts w:ascii="Arial" w:cs="Arial" w:eastAsia="Arial" w:hAnsi="Arial"/>
                <w:sz w:val="14"/>
                <w:szCs w:val="14"/>
                <w:color w:val="auto"/>
                <w:w w:val="94"/>
              </w:rPr>
              <w:t>Seattle, WA</w:t>
            </w: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3160" w:type="dxa"/>
            <w:vAlign w:val="bottom"/>
            <w:gridSpan w:val="12"/>
          </w:tcPr>
          <w:p>
            <w:pPr>
              <w:spacing w:after="0"/>
              <w:rPr>
                <w:sz w:val="20"/>
                <w:szCs w:val="20"/>
                <w:color w:val="auto"/>
              </w:rPr>
            </w:pPr>
            <w:r>
              <w:rPr>
                <w:rFonts w:ascii="Arial" w:cs="Arial" w:eastAsia="Arial" w:hAnsi="Arial"/>
                <w:sz w:val="14"/>
                <w:szCs w:val="14"/>
                <w:color w:val="auto"/>
              </w:rPr>
              <w:t>Common shares</w:t>
            </w:r>
          </w:p>
        </w:tc>
        <w:tc>
          <w:tcPr>
            <w:tcW w:w="14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4"/>
                <w:szCs w:val="14"/>
                <w:color w:val="auto"/>
                <w:w w:val="89"/>
              </w:rPr>
              <w:t>Peer-to-Peer Pet Services</w:t>
            </w:r>
          </w:p>
        </w:tc>
        <w:tc>
          <w:tcPr>
            <w:tcW w:w="0" w:type="dxa"/>
            <w:vAlign w:val="bottom"/>
          </w:tcPr>
          <w:p>
            <w:pPr>
              <w:spacing w:after="0"/>
              <w:rPr>
                <w:sz w:val="1"/>
                <w:szCs w:val="1"/>
                <w:color w:val="auto"/>
              </w:rPr>
            </w:pPr>
          </w:p>
        </w:tc>
      </w:tr>
      <w:tr>
        <w:trPr>
          <w:trHeight w:val="242"/>
        </w:trPr>
        <w:tc>
          <w:tcPr>
            <w:tcW w:w="40" w:type="dxa"/>
            <w:vAlign w:val="bottom"/>
          </w:tcPr>
          <w:p>
            <w:pPr>
              <w:spacing w:after="0"/>
              <w:rPr>
                <w:sz w:val="21"/>
                <w:szCs w:val="21"/>
                <w:color w:val="auto"/>
              </w:rPr>
            </w:pPr>
          </w:p>
        </w:tc>
        <w:tc>
          <w:tcPr>
            <w:tcW w:w="3160" w:type="dxa"/>
            <w:vAlign w:val="bottom"/>
            <w:gridSpan w:val="12"/>
          </w:tcPr>
          <w:p>
            <w:pPr>
              <w:spacing w:after="0"/>
              <w:rPr>
                <w:sz w:val="20"/>
                <w:szCs w:val="20"/>
                <w:color w:val="auto"/>
              </w:rPr>
            </w:pPr>
            <w:r>
              <w:rPr>
                <w:rFonts w:ascii="Arial" w:cs="Arial" w:eastAsia="Arial" w:hAnsi="Arial"/>
                <w:sz w:val="14"/>
                <w:szCs w:val="14"/>
                <w:b w:val="1"/>
                <w:bCs w:val="1"/>
                <w:color w:val="auto"/>
              </w:rPr>
              <w:t>Knewton, Inc.</w:t>
            </w:r>
          </w:p>
        </w:tc>
        <w:tc>
          <w:tcPr>
            <w:tcW w:w="140" w:type="dxa"/>
            <w:vAlign w:val="bottom"/>
          </w:tcPr>
          <w:p>
            <w:pPr>
              <w:spacing w:after="0"/>
              <w:rPr>
                <w:sz w:val="21"/>
                <w:szCs w:val="21"/>
                <w:color w:val="auto"/>
              </w:rPr>
            </w:pPr>
          </w:p>
        </w:tc>
        <w:tc>
          <w:tcPr>
            <w:tcW w:w="2620" w:type="dxa"/>
            <w:vAlign w:val="bottom"/>
          </w:tcPr>
          <w:p>
            <w:pPr>
              <w:jc w:val="center"/>
              <w:spacing w:after="0"/>
              <w:rPr>
                <w:sz w:val="20"/>
                <w:szCs w:val="20"/>
                <w:color w:val="auto"/>
              </w:rPr>
            </w:pPr>
            <w:r>
              <w:rPr>
                <w:rFonts w:ascii="Arial" w:cs="Arial" w:eastAsia="Arial" w:hAnsi="Arial"/>
                <w:sz w:val="14"/>
                <w:szCs w:val="14"/>
                <w:color w:val="auto"/>
                <w:w w:val="97"/>
              </w:rPr>
              <w:t>New York, NY</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60" w:type="dxa"/>
            <w:vAlign w:val="bottom"/>
            <w:gridSpan w:val="3"/>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180" w:type="dxa"/>
            <w:vAlign w:val="bottom"/>
            <w:gridSpan w:val="7"/>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9"/>
        </w:trPr>
        <w:tc>
          <w:tcPr>
            <w:tcW w:w="40" w:type="dxa"/>
            <w:vAlign w:val="bottom"/>
          </w:tcPr>
          <w:p>
            <w:pPr>
              <w:spacing w:after="0"/>
              <w:rPr>
                <w:sz w:val="24"/>
                <w:szCs w:val="24"/>
                <w:color w:val="auto"/>
              </w:rPr>
            </w:pPr>
          </w:p>
        </w:tc>
        <w:tc>
          <w:tcPr>
            <w:tcW w:w="3160" w:type="dxa"/>
            <w:vAlign w:val="bottom"/>
            <w:gridSpan w:val="12"/>
          </w:tcPr>
          <w:p>
            <w:pPr>
              <w:spacing w:after="0"/>
              <w:rPr>
                <w:sz w:val="20"/>
                <w:szCs w:val="20"/>
                <w:color w:val="auto"/>
              </w:rPr>
            </w:pPr>
            <w:r>
              <w:rPr>
                <w:rFonts w:ascii="Arial" w:cs="Arial" w:eastAsia="Arial" w:hAnsi="Arial"/>
                <w:sz w:val="14"/>
                <w:szCs w:val="14"/>
                <w:color w:val="auto"/>
              </w:rPr>
              <w:t>Preferred shares, Series E</w:t>
            </w:r>
          </w:p>
        </w:tc>
        <w:tc>
          <w:tcPr>
            <w:tcW w:w="14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4"/>
                <w:szCs w:val="14"/>
                <w:color w:val="auto"/>
                <w:w w:val="95"/>
              </w:rPr>
              <w:t>Online Education</w:t>
            </w: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3160" w:type="dxa"/>
            <w:vAlign w:val="bottom"/>
            <w:gridSpan w:val="12"/>
          </w:tcPr>
          <w:p>
            <w:pPr>
              <w:spacing w:after="0"/>
              <w:rPr>
                <w:sz w:val="20"/>
                <w:szCs w:val="20"/>
                <w:color w:val="auto"/>
              </w:rPr>
            </w:pPr>
            <w:r>
              <w:rPr>
                <w:rFonts w:ascii="Arial" w:cs="Arial" w:eastAsia="Arial" w:hAnsi="Arial"/>
                <w:sz w:val="14"/>
                <w:szCs w:val="14"/>
                <w:color w:val="auto"/>
                <w:w w:val="98"/>
              </w:rPr>
              <w:t>Convertible Promissory Note 8% Due 12/31/2019</w:t>
            </w:r>
            <w:r>
              <w:rPr>
                <w:rFonts w:ascii="Arial" w:cs="Arial" w:eastAsia="Arial" w:hAnsi="Arial"/>
                <w:sz w:val="8"/>
                <w:szCs w:val="8"/>
                <w:color w:val="auto"/>
                <w:w w:val="98"/>
              </w:rPr>
              <w:t>(12)</w:t>
            </w:r>
          </w:p>
        </w:tc>
        <w:tc>
          <w:tcPr>
            <w:tcW w:w="1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0" w:type="dxa"/>
            <w:vAlign w:val="bottom"/>
            <w:tcBorders>
              <w:bottom w:val="single" w:sz="8" w:color="CCEEFF"/>
            </w:tcBorders>
            <w:shd w:val="clear" w:color="auto" w:fill="CCEEFF"/>
          </w:tcPr>
          <w:p>
            <w:pPr>
              <w:spacing w:after="0"/>
              <w:rPr>
                <w:sz w:val="24"/>
                <w:szCs w:val="24"/>
                <w:color w:val="auto"/>
              </w:rPr>
            </w:pPr>
          </w:p>
        </w:tc>
        <w:tc>
          <w:tcPr>
            <w:tcW w:w="3160" w:type="dxa"/>
            <w:vAlign w:val="bottom"/>
            <w:tcBorders>
              <w:bottom w:val="single" w:sz="8" w:color="CCEEFF"/>
            </w:tcBorders>
            <w:gridSpan w:val="12"/>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140" w:type="dxa"/>
            <w:vAlign w:val="bottom"/>
            <w:tcBorders>
              <w:bottom w:val="single" w:sz="8" w:color="CCEEFF"/>
            </w:tcBorders>
          </w:tcPr>
          <w:p>
            <w:pPr>
              <w:spacing w:after="0"/>
              <w:rPr>
                <w:sz w:val="24"/>
                <w:szCs w:val="24"/>
                <w:color w:val="auto"/>
              </w:rPr>
            </w:pP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98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88"/>
              </w:rPr>
              <w:t>SharesPost, Inc.</w:t>
            </w:r>
          </w:p>
        </w:tc>
        <w:tc>
          <w:tcPr>
            <w:tcW w:w="2180" w:type="dxa"/>
            <w:vAlign w:val="bottom"/>
            <w:gridSpan w:val="7"/>
          </w:tcPr>
          <w:p>
            <w:pPr>
              <w:spacing w:after="0"/>
              <w:rPr>
                <w:sz w:val="19"/>
                <w:szCs w:val="19"/>
                <w:color w:val="auto"/>
              </w:rPr>
            </w:pPr>
          </w:p>
        </w:tc>
        <w:tc>
          <w:tcPr>
            <w:tcW w:w="140" w:type="dxa"/>
            <w:vAlign w:val="bottom"/>
          </w:tcPr>
          <w:p>
            <w:pPr>
              <w:spacing w:after="0"/>
              <w:rPr>
                <w:sz w:val="19"/>
                <w:szCs w:val="19"/>
                <w:color w:val="auto"/>
              </w:rPr>
            </w:pPr>
          </w:p>
        </w:tc>
        <w:tc>
          <w:tcPr>
            <w:tcW w:w="2620" w:type="dxa"/>
            <w:vAlign w:val="bottom"/>
          </w:tcPr>
          <w:p>
            <w:pPr>
              <w:jc w:val="center"/>
              <w:spacing w:after="0"/>
              <w:rPr>
                <w:sz w:val="20"/>
                <w:szCs w:val="20"/>
                <w:color w:val="auto"/>
              </w:rPr>
            </w:pPr>
            <w:r>
              <w:rPr>
                <w:rFonts w:ascii="Arial" w:cs="Arial" w:eastAsia="Arial" w:hAnsi="Arial"/>
                <w:sz w:val="14"/>
                <w:szCs w:val="14"/>
                <w:color w:val="auto"/>
                <w:w w:val="92"/>
              </w:rPr>
              <w:t>San Francisco, CA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-5196205</wp:posOffset>
            </wp:positionV>
            <wp:extent cx="7246620" cy="1803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-4844415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-4501515</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-4158615</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-3815715</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-3472815</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-2769235</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-2426335</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-2074545</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-1731645</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-1028700</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-685165</wp:posOffset>
            </wp:positionV>
            <wp:extent cx="72466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-342265</wp:posOffset>
            </wp:positionV>
            <wp:extent cx="7246620" cy="1803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-1388745</wp:posOffset>
            </wp:positionV>
            <wp:extent cx="7246620" cy="1803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-3129280</wp:posOffset>
            </wp:positionV>
            <wp:extent cx="7246620" cy="1803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7"/>
              </w:rPr>
              <w:t>Date of Initial</w:t>
            </w:r>
          </w:p>
        </w:tc>
        <w:tc>
          <w:tcPr>
            <w:tcW w:w="24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Shares/</w:t>
            </w:r>
          </w:p>
        </w:tc>
        <w:tc>
          <w:tcPr>
            <w:tcW w:w="112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Cost</w:t>
            </w:r>
          </w:p>
        </w:tc>
        <w:tc>
          <w:tcPr>
            <w:tcW w:w="11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Fair Value</w:t>
            </w:r>
          </w:p>
        </w:tc>
        <w:tc>
          <w:tcPr>
            <w:tcW w:w="860" w:type="dxa"/>
            <w:vAlign w:val="bottom"/>
          </w:tcPr>
          <w:p>
            <w:pPr>
              <w:jc w:val="right"/>
              <w:ind w:right="68"/>
              <w:spacing w:after="0"/>
              <w:rPr>
                <w:sz w:val="20"/>
                <w:szCs w:val="20"/>
                <w:color w:val="auto"/>
              </w:rPr>
            </w:pPr>
            <w:r>
              <w:rPr>
                <w:rFonts w:ascii="Arial" w:cs="Arial" w:eastAsia="Arial" w:hAnsi="Arial"/>
                <w:sz w:val="14"/>
                <w:szCs w:val="14"/>
                <w:b w:val="1"/>
                <w:bCs w:val="1"/>
                <w:color w:val="auto"/>
              </w:rPr>
              <w:t>% of Net</w:t>
            </w:r>
          </w:p>
        </w:tc>
        <w:tc>
          <w:tcPr>
            <w:tcW w:w="0" w:type="dxa"/>
            <w:vAlign w:val="bottom"/>
          </w:tcPr>
          <w:p>
            <w:pPr>
              <w:spacing w:after="0"/>
              <w:rPr>
                <w:sz w:val="1"/>
                <w:szCs w:val="1"/>
                <w:color w:val="auto"/>
              </w:rPr>
            </w:pPr>
          </w:p>
        </w:tc>
      </w:tr>
      <w:tr>
        <w:trPr>
          <w:trHeight w:val="192"/>
        </w:trPr>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4"/>
              </w:rPr>
              <w:t>Investment</w:t>
            </w:r>
          </w:p>
        </w:tc>
        <w:tc>
          <w:tcPr>
            <w:tcW w:w="240" w:type="dxa"/>
            <w:vAlign w:val="bottom"/>
          </w:tcPr>
          <w:p>
            <w:pPr>
              <w:spacing w:after="0"/>
              <w:rPr>
                <w:sz w:val="16"/>
                <w:szCs w:val="16"/>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Principal</w:t>
            </w:r>
          </w:p>
        </w:tc>
        <w:tc>
          <w:tcPr>
            <w:tcW w:w="112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860" w:type="dxa"/>
            <w:vAlign w:val="bottom"/>
          </w:tcPr>
          <w:p>
            <w:pPr>
              <w:jc w:val="right"/>
              <w:ind w:right="168"/>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798"/>
        </w:trPr>
        <w:tc>
          <w:tcPr>
            <w:tcW w:w="11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1"/>
              </w:rPr>
              <w:t>8/6/2012</w:t>
            </w:r>
          </w:p>
        </w:tc>
        <w:tc>
          <w:tcPr>
            <w:tcW w:w="2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235,360</w:t>
            </w:r>
          </w:p>
        </w:tc>
        <w:tc>
          <w:tcPr>
            <w:tcW w:w="100" w:type="dxa"/>
            <w:vAlign w:val="bottom"/>
          </w:tcPr>
          <w:p>
            <w:pPr>
              <w:spacing w:after="0"/>
              <w:rPr>
                <w:sz w:val="24"/>
                <w:szCs w:val="24"/>
                <w:color w:val="auto"/>
              </w:rPr>
            </w:pPr>
          </w:p>
        </w:tc>
        <w:tc>
          <w:tcPr>
            <w:tcW w:w="10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  10,002,084</w:t>
            </w:r>
          </w:p>
        </w:tc>
        <w:tc>
          <w:tcPr>
            <w:tcW w:w="100" w:type="dxa"/>
            <w:vAlign w:val="bottom"/>
          </w:tcPr>
          <w:p>
            <w:pPr>
              <w:spacing w:after="0"/>
              <w:rPr>
                <w:sz w:val="24"/>
                <w:szCs w:val="24"/>
                <w:color w:val="auto"/>
              </w:rPr>
            </w:pPr>
          </w:p>
        </w:tc>
        <w:tc>
          <w:tcPr>
            <w:tcW w:w="10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  42,560,149</w:t>
            </w:r>
          </w:p>
        </w:tc>
        <w:tc>
          <w:tcPr>
            <w:tcW w:w="100" w:type="dxa"/>
            <w:vAlign w:val="bottom"/>
          </w:tcPr>
          <w:p>
            <w:pPr>
              <w:spacing w:after="0"/>
              <w:rPr>
                <w:sz w:val="24"/>
                <w:szCs w:val="24"/>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19.94%</w:t>
            </w:r>
          </w:p>
        </w:tc>
        <w:tc>
          <w:tcPr>
            <w:tcW w:w="0" w:type="dxa"/>
            <w:vAlign w:val="bottom"/>
          </w:tcPr>
          <w:p>
            <w:pPr>
              <w:spacing w:after="0"/>
              <w:rPr>
                <w:sz w:val="1"/>
                <w:szCs w:val="1"/>
                <w:color w:val="auto"/>
              </w:rPr>
            </w:pPr>
          </w:p>
        </w:tc>
      </w:tr>
      <w:tr>
        <w:trPr>
          <w:trHeight w:val="540"/>
        </w:trPr>
        <w:tc>
          <w:tcPr>
            <w:tcW w:w="1140" w:type="dxa"/>
            <w:vAlign w:val="bottom"/>
          </w:tcPr>
          <w:p>
            <w:pPr>
              <w:jc w:val="center"/>
              <w:spacing w:after="0"/>
              <w:rPr>
                <w:sz w:val="20"/>
                <w:szCs w:val="20"/>
                <w:color w:val="auto"/>
              </w:rPr>
            </w:pPr>
            <w:r>
              <w:rPr>
                <w:rFonts w:ascii="Arial" w:cs="Arial" w:eastAsia="Arial" w:hAnsi="Arial"/>
                <w:sz w:val="14"/>
                <w:szCs w:val="14"/>
                <w:color w:val="auto"/>
                <w:w w:val="91"/>
              </w:rPr>
              <w:t>5/7/2012</w:t>
            </w:r>
          </w:p>
        </w:tc>
        <w:tc>
          <w:tcPr>
            <w:tcW w:w="240" w:type="dxa"/>
            <w:vAlign w:val="bottom"/>
          </w:tcPr>
          <w:p>
            <w:pPr>
              <w:spacing w:after="0"/>
              <w:rPr>
                <w:sz w:val="24"/>
                <w:szCs w:val="24"/>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5,773,690</w:t>
            </w:r>
          </w:p>
        </w:tc>
        <w:tc>
          <w:tcPr>
            <w:tcW w:w="100" w:type="dxa"/>
            <w:vAlign w:val="bottom"/>
          </w:tcPr>
          <w:p>
            <w:pPr>
              <w:spacing w:after="0"/>
              <w:rPr>
                <w:sz w:val="24"/>
                <w:szCs w:val="24"/>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16,189,935</w:t>
            </w:r>
          </w:p>
        </w:tc>
        <w:tc>
          <w:tcPr>
            <w:tcW w:w="100" w:type="dxa"/>
            <w:vAlign w:val="bottom"/>
          </w:tcPr>
          <w:p>
            <w:pPr>
              <w:spacing w:after="0"/>
              <w:rPr>
                <w:sz w:val="24"/>
                <w:szCs w:val="24"/>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35,016,970</w:t>
            </w: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16.41%</w:t>
            </w:r>
          </w:p>
        </w:tc>
        <w:tc>
          <w:tcPr>
            <w:tcW w:w="0" w:type="dxa"/>
            <w:vAlign w:val="bottom"/>
          </w:tcPr>
          <w:p>
            <w:pPr>
              <w:spacing w:after="0"/>
              <w:rPr>
                <w:sz w:val="1"/>
                <w:szCs w:val="1"/>
                <w:color w:val="auto"/>
              </w:rPr>
            </w:pPr>
          </w:p>
        </w:tc>
      </w:tr>
      <w:tr>
        <w:trPr>
          <w:trHeight w:val="540"/>
        </w:trPr>
        <w:tc>
          <w:tcPr>
            <w:tcW w:w="1140" w:type="dxa"/>
            <w:vAlign w:val="bottom"/>
          </w:tcPr>
          <w:p>
            <w:pPr>
              <w:jc w:val="center"/>
              <w:spacing w:after="0"/>
              <w:rPr>
                <w:sz w:val="20"/>
                <w:szCs w:val="20"/>
                <w:color w:val="auto"/>
              </w:rPr>
            </w:pPr>
            <w:r>
              <w:rPr>
                <w:rFonts w:ascii="Arial" w:cs="Arial" w:eastAsia="Arial" w:hAnsi="Arial"/>
                <w:sz w:val="14"/>
                <w:szCs w:val="14"/>
                <w:color w:val="auto"/>
                <w:w w:val="91"/>
              </w:rPr>
              <w:t>11/15/2011</w:t>
            </w:r>
          </w:p>
        </w:tc>
        <w:tc>
          <w:tcPr>
            <w:tcW w:w="240" w:type="dxa"/>
            <w:vAlign w:val="bottom"/>
          </w:tcPr>
          <w:p>
            <w:pPr>
              <w:spacing w:after="0"/>
              <w:rPr>
                <w:sz w:val="24"/>
                <w:szCs w:val="24"/>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874,990</w:t>
            </w:r>
          </w:p>
        </w:tc>
        <w:tc>
          <w:tcPr>
            <w:tcW w:w="100" w:type="dxa"/>
            <w:vAlign w:val="bottom"/>
          </w:tcPr>
          <w:p>
            <w:pPr>
              <w:spacing w:after="0"/>
              <w:rPr>
                <w:sz w:val="24"/>
                <w:szCs w:val="24"/>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13,656,926</w:t>
            </w:r>
          </w:p>
        </w:tc>
        <w:tc>
          <w:tcPr>
            <w:tcW w:w="100" w:type="dxa"/>
            <w:vAlign w:val="bottom"/>
          </w:tcPr>
          <w:p>
            <w:pPr>
              <w:spacing w:after="0"/>
              <w:rPr>
                <w:sz w:val="24"/>
                <w:szCs w:val="24"/>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23,475,982</w:t>
            </w: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11.00%</w:t>
            </w:r>
          </w:p>
        </w:tc>
        <w:tc>
          <w:tcPr>
            <w:tcW w:w="0" w:type="dxa"/>
            <w:vAlign w:val="bottom"/>
          </w:tcPr>
          <w:p>
            <w:pPr>
              <w:spacing w:after="0"/>
              <w:rPr>
                <w:sz w:val="1"/>
                <w:szCs w:val="1"/>
                <w:color w:val="auto"/>
              </w:rPr>
            </w:pPr>
          </w:p>
        </w:tc>
      </w:tr>
      <w:tr>
        <w:trPr>
          <w:trHeight w:val="540"/>
        </w:trPr>
        <w:tc>
          <w:tcPr>
            <w:tcW w:w="1140" w:type="dxa"/>
            <w:vAlign w:val="bottom"/>
          </w:tcPr>
          <w:p>
            <w:pPr>
              <w:jc w:val="center"/>
              <w:spacing w:after="0"/>
              <w:rPr>
                <w:sz w:val="20"/>
                <w:szCs w:val="20"/>
                <w:color w:val="auto"/>
              </w:rPr>
            </w:pPr>
            <w:r>
              <w:rPr>
                <w:rFonts w:ascii="Arial" w:cs="Arial" w:eastAsia="Arial" w:hAnsi="Arial"/>
                <w:sz w:val="14"/>
                <w:szCs w:val="14"/>
                <w:color w:val="auto"/>
                <w:w w:val="91"/>
              </w:rPr>
              <w:t>6/9/2013</w:t>
            </w:r>
          </w:p>
        </w:tc>
        <w:tc>
          <w:tcPr>
            <w:tcW w:w="240" w:type="dxa"/>
            <w:vAlign w:val="bottom"/>
          </w:tcPr>
          <w:p>
            <w:pPr>
              <w:spacing w:after="0"/>
              <w:rPr>
                <w:sz w:val="24"/>
                <w:szCs w:val="24"/>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2,961,399</w:t>
            </w:r>
          </w:p>
        </w:tc>
        <w:tc>
          <w:tcPr>
            <w:tcW w:w="100" w:type="dxa"/>
            <w:vAlign w:val="bottom"/>
          </w:tcPr>
          <w:p>
            <w:pPr>
              <w:spacing w:after="0"/>
              <w:rPr>
                <w:sz w:val="24"/>
                <w:szCs w:val="24"/>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14,519,519</w:t>
            </w:r>
          </w:p>
        </w:tc>
        <w:tc>
          <w:tcPr>
            <w:tcW w:w="100" w:type="dxa"/>
            <w:vAlign w:val="bottom"/>
          </w:tcPr>
          <w:p>
            <w:pPr>
              <w:spacing w:after="0"/>
              <w:rPr>
                <w:sz w:val="24"/>
                <w:szCs w:val="24"/>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20,640,951</w:t>
            </w: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9.67%</w:t>
            </w:r>
          </w:p>
        </w:tc>
        <w:tc>
          <w:tcPr>
            <w:tcW w:w="0" w:type="dxa"/>
            <w:vAlign w:val="bottom"/>
          </w:tcPr>
          <w:p>
            <w:pPr>
              <w:spacing w:after="0"/>
              <w:rPr>
                <w:sz w:val="1"/>
                <w:szCs w:val="1"/>
                <w:color w:val="auto"/>
              </w:rPr>
            </w:pPr>
          </w:p>
        </w:tc>
      </w:tr>
      <w:tr>
        <w:trPr>
          <w:trHeight w:val="540"/>
        </w:trPr>
        <w:tc>
          <w:tcPr>
            <w:tcW w:w="1140" w:type="dxa"/>
            <w:vAlign w:val="bottom"/>
          </w:tcPr>
          <w:p>
            <w:pPr>
              <w:jc w:val="center"/>
              <w:spacing w:after="0"/>
              <w:rPr>
                <w:sz w:val="20"/>
                <w:szCs w:val="20"/>
                <w:color w:val="auto"/>
              </w:rPr>
            </w:pPr>
            <w:r>
              <w:rPr>
                <w:rFonts w:ascii="Arial" w:cs="Arial" w:eastAsia="Arial" w:hAnsi="Arial"/>
                <w:sz w:val="14"/>
                <w:szCs w:val="14"/>
                <w:color w:val="auto"/>
                <w:w w:val="93"/>
              </w:rPr>
              <w:t>3/11/2015</w:t>
            </w:r>
          </w:p>
        </w:tc>
        <w:tc>
          <w:tcPr>
            <w:tcW w:w="240" w:type="dxa"/>
            <w:vAlign w:val="bottom"/>
          </w:tcPr>
          <w:p>
            <w:pPr>
              <w:spacing w:after="0"/>
              <w:rPr>
                <w:sz w:val="24"/>
                <w:szCs w:val="24"/>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128,563</w:t>
            </w:r>
          </w:p>
        </w:tc>
        <w:tc>
          <w:tcPr>
            <w:tcW w:w="100" w:type="dxa"/>
            <w:vAlign w:val="bottom"/>
          </w:tcPr>
          <w:p>
            <w:pPr>
              <w:spacing w:after="0"/>
              <w:rPr>
                <w:sz w:val="24"/>
                <w:szCs w:val="24"/>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2,503,585</w:t>
            </w:r>
          </w:p>
        </w:tc>
        <w:tc>
          <w:tcPr>
            <w:tcW w:w="100" w:type="dxa"/>
            <w:vAlign w:val="bottom"/>
          </w:tcPr>
          <w:p>
            <w:pPr>
              <w:spacing w:after="0"/>
              <w:rPr>
                <w:sz w:val="24"/>
                <w:szCs w:val="24"/>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6,197,686</w:t>
            </w: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2.90%</w:t>
            </w:r>
          </w:p>
        </w:tc>
        <w:tc>
          <w:tcPr>
            <w:tcW w:w="0" w:type="dxa"/>
            <w:vAlign w:val="bottom"/>
          </w:tcPr>
          <w:p>
            <w:pPr>
              <w:spacing w:after="0"/>
              <w:rPr>
                <w:sz w:val="1"/>
                <w:szCs w:val="1"/>
                <w:color w:val="auto"/>
              </w:rPr>
            </w:pPr>
          </w:p>
        </w:tc>
      </w:tr>
      <w:tr>
        <w:trPr>
          <w:trHeight w:val="276"/>
        </w:trPr>
        <w:tc>
          <w:tcPr>
            <w:tcW w:w="1140" w:type="dxa"/>
            <w:vAlign w:val="bottom"/>
          </w:tcPr>
          <w:p>
            <w:pPr>
              <w:jc w:val="center"/>
              <w:spacing w:after="0"/>
              <w:rPr>
                <w:sz w:val="20"/>
                <w:szCs w:val="20"/>
                <w:color w:val="auto"/>
              </w:rPr>
            </w:pPr>
            <w:r>
              <w:rPr>
                <w:rFonts w:ascii="Arial" w:cs="Arial" w:eastAsia="Arial" w:hAnsi="Arial"/>
                <w:sz w:val="14"/>
                <w:szCs w:val="14"/>
                <w:color w:val="auto"/>
                <w:w w:val="93"/>
              </w:rPr>
              <w:t>3/21/2014</w:t>
            </w:r>
          </w:p>
        </w:tc>
        <w:tc>
          <w:tcPr>
            <w:tcW w:w="240" w:type="dxa"/>
            <w:vAlign w:val="bottom"/>
          </w:tcPr>
          <w:p>
            <w:pPr>
              <w:spacing w:after="0"/>
              <w:rPr>
                <w:sz w:val="24"/>
                <w:szCs w:val="24"/>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176,266</w:t>
            </w:r>
          </w:p>
        </w:tc>
        <w:tc>
          <w:tcPr>
            <w:tcW w:w="100" w:type="dxa"/>
            <w:vAlign w:val="bottom"/>
          </w:tcPr>
          <w:p>
            <w:pPr>
              <w:spacing w:after="0"/>
              <w:rPr>
                <w:sz w:val="24"/>
                <w:szCs w:val="24"/>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1,792,749</w:t>
            </w:r>
          </w:p>
        </w:tc>
        <w:tc>
          <w:tcPr>
            <w:tcW w:w="100" w:type="dxa"/>
            <w:vAlign w:val="bottom"/>
          </w:tcPr>
          <w:p>
            <w:pPr>
              <w:spacing w:after="0"/>
              <w:rPr>
                <w:sz w:val="24"/>
                <w:szCs w:val="24"/>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8,497,323</w:t>
            </w:r>
          </w:p>
        </w:tc>
        <w:tc>
          <w:tcPr>
            <w:tcW w:w="100" w:type="dxa"/>
            <w:vAlign w:val="bottom"/>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3.98%</w:t>
            </w:r>
          </w:p>
        </w:tc>
        <w:tc>
          <w:tcPr>
            <w:tcW w:w="0" w:type="dxa"/>
            <w:vAlign w:val="bottom"/>
          </w:tcPr>
          <w:p>
            <w:pPr>
              <w:spacing w:after="0"/>
              <w:rPr>
                <w:sz w:val="1"/>
                <w:szCs w:val="1"/>
                <w:color w:val="auto"/>
              </w:rPr>
            </w:pPr>
          </w:p>
        </w:tc>
      </w:tr>
      <w:tr>
        <w:trPr>
          <w:trHeight w:val="264"/>
        </w:trPr>
        <w:tc>
          <w:tcPr>
            <w:tcW w:w="114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760" w:type="dxa"/>
            <w:vAlign w:val="bottom"/>
            <w:tcBorders>
              <w:bottom w:val="single" w:sz="8" w:color="CCEEFF"/>
            </w:tcBorders>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4,296,334</w:t>
            </w:r>
          </w:p>
        </w:tc>
        <w:tc>
          <w:tcPr>
            <w:tcW w:w="100" w:type="dxa"/>
            <w:vAlign w:val="bottom"/>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14,695,009</w:t>
            </w:r>
          </w:p>
        </w:tc>
        <w:tc>
          <w:tcPr>
            <w:tcW w:w="100" w:type="dxa"/>
            <w:vAlign w:val="bottom"/>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6.88%</w:t>
            </w:r>
          </w:p>
        </w:tc>
        <w:tc>
          <w:tcPr>
            <w:tcW w:w="0" w:type="dxa"/>
            <w:vAlign w:val="bottom"/>
          </w:tcPr>
          <w:p>
            <w:pPr>
              <w:spacing w:after="0"/>
              <w:rPr>
                <w:sz w:val="1"/>
                <w:szCs w:val="1"/>
                <w:color w:val="auto"/>
              </w:rPr>
            </w:pPr>
          </w:p>
        </w:tc>
      </w:tr>
      <w:tr>
        <w:trPr>
          <w:trHeight w:val="528"/>
        </w:trPr>
        <w:tc>
          <w:tcPr>
            <w:tcW w:w="1140" w:type="dxa"/>
            <w:vAlign w:val="bottom"/>
          </w:tcPr>
          <w:p>
            <w:pPr>
              <w:jc w:val="center"/>
              <w:spacing w:after="0"/>
              <w:rPr>
                <w:sz w:val="20"/>
                <w:szCs w:val="20"/>
                <w:color w:val="auto"/>
              </w:rPr>
            </w:pPr>
            <w:r>
              <w:rPr>
                <w:rFonts w:ascii="Arial" w:cs="Arial" w:eastAsia="Arial" w:hAnsi="Arial"/>
                <w:sz w:val="14"/>
                <w:szCs w:val="14"/>
                <w:color w:val="auto"/>
                <w:w w:val="93"/>
              </w:rPr>
              <w:t>9/18/2014</w:t>
            </w:r>
          </w:p>
        </w:tc>
        <w:tc>
          <w:tcPr>
            <w:tcW w:w="240" w:type="dxa"/>
            <w:vAlign w:val="bottom"/>
          </w:tcPr>
          <w:p>
            <w:pPr>
              <w:spacing w:after="0"/>
              <w:rPr>
                <w:sz w:val="24"/>
                <w:szCs w:val="24"/>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2,145,509</w:t>
            </w:r>
          </w:p>
        </w:tc>
        <w:tc>
          <w:tcPr>
            <w:tcW w:w="100" w:type="dxa"/>
            <w:vAlign w:val="bottom"/>
          </w:tcPr>
          <w:p>
            <w:pPr>
              <w:spacing w:after="0"/>
              <w:rPr>
                <w:sz w:val="24"/>
                <w:szCs w:val="24"/>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5,000,001</w:t>
            </w:r>
          </w:p>
        </w:tc>
        <w:tc>
          <w:tcPr>
            <w:tcW w:w="100" w:type="dxa"/>
            <w:vAlign w:val="bottom"/>
          </w:tcPr>
          <w:p>
            <w:pPr>
              <w:spacing w:after="0"/>
              <w:rPr>
                <w:sz w:val="24"/>
                <w:szCs w:val="24"/>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12,410,886</w:t>
            </w: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5.82%</w:t>
            </w:r>
          </w:p>
        </w:tc>
        <w:tc>
          <w:tcPr>
            <w:tcW w:w="0" w:type="dxa"/>
            <w:vAlign w:val="bottom"/>
          </w:tcPr>
          <w:p>
            <w:pPr>
              <w:spacing w:after="0"/>
              <w:rPr>
                <w:sz w:val="1"/>
                <w:szCs w:val="1"/>
                <w:color w:val="auto"/>
              </w:rPr>
            </w:pPr>
          </w:p>
        </w:tc>
      </w:tr>
      <w:tr>
        <w:trPr>
          <w:trHeight w:val="546"/>
        </w:trPr>
        <w:tc>
          <w:tcPr>
            <w:tcW w:w="114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3"/>
              </w:rPr>
              <w:t>9/27/2018</w:t>
            </w:r>
          </w:p>
        </w:tc>
        <w:tc>
          <w:tcPr>
            <w:tcW w:w="240" w:type="dxa"/>
            <w:vAlign w:val="bottom"/>
            <w:tcBorders>
              <w:bottom w:val="single" w:sz="8" w:color="CCEEFF"/>
            </w:tcBorders>
          </w:tcPr>
          <w:p>
            <w:pPr>
              <w:spacing w:after="0"/>
              <w:rPr>
                <w:sz w:val="24"/>
                <w:szCs w:val="24"/>
                <w:color w:val="auto"/>
              </w:rPr>
            </w:pPr>
          </w:p>
        </w:tc>
        <w:tc>
          <w:tcPr>
            <w:tcW w:w="76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color w:val="auto"/>
              </w:rPr>
              <w:t>369,000</w:t>
            </w:r>
          </w:p>
        </w:tc>
        <w:tc>
          <w:tcPr>
            <w:tcW w:w="100" w:type="dxa"/>
            <w:vAlign w:val="bottom"/>
          </w:tcPr>
          <w:p>
            <w:pPr>
              <w:spacing w:after="0"/>
              <w:rPr>
                <w:sz w:val="24"/>
                <w:szCs w:val="24"/>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6,329,214</w:t>
            </w:r>
          </w:p>
        </w:tc>
        <w:tc>
          <w:tcPr>
            <w:tcW w:w="100" w:type="dxa"/>
            <w:vAlign w:val="bottom"/>
          </w:tcPr>
          <w:p>
            <w:pPr>
              <w:spacing w:after="0"/>
              <w:rPr>
                <w:sz w:val="24"/>
                <w:szCs w:val="24"/>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6,329,214</w:t>
            </w: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2.97%</w:t>
            </w:r>
          </w:p>
        </w:tc>
        <w:tc>
          <w:tcPr>
            <w:tcW w:w="0" w:type="dxa"/>
            <w:vAlign w:val="bottom"/>
          </w:tcPr>
          <w:p>
            <w:pPr>
              <w:spacing w:after="0"/>
              <w:rPr>
                <w:sz w:val="1"/>
                <w:szCs w:val="1"/>
                <w:color w:val="auto"/>
              </w:rPr>
            </w:pPr>
          </w:p>
        </w:tc>
      </w:tr>
      <w:tr>
        <w:trPr>
          <w:trHeight w:val="528"/>
        </w:trPr>
        <w:tc>
          <w:tcPr>
            <w:tcW w:w="1140" w:type="dxa"/>
            <w:vAlign w:val="bottom"/>
          </w:tcPr>
          <w:p>
            <w:pPr>
              <w:jc w:val="center"/>
              <w:spacing w:after="0"/>
              <w:rPr>
                <w:sz w:val="20"/>
                <w:szCs w:val="20"/>
                <w:color w:val="auto"/>
              </w:rPr>
            </w:pPr>
            <w:r>
              <w:rPr>
                <w:rFonts w:ascii="Arial" w:cs="Arial" w:eastAsia="Arial" w:hAnsi="Arial"/>
                <w:sz w:val="14"/>
                <w:szCs w:val="14"/>
                <w:color w:val="auto"/>
                <w:w w:val="93"/>
              </w:rPr>
              <w:t>10/1/2012</w:t>
            </w:r>
          </w:p>
        </w:tc>
        <w:tc>
          <w:tcPr>
            <w:tcW w:w="240" w:type="dxa"/>
            <w:vAlign w:val="bottom"/>
          </w:tcPr>
          <w:p>
            <w:pPr>
              <w:spacing w:after="0"/>
              <w:rPr>
                <w:sz w:val="24"/>
                <w:szCs w:val="24"/>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3,200,512</w:t>
            </w:r>
          </w:p>
        </w:tc>
        <w:tc>
          <w:tcPr>
            <w:tcW w:w="100" w:type="dxa"/>
            <w:vAlign w:val="bottom"/>
          </w:tcPr>
          <w:p>
            <w:pPr>
              <w:spacing w:after="0"/>
              <w:rPr>
                <w:sz w:val="24"/>
                <w:szCs w:val="24"/>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4,000,982</w:t>
            </w:r>
          </w:p>
        </w:tc>
        <w:tc>
          <w:tcPr>
            <w:tcW w:w="100" w:type="dxa"/>
            <w:vAlign w:val="bottom"/>
          </w:tcPr>
          <w:p>
            <w:pPr>
              <w:spacing w:after="0"/>
              <w:rPr>
                <w:sz w:val="24"/>
                <w:szCs w:val="24"/>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6,170,316</w:t>
            </w: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2.89%</w:t>
            </w:r>
          </w:p>
        </w:tc>
        <w:tc>
          <w:tcPr>
            <w:tcW w:w="0" w:type="dxa"/>
            <w:vAlign w:val="bottom"/>
          </w:tcPr>
          <w:p>
            <w:pPr>
              <w:spacing w:after="0"/>
              <w:rPr>
                <w:sz w:val="1"/>
                <w:szCs w:val="1"/>
                <w:color w:val="auto"/>
              </w:rPr>
            </w:pPr>
          </w:p>
        </w:tc>
      </w:tr>
      <w:tr>
        <w:trPr>
          <w:trHeight w:val="540"/>
        </w:trPr>
        <w:tc>
          <w:tcPr>
            <w:tcW w:w="1140" w:type="dxa"/>
            <w:vAlign w:val="bottom"/>
          </w:tcPr>
          <w:p>
            <w:pPr>
              <w:jc w:val="center"/>
              <w:spacing w:after="0"/>
              <w:rPr>
                <w:sz w:val="20"/>
                <w:szCs w:val="20"/>
                <w:color w:val="auto"/>
              </w:rPr>
            </w:pPr>
            <w:r>
              <w:rPr>
                <w:rFonts w:ascii="Arial" w:cs="Arial" w:eastAsia="Arial" w:hAnsi="Arial"/>
                <w:sz w:val="14"/>
                <w:szCs w:val="14"/>
                <w:color w:val="auto"/>
                <w:w w:val="93"/>
              </w:rPr>
              <w:t>7/29/2015</w:t>
            </w:r>
          </w:p>
        </w:tc>
        <w:tc>
          <w:tcPr>
            <w:tcW w:w="240" w:type="dxa"/>
            <w:vAlign w:val="bottom"/>
          </w:tcPr>
          <w:p>
            <w:pPr>
              <w:spacing w:after="0"/>
              <w:rPr>
                <w:sz w:val="24"/>
                <w:szCs w:val="24"/>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1,681,520</w:t>
            </w:r>
          </w:p>
        </w:tc>
        <w:tc>
          <w:tcPr>
            <w:tcW w:w="100" w:type="dxa"/>
            <w:vAlign w:val="bottom"/>
          </w:tcPr>
          <w:p>
            <w:pPr>
              <w:spacing w:after="0"/>
              <w:rPr>
                <w:sz w:val="24"/>
                <w:szCs w:val="24"/>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4,000,280</w:t>
            </w:r>
          </w:p>
        </w:tc>
        <w:tc>
          <w:tcPr>
            <w:tcW w:w="100" w:type="dxa"/>
            <w:vAlign w:val="bottom"/>
          </w:tcPr>
          <w:p>
            <w:pPr>
              <w:spacing w:after="0"/>
              <w:rPr>
                <w:sz w:val="24"/>
                <w:szCs w:val="24"/>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4,000,000</w:t>
            </w: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1.87%</w:t>
            </w:r>
          </w:p>
        </w:tc>
        <w:tc>
          <w:tcPr>
            <w:tcW w:w="0" w:type="dxa"/>
            <w:vAlign w:val="bottom"/>
          </w:tcPr>
          <w:p>
            <w:pPr>
              <w:spacing w:after="0"/>
              <w:rPr>
                <w:sz w:val="1"/>
                <w:szCs w:val="1"/>
                <w:color w:val="auto"/>
              </w:rPr>
            </w:pPr>
          </w:p>
        </w:tc>
      </w:tr>
      <w:tr>
        <w:trPr>
          <w:trHeight w:val="276"/>
        </w:trPr>
        <w:tc>
          <w:tcPr>
            <w:tcW w:w="1140" w:type="dxa"/>
            <w:vAlign w:val="bottom"/>
          </w:tcPr>
          <w:p>
            <w:pPr>
              <w:jc w:val="center"/>
              <w:spacing w:after="0"/>
              <w:rPr>
                <w:sz w:val="20"/>
                <w:szCs w:val="20"/>
                <w:color w:val="auto"/>
              </w:rPr>
            </w:pPr>
            <w:r>
              <w:rPr>
                <w:rFonts w:ascii="Arial" w:cs="Arial" w:eastAsia="Arial" w:hAnsi="Arial"/>
                <w:sz w:val="14"/>
                <w:szCs w:val="14"/>
                <w:color w:val="auto"/>
                <w:w w:val="94"/>
              </w:rPr>
              <w:t>10/24/2014</w:t>
            </w:r>
          </w:p>
        </w:tc>
        <w:tc>
          <w:tcPr>
            <w:tcW w:w="240" w:type="dxa"/>
            <w:vAlign w:val="bottom"/>
          </w:tcPr>
          <w:p>
            <w:pPr>
              <w:spacing w:after="0"/>
              <w:rPr>
                <w:sz w:val="24"/>
                <w:szCs w:val="24"/>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879,198</w:t>
            </w:r>
          </w:p>
        </w:tc>
        <w:tc>
          <w:tcPr>
            <w:tcW w:w="100" w:type="dxa"/>
            <w:vAlign w:val="bottom"/>
          </w:tcPr>
          <w:p>
            <w:pPr>
              <w:spacing w:after="0"/>
              <w:rPr>
                <w:sz w:val="24"/>
                <w:szCs w:val="24"/>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1,002,440</w:t>
            </w:r>
          </w:p>
        </w:tc>
        <w:tc>
          <w:tcPr>
            <w:tcW w:w="100" w:type="dxa"/>
            <w:vAlign w:val="bottom"/>
          </w:tcPr>
          <w:p>
            <w:pPr>
              <w:spacing w:after="0"/>
              <w:rPr>
                <w:sz w:val="24"/>
                <w:szCs w:val="24"/>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2,091,436</w:t>
            </w:r>
          </w:p>
        </w:tc>
        <w:tc>
          <w:tcPr>
            <w:tcW w:w="100" w:type="dxa"/>
            <w:vAlign w:val="bottom"/>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0.98%</w:t>
            </w:r>
          </w:p>
        </w:tc>
        <w:tc>
          <w:tcPr>
            <w:tcW w:w="0" w:type="dxa"/>
            <w:vAlign w:val="bottom"/>
          </w:tcPr>
          <w:p>
            <w:pPr>
              <w:spacing w:after="0"/>
              <w:rPr>
                <w:sz w:val="1"/>
                <w:szCs w:val="1"/>
                <w:color w:val="auto"/>
              </w:rPr>
            </w:pPr>
          </w:p>
        </w:tc>
      </w:tr>
      <w:tr>
        <w:trPr>
          <w:trHeight w:val="264"/>
        </w:trPr>
        <w:tc>
          <w:tcPr>
            <w:tcW w:w="1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5,002,720</w:t>
            </w:r>
          </w:p>
        </w:tc>
        <w:tc>
          <w:tcPr>
            <w:tcW w:w="100" w:type="dxa"/>
            <w:vAlign w:val="bottom"/>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6,091,436</w:t>
            </w:r>
          </w:p>
        </w:tc>
        <w:tc>
          <w:tcPr>
            <w:tcW w:w="100" w:type="dxa"/>
            <w:vAlign w:val="bottom"/>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2.85%</w:t>
            </w:r>
          </w:p>
        </w:tc>
        <w:tc>
          <w:tcPr>
            <w:tcW w:w="0" w:type="dxa"/>
            <w:vAlign w:val="bottom"/>
          </w:tcPr>
          <w:p>
            <w:pPr>
              <w:spacing w:after="0"/>
              <w:rPr>
                <w:sz w:val="1"/>
                <w:szCs w:val="1"/>
                <w:color w:val="auto"/>
              </w:rPr>
            </w:pPr>
          </w:p>
        </w:tc>
      </w:tr>
      <w:tr>
        <w:trPr>
          <w:trHeight w:val="528"/>
        </w:trPr>
        <w:tc>
          <w:tcPr>
            <w:tcW w:w="1140" w:type="dxa"/>
            <w:vAlign w:val="bottom"/>
          </w:tcPr>
          <w:p>
            <w:pPr>
              <w:jc w:val="center"/>
              <w:spacing w:after="0"/>
              <w:rPr>
                <w:sz w:val="20"/>
                <w:szCs w:val="20"/>
                <w:color w:val="auto"/>
              </w:rPr>
            </w:pPr>
            <w:r>
              <w:rPr>
                <w:rFonts w:ascii="Arial" w:cs="Arial" w:eastAsia="Arial" w:hAnsi="Arial"/>
                <w:sz w:val="14"/>
                <w:szCs w:val="14"/>
                <w:color w:val="auto"/>
                <w:w w:val="93"/>
              </w:rPr>
              <w:t>11/3/2014</w:t>
            </w:r>
          </w:p>
        </w:tc>
        <w:tc>
          <w:tcPr>
            <w:tcW w:w="240" w:type="dxa"/>
            <w:vAlign w:val="bottom"/>
          </w:tcPr>
          <w:p>
            <w:pPr>
              <w:spacing w:after="0"/>
              <w:rPr>
                <w:sz w:val="24"/>
                <w:szCs w:val="24"/>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707,991</w:t>
            </w:r>
          </w:p>
        </w:tc>
        <w:tc>
          <w:tcPr>
            <w:tcW w:w="100" w:type="dxa"/>
            <w:vAlign w:val="bottom"/>
          </w:tcPr>
          <w:p>
            <w:pPr>
              <w:spacing w:after="0"/>
              <w:rPr>
                <w:sz w:val="24"/>
                <w:szCs w:val="24"/>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2,506,119</w:t>
            </w:r>
          </w:p>
        </w:tc>
        <w:tc>
          <w:tcPr>
            <w:tcW w:w="100" w:type="dxa"/>
            <w:vAlign w:val="bottom"/>
          </w:tcPr>
          <w:p>
            <w:pPr>
              <w:spacing w:after="0"/>
              <w:rPr>
                <w:sz w:val="24"/>
                <w:szCs w:val="24"/>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4,221,543</w:t>
            </w: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1.98%</w:t>
            </w:r>
          </w:p>
        </w:tc>
        <w:tc>
          <w:tcPr>
            <w:tcW w:w="0" w:type="dxa"/>
            <w:vAlign w:val="bottom"/>
          </w:tcPr>
          <w:p>
            <w:pPr>
              <w:spacing w:after="0"/>
              <w:rPr>
                <w:sz w:val="1"/>
                <w:szCs w:val="1"/>
                <w:color w:val="auto"/>
              </w:rPr>
            </w:pPr>
          </w:p>
        </w:tc>
      </w:tr>
      <w:tr>
        <w:trPr>
          <w:trHeight w:val="540"/>
        </w:trPr>
        <w:tc>
          <w:tcPr>
            <w:tcW w:w="1140" w:type="dxa"/>
            <w:vAlign w:val="bottom"/>
          </w:tcPr>
          <w:p>
            <w:pPr>
              <w:jc w:val="center"/>
              <w:spacing w:after="0"/>
              <w:rPr>
                <w:sz w:val="20"/>
                <w:szCs w:val="20"/>
                <w:color w:val="auto"/>
              </w:rPr>
            </w:pPr>
            <w:r>
              <w:rPr>
                <w:rFonts w:ascii="Arial" w:cs="Arial" w:eastAsia="Arial" w:hAnsi="Arial"/>
                <w:sz w:val="14"/>
                <w:szCs w:val="14"/>
                <w:color w:val="auto"/>
                <w:w w:val="94"/>
              </w:rPr>
              <w:t>12/16/2013</w:t>
            </w:r>
          </w:p>
        </w:tc>
        <w:tc>
          <w:tcPr>
            <w:tcW w:w="240" w:type="dxa"/>
            <w:vAlign w:val="bottom"/>
          </w:tcPr>
          <w:p>
            <w:pPr>
              <w:spacing w:after="0"/>
              <w:rPr>
                <w:sz w:val="24"/>
                <w:szCs w:val="24"/>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375,985</w:t>
            </w:r>
          </w:p>
        </w:tc>
        <w:tc>
          <w:tcPr>
            <w:tcW w:w="100" w:type="dxa"/>
            <w:vAlign w:val="bottom"/>
          </w:tcPr>
          <w:p>
            <w:pPr>
              <w:spacing w:after="0"/>
              <w:rPr>
                <w:sz w:val="24"/>
                <w:szCs w:val="24"/>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4,999,999</w:t>
            </w:r>
          </w:p>
        </w:tc>
        <w:tc>
          <w:tcPr>
            <w:tcW w:w="100" w:type="dxa"/>
            <w:vAlign w:val="bottom"/>
          </w:tcPr>
          <w:p>
            <w:pPr>
              <w:spacing w:after="0"/>
              <w:rPr>
                <w:sz w:val="24"/>
                <w:szCs w:val="24"/>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2,976,982</w:t>
            </w: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1.40%</w:t>
            </w:r>
          </w:p>
        </w:tc>
        <w:tc>
          <w:tcPr>
            <w:tcW w:w="0" w:type="dxa"/>
            <w:vAlign w:val="bottom"/>
          </w:tcPr>
          <w:p>
            <w:pPr>
              <w:spacing w:after="0"/>
              <w:rPr>
                <w:sz w:val="1"/>
                <w:szCs w:val="1"/>
                <w:color w:val="auto"/>
              </w:rPr>
            </w:pPr>
          </w:p>
        </w:tc>
      </w:tr>
      <w:tr>
        <w:trPr>
          <w:trHeight w:val="276"/>
        </w:trPr>
        <w:tc>
          <w:tcPr>
            <w:tcW w:w="1140" w:type="dxa"/>
            <w:vAlign w:val="bottom"/>
          </w:tcPr>
          <w:p>
            <w:pPr>
              <w:jc w:val="center"/>
              <w:spacing w:after="0"/>
              <w:rPr>
                <w:sz w:val="20"/>
                <w:szCs w:val="20"/>
                <w:color w:val="auto"/>
              </w:rPr>
            </w:pPr>
            <w:r>
              <w:rPr>
                <w:rFonts w:ascii="Arial" w:cs="Arial" w:eastAsia="Arial" w:hAnsi="Arial"/>
                <w:sz w:val="14"/>
                <w:szCs w:val="14"/>
                <w:color w:val="auto"/>
                <w:w w:val="93"/>
              </w:rPr>
              <w:t>7/23/2018</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134,405</w:t>
            </w:r>
          </w:p>
        </w:tc>
        <w:tc>
          <w:tcPr>
            <w:tcW w:w="100" w:type="dxa"/>
            <w:vAlign w:val="bottom"/>
          </w:tcPr>
          <w:p>
            <w:pPr>
              <w:spacing w:after="0"/>
              <w:rPr>
                <w:sz w:val="24"/>
                <w:szCs w:val="24"/>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135,213</w:t>
            </w:r>
          </w:p>
        </w:tc>
        <w:tc>
          <w:tcPr>
            <w:tcW w:w="100" w:type="dxa"/>
            <w:vAlign w:val="bottom"/>
          </w:tcPr>
          <w:p>
            <w:pPr>
              <w:spacing w:after="0"/>
              <w:rPr>
                <w:sz w:val="24"/>
                <w:szCs w:val="24"/>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134,405</w:t>
            </w:r>
          </w:p>
        </w:tc>
        <w:tc>
          <w:tcPr>
            <w:tcW w:w="100" w:type="dxa"/>
            <w:vAlign w:val="bottom"/>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0.06%</w:t>
            </w:r>
          </w:p>
        </w:tc>
        <w:tc>
          <w:tcPr>
            <w:tcW w:w="0" w:type="dxa"/>
            <w:vAlign w:val="bottom"/>
          </w:tcPr>
          <w:p>
            <w:pPr>
              <w:spacing w:after="0"/>
              <w:rPr>
                <w:sz w:val="1"/>
                <w:szCs w:val="1"/>
                <w:color w:val="auto"/>
              </w:rPr>
            </w:pPr>
          </w:p>
        </w:tc>
      </w:tr>
      <w:tr>
        <w:trPr>
          <w:trHeight w:val="264"/>
        </w:trPr>
        <w:tc>
          <w:tcPr>
            <w:tcW w:w="114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760" w:type="dxa"/>
            <w:vAlign w:val="bottom"/>
            <w:tcBorders>
              <w:bottom w:val="single" w:sz="8" w:color="CCEEFF"/>
            </w:tcBorders>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5,135,212</w:t>
            </w:r>
          </w:p>
        </w:tc>
        <w:tc>
          <w:tcPr>
            <w:tcW w:w="100" w:type="dxa"/>
            <w:vAlign w:val="bottom"/>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3,111,387</w:t>
            </w:r>
          </w:p>
        </w:tc>
        <w:tc>
          <w:tcPr>
            <w:tcW w:w="100" w:type="dxa"/>
            <w:vAlign w:val="bottom"/>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w:t>
            </w:r>
          </w:p>
        </w:tc>
        <w:tc>
          <w:tcPr>
            <w:tcW w:w="0" w:type="dxa"/>
            <w:vAlign w:val="bottom"/>
          </w:tcPr>
          <w:p>
            <w:pPr>
              <w:spacing w:after="0"/>
              <w:rPr>
                <w:sz w:val="1"/>
                <w:szCs w:val="1"/>
                <w:color w:val="auto"/>
              </w:rPr>
            </w:pPr>
          </w:p>
        </w:tc>
      </w:tr>
    </w:tbl>
    <w:p>
      <w:pPr>
        <w:spacing w:after="0" w:line="270" w:lineRule="exact"/>
        <w:rPr>
          <w:sz w:val="20"/>
          <w:szCs w:val="20"/>
          <w:color w:val="auto"/>
        </w:rPr>
      </w:pPr>
    </w:p>
    <w:p>
      <w:pPr>
        <w:sectPr>
          <w:pgSz w:w="11900" w:h="16838" w:orient="portrait"/>
          <w:cols w:equalWidth="0" w:num="2">
            <w:col w:w="5960" w:space="120"/>
            <w:col w:w="5340"/>
          </w:cols>
          <w:pgMar w:left="240" w:top="121" w:right="239" w:bottom="800" w:gutter="0" w:footer="0" w:header="0"/>
          <w:type w:val="continuous"/>
        </w:sectPr>
      </w:pPr>
    </w:p>
    <w:tbl>
      <w:tblPr>
        <w:tblLayout w:type="fixed"/>
        <w:tblInd w:w="0" w:type="dxa"/>
        <w:tblCellMar>
          <w:top w:w="0" w:type="dxa"/>
          <w:left w:w="0" w:type="dxa"/>
          <w:bottom w:w="0" w:type="dxa"/>
          <w:right w:w="0" w:type="dxa"/>
        </w:tblCellMar>
      </w:tblPr>
      <w:tr>
        <w:trPr>
          <w:trHeight w:val="284"/>
        </w:trPr>
        <w:tc>
          <w:tcPr>
            <w:tcW w:w="3200" w:type="dxa"/>
            <w:vAlign w:val="bottom"/>
            <w:gridSpan w:val="7"/>
            <w:shd w:val="clear" w:color="auto" w:fill="CCEEFF"/>
          </w:tcPr>
          <w:p>
            <w:pPr>
              <w:ind w:left="40"/>
              <w:spacing w:after="0"/>
              <w:rPr>
                <w:sz w:val="20"/>
                <w:szCs w:val="20"/>
                <w:color w:val="auto"/>
              </w:rPr>
            </w:pPr>
            <w:r>
              <w:rPr>
                <w:rFonts w:ascii="Arial" w:cs="Arial" w:eastAsia="Arial" w:hAnsi="Arial"/>
                <w:sz w:val="14"/>
                <w:szCs w:val="14"/>
                <w:color w:val="auto"/>
              </w:rPr>
              <w:t>Preferred shares, Series B</w:t>
            </w:r>
          </w:p>
        </w:tc>
        <w:tc>
          <w:tcPr>
            <w:tcW w:w="288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4"/>
              </w:rPr>
              <w:t>Online Marketplace Finance</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7/19/2011</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1,771,653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2,259,716</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2,254,857</w:t>
            </w: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w:t>
            </w:r>
          </w:p>
        </w:tc>
      </w:tr>
      <w:tr>
        <w:trPr>
          <w:trHeight w:val="264"/>
        </w:trPr>
        <w:tc>
          <w:tcPr>
            <w:tcW w:w="3200" w:type="dxa"/>
            <w:vAlign w:val="bottom"/>
            <w:tcBorders>
              <w:bottom w:val="single" w:sz="8" w:color="CCEEFF"/>
            </w:tcBorders>
            <w:gridSpan w:val="7"/>
          </w:tcPr>
          <w:p>
            <w:pPr>
              <w:ind w:left="40"/>
              <w:spacing w:after="0"/>
              <w:rPr>
                <w:sz w:val="20"/>
                <w:szCs w:val="20"/>
                <w:color w:val="auto"/>
              </w:rPr>
            </w:pPr>
            <w:r>
              <w:rPr>
                <w:rFonts w:ascii="Arial" w:cs="Arial" w:eastAsia="Arial" w:hAnsi="Arial"/>
                <w:sz w:val="14"/>
                <w:szCs w:val="14"/>
                <w:color w:val="auto"/>
              </w:rPr>
              <w:t>Common shares</w:t>
            </w:r>
            <w:r>
              <w:rPr>
                <w:rFonts w:ascii="Arial" w:cs="Arial" w:eastAsia="Arial" w:hAnsi="Arial"/>
                <w:sz w:val="8"/>
                <w:szCs w:val="8"/>
                <w:color w:val="auto"/>
              </w:rPr>
              <w:t>(13)</w:t>
            </w:r>
          </w:p>
        </w:tc>
        <w:tc>
          <w:tcPr>
            <w:tcW w:w="27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14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3"/>
              </w:rPr>
              <w:t>7/20/2011</w:t>
            </w:r>
          </w:p>
        </w:tc>
        <w:tc>
          <w:tcPr>
            <w:tcW w:w="100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color w:val="auto"/>
              </w:rPr>
              <w:t>770,934</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123,987</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528,247</w:t>
            </w:r>
          </w:p>
        </w:tc>
        <w:tc>
          <w:tcPr>
            <w:tcW w:w="10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0.25%</w:t>
            </w: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3160" w:type="dxa"/>
            <w:vAlign w:val="bottom"/>
            <w:tcBorders>
              <w:bottom w:val="single" w:sz="8" w:color="CCEEFF"/>
            </w:tcBorders>
            <w:gridSpan w:val="6"/>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2760" w:type="dxa"/>
            <w:vAlign w:val="bottom"/>
            <w:tcBorders>
              <w:bottom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2,383,703</w:t>
            </w:r>
          </w:p>
        </w:tc>
        <w:tc>
          <w:tcPr>
            <w:tcW w:w="100" w:type="dxa"/>
            <w:vAlign w:val="bottom"/>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2,783,104</w:t>
            </w:r>
          </w:p>
        </w:tc>
        <w:tc>
          <w:tcPr>
            <w:tcW w:w="100" w:type="dxa"/>
            <w:vAlign w:val="bottom"/>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w:t>
            </w:r>
          </w:p>
        </w:tc>
      </w:tr>
      <w:tr>
        <w:trPr>
          <w:trHeight w:val="229"/>
        </w:trPr>
        <w:tc>
          <w:tcPr>
            <w:tcW w:w="3200" w:type="dxa"/>
            <w:vAlign w:val="bottom"/>
            <w:gridSpan w:val="7"/>
          </w:tcPr>
          <w:p>
            <w:pPr>
              <w:ind w:left="40"/>
              <w:spacing w:after="0"/>
              <w:rPr>
                <w:sz w:val="20"/>
                <w:szCs w:val="20"/>
                <w:color w:val="auto"/>
              </w:rPr>
            </w:pPr>
            <w:r>
              <w:rPr>
                <w:rFonts w:ascii="Arial" w:cs="Arial" w:eastAsia="Arial" w:hAnsi="Arial"/>
                <w:sz w:val="14"/>
                <w:szCs w:val="14"/>
                <w:b w:val="1"/>
                <w:bCs w:val="1"/>
                <w:color w:val="auto"/>
              </w:rPr>
              <w:t>Clever, Inc.</w:t>
            </w:r>
          </w:p>
        </w:tc>
        <w:tc>
          <w:tcPr>
            <w:tcW w:w="2880" w:type="dxa"/>
            <w:vAlign w:val="bottom"/>
            <w:gridSpan w:val="2"/>
          </w:tcPr>
          <w:p>
            <w:pPr>
              <w:jc w:val="center"/>
              <w:spacing w:after="0"/>
              <w:rPr>
                <w:sz w:val="20"/>
                <w:szCs w:val="20"/>
                <w:color w:val="auto"/>
              </w:rPr>
            </w:pPr>
            <w:r>
              <w:rPr>
                <w:rFonts w:ascii="Arial" w:cs="Arial" w:eastAsia="Arial" w:hAnsi="Arial"/>
                <w:sz w:val="14"/>
                <w:szCs w:val="14"/>
                <w:color w:val="auto"/>
                <w:w w:val="92"/>
              </w:rPr>
              <w:t>San Francisco, CA</w:t>
            </w:r>
          </w:p>
        </w:tc>
        <w:tc>
          <w:tcPr>
            <w:tcW w:w="1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1"/>
        </w:trPr>
        <w:tc>
          <w:tcPr>
            <w:tcW w:w="4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97"/>
        </w:trPr>
        <w:tc>
          <w:tcPr>
            <w:tcW w:w="3200" w:type="dxa"/>
            <w:vAlign w:val="bottom"/>
            <w:gridSpan w:val="7"/>
            <w:shd w:val="clear" w:color="auto" w:fill="CCEEFF"/>
          </w:tcPr>
          <w:p>
            <w:pPr>
              <w:ind w:left="40"/>
              <w:spacing w:after="0"/>
              <w:rPr>
                <w:sz w:val="20"/>
                <w:szCs w:val="20"/>
                <w:color w:val="auto"/>
              </w:rPr>
            </w:pPr>
            <w:r>
              <w:rPr>
                <w:rFonts w:ascii="Arial" w:cs="Arial" w:eastAsia="Arial" w:hAnsi="Arial"/>
                <w:sz w:val="14"/>
                <w:szCs w:val="14"/>
                <w:color w:val="auto"/>
              </w:rPr>
              <w:t>Preferred shares, Series B</w:t>
            </w:r>
          </w:p>
        </w:tc>
        <w:tc>
          <w:tcPr>
            <w:tcW w:w="288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3"/>
              </w:rPr>
              <w:t>Education Software</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12/5/2014</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1,799,047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2,000,601</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2,000,001</w:t>
            </w: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0.94%</w:t>
            </w:r>
          </w:p>
        </w:tc>
      </w:tr>
      <w:tr>
        <w:trPr>
          <w:trHeight w:val="230"/>
        </w:trPr>
        <w:tc>
          <w:tcPr>
            <w:tcW w:w="3200" w:type="dxa"/>
            <w:vAlign w:val="bottom"/>
            <w:gridSpan w:val="7"/>
          </w:tcPr>
          <w:p>
            <w:pPr>
              <w:ind w:left="40"/>
              <w:spacing w:after="0"/>
              <w:rPr>
                <w:sz w:val="20"/>
                <w:szCs w:val="20"/>
                <w:color w:val="auto"/>
              </w:rPr>
            </w:pPr>
            <w:r>
              <w:rPr>
                <w:rFonts w:ascii="Arial" w:cs="Arial" w:eastAsia="Arial" w:hAnsi="Arial"/>
                <w:sz w:val="14"/>
                <w:szCs w:val="14"/>
                <w:b w:val="1"/>
                <w:bCs w:val="1"/>
                <w:color w:val="auto"/>
              </w:rPr>
              <w:t>Tynker (f/k/a Neuron Fuel, Inc.)</w:t>
            </w:r>
          </w:p>
        </w:tc>
        <w:tc>
          <w:tcPr>
            <w:tcW w:w="2880" w:type="dxa"/>
            <w:vAlign w:val="bottom"/>
            <w:gridSpan w:val="2"/>
          </w:tcPr>
          <w:p>
            <w:pPr>
              <w:jc w:val="center"/>
              <w:spacing w:after="0"/>
              <w:rPr>
                <w:sz w:val="20"/>
                <w:szCs w:val="20"/>
                <w:color w:val="auto"/>
              </w:rPr>
            </w:pPr>
            <w:r>
              <w:rPr>
                <w:rFonts w:ascii="Arial" w:cs="Arial" w:eastAsia="Arial" w:hAnsi="Arial"/>
                <w:sz w:val="14"/>
                <w:szCs w:val="14"/>
                <w:color w:val="auto"/>
                <w:w w:val="97"/>
              </w:rPr>
              <w:t>Mountain View, CA</w:t>
            </w:r>
          </w:p>
        </w:tc>
        <w:tc>
          <w:tcPr>
            <w:tcW w:w="1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1"/>
        </w:trPr>
        <w:tc>
          <w:tcPr>
            <w:tcW w:w="4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70"/>
        </w:trPr>
        <w:tc>
          <w:tcPr>
            <w:tcW w:w="3200" w:type="dxa"/>
            <w:vAlign w:val="bottom"/>
            <w:gridSpan w:val="7"/>
            <w:shd w:val="clear" w:color="auto" w:fill="CCEEFF"/>
          </w:tcPr>
          <w:p>
            <w:pPr>
              <w:ind w:left="40"/>
              <w:spacing w:after="0"/>
              <w:rPr>
                <w:sz w:val="20"/>
                <w:szCs w:val="20"/>
                <w:color w:val="auto"/>
              </w:rPr>
            </w:pPr>
            <w:r>
              <w:rPr>
                <w:rFonts w:ascii="Arial" w:cs="Arial" w:eastAsia="Arial" w:hAnsi="Arial"/>
                <w:sz w:val="14"/>
                <w:szCs w:val="14"/>
                <w:color w:val="auto"/>
              </w:rPr>
              <w:t>Preferred shares, Series A 8%</w:t>
            </w:r>
          </w:p>
        </w:tc>
        <w:tc>
          <w:tcPr>
            <w:tcW w:w="288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4"/>
              </w:rPr>
              <w:t>Computer Software</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8/8/2012</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534,162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309,310</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789,491</w:t>
            </w:r>
          </w:p>
        </w:tc>
        <w:tc>
          <w:tcPr>
            <w:tcW w:w="10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0.37%</w:t>
            </w:r>
          </w:p>
        </w:tc>
      </w:tr>
      <w:tr>
        <w:trPr>
          <w:trHeight w:val="230"/>
        </w:trPr>
        <w:tc>
          <w:tcPr>
            <w:tcW w:w="3200" w:type="dxa"/>
            <w:vAlign w:val="bottom"/>
            <w:gridSpan w:val="7"/>
          </w:tcPr>
          <w:p>
            <w:pPr>
              <w:ind w:left="40"/>
              <w:spacing w:after="0"/>
              <w:rPr>
                <w:sz w:val="20"/>
                <w:szCs w:val="20"/>
                <w:color w:val="auto"/>
              </w:rPr>
            </w:pPr>
            <w:r>
              <w:rPr>
                <w:rFonts w:ascii="Arial" w:cs="Arial" w:eastAsia="Arial" w:hAnsi="Arial"/>
                <w:sz w:val="14"/>
                <w:szCs w:val="14"/>
                <w:b w:val="1"/>
                <w:bCs w:val="1"/>
                <w:color w:val="auto"/>
              </w:rPr>
              <w:t>4C Insights (f/k/a The Echo Systems Corp.)</w:t>
            </w:r>
          </w:p>
        </w:tc>
        <w:tc>
          <w:tcPr>
            <w:tcW w:w="2880" w:type="dxa"/>
            <w:vAlign w:val="bottom"/>
            <w:gridSpan w:val="2"/>
          </w:tcPr>
          <w:p>
            <w:pPr>
              <w:jc w:val="center"/>
              <w:spacing w:after="0"/>
              <w:rPr>
                <w:sz w:val="20"/>
                <w:szCs w:val="20"/>
                <w:color w:val="auto"/>
              </w:rPr>
            </w:pPr>
            <w:r>
              <w:rPr>
                <w:rFonts w:ascii="Arial" w:cs="Arial" w:eastAsia="Arial" w:hAnsi="Arial"/>
                <w:sz w:val="14"/>
                <w:szCs w:val="14"/>
                <w:color w:val="auto"/>
                <w:w w:val="98"/>
              </w:rPr>
              <w:t>Chicago, IL</w:t>
            </w:r>
          </w:p>
        </w:tc>
        <w:tc>
          <w:tcPr>
            <w:tcW w:w="1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1"/>
        </w:trPr>
        <w:tc>
          <w:tcPr>
            <w:tcW w:w="4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84"/>
        </w:trPr>
        <w:tc>
          <w:tcPr>
            <w:tcW w:w="3200" w:type="dxa"/>
            <w:vAlign w:val="bottom"/>
            <w:gridSpan w:val="7"/>
            <w:shd w:val="clear" w:color="auto" w:fill="CCEEFF"/>
          </w:tcPr>
          <w:p>
            <w:pPr>
              <w:ind w:left="40"/>
              <w:spacing w:after="0"/>
              <w:rPr>
                <w:sz w:val="20"/>
                <w:szCs w:val="20"/>
                <w:color w:val="auto"/>
              </w:rPr>
            </w:pPr>
            <w:r>
              <w:rPr>
                <w:rFonts w:ascii="Arial" w:cs="Arial" w:eastAsia="Arial" w:hAnsi="Arial"/>
                <w:sz w:val="14"/>
                <w:szCs w:val="14"/>
                <w:color w:val="auto"/>
              </w:rPr>
              <w:t>Common shares</w:t>
            </w:r>
          </w:p>
        </w:tc>
        <w:tc>
          <w:tcPr>
            <w:tcW w:w="288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5"/>
              </w:rPr>
              <w:t>Social Data Platform</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3/30/2012</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436,219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1,436,404</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537,273</w:t>
            </w: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0.25%</w:t>
            </w:r>
          </w:p>
        </w:tc>
      </w:tr>
      <w:tr>
        <w:trPr>
          <w:trHeight w:val="230"/>
        </w:trPr>
        <w:tc>
          <w:tcPr>
            <w:tcW w:w="3200" w:type="dxa"/>
            <w:vAlign w:val="bottom"/>
            <w:gridSpan w:val="7"/>
          </w:tcPr>
          <w:p>
            <w:pPr>
              <w:ind w:left="40"/>
              <w:spacing w:after="0"/>
              <w:rPr>
                <w:sz w:val="20"/>
                <w:szCs w:val="20"/>
                <w:color w:val="auto"/>
              </w:rPr>
            </w:pPr>
            <w:r>
              <w:rPr>
                <w:rFonts w:ascii="Arial" w:cs="Arial" w:eastAsia="Arial" w:hAnsi="Arial"/>
                <w:sz w:val="14"/>
                <w:szCs w:val="14"/>
                <w:b w:val="1"/>
                <w:bCs w:val="1"/>
                <w:color w:val="auto"/>
              </w:rPr>
              <w:t>Aspiration Partners, Inc.</w:t>
            </w:r>
          </w:p>
        </w:tc>
        <w:tc>
          <w:tcPr>
            <w:tcW w:w="2880" w:type="dxa"/>
            <w:vAlign w:val="bottom"/>
            <w:gridSpan w:val="2"/>
          </w:tcPr>
          <w:p>
            <w:pPr>
              <w:jc w:val="center"/>
              <w:spacing w:after="0"/>
              <w:rPr>
                <w:sz w:val="20"/>
                <w:szCs w:val="20"/>
                <w:color w:val="auto"/>
              </w:rPr>
            </w:pPr>
            <w:r>
              <w:rPr>
                <w:rFonts w:ascii="Arial" w:cs="Arial" w:eastAsia="Arial" w:hAnsi="Arial"/>
                <w:sz w:val="14"/>
                <w:szCs w:val="14"/>
                <w:color w:val="auto"/>
                <w:w w:val="95"/>
              </w:rPr>
              <w:t>Marina Del Rey, CA</w:t>
            </w:r>
          </w:p>
        </w:tc>
        <w:tc>
          <w:tcPr>
            <w:tcW w:w="1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1"/>
        </w:trPr>
        <w:tc>
          <w:tcPr>
            <w:tcW w:w="4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84"/>
        </w:trPr>
        <w:tc>
          <w:tcPr>
            <w:tcW w:w="3200" w:type="dxa"/>
            <w:vAlign w:val="bottom"/>
            <w:gridSpan w:val="7"/>
            <w:shd w:val="clear" w:color="auto" w:fill="CCEEFF"/>
          </w:tcPr>
          <w:p>
            <w:pPr>
              <w:ind w:left="40"/>
              <w:spacing w:after="0"/>
              <w:rPr>
                <w:sz w:val="20"/>
                <w:szCs w:val="20"/>
                <w:color w:val="auto"/>
              </w:rPr>
            </w:pPr>
            <w:r>
              <w:rPr>
                <w:rFonts w:ascii="Arial" w:cs="Arial" w:eastAsia="Arial" w:hAnsi="Arial"/>
                <w:sz w:val="14"/>
                <w:szCs w:val="14"/>
                <w:color w:val="auto"/>
              </w:rPr>
              <w:t>Preferred shares, Series A</w:t>
            </w:r>
          </w:p>
        </w:tc>
        <w:tc>
          <w:tcPr>
            <w:tcW w:w="288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3"/>
              </w:rPr>
              <w:t>Financial Services</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8/11/2015</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540,270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1,001,815</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388,322</w:t>
            </w: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0.18%</w:t>
            </w:r>
          </w:p>
        </w:tc>
      </w:tr>
      <w:tr>
        <w:trPr>
          <w:trHeight w:val="230"/>
        </w:trPr>
        <w:tc>
          <w:tcPr>
            <w:tcW w:w="3200" w:type="dxa"/>
            <w:vAlign w:val="bottom"/>
            <w:gridSpan w:val="7"/>
          </w:tcPr>
          <w:p>
            <w:pPr>
              <w:ind w:left="40"/>
              <w:spacing w:after="0"/>
              <w:rPr>
                <w:sz w:val="20"/>
                <w:szCs w:val="20"/>
                <w:color w:val="auto"/>
              </w:rPr>
            </w:pPr>
            <w:r>
              <w:rPr>
                <w:rFonts w:ascii="Arial" w:cs="Arial" w:eastAsia="Arial" w:hAnsi="Arial"/>
                <w:sz w:val="14"/>
                <w:szCs w:val="14"/>
                <w:b w:val="1"/>
                <w:bCs w:val="1"/>
                <w:color w:val="auto"/>
              </w:rPr>
              <w:t>Fullbridge, Inc.</w:t>
            </w:r>
          </w:p>
        </w:tc>
        <w:tc>
          <w:tcPr>
            <w:tcW w:w="2880" w:type="dxa"/>
            <w:vAlign w:val="bottom"/>
            <w:gridSpan w:val="2"/>
          </w:tcPr>
          <w:p>
            <w:pPr>
              <w:jc w:val="center"/>
              <w:spacing w:after="0"/>
              <w:rPr>
                <w:sz w:val="20"/>
                <w:szCs w:val="20"/>
                <w:color w:val="auto"/>
              </w:rPr>
            </w:pPr>
            <w:r>
              <w:rPr>
                <w:rFonts w:ascii="Arial" w:cs="Arial" w:eastAsia="Arial" w:hAnsi="Arial"/>
                <w:sz w:val="14"/>
                <w:szCs w:val="14"/>
                <w:color w:val="auto"/>
                <w:w w:val="96"/>
              </w:rPr>
              <w:t>Cambridge, MA</w:t>
            </w:r>
          </w:p>
        </w:tc>
        <w:tc>
          <w:tcPr>
            <w:tcW w:w="1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1"/>
        </w:trPr>
        <w:tc>
          <w:tcPr>
            <w:tcW w:w="4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84"/>
        </w:trPr>
        <w:tc>
          <w:tcPr>
            <w:tcW w:w="3200" w:type="dxa"/>
            <w:vAlign w:val="bottom"/>
            <w:gridSpan w:val="7"/>
            <w:shd w:val="clear" w:color="auto" w:fill="CCEEFF"/>
          </w:tcPr>
          <w:p>
            <w:pPr>
              <w:ind w:left="40"/>
              <w:spacing w:after="0"/>
              <w:rPr>
                <w:sz w:val="20"/>
                <w:szCs w:val="20"/>
                <w:color w:val="auto"/>
              </w:rPr>
            </w:pPr>
            <w:r>
              <w:rPr>
                <w:rFonts w:ascii="Arial" w:cs="Arial" w:eastAsia="Arial" w:hAnsi="Arial"/>
                <w:sz w:val="14"/>
                <w:szCs w:val="14"/>
                <w:color w:val="auto"/>
              </w:rPr>
              <w:t>Common shares</w:t>
            </w:r>
          </w:p>
        </w:tc>
        <w:tc>
          <w:tcPr>
            <w:tcW w:w="288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2"/>
              </w:rPr>
              <w:t>Business Education</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5/13/2012</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517,917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6,150,506</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51"/>
        </w:trPr>
        <w:tc>
          <w:tcPr>
            <w:tcW w:w="3200" w:type="dxa"/>
            <w:vAlign w:val="bottom"/>
            <w:tcBorders>
              <w:bottom w:val="single" w:sz="8" w:color="CCEEFF"/>
            </w:tcBorders>
            <w:gridSpan w:val="7"/>
          </w:tcPr>
          <w:p>
            <w:pPr>
              <w:ind w:left="40"/>
              <w:spacing w:after="0"/>
              <w:rPr>
                <w:sz w:val="20"/>
                <w:szCs w:val="20"/>
                <w:color w:val="auto"/>
              </w:rPr>
            </w:pPr>
            <w:r>
              <w:rPr>
                <w:rFonts w:ascii="Arial" w:cs="Arial" w:eastAsia="Arial" w:hAnsi="Arial"/>
                <w:sz w:val="14"/>
                <w:szCs w:val="14"/>
                <w:color w:val="auto"/>
              </w:rPr>
              <w:t>Promissory Note 1.49% Due 11/9/2021</w:t>
            </w:r>
            <w:r>
              <w:rPr>
                <w:rFonts w:ascii="Arial" w:cs="Arial" w:eastAsia="Arial" w:hAnsi="Arial"/>
                <w:sz w:val="8"/>
                <w:szCs w:val="8"/>
                <w:color w:val="auto"/>
              </w:rPr>
              <w:t>(4)</w:t>
            </w:r>
          </w:p>
        </w:tc>
        <w:tc>
          <w:tcPr>
            <w:tcW w:w="27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14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1"/>
              </w:rPr>
              <w:t>3/3/2016</w:t>
            </w:r>
          </w:p>
        </w:tc>
        <w:tc>
          <w:tcPr>
            <w:tcW w:w="100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color w:val="auto"/>
              </w:rPr>
              <w:t>$  2,270,458</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2,270,858</w:t>
            </w:r>
          </w:p>
        </w:tc>
        <w:tc>
          <w:tcPr>
            <w:tcW w:w="10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64"/>
        </w:trPr>
        <w:tc>
          <w:tcPr>
            <w:tcW w:w="40" w:type="dxa"/>
            <w:vAlign w:val="bottom"/>
            <w:shd w:val="clear" w:color="auto" w:fill="CCEEFF"/>
          </w:tcPr>
          <w:p>
            <w:pPr>
              <w:spacing w:after="0"/>
              <w:rPr>
                <w:sz w:val="22"/>
                <w:szCs w:val="22"/>
                <w:color w:val="auto"/>
              </w:rPr>
            </w:pPr>
          </w:p>
        </w:tc>
        <w:tc>
          <w:tcPr>
            <w:tcW w:w="3160" w:type="dxa"/>
            <w:vAlign w:val="bottom"/>
            <w:gridSpan w:val="6"/>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27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8,421,364</w:t>
            </w:r>
          </w:p>
        </w:tc>
        <w:tc>
          <w:tcPr>
            <w:tcW w:w="1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83"/>
        </w:trPr>
        <w:tc>
          <w:tcPr>
            <w:tcW w:w="40" w:type="dxa"/>
            <w:vAlign w:val="bottom"/>
            <w:tcBorders>
              <w:top w:val="single" w:sz="8" w:color="CCEEFF"/>
            </w:tcBorders>
          </w:tcPr>
          <w:p>
            <w:pPr>
              <w:spacing w:after="0"/>
              <w:rPr>
                <w:sz w:val="24"/>
                <w:szCs w:val="24"/>
                <w:color w:val="auto"/>
              </w:rPr>
            </w:pPr>
          </w:p>
        </w:tc>
        <w:tc>
          <w:tcPr>
            <w:tcW w:w="70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580" w:type="dxa"/>
            <w:vAlign w:val="bottom"/>
            <w:tcBorders>
              <w:top w:val="single" w:sz="8" w:color="CCEEFF"/>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700" w:type="dxa"/>
            <w:vAlign w:val="bottom"/>
            <w:tcBorders>
              <w:top w:val="single" w:sz="8" w:color="CCEEFF"/>
            </w:tcBorders>
          </w:tcPr>
          <w:p>
            <w:pPr>
              <w:spacing w:after="0"/>
              <w:rPr>
                <w:sz w:val="24"/>
                <w:szCs w:val="24"/>
                <w:color w:val="auto"/>
              </w:rPr>
            </w:pPr>
          </w:p>
        </w:tc>
        <w:tc>
          <w:tcPr>
            <w:tcW w:w="500" w:type="dxa"/>
            <w:vAlign w:val="bottom"/>
            <w:tcBorders>
              <w:top w:val="single" w:sz="8" w:color="CCEEFF"/>
            </w:tcBorders>
          </w:tcPr>
          <w:p>
            <w:pPr>
              <w:spacing w:after="0"/>
              <w:rPr>
                <w:sz w:val="24"/>
                <w:szCs w:val="24"/>
                <w:color w:val="auto"/>
              </w:rPr>
            </w:pPr>
          </w:p>
        </w:tc>
        <w:tc>
          <w:tcPr>
            <w:tcW w:w="2760" w:type="dxa"/>
            <w:vAlign w:val="bottom"/>
            <w:tcBorders>
              <w:top w:val="single" w:sz="8" w:color="CCEEFF"/>
            </w:tcBorders>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Borders>
              <w:top w:val="single" w:sz="8" w:color="CCEEFF"/>
            </w:tcBorders>
          </w:tcPr>
          <w:p>
            <w:pPr>
              <w:spacing w:after="0"/>
              <w:rPr>
                <w:sz w:val="24"/>
                <w:szCs w:val="24"/>
                <w:color w:val="auto"/>
              </w:rPr>
            </w:pPr>
          </w:p>
        </w:tc>
        <w:tc>
          <w:tcPr>
            <w:tcW w:w="1000" w:type="dxa"/>
            <w:vAlign w:val="bottom"/>
            <w:tcBorders>
              <w:top w:val="single" w:sz="8" w:color="CCEEFF"/>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r>
      <w:tr>
        <w:trPr>
          <w:trHeight w:val="270"/>
        </w:trPr>
        <w:tc>
          <w:tcPr>
            <w:tcW w:w="40" w:type="dxa"/>
            <w:vAlign w:val="bottom"/>
            <w:shd w:val="clear" w:color="auto" w:fill="CCEEFF"/>
          </w:tcPr>
          <w:p>
            <w:pPr>
              <w:spacing w:after="0"/>
              <w:rPr>
                <w:sz w:val="23"/>
                <w:szCs w:val="23"/>
                <w:color w:val="auto"/>
              </w:rPr>
            </w:pPr>
          </w:p>
        </w:tc>
        <w:tc>
          <w:tcPr>
            <w:tcW w:w="3160" w:type="dxa"/>
            <w:vAlign w:val="bottom"/>
            <w:gridSpan w:val="6"/>
            <w:shd w:val="clear" w:color="auto" w:fill="CCEEFF"/>
          </w:tcPr>
          <w:p>
            <w:pPr>
              <w:ind w:left="140"/>
              <w:spacing w:after="0"/>
              <w:rPr>
                <w:sz w:val="20"/>
                <w:szCs w:val="20"/>
                <w:color w:val="auto"/>
              </w:rPr>
            </w:pPr>
            <w:r>
              <w:rPr>
                <w:rFonts w:ascii="Arial" w:cs="Arial" w:eastAsia="Arial" w:hAnsi="Arial"/>
                <w:sz w:val="14"/>
                <w:szCs w:val="14"/>
                <w:b w:val="1"/>
                <w:bCs w:val="1"/>
                <w:color w:val="auto"/>
              </w:rPr>
              <w:t>Total Non-controlled/Non-affiliate</w:t>
            </w:r>
          </w:p>
        </w:tc>
        <w:tc>
          <w:tcPr>
            <w:tcW w:w="27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w w:val="97"/>
              </w:rPr>
              <w:t>102,192,243</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$ 181,222,034</w:t>
            </w:r>
          </w:p>
        </w:tc>
        <w:tc>
          <w:tcPr>
            <w:tcW w:w="10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84.92%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-539750</wp:posOffset>
            </wp:positionV>
            <wp:extent cx="521398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2139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-2649220</wp:posOffset>
            </wp:positionV>
            <wp:extent cx="521398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4"/>
          <w:szCs w:val="14"/>
          <w:i w:val="1"/>
          <w:iCs w:val="1"/>
          <w:color w:val="auto"/>
        </w:rPr>
        <w:t>See accompanying notes to condensed consolidated financial statements.</w:t>
      </w:r>
    </w:p>
    <w:p>
      <w:pPr>
        <w:sectPr>
          <w:pgSz w:w="11900" w:h="16838" w:orient="portrait"/>
          <w:cols w:equalWidth="0" w:num="1">
            <w:col w:w="11420"/>
          </w:cols>
          <w:pgMar w:left="240" w:top="121" w:right="239" w:bottom="800" w:gutter="0" w:footer="0" w:header="0"/>
          <w:type w:val="continuous"/>
        </w:sect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1" w:right="239" w:bottom="800" w:gutter="0" w:footer="0" w:header="0"/>
          <w:type w:val="continuous"/>
        </w:sectPr>
      </w:pPr>
    </w:p>
    <w:bookmarkStart w:id="7" w:name="page8"/>
    <w:bookmarkEnd w:id="7"/>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SCHEDULE OF INVESTMENTS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2018</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gridSpan w:val="8"/>
            <w:vMerge w:val="restart"/>
          </w:tcPr>
          <w:p>
            <w:pPr>
              <w:ind w:left="40"/>
              <w:spacing w:after="0"/>
              <w:rPr>
                <w:sz w:val="20"/>
                <w:szCs w:val="20"/>
                <w:color w:val="auto"/>
              </w:rPr>
            </w:pPr>
            <w:r>
              <w:rPr>
                <w:rFonts w:ascii="Arial" w:cs="Arial" w:eastAsia="Arial" w:hAnsi="Arial"/>
                <w:sz w:val="14"/>
                <w:szCs w:val="14"/>
                <w:b w:val="1"/>
                <w:bCs w:val="1"/>
                <w:color w:val="auto"/>
              </w:rPr>
              <w:t>Portfolio Investments*</w:t>
            </w:r>
          </w:p>
        </w:tc>
        <w:tc>
          <w:tcPr>
            <w:tcW w:w="120" w:type="dxa"/>
            <w:vAlign w:val="bottom"/>
          </w:tcPr>
          <w:p>
            <w:pPr>
              <w:spacing w:after="0"/>
              <w:rPr>
                <w:sz w:val="14"/>
                <w:szCs w:val="14"/>
                <w:color w:val="auto"/>
              </w:rPr>
            </w:pPr>
          </w:p>
        </w:tc>
        <w:tc>
          <w:tcPr>
            <w:tcW w:w="2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Headquarters/</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7"/>
              </w:rPr>
              <w:t>Date of Initial</w:t>
            </w:r>
          </w:p>
        </w:tc>
        <w:tc>
          <w:tcPr>
            <w:tcW w:w="22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Shares/</w:t>
            </w:r>
          </w:p>
        </w:tc>
        <w:tc>
          <w:tcPr>
            <w:tcW w:w="180" w:type="dxa"/>
            <w:vAlign w:val="bottom"/>
          </w:tcPr>
          <w:p>
            <w:pPr>
              <w:spacing w:after="0"/>
              <w:rPr>
                <w:sz w:val="14"/>
                <w:szCs w:val="14"/>
                <w:color w:val="auto"/>
              </w:rPr>
            </w:pPr>
          </w:p>
        </w:tc>
        <w:tc>
          <w:tcPr>
            <w:tcW w:w="9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4"/>
                <w:szCs w:val="14"/>
                <w:color w:val="auto"/>
              </w:rPr>
            </w:pPr>
          </w:p>
        </w:tc>
        <w:tc>
          <w:tcPr>
            <w:tcW w:w="9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860" w:type="dxa"/>
            <w:vAlign w:val="bottom"/>
          </w:tcPr>
          <w:p>
            <w:pPr>
              <w:jc w:val="right"/>
              <w:ind w:right="68"/>
              <w:spacing w:after="0"/>
              <w:rPr>
                <w:sz w:val="20"/>
                <w:szCs w:val="20"/>
                <w:color w:val="auto"/>
              </w:rPr>
            </w:pPr>
            <w:r>
              <w:rPr>
                <w:rFonts w:ascii="Arial" w:cs="Arial" w:eastAsia="Arial" w:hAnsi="Arial"/>
                <w:sz w:val="14"/>
                <w:szCs w:val="14"/>
                <w:b w:val="1"/>
                <w:bCs w:val="1"/>
                <w:color w:val="auto"/>
              </w:rPr>
              <w:t>% of Net</w:t>
            </w:r>
          </w:p>
        </w:tc>
        <w:tc>
          <w:tcPr>
            <w:tcW w:w="0" w:type="dxa"/>
            <w:vAlign w:val="bottom"/>
          </w:tcPr>
          <w:p>
            <w:pPr>
              <w:spacing w:after="0"/>
              <w:rPr>
                <w:sz w:val="1"/>
                <w:szCs w:val="1"/>
                <w:color w:val="auto"/>
              </w:rPr>
            </w:pPr>
          </w:p>
        </w:tc>
      </w:tr>
      <w:tr>
        <w:trPr>
          <w:trHeight w:val="192"/>
        </w:trPr>
        <w:tc>
          <w:tcPr>
            <w:tcW w:w="3340" w:type="dxa"/>
            <w:vAlign w:val="bottom"/>
            <w:gridSpan w:val="8"/>
            <w:vMerge w:val="continue"/>
          </w:tcPr>
          <w:p>
            <w:pPr>
              <w:spacing w:after="0"/>
              <w:rPr>
                <w:sz w:val="16"/>
                <w:szCs w:val="16"/>
                <w:color w:val="auto"/>
              </w:rPr>
            </w:pPr>
          </w:p>
        </w:tc>
        <w:tc>
          <w:tcPr>
            <w:tcW w:w="120" w:type="dxa"/>
            <w:vAlign w:val="bottom"/>
          </w:tcPr>
          <w:p>
            <w:pPr>
              <w:spacing w:after="0"/>
              <w:rPr>
                <w:sz w:val="16"/>
                <w:szCs w:val="16"/>
                <w:color w:val="auto"/>
              </w:rPr>
            </w:pPr>
          </w:p>
        </w:tc>
        <w:tc>
          <w:tcPr>
            <w:tcW w:w="2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Industry</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4"/>
              </w:rPr>
              <w:t>Investment</w:t>
            </w:r>
          </w:p>
        </w:tc>
        <w:tc>
          <w:tcPr>
            <w:tcW w:w="22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Principal</w:t>
            </w:r>
          </w:p>
        </w:tc>
        <w:tc>
          <w:tcPr>
            <w:tcW w:w="1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860" w:type="dxa"/>
            <w:vAlign w:val="bottom"/>
          </w:tcPr>
          <w:p>
            <w:pPr>
              <w:jc w:val="right"/>
              <w:ind w:right="168"/>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76"/>
        </w:trPr>
        <w:tc>
          <w:tcPr>
            <w:tcW w:w="3340" w:type="dxa"/>
            <w:vAlign w:val="bottom"/>
            <w:gridSpan w:val="8"/>
            <w:shd w:val="clear" w:color="auto" w:fill="CCEEFF"/>
          </w:tcPr>
          <w:p>
            <w:pPr>
              <w:ind w:left="40"/>
              <w:spacing w:after="0"/>
              <w:rPr>
                <w:sz w:val="20"/>
                <w:szCs w:val="20"/>
                <w:color w:val="auto"/>
              </w:rPr>
            </w:pPr>
            <w:r>
              <w:rPr>
                <w:rFonts w:ascii="Arial" w:cs="Arial" w:eastAsia="Arial" w:hAnsi="Arial"/>
                <w:sz w:val="14"/>
                <w:szCs w:val="14"/>
                <w:b w:val="1"/>
                <w:bCs w:val="1"/>
                <w:color w:val="auto"/>
              </w:rPr>
              <w:t>NON-CONTROLLED/AFFILIATE</w:t>
            </w:r>
            <w:r>
              <w:rPr>
                <w:rFonts w:ascii="Arial" w:cs="Arial" w:eastAsia="Arial" w:hAnsi="Arial"/>
                <w:sz w:val="8"/>
                <w:szCs w:val="8"/>
                <w:color w:val="auto"/>
              </w:rPr>
              <w:t>(1)</w:t>
            </w:r>
          </w:p>
        </w:tc>
        <w:tc>
          <w:tcPr>
            <w:tcW w:w="120" w:type="dxa"/>
            <w:vAlign w:val="bottom"/>
            <w:shd w:val="clear" w:color="auto" w:fill="CCEEFF"/>
          </w:tcPr>
          <w:p>
            <w:pPr>
              <w:spacing w:after="0"/>
              <w:rPr>
                <w:sz w:val="24"/>
                <w:szCs w:val="24"/>
                <w:color w:val="auto"/>
              </w:rPr>
            </w:pPr>
          </w:p>
        </w:tc>
        <w:tc>
          <w:tcPr>
            <w:tcW w:w="2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340" w:type="dxa"/>
            <w:vAlign w:val="bottom"/>
            <w:gridSpan w:val="8"/>
          </w:tcPr>
          <w:p>
            <w:pPr>
              <w:ind w:left="40"/>
              <w:spacing w:after="0"/>
              <w:rPr>
                <w:sz w:val="20"/>
                <w:szCs w:val="20"/>
                <w:color w:val="auto"/>
              </w:rPr>
            </w:pPr>
            <w:r>
              <w:rPr>
                <w:rFonts w:ascii="Arial" w:cs="Arial" w:eastAsia="Arial" w:hAnsi="Arial"/>
                <w:sz w:val="14"/>
                <w:szCs w:val="14"/>
                <w:b w:val="1"/>
                <w:bCs w:val="1"/>
                <w:color w:val="auto"/>
              </w:rPr>
              <w:t>Ozy Media, Inc.</w:t>
            </w:r>
          </w:p>
        </w:tc>
        <w:tc>
          <w:tcPr>
            <w:tcW w:w="120" w:type="dxa"/>
            <w:vAlign w:val="bottom"/>
          </w:tcPr>
          <w:p>
            <w:pPr>
              <w:spacing w:after="0"/>
              <w:rPr>
                <w:sz w:val="19"/>
                <w:szCs w:val="19"/>
                <w:color w:val="auto"/>
              </w:rPr>
            </w:pPr>
          </w:p>
        </w:tc>
        <w:tc>
          <w:tcPr>
            <w:tcW w:w="2620" w:type="dxa"/>
            <w:vAlign w:val="bottom"/>
            <w:gridSpan w:val="2"/>
          </w:tcPr>
          <w:p>
            <w:pPr>
              <w:jc w:val="center"/>
              <w:ind w:right="140"/>
              <w:spacing w:after="0"/>
              <w:rPr>
                <w:sz w:val="20"/>
                <w:szCs w:val="20"/>
                <w:color w:val="auto"/>
              </w:rPr>
            </w:pPr>
            <w:r>
              <w:rPr>
                <w:rFonts w:ascii="Arial" w:cs="Arial" w:eastAsia="Arial" w:hAnsi="Arial"/>
                <w:sz w:val="14"/>
                <w:szCs w:val="14"/>
                <w:color w:val="auto"/>
                <w:w w:val="97"/>
              </w:rPr>
              <w:t>Mountain View, CA</w:t>
            </w: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gridSpan w:val="8"/>
            <w:shd w:val="clear" w:color="auto" w:fill="CCEEFF"/>
          </w:tcPr>
          <w:p>
            <w:pPr>
              <w:ind w:left="40"/>
              <w:spacing w:after="0"/>
              <w:rPr>
                <w:sz w:val="20"/>
                <w:szCs w:val="20"/>
                <w:color w:val="auto"/>
              </w:rPr>
            </w:pPr>
            <w:r>
              <w:rPr>
                <w:rFonts w:ascii="Arial" w:cs="Arial" w:eastAsia="Arial" w:hAnsi="Arial"/>
                <w:sz w:val="14"/>
                <w:szCs w:val="14"/>
                <w:color w:val="auto"/>
              </w:rPr>
              <w:t>Convertible Promissory Note 5% Due 10/31/2018</w:t>
            </w:r>
            <w:r>
              <w:rPr>
                <w:rFonts w:ascii="Arial" w:cs="Arial" w:eastAsia="Arial" w:hAnsi="Arial"/>
                <w:sz w:val="8"/>
                <w:szCs w:val="8"/>
                <w:color w:val="auto"/>
              </w:rPr>
              <w:t>(11)</w:t>
            </w:r>
          </w:p>
        </w:tc>
        <w:tc>
          <w:tcPr>
            <w:tcW w:w="120" w:type="dxa"/>
            <w:vAlign w:val="bottom"/>
            <w:shd w:val="clear" w:color="auto" w:fill="CCEEFF"/>
          </w:tcPr>
          <w:p>
            <w:pPr>
              <w:spacing w:after="0"/>
              <w:rPr>
                <w:sz w:val="23"/>
                <w:szCs w:val="23"/>
                <w:color w:val="auto"/>
              </w:rPr>
            </w:pPr>
          </w:p>
        </w:tc>
        <w:tc>
          <w:tcPr>
            <w:tcW w:w="26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7"/>
              </w:rPr>
              <w:t>Digital Media Platform</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8/31/2016</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2,102,384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2,097,646</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3,153,576</w:t>
            </w:r>
          </w:p>
        </w:tc>
        <w:tc>
          <w:tcPr>
            <w:tcW w:w="10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264"/>
        </w:trPr>
        <w:tc>
          <w:tcPr>
            <w:tcW w:w="3340" w:type="dxa"/>
            <w:vAlign w:val="bottom"/>
            <w:gridSpan w:val="8"/>
          </w:tcPr>
          <w:p>
            <w:pPr>
              <w:ind w:left="40"/>
              <w:spacing w:after="0"/>
              <w:rPr>
                <w:sz w:val="20"/>
                <w:szCs w:val="20"/>
                <w:color w:val="auto"/>
              </w:rPr>
            </w:pPr>
            <w:r>
              <w:rPr>
                <w:rFonts w:ascii="Arial" w:cs="Arial" w:eastAsia="Arial" w:hAnsi="Arial"/>
                <w:sz w:val="14"/>
                <w:szCs w:val="14"/>
                <w:color w:val="auto"/>
              </w:rPr>
              <w:t>Preferred shares, Series B 6%</w:t>
            </w:r>
          </w:p>
        </w:tc>
        <w:tc>
          <w:tcPr>
            <w:tcW w:w="12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w w:val="93"/>
              </w:rPr>
              <w:t>10/3/2014</w:t>
            </w:r>
          </w:p>
        </w:tc>
        <w:tc>
          <w:tcPr>
            <w:tcW w:w="2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922,509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4,999,999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3340" w:type="dxa"/>
            <w:vAlign w:val="bottom"/>
            <w:gridSpan w:val="8"/>
            <w:shd w:val="clear" w:color="auto" w:fill="CCEEFF"/>
          </w:tcPr>
          <w:p>
            <w:pPr>
              <w:ind w:left="40"/>
              <w:spacing w:after="0"/>
              <w:rPr>
                <w:sz w:val="20"/>
                <w:szCs w:val="20"/>
                <w:color w:val="auto"/>
              </w:rPr>
            </w:pPr>
            <w:r>
              <w:rPr>
                <w:rFonts w:ascii="Arial" w:cs="Arial" w:eastAsia="Arial" w:hAnsi="Arial"/>
                <w:sz w:val="14"/>
                <w:szCs w:val="14"/>
                <w:color w:val="auto"/>
              </w:rPr>
              <w:t>Preferred shares, Series A 6%</w:t>
            </w:r>
          </w:p>
        </w:tc>
        <w:tc>
          <w:tcPr>
            <w:tcW w:w="120" w:type="dxa"/>
            <w:vAlign w:val="bottom"/>
            <w:shd w:val="clear" w:color="auto" w:fill="CCEEFF"/>
          </w:tcPr>
          <w:p>
            <w:pPr>
              <w:spacing w:after="0"/>
              <w:rPr>
                <w:sz w:val="24"/>
                <w:szCs w:val="24"/>
                <w:color w:val="auto"/>
              </w:rPr>
            </w:pPr>
          </w:p>
        </w:tc>
        <w:tc>
          <w:tcPr>
            <w:tcW w:w="2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12/11/2013</w:t>
            </w: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1,090,909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3,000,200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340" w:type="dxa"/>
            <w:vAlign w:val="bottom"/>
            <w:gridSpan w:val="8"/>
          </w:tcPr>
          <w:p>
            <w:pPr>
              <w:ind w:left="40"/>
              <w:spacing w:after="0"/>
              <w:rPr>
                <w:sz w:val="20"/>
                <w:szCs w:val="20"/>
                <w:color w:val="auto"/>
              </w:rPr>
            </w:pPr>
            <w:r>
              <w:rPr>
                <w:rFonts w:ascii="Arial" w:cs="Arial" w:eastAsia="Arial" w:hAnsi="Arial"/>
                <w:sz w:val="14"/>
                <w:szCs w:val="14"/>
                <w:color w:val="auto"/>
              </w:rPr>
              <w:t>Preferred shares, Series Seed 6%</w:t>
            </w:r>
          </w:p>
        </w:tc>
        <w:tc>
          <w:tcPr>
            <w:tcW w:w="12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w w:val="93"/>
              </w:rPr>
              <w:t>11/2/2012</w:t>
            </w:r>
          </w:p>
        </w:tc>
        <w:tc>
          <w:tcPr>
            <w:tcW w:w="2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500,000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500,000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3340" w:type="dxa"/>
            <w:vAlign w:val="bottom"/>
            <w:gridSpan w:val="8"/>
            <w:shd w:val="clear" w:color="auto" w:fill="CCEEFF"/>
          </w:tcPr>
          <w:p>
            <w:pPr>
              <w:ind w:left="40"/>
              <w:spacing w:after="0"/>
              <w:rPr>
                <w:sz w:val="20"/>
                <w:szCs w:val="20"/>
                <w:color w:val="auto"/>
              </w:rPr>
            </w:pPr>
            <w:r>
              <w:rPr>
                <w:rFonts w:ascii="Arial" w:cs="Arial" w:eastAsia="Arial" w:hAnsi="Arial"/>
                <w:sz w:val="14"/>
                <w:szCs w:val="14"/>
                <w:color w:val="auto"/>
                <w:w w:val="96"/>
              </w:rPr>
              <w:t>Common Warrants, Strike Price $0.01, Expiration Date</w:t>
            </w:r>
          </w:p>
        </w:tc>
        <w:tc>
          <w:tcPr>
            <w:tcW w:w="120" w:type="dxa"/>
            <w:vAlign w:val="bottom"/>
            <w:shd w:val="clear" w:color="auto" w:fill="CCEEFF"/>
          </w:tcPr>
          <w:p>
            <w:pPr>
              <w:spacing w:after="0"/>
              <w:rPr>
                <w:sz w:val="15"/>
                <w:szCs w:val="15"/>
                <w:color w:val="auto"/>
              </w:rPr>
            </w:pPr>
          </w:p>
        </w:tc>
        <w:tc>
          <w:tcPr>
            <w:tcW w:w="2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8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4/9/2028</w:t>
            </w:r>
            <w:r>
              <w:rPr>
                <w:rFonts w:ascii="Arial" w:cs="Arial" w:eastAsia="Arial" w:hAnsi="Arial"/>
                <w:sz w:val="8"/>
                <w:szCs w:val="8"/>
                <w:color w:val="auto"/>
              </w:rPr>
              <w:t>(11)</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4/9/2018</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295,565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30,647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3300" w:type="dxa"/>
            <w:vAlign w:val="bottom"/>
            <w:tcBorders>
              <w:bottom w:val="single" w:sz="8" w:color="CCEEFF"/>
            </w:tcBorders>
            <w:gridSpan w:val="7"/>
          </w:tcPr>
          <w:p>
            <w:pPr>
              <w:ind w:left="140"/>
              <w:spacing w:after="0"/>
              <w:rPr>
                <w:sz w:val="20"/>
                <w:szCs w:val="20"/>
                <w:color w:val="auto"/>
              </w:rPr>
            </w:pPr>
            <w:r>
              <w:rPr>
                <w:rFonts w:ascii="Arial" w:cs="Arial" w:eastAsia="Arial" w:hAnsi="Arial"/>
                <w:sz w:val="14"/>
                <w:szCs w:val="14"/>
                <w:color w:val="auto"/>
              </w:rPr>
              <w:t>Total</w:t>
            </w:r>
          </w:p>
        </w:tc>
        <w:tc>
          <w:tcPr>
            <w:tcW w:w="120" w:type="dxa"/>
            <w:vAlign w:val="bottom"/>
            <w:tcBorders>
              <w:bottom w:val="single" w:sz="8" w:color="CCEEFF"/>
            </w:tcBorders>
          </w:tcPr>
          <w:p>
            <w:pPr>
              <w:spacing w:after="0"/>
              <w:rPr>
                <w:sz w:val="22"/>
                <w:szCs w:val="22"/>
                <w:color w:val="auto"/>
              </w:rPr>
            </w:pPr>
          </w:p>
        </w:tc>
        <w:tc>
          <w:tcPr>
            <w:tcW w:w="25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14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10,628,492</w:t>
            </w:r>
          </w:p>
        </w:tc>
        <w:tc>
          <w:tcPr>
            <w:tcW w:w="10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3,153,576</w:t>
            </w:r>
          </w:p>
        </w:tc>
        <w:tc>
          <w:tcPr>
            <w:tcW w:w="100" w:type="dxa"/>
            <w:vAlign w:val="bottom"/>
            <w:tcBorders>
              <w:bottom w:val="single" w:sz="8" w:color="CCEEFF"/>
            </w:tcBorders>
          </w:tcPr>
          <w:p>
            <w:pPr>
              <w:spacing w:after="0"/>
              <w:rPr>
                <w:sz w:val="22"/>
                <w:szCs w:val="2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229"/>
        </w:trPr>
        <w:tc>
          <w:tcPr>
            <w:tcW w:w="3340" w:type="dxa"/>
            <w:vAlign w:val="bottom"/>
            <w:gridSpan w:val="8"/>
            <w:shd w:val="clear" w:color="auto" w:fill="CCEEFF"/>
          </w:tcPr>
          <w:p>
            <w:pPr>
              <w:ind w:left="40"/>
              <w:spacing w:after="0"/>
              <w:rPr>
                <w:sz w:val="20"/>
                <w:szCs w:val="20"/>
                <w:color w:val="auto"/>
              </w:rPr>
            </w:pPr>
            <w:r>
              <w:rPr>
                <w:rFonts w:ascii="Arial" w:cs="Arial" w:eastAsia="Arial" w:hAnsi="Arial"/>
                <w:sz w:val="14"/>
                <w:szCs w:val="14"/>
                <w:b w:val="1"/>
                <w:bCs w:val="1"/>
                <w:color w:val="auto"/>
              </w:rPr>
              <w:t>CUX, Inc. (d/b/a CorpU)</w:t>
            </w:r>
          </w:p>
        </w:tc>
        <w:tc>
          <w:tcPr>
            <w:tcW w:w="120" w:type="dxa"/>
            <w:vAlign w:val="bottom"/>
            <w:shd w:val="clear" w:color="auto" w:fill="CCEEFF"/>
          </w:tcPr>
          <w:p>
            <w:pPr>
              <w:spacing w:after="0"/>
              <w:rPr>
                <w:sz w:val="19"/>
                <w:szCs w:val="19"/>
                <w:color w:val="auto"/>
              </w:rPr>
            </w:pPr>
          </w:p>
        </w:tc>
        <w:tc>
          <w:tcPr>
            <w:tcW w:w="262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3"/>
              </w:rPr>
              <w:t>Philadelphia, PA</w:t>
            </w: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340" w:type="dxa"/>
            <w:vAlign w:val="bottom"/>
            <w:gridSpan w:val="8"/>
          </w:tcPr>
          <w:p>
            <w:pPr>
              <w:ind w:left="40"/>
              <w:spacing w:after="0" w:line="157" w:lineRule="exact"/>
              <w:rPr>
                <w:sz w:val="20"/>
                <w:szCs w:val="20"/>
                <w:color w:val="auto"/>
              </w:rPr>
            </w:pPr>
            <w:r>
              <w:rPr>
                <w:rFonts w:ascii="Arial" w:cs="Arial" w:eastAsia="Arial" w:hAnsi="Arial"/>
                <w:sz w:val="14"/>
                <w:szCs w:val="14"/>
                <w:color w:val="auto"/>
                <w:w w:val="98"/>
              </w:rPr>
              <w:t>Senior Subordinated Convertible Promissory Note 8%</w:t>
            </w:r>
          </w:p>
        </w:tc>
        <w:tc>
          <w:tcPr>
            <w:tcW w:w="12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340" w:type="dxa"/>
            <w:vAlign w:val="bottom"/>
            <w:gridSpan w:val="8"/>
          </w:tcPr>
          <w:p>
            <w:pPr>
              <w:ind w:left="40"/>
              <w:spacing w:after="0"/>
              <w:rPr>
                <w:sz w:val="20"/>
                <w:szCs w:val="20"/>
                <w:color w:val="auto"/>
              </w:rPr>
            </w:pPr>
            <w:r>
              <w:rPr>
                <w:rFonts w:ascii="Arial" w:cs="Arial" w:eastAsia="Arial" w:hAnsi="Arial"/>
                <w:sz w:val="14"/>
                <w:szCs w:val="14"/>
                <w:color w:val="auto"/>
              </w:rPr>
              <w:t>Due 11/26/2018***</w:t>
            </w:r>
            <w:r>
              <w:rPr>
                <w:rFonts w:ascii="Arial" w:cs="Arial" w:eastAsia="Arial" w:hAnsi="Arial"/>
                <w:sz w:val="8"/>
                <w:szCs w:val="8"/>
                <w:color w:val="auto"/>
              </w:rPr>
              <w:t>(6)</w:t>
            </w:r>
          </w:p>
        </w:tc>
        <w:tc>
          <w:tcPr>
            <w:tcW w:w="120" w:type="dxa"/>
            <w:vAlign w:val="bottom"/>
          </w:tcPr>
          <w:p>
            <w:pPr>
              <w:spacing w:after="0"/>
              <w:rPr>
                <w:sz w:val="16"/>
                <w:szCs w:val="16"/>
                <w:color w:val="auto"/>
              </w:rPr>
            </w:pPr>
          </w:p>
        </w:tc>
        <w:tc>
          <w:tcPr>
            <w:tcW w:w="262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Corporate Education</w:t>
            </w:r>
          </w:p>
        </w:tc>
        <w:tc>
          <w:tcPr>
            <w:tcW w:w="1140" w:type="dxa"/>
            <w:vAlign w:val="bottom"/>
          </w:tcPr>
          <w:p>
            <w:pPr>
              <w:jc w:val="center"/>
              <w:spacing w:after="0"/>
              <w:rPr>
                <w:sz w:val="20"/>
                <w:szCs w:val="20"/>
                <w:color w:val="auto"/>
              </w:rPr>
            </w:pPr>
            <w:r>
              <w:rPr>
                <w:rFonts w:ascii="Arial" w:cs="Arial" w:eastAsia="Arial" w:hAnsi="Arial"/>
                <w:sz w:val="14"/>
                <w:szCs w:val="14"/>
                <w:color w:val="auto"/>
                <w:w w:val="94"/>
              </w:rPr>
              <w:t>11/26/2014</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1,259,712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1,259,712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1,259,712</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0.59%</w:t>
            </w:r>
          </w:p>
        </w:tc>
        <w:tc>
          <w:tcPr>
            <w:tcW w:w="0" w:type="dxa"/>
            <w:vAlign w:val="bottom"/>
          </w:tcPr>
          <w:p>
            <w:pPr>
              <w:spacing w:after="0"/>
              <w:rPr>
                <w:sz w:val="1"/>
                <w:szCs w:val="1"/>
                <w:color w:val="auto"/>
              </w:rPr>
            </w:pPr>
          </w:p>
        </w:tc>
      </w:tr>
      <w:tr>
        <w:trPr>
          <w:trHeight w:val="276"/>
        </w:trPr>
        <w:tc>
          <w:tcPr>
            <w:tcW w:w="3340" w:type="dxa"/>
            <w:vAlign w:val="bottom"/>
            <w:gridSpan w:val="8"/>
            <w:shd w:val="clear" w:color="auto" w:fill="CCEEFF"/>
          </w:tcPr>
          <w:p>
            <w:pPr>
              <w:ind w:left="40"/>
              <w:spacing w:after="0"/>
              <w:rPr>
                <w:sz w:val="20"/>
                <w:szCs w:val="20"/>
                <w:color w:val="auto"/>
              </w:rPr>
            </w:pPr>
            <w:r>
              <w:rPr>
                <w:rFonts w:ascii="Arial" w:cs="Arial" w:eastAsia="Arial" w:hAnsi="Arial"/>
                <w:sz w:val="14"/>
                <w:szCs w:val="14"/>
                <w:color w:val="auto"/>
              </w:rPr>
              <w:t>Convertible preferred shares, Series D 6%</w:t>
            </w:r>
          </w:p>
        </w:tc>
        <w:tc>
          <w:tcPr>
            <w:tcW w:w="120" w:type="dxa"/>
            <w:vAlign w:val="bottom"/>
            <w:shd w:val="clear" w:color="auto" w:fill="CCEEFF"/>
          </w:tcPr>
          <w:p>
            <w:pPr>
              <w:spacing w:after="0"/>
              <w:rPr>
                <w:sz w:val="24"/>
                <w:szCs w:val="24"/>
                <w:color w:val="auto"/>
              </w:rPr>
            </w:pPr>
          </w:p>
        </w:tc>
        <w:tc>
          <w:tcPr>
            <w:tcW w:w="2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5/31/2013</w:t>
            </w: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169,033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778,607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651,796</w:t>
            </w: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0.31%</w:t>
            </w:r>
          </w:p>
        </w:tc>
        <w:tc>
          <w:tcPr>
            <w:tcW w:w="0" w:type="dxa"/>
            <w:vAlign w:val="bottom"/>
          </w:tcPr>
          <w:p>
            <w:pPr>
              <w:spacing w:after="0"/>
              <w:rPr>
                <w:sz w:val="1"/>
                <w:szCs w:val="1"/>
                <w:color w:val="auto"/>
              </w:rPr>
            </w:pPr>
          </w:p>
        </w:tc>
      </w:tr>
      <w:tr>
        <w:trPr>
          <w:trHeight w:val="264"/>
        </w:trPr>
        <w:tc>
          <w:tcPr>
            <w:tcW w:w="3340" w:type="dxa"/>
            <w:vAlign w:val="bottom"/>
            <w:gridSpan w:val="8"/>
          </w:tcPr>
          <w:p>
            <w:pPr>
              <w:ind w:left="40"/>
              <w:spacing w:after="0"/>
              <w:rPr>
                <w:sz w:val="20"/>
                <w:szCs w:val="20"/>
                <w:color w:val="auto"/>
              </w:rPr>
            </w:pPr>
            <w:r>
              <w:rPr>
                <w:rFonts w:ascii="Arial" w:cs="Arial" w:eastAsia="Arial" w:hAnsi="Arial"/>
                <w:sz w:val="14"/>
                <w:szCs w:val="14"/>
                <w:color w:val="auto"/>
              </w:rPr>
              <w:t>Convertible preferred shares, Series C 8%</w:t>
            </w:r>
          </w:p>
        </w:tc>
        <w:tc>
          <w:tcPr>
            <w:tcW w:w="12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w w:val="93"/>
              </w:rPr>
              <w:t>3/29/2012</w:t>
            </w:r>
          </w:p>
        </w:tc>
        <w:tc>
          <w:tcPr>
            <w:tcW w:w="2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615,763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2,006,077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3340" w:type="dxa"/>
            <w:vAlign w:val="bottom"/>
            <w:gridSpan w:val="8"/>
            <w:shd w:val="clear" w:color="auto" w:fill="CCEEFF"/>
          </w:tcPr>
          <w:p>
            <w:pPr>
              <w:ind w:left="40"/>
              <w:spacing w:after="0"/>
              <w:rPr>
                <w:sz w:val="20"/>
                <w:szCs w:val="20"/>
                <w:color w:val="auto"/>
              </w:rPr>
            </w:pPr>
            <w:r>
              <w:rPr>
                <w:rFonts w:ascii="Arial" w:cs="Arial" w:eastAsia="Arial" w:hAnsi="Arial"/>
                <w:sz w:val="14"/>
                <w:szCs w:val="14"/>
                <w:color w:val="auto"/>
              </w:rPr>
              <w:t>Preferred Warrants Series D, Strike Price $4.59,</w:t>
            </w:r>
          </w:p>
        </w:tc>
        <w:tc>
          <w:tcPr>
            <w:tcW w:w="12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340" w:type="dxa"/>
            <w:vAlign w:val="bottom"/>
            <w:gridSpan w:val="8"/>
            <w:shd w:val="clear" w:color="auto" w:fill="CCEEFF"/>
          </w:tcPr>
          <w:p>
            <w:pPr>
              <w:ind w:left="40"/>
              <w:spacing w:after="0"/>
              <w:rPr>
                <w:sz w:val="20"/>
                <w:szCs w:val="20"/>
                <w:color w:val="auto"/>
              </w:rPr>
            </w:pPr>
            <w:r>
              <w:rPr>
                <w:rFonts w:ascii="Arial" w:cs="Arial" w:eastAsia="Arial" w:hAnsi="Arial"/>
                <w:sz w:val="14"/>
                <w:szCs w:val="14"/>
                <w:color w:val="auto"/>
              </w:rPr>
              <w:t>Expiration Date 11/26/2018</w:t>
            </w:r>
            <w:r>
              <w:rPr>
                <w:rFonts w:ascii="Arial" w:cs="Arial" w:eastAsia="Arial" w:hAnsi="Arial"/>
                <w:sz w:val="8"/>
                <w:szCs w:val="8"/>
                <w:color w:val="auto"/>
              </w:rPr>
              <w:t>(9)</w:t>
            </w:r>
          </w:p>
        </w:tc>
        <w:tc>
          <w:tcPr>
            <w:tcW w:w="120" w:type="dxa"/>
            <w:vAlign w:val="bottom"/>
            <w:shd w:val="clear" w:color="auto" w:fill="CCEEFF"/>
          </w:tcPr>
          <w:p>
            <w:pPr>
              <w:spacing w:after="0"/>
              <w:rPr>
                <w:sz w:val="16"/>
                <w:szCs w:val="16"/>
                <w:color w:val="auto"/>
              </w:rPr>
            </w:pPr>
          </w:p>
        </w:tc>
        <w:tc>
          <w:tcPr>
            <w:tcW w:w="2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5/31/2013</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16,903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7,437</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3300" w:type="dxa"/>
            <w:vAlign w:val="bottom"/>
            <w:tcBorders>
              <w:bottom w:val="single" w:sz="8" w:color="CCEEFF"/>
            </w:tcBorders>
            <w:gridSpan w:val="7"/>
          </w:tcPr>
          <w:p>
            <w:pPr>
              <w:ind w:left="140"/>
              <w:spacing w:after="0"/>
              <w:rPr>
                <w:sz w:val="20"/>
                <w:szCs w:val="20"/>
                <w:color w:val="auto"/>
              </w:rPr>
            </w:pPr>
            <w:r>
              <w:rPr>
                <w:rFonts w:ascii="Arial" w:cs="Arial" w:eastAsia="Arial" w:hAnsi="Arial"/>
                <w:sz w:val="14"/>
                <w:szCs w:val="14"/>
                <w:color w:val="auto"/>
              </w:rPr>
              <w:t>Total</w:t>
            </w:r>
          </w:p>
        </w:tc>
        <w:tc>
          <w:tcPr>
            <w:tcW w:w="120" w:type="dxa"/>
            <w:vAlign w:val="bottom"/>
            <w:tcBorders>
              <w:bottom w:val="single" w:sz="8" w:color="CCEEFF"/>
            </w:tcBorders>
          </w:tcPr>
          <w:p>
            <w:pPr>
              <w:spacing w:after="0"/>
              <w:rPr>
                <w:sz w:val="22"/>
                <w:szCs w:val="22"/>
                <w:color w:val="auto"/>
              </w:rPr>
            </w:pPr>
          </w:p>
        </w:tc>
        <w:tc>
          <w:tcPr>
            <w:tcW w:w="25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14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4,044,396</w:t>
            </w:r>
          </w:p>
        </w:tc>
        <w:tc>
          <w:tcPr>
            <w:tcW w:w="10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1,918,945</w:t>
            </w:r>
          </w:p>
        </w:tc>
        <w:tc>
          <w:tcPr>
            <w:tcW w:w="100" w:type="dxa"/>
            <w:vAlign w:val="bottom"/>
            <w:tcBorders>
              <w:bottom w:val="single" w:sz="8" w:color="CCEEFF"/>
            </w:tcBorders>
          </w:tcPr>
          <w:p>
            <w:pPr>
              <w:spacing w:after="0"/>
              <w:rPr>
                <w:sz w:val="22"/>
                <w:szCs w:val="2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0.90%</w:t>
            </w:r>
          </w:p>
        </w:tc>
        <w:tc>
          <w:tcPr>
            <w:tcW w:w="0" w:type="dxa"/>
            <w:vAlign w:val="bottom"/>
          </w:tcPr>
          <w:p>
            <w:pPr>
              <w:spacing w:after="0"/>
              <w:rPr>
                <w:sz w:val="1"/>
                <w:szCs w:val="1"/>
                <w:color w:val="auto"/>
              </w:rPr>
            </w:pPr>
          </w:p>
        </w:tc>
      </w:tr>
      <w:tr>
        <w:trPr>
          <w:trHeight w:val="229"/>
        </w:trPr>
        <w:tc>
          <w:tcPr>
            <w:tcW w:w="3340" w:type="dxa"/>
            <w:vAlign w:val="bottom"/>
            <w:gridSpan w:val="8"/>
            <w:shd w:val="clear" w:color="auto" w:fill="CCEEFF"/>
          </w:tcPr>
          <w:p>
            <w:pPr>
              <w:ind w:left="40"/>
              <w:spacing w:after="0"/>
              <w:rPr>
                <w:sz w:val="20"/>
                <w:szCs w:val="20"/>
                <w:color w:val="auto"/>
              </w:rPr>
            </w:pPr>
            <w:r>
              <w:rPr>
                <w:rFonts w:ascii="Arial" w:cs="Arial" w:eastAsia="Arial" w:hAnsi="Arial"/>
                <w:sz w:val="14"/>
                <w:szCs w:val="14"/>
                <w:b w:val="1"/>
                <w:bCs w:val="1"/>
                <w:color w:val="auto"/>
              </w:rPr>
              <w:t>EdSurge, Inc.</w:t>
            </w:r>
          </w:p>
        </w:tc>
        <w:tc>
          <w:tcPr>
            <w:tcW w:w="120" w:type="dxa"/>
            <w:vAlign w:val="bottom"/>
            <w:shd w:val="clear" w:color="auto" w:fill="CCEEFF"/>
          </w:tcPr>
          <w:p>
            <w:pPr>
              <w:spacing w:after="0"/>
              <w:rPr>
                <w:sz w:val="19"/>
                <w:szCs w:val="19"/>
                <w:color w:val="auto"/>
              </w:rPr>
            </w:pPr>
          </w:p>
        </w:tc>
        <w:tc>
          <w:tcPr>
            <w:tcW w:w="26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5"/>
              </w:rPr>
              <w:t>Burlingame, CA</w:t>
            </w: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340" w:type="dxa"/>
            <w:vAlign w:val="bottom"/>
            <w:gridSpan w:val="8"/>
          </w:tcPr>
          <w:p>
            <w:pPr>
              <w:ind w:left="40"/>
              <w:spacing w:after="0"/>
              <w:rPr>
                <w:sz w:val="20"/>
                <w:szCs w:val="20"/>
                <w:color w:val="auto"/>
              </w:rPr>
            </w:pPr>
            <w:r>
              <w:rPr>
                <w:rFonts w:ascii="Arial" w:cs="Arial" w:eastAsia="Arial" w:hAnsi="Arial"/>
                <w:sz w:val="14"/>
                <w:szCs w:val="14"/>
                <w:color w:val="auto"/>
              </w:rPr>
              <w:t>Preferred shares, Series A-1</w:t>
            </w:r>
          </w:p>
        </w:tc>
        <w:tc>
          <w:tcPr>
            <w:tcW w:w="120" w:type="dxa"/>
            <w:vAlign w:val="bottom"/>
          </w:tcPr>
          <w:p>
            <w:pPr>
              <w:spacing w:after="0"/>
              <w:rPr>
                <w:sz w:val="22"/>
                <w:szCs w:val="22"/>
                <w:color w:val="auto"/>
              </w:rPr>
            </w:pPr>
          </w:p>
        </w:tc>
        <w:tc>
          <w:tcPr>
            <w:tcW w:w="2620" w:type="dxa"/>
            <w:vAlign w:val="bottom"/>
            <w:gridSpan w:val="2"/>
          </w:tcPr>
          <w:p>
            <w:pPr>
              <w:jc w:val="center"/>
              <w:ind w:right="120"/>
              <w:spacing w:after="0"/>
              <w:rPr>
                <w:sz w:val="20"/>
                <w:szCs w:val="20"/>
                <w:color w:val="auto"/>
              </w:rPr>
            </w:pPr>
            <w:r>
              <w:rPr>
                <w:rFonts w:ascii="Arial" w:cs="Arial" w:eastAsia="Arial" w:hAnsi="Arial"/>
                <w:sz w:val="14"/>
                <w:szCs w:val="14"/>
                <w:color w:val="auto"/>
                <w:w w:val="96"/>
              </w:rPr>
              <w:t>Education Media Platform</w:t>
            </w:r>
          </w:p>
        </w:tc>
        <w:tc>
          <w:tcPr>
            <w:tcW w:w="1140" w:type="dxa"/>
            <w:vAlign w:val="bottom"/>
          </w:tcPr>
          <w:p>
            <w:pPr>
              <w:jc w:val="center"/>
              <w:spacing w:after="0"/>
              <w:rPr>
                <w:sz w:val="20"/>
                <w:szCs w:val="20"/>
                <w:color w:val="auto"/>
              </w:rPr>
            </w:pPr>
            <w:r>
              <w:rPr>
                <w:rFonts w:ascii="Arial" w:cs="Arial" w:eastAsia="Arial" w:hAnsi="Arial"/>
                <w:sz w:val="14"/>
                <w:szCs w:val="14"/>
                <w:color w:val="auto"/>
                <w:w w:val="94"/>
              </w:rPr>
              <w:t>11/12/2015</w:t>
            </w:r>
          </w:p>
        </w:tc>
        <w:tc>
          <w:tcPr>
            <w:tcW w:w="2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378,788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501,360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250,000</w:t>
            </w:r>
          </w:p>
        </w:tc>
        <w:tc>
          <w:tcPr>
            <w:tcW w:w="1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0.12%</w:t>
            </w:r>
          </w:p>
        </w:tc>
        <w:tc>
          <w:tcPr>
            <w:tcW w:w="0" w:type="dxa"/>
            <w:vAlign w:val="bottom"/>
          </w:tcPr>
          <w:p>
            <w:pPr>
              <w:spacing w:after="0"/>
              <w:rPr>
                <w:sz w:val="1"/>
                <w:szCs w:val="1"/>
                <w:color w:val="auto"/>
              </w:rPr>
            </w:pPr>
          </w:p>
        </w:tc>
      </w:tr>
      <w:tr>
        <w:trPr>
          <w:trHeight w:val="270"/>
        </w:trPr>
        <w:tc>
          <w:tcPr>
            <w:tcW w:w="3340" w:type="dxa"/>
            <w:vAlign w:val="bottom"/>
            <w:gridSpan w:val="8"/>
            <w:shd w:val="clear" w:color="auto" w:fill="CCEEFF"/>
          </w:tcPr>
          <w:p>
            <w:pPr>
              <w:ind w:left="40"/>
              <w:spacing w:after="0"/>
              <w:rPr>
                <w:sz w:val="20"/>
                <w:szCs w:val="20"/>
                <w:color w:val="auto"/>
              </w:rPr>
            </w:pPr>
            <w:r>
              <w:rPr>
                <w:rFonts w:ascii="Arial" w:cs="Arial" w:eastAsia="Arial" w:hAnsi="Arial"/>
                <w:sz w:val="14"/>
                <w:szCs w:val="14"/>
                <w:color w:val="auto"/>
              </w:rPr>
              <w:t>Preferred shares, Series A</w:t>
            </w:r>
          </w:p>
        </w:tc>
        <w:tc>
          <w:tcPr>
            <w:tcW w:w="120" w:type="dxa"/>
            <w:vAlign w:val="bottom"/>
            <w:shd w:val="clear" w:color="auto" w:fill="CCEEFF"/>
          </w:tcPr>
          <w:p>
            <w:pPr>
              <w:spacing w:after="0"/>
              <w:rPr>
                <w:sz w:val="23"/>
                <w:szCs w:val="23"/>
                <w:color w:val="auto"/>
              </w:rPr>
            </w:pPr>
          </w:p>
        </w:tc>
        <w:tc>
          <w:tcPr>
            <w:tcW w:w="25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2/28/2014</w:t>
            </w:r>
          </w:p>
        </w:tc>
        <w:tc>
          <w:tcPr>
            <w:tcW w:w="2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494,365</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500,801</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275,565</w:t>
            </w:r>
          </w:p>
        </w:tc>
        <w:tc>
          <w:tcPr>
            <w:tcW w:w="100" w:type="dxa"/>
            <w:vAlign w:val="bottom"/>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0.13%</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3300" w:type="dxa"/>
            <w:vAlign w:val="bottom"/>
            <w:tcBorders>
              <w:bottom w:val="single" w:sz="8" w:color="CCEEFF"/>
            </w:tcBorders>
            <w:gridSpan w:val="7"/>
          </w:tcPr>
          <w:p>
            <w:pPr>
              <w:ind w:left="140"/>
              <w:spacing w:after="0"/>
              <w:rPr>
                <w:sz w:val="20"/>
                <w:szCs w:val="20"/>
                <w:color w:val="auto"/>
              </w:rPr>
            </w:pPr>
            <w:r>
              <w:rPr>
                <w:rFonts w:ascii="Arial" w:cs="Arial" w:eastAsia="Arial" w:hAnsi="Arial"/>
                <w:sz w:val="14"/>
                <w:szCs w:val="14"/>
                <w:color w:val="auto"/>
              </w:rPr>
              <w:t>Total</w:t>
            </w:r>
          </w:p>
        </w:tc>
        <w:tc>
          <w:tcPr>
            <w:tcW w:w="120" w:type="dxa"/>
            <w:vAlign w:val="bottom"/>
            <w:tcBorders>
              <w:bottom w:val="single" w:sz="8" w:color="CCEEFF"/>
            </w:tcBorders>
          </w:tcPr>
          <w:p>
            <w:pPr>
              <w:spacing w:after="0"/>
              <w:rPr>
                <w:sz w:val="22"/>
                <w:szCs w:val="22"/>
                <w:color w:val="auto"/>
              </w:rPr>
            </w:pPr>
          </w:p>
        </w:tc>
        <w:tc>
          <w:tcPr>
            <w:tcW w:w="25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14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1,002,161</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525,565</w:t>
            </w:r>
          </w:p>
        </w:tc>
        <w:tc>
          <w:tcPr>
            <w:tcW w:w="10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0.25%</w:t>
            </w:r>
          </w:p>
        </w:tc>
        <w:tc>
          <w:tcPr>
            <w:tcW w:w="0" w:type="dxa"/>
            <w:vAlign w:val="bottom"/>
          </w:tcPr>
          <w:p>
            <w:pPr>
              <w:spacing w:after="0"/>
              <w:rPr>
                <w:sz w:val="1"/>
                <w:szCs w:val="1"/>
                <w:color w:val="auto"/>
              </w:rPr>
            </w:pPr>
          </w:p>
        </w:tc>
      </w:tr>
      <w:tr>
        <w:trPr>
          <w:trHeight w:val="229"/>
        </w:trPr>
        <w:tc>
          <w:tcPr>
            <w:tcW w:w="3340" w:type="dxa"/>
            <w:vAlign w:val="bottom"/>
            <w:gridSpan w:val="8"/>
            <w:shd w:val="clear" w:color="auto" w:fill="CCEEFF"/>
          </w:tcPr>
          <w:p>
            <w:pPr>
              <w:ind w:left="40"/>
              <w:spacing w:after="0"/>
              <w:rPr>
                <w:sz w:val="20"/>
                <w:szCs w:val="20"/>
                <w:color w:val="auto"/>
              </w:rPr>
            </w:pPr>
            <w:r>
              <w:rPr>
                <w:rFonts w:ascii="Arial" w:cs="Arial" w:eastAsia="Arial" w:hAnsi="Arial"/>
                <w:sz w:val="14"/>
                <w:szCs w:val="14"/>
                <w:b w:val="1"/>
                <w:bCs w:val="1"/>
                <w:color w:val="auto"/>
              </w:rPr>
              <w:t>Maven Research, Inc.</w:t>
            </w:r>
          </w:p>
        </w:tc>
        <w:tc>
          <w:tcPr>
            <w:tcW w:w="120" w:type="dxa"/>
            <w:vAlign w:val="bottom"/>
            <w:shd w:val="clear" w:color="auto" w:fill="CCEEFF"/>
          </w:tcPr>
          <w:p>
            <w:pPr>
              <w:spacing w:after="0"/>
              <w:rPr>
                <w:sz w:val="19"/>
                <w:szCs w:val="19"/>
                <w:color w:val="auto"/>
              </w:rPr>
            </w:pPr>
          </w:p>
        </w:tc>
        <w:tc>
          <w:tcPr>
            <w:tcW w:w="262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2"/>
              </w:rPr>
              <w:t>San Francisco, CA</w:t>
            </w: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340" w:type="dxa"/>
            <w:vAlign w:val="bottom"/>
            <w:gridSpan w:val="8"/>
          </w:tcPr>
          <w:p>
            <w:pPr>
              <w:ind w:left="40"/>
              <w:spacing w:after="0"/>
              <w:rPr>
                <w:sz w:val="20"/>
                <w:szCs w:val="20"/>
                <w:color w:val="auto"/>
              </w:rPr>
            </w:pPr>
            <w:r>
              <w:rPr>
                <w:rFonts w:ascii="Arial" w:cs="Arial" w:eastAsia="Arial" w:hAnsi="Arial"/>
                <w:sz w:val="14"/>
                <w:szCs w:val="14"/>
                <w:color w:val="auto"/>
              </w:rPr>
              <w:t>Preferred shares, Series C</w:t>
            </w:r>
          </w:p>
        </w:tc>
        <w:tc>
          <w:tcPr>
            <w:tcW w:w="120" w:type="dxa"/>
            <w:vAlign w:val="bottom"/>
          </w:tcPr>
          <w:p>
            <w:pPr>
              <w:spacing w:after="0"/>
              <w:rPr>
                <w:sz w:val="22"/>
                <w:szCs w:val="22"/>
                <w:color w:val="auto"/>
              </w:rPr>
            </w:pPr>
          </w:p>
        </w:tc>
        <w:tc>
          <w:tcPr>
            <w:tcW w:w="2620" w:type="dxa"/>
            <w:vAlign w:val="bottom"/>
            <w:gridSpan w:val="2"/>
          </w:tcPr>
          <w:p>
            <w:pPr>
              <w:jc w:val="center"/>
              <w:ind w:right="120"/>
              <w:spacing w:after="0"/>
              <w:rPr>
                <w:sz w:val="20"/>
                <w:szCs w:val="20"/>
                <w:color w:val="auto"/>
              </w:rPr>
            </w:pPr>
            <w:r>
              <w:rPr>
                <w:rFonts w:ascii="Arial" w:cs="Arial" w:eastAsia="Arial" w:hAnsi="Arial"/>
                <w:sz w:val="14"/>
                <w:szCs w:val="14"/>
                <w:color w:val="auto"/>
                <w:w w:val="95"/>
              </w:rPr>
              <w:t>Knowledge Networks</w:t>
            </w:r>
          </w:p>
        </w:tc>
        <w:tc>
          <w:tcPr>
            <w:tcW w:w="1140" w:type="dxa"/>
            <w:vAlign w:val="bottom"/>
          </w:tcPr>
          <w:p>
            <w:pPr>
              <w:jc w:val="center"/>
              <w:spacing w:after="0"/>
              <w:rPr>
                <w:sz w:val="20"/>
                <w:szCs w:val="20"/>
                <w:color w:val="auto"/>
              </w:rPr>
            </w:pPr>
            <w:r>
              <w:rPr>
                <w:rFonts w:ascii="Arial" w:cs="Arial" w:eastAsia="Arial" w:hAnsi="Arial"/>
                <w:sz w:val="14"/>
                <w:szCs w:val="14"/>
                <w:color w:val="auto"/>
                <w:w w:val="91"/>
              </w:rPr>
              <w:t>7/2/2012</w:t>
            </w:r>
          </w:p>
        </w:tc>
        <w:tc>
          <w:tcPr>
            <w:tcW w:w="2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318,979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2,000,447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214,756</w:t>
            </w:r>
          </w:p>
        </w:tc>
        <w:tc>
          <w:tcPr>
            <w:tcW w:w="1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0.10%</w:t>
            </w:r>
          </w:p>
        </w:tc>
        <w:tc>
          <w:tcPr>
            <w:tcW w:w="0" w:type="dxa"/>
            <w:vAlign w:val="bottom"/>
          </w:tcPr>
          <w:p>
            <w:pPr>
              <w:spacing w:after="0"/>
              <w:rPr>
                <w:sz w:val="1"/>
                <w:szCs w:val="1"/>
                <w:color w:val="auto"/>
              </w:rPr>
            </w:pPr>
          </w:p>
        </w:tc>
      </w:tr>
      <w:tr>
        <w:trPr>
          <w:trHeight w:val="270"/>
        </w:trPr>
        <w:tc>
          <w:tcPr>
            <w:tcW w:w="3340" w:type="dxa"/>
            <w:vAlign w:val="bottom"/>
            <w:tcBorders>
              <w:bottom w:val="single" w:sz="8" w:color="CCEEFF"/>
            </w:tcBorders>
            <w:gridSpan w:val="8"/>
            <w:shd w:val="clear" w:color="auto" w:fill="CCEEFF"/>
          </w:tcPr>
          <w:p>
            <w:pPr>
              <w:ind w:left="40"/>
              <w:spacing w:after="0"/>
              <w:rPr>
                <w:sz w:val="20"/>
                <w:szCs w:val="20"/>
                <w:color w:val="auto"/>
              </w:rPr>
            </w:pPr>
            <w:r>
              <w:rPr>
                <w:rFonts w:ascii="Arial" w:cs="Arial" w:eastAsia="Arial" w:hAnsi="Arial"/>
                <w:sz w:val="14"/>
                <w:szCs w:val="14"/>
                <w:color w:val="auto"/>
              </w:rPr>
              <w:t>Preferred shares, Series B</w:t>
            </w:r>
          </w:p>
        </w:tc>
        <w:tc>
          <w:tcPr>
            <w:tcW w:w="120" w:type="dxa"/>
            <w:vAlign w:val="bottom"/>
            <w:shd w:val="clear" w:color="auto" w:fill="CCEEFF"/>
          </w:tcPr>
          <w:p>
            <w:pPr>
              <w:spacing w:after="0"/>
              <w:rPr>
                <w:sz w:val="23"/>
                <w:szCs w:val="23"/>
                <w:color w:val="auto"/>
              </w:rPr>
            </w:pPr>
          </w:p>
        </w:tc>
        <w:tc>
          <w:tcPr>
            <w:tcW w:w="2500" w:type="dxa"/>
            <w:vAlign w:val="bottom"/>
            <w:tcBorders>
              <w:bottom w:val="single" w:sz="8" w:color="CCEEFF"/>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3"/>
              </w:rPr>
              <w:t>2/28/2012</w:t>
            </w: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49,505</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217,206</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21,423</w:t>
            </w:r>
          </w:p>
        </w:tc>
        <w:tc>
          <w:tcPr>
            <w:tcW w:w="100" w:type="dxa"/>
            <w:vAlign w:val="bottom"/>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3300" w:type="dxa"/>
            <w:vAlign w:val="bottom"/>
            <w:tcBorders>
              <w:bottom w:val="single" w:sz="8" w:color="CCEEFF"/>
            </w:tcBorders>
            <w:gridSpan w:val="7"/>
          </w:tcPr>
          <w:p>
            <w:pPr>
              <w:ind w:left="140"/>
              <w:spacing w:after="0"/>
              <w:rPr>
                <w:sz w:val="20"/>
                <w:szCs w:val="20"/>
                <w:color w:val="auto"/>
              </w:rPr>
            </w:pPr>
            <w:r>
              <w:rPr>
                <w:rFonts w:ascii="Arial" w:cs="Arial" w:eastAsia="Arial" w:hAnsi="Arial"/>
                <w:sz w:val="14"/>
                <w:szCs w:val="14"/>
                <w:color w:val="auto"/>
              </w:rPr>
              <w:t>Total</w:t>
            </w:r>
          </w:p>
        </w:tc>
        <w:tc>
          <w:tcPr>
            <w:tcW w:w="120" w:type="dxa"/>
            <w:vAlign w:val="bottom"/>
            <w:tcBorders>
              <w:bottom w:val="single" w:sz="8" w:color="CCEEFF"/>
            </w:tcBorders>
          </w:tcPr>
          <w:p>
            <w:pPr>
              <w:spacing w:after="0"/>
              <w:rPr>
                <w:sz w:val="22"/>
                <w:szCs w:val="22"/>
                <w:color w:val="auto"/>
              </w:rPr>
            </w:pPr>
          </w:p>
        </w:tc>
        <w:tc>
          <w:tcPr>
            <w:tcW w:w="25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14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2,217,653</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236,179</w:t>
            </w:r>
          </w:p>
        </w:tc>
        <w:tc>
          <w:tcPr>
            <w:tcW w:w="10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0.11%</w:t>
            </w:r>
          </w:p>
        </w:tc>
        <w:tc>
          <w:tcPr>
            <w:tcW w:w="0" w:type="dxa"/>
            <w:vAlign w:val="bottom"/>
          </w:tcPr>
          <w:p>
            <w:pPr>
              <w:spacing w:after="0"/>
              <w:rPr>
                <w:sz w:val="1"/>
                <w:szCs w:val="1"/>
                <w:color w:val="auto"/>
              </w:rPr>
            </w:pPr>
          </w:p>
        </w:tc>
      </w:tr>
      <w:tr>
        <w:trPr>
          <w:trHeight w:val="229"/>
        </w:trPr>
        <w:tc>
          <w:tcPr>
            <w:tcW w:w="3340" w:type="dxa"/>
            <w:vAlign w:val="bottom"/>
            <w:gridSpan w:val="8"/>
            <w:shd w:val="clear" w:color="auto" w:fill="CCEEFF"/>
          </w:tcPr>
          <w:p>
            <w:pPr>
              <w:ind w:left="40"/>
              <w:spacing w:after="0"/>
              <w:rPr>
                <w:sz w:val="20"/>
                <w:szCs w:val="20"/>
                <w:color w:val="auto"/>
              </w:rPr>
            </w:pPr>
            <w:r>
              <w:rPr>
                <w:rFonts w:ascii="Arial" w:cs="Arial" w:eastAsia="Arial" w:hAnsi="Arial"/>
                <w:sz w:val="14"/>
                <w:szCs w:val="14"/>
                <w:b w:val="1"/>
                <w:bCs w:val="1"/>
                <w:color w:val="auto"/>
              </w:rPr>
              <w:t>Curious.com, Inc.</w:t>
            </w:r>
          </w:p>
        </w:tc>
        <w:tc>
          <w:tcPr>
            <w:tcW w:w="120" w:type="dxa"/>
            <w:vAlign w:val="bottom"/>
            <w:shd w:val="clear" w:color="auto" w:fill="CCEEFF"/>
          </w:tcPr>
          <w:p>
            <w:pPr>
              <w:spacing w:after="0"/>
              <w:rPr>
                <w:sz w:val="19"/>
                <w:szCs w:val="19"/>
                <w:color w:val="auto"/>
              </w:rPr>
            </w:pPr>
          </w:p>
        </w:tc>
        <w:tc>
          <w:tcPr>
            <w:tcW w:w="26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5"/>
              </w:rPr>
              <w:t>Menlo Park, CA</w:t>
            </w: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340" w:type="dxa"/>
            <w:vAlign w:val="bottom"/>
            <w:gridSpan w:val="8"/>
          </w:tcPr>
          <w:p>
            <w:pPr>
              <w:ind w:left="40"/>
              <w:spacing w:after="0"/>
              <w:rPr>
                <w:sz w:val="20"/>
                <w:szCs w:val="20"/>
                <w:color w:val="auto"/>
              </w:rPr>
            </w:pPr>
            <w:r>
              <w:rPr>
                <w:rFonts w:ascii="Arial" w:cs="Arial" w:eastAsia="Arial" w:hAnsi="Arial"/>
                <w:sz w:val="14"/>
                <w:szCs w:val="14"/>
                <w:color w:val="auto"/>
              </w:rPr>
              <w:t>Common shares</w:t>
            </w:r>
            <w:r>
              <w:rPr>
                <w:rFonts w:ascii="Arial" w:cs="Arial" w:eastAsia="Arial" w:hAnsi="Arial"/>
                <w:sz w:val="8"/>
                <w:szCs w:val="8"/>
                <w:color w:val="auto"/>
              </w:rPr>
              <w:t>(15)</w:t>
            </w:r>
          </w:p>
        </w:tc>
        <w:tc>
          <w:tcPr>
            <w:tcW w:w="120" w:type="dxa"/>
            <w:vAlign w:val="bottom"/>
          </w:tcPr>
          <w:p>
            <w:pPr>
              <w:spacing w:after="0"/>
              <w:rPr>
                <w:sz w:val="22"/>
                <w:szCs w:val="22"/>
                <w:color w:val="auto"/>
              </w:rPr>
            </w:pPr>
          </w:p>
        </w:tc>
        <w:tc>
          <w:tcPr>
            <w:tcW w:w="2620" w:type="dxa"/>
            <w:vAlign w:val="bottom"/>
            <w:gridSpan w:val="2"/>
          </w:tcPr>
          <w:p>
            <w:pPr>
              <w:jc w:val="center"/>
              <w:ind w:right="120"/>
              <w:spacing w:after="0"/>
              <w:rPr>
                <w:sz w:val="20"/>
                <w:szCs w:val="20"/>
                <w:color w:val="auto"/>
              </w:rPr>
            </w:pPr>
            <w:r>
              <w:rPr>
                <w:rFonts w:ascii="Arial" w:cs="Arial" w:eastAsia="Arial" w:hAnsi="Arial"/>
                <w:sz w:val="14"/>
                <w:szCs w:val="14"/>
                <w:color w:val="auto"/>
                <w:w w:val="95"/>
              </w:rPr>
              <w:t>Online Education</w:t>
            </w:r>
          </w:p>
        </w:tc>
        <w:tc>
          <w:tcPr>
            <w:tcW w:w="1140" w:type="dxa"/>
            <w:vAlign w:val="bottom"/>
          </w:tcPr>
          <w:p>
            <w:pPr>
              <w:jc w:val="center"/>
              <w:spacing w:after="0"/>
              <w:rPr>
                <w:sz w:val="20"/>
                <w:szCs w:val="20"/>
                <w:color w:val="auto"/>
              </w:rPr>
            </w:pPr>
            <w:r>
              <w:rPr>
                <w:rFonts w:ascii="Arial" w:cs="Arial" w:eastAsia="Arial" w:hAnsi="Arial"/>
                <w:sz w:val="14"/>
                <w:szCs w:val="14"/>
                <w:color w:val="auto"/>
                <w:w w:val="94"/>
              </w:rPr>
              <w:t>11/22/2013</w:t>
            </w:r>
          </w:p>
        </w:tc>
        <w:tc>
          <w:tcPr>
            <w:tcW w:w="2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1,135,944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12,000,006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9"/>
        </w:trPr>
        <w:tc>
          <w:tcPr>
            <w:tcW w:w="3340" w:type="dxa"/>
            <w:vAlign w:val="bottom"/>
            <w:gridSpan w:val="8"/>
            <w:shd w:val="clear" w:color="auto" w:fill="CCEEFF"/>
          </w:tcPr>
          <w:p>
            <w:pPr>
              <w:ind w:left="40"/>
              <w:spacing w:after="0"/>
              <w:rPr>
                <w:sz w:val="20"/>
                <w:szCs w:val="20"/>
                <w:color w:val="auto"/>
              </w:rPr>
            </w:pPr>
            <w:r>
              <w:rPr>
                <w:rFonts w:ascii="Arial" w:cs="Arial" w:eastAsia="Arial" w:hAnsi="Arial"/>
                <w:sz w:val="14"/>
                <w:szCs w:val="14"/>
                <w:b w:val="1"/>
                <w:bCs w:val="1"/>
                <w:color w:val="auto"/>
              </w:rPr>
              <w:t>Declara, Inc.</w:t>
            </w:r>
          </w:p>
        </w:tc>
        <w:tc>
          <w:tcPr>
            <w:tcW w:w="120" w:type="dxa"/>
            <w:vAlign w:val="bottom"/>
            <w:shd w:val="clear" w:color="auto" w:fill="CCEEFF"/>
          </w:tcPr>
          <w:p>
            <w:pPr>
              <w:spacing w:after="0"/>
              <w:rPr>
                <w:sz w:val="21"/>
                <w:szCs w:val="21"/>
                <w:color w:val="auto"/>
              </w:rPr>
            </w:pPr>
          </w:p>
        </w:tc>
        <w:tc>
          <w:tcPr>
            <w:tcW w:w="26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8"/>
              </w:rPr>
              <w:t>Palo Alto, CA</w:t>
            </w:r>
          </w:p>
        </w:tc>
        <w:tc>
          <w:tcPr>
            <w:tcW w:w="1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340" w:type="dxa"/>
            <w:vAlign w:val="bottom"/>
            <w:gridSpan w:val="8"/>
          </w:tcPr>
          <w:p>
            <w:pPr>
              <w:ind w:left="40"/>
              <w:spacing w:after="0"/>
              <w:rPr>
                <w:sz w:val="20"/>
                <w:szCs w:val="20"/>
                <w:color w:val="auto"/>
              </w:rPr>
            </w:pPr>
            <w:r>
              <w:rPr>
                <w:rFonts w:ascii="Arial" w:cs="Arial" w:eastAsia="Arial" w:hAnsi="Arial"/>
                <w:sz w:val="14"/>
                <w:szCs w:val="14"/>
                <w:color w:val="auto"/>
                <w:w w:val="99"/>
              </w:rPr>
              <w:t>Convertible Promissory Note 12% Due 4/30/2018</w:t>
            </w:r>
            <w:r>
              <w:rPr>
                <w:rFonts w:ascii="Arial" w:cs="Arial" w:eastAsia="Arial" w:hAnsi="Arial"/>
                <w:sz w:val="8"/>
                <w:szCs w:val="8"/>
                <w:color w:val="auto"/>
                <w:w w:val="99"/>
              </w:rPr>
              <w:t>(4)(10)</w:t>
            </w:r>
          </w:p>
        </w:tc>
        <w:tc>
          <w:tcPr>
            <w:tcW w:w="120" w:type="dxa"/>
            <w:vAlign w:val="bottom"/>
          </w:tcPr>
          <w:p>
            <w:pPr>
              <w:spacing w:after="0"/>
              <w:rPr>
                <w:sz w:val="22"/>
                <w:szCs w:val="22"/>
                <w:color w:val="auto"/>
              </w:rPr>
            </w:pPr>
          </w:p>
        </w:tc>
        <w:tc>
          <w:tcPr>
            <w:tcW w:w="2620" w:type="dxa"/>
            <w:vAlign w:val="bottom"/>
            <w:gridSpan w:val="2"/>
          </w:tcPr>
          <w:p>
            <w:pPr>
              <w:jc w:val="center"/>
              <w:ind w:right="140"/>
              <w:spacing w:after="0"/>
              <w:rPr>
                <w:sz w:val="20"/>
                <w:szCs w:val="20"/>
                <w:color w:val="auto"/>
              </w:rPr>
            </w:pPr>
            <w:r>
              <w:rPr>
                <w:rFonts w:ascii="Arial" w:cs="Arial" w:eastAsia="Arial" w:hAnsi="Arial"/>
                <w:sz w:val="14"/>
                <w:szCs w:val="14"/>
                <w:color w:val="auto"/>
                <w:w w:val="95"/>
              </w:rPr>
              <w:t>Social Cognitive Learning</w:t>
            </w:r>
          </w:p>
        </w:tc>
        <w:tc>
          <w:tcPr>
            <w:tcW w:w="1140" w:type="dxa"/>
            <w:vAlign w:val="bottom"/>
          </w:tcPr>
          <w:p>
            <w:pPr>
              <w:jc w:val="center"/>
              <w:spacing w:after="0"/>
              <w:rPr>
                <w:sz w:val="20"/>
                <w:szCs w:val="20"/>
                <w:color w:val="auto"/>
              </w:rPr>
            </w:pPr>
            <w:r>
              <w:rPr>
                <w:rFonts w:ascii="Arial" w:cs="Arial" w:eastAsia="Arial" w:hAnsi="Arial"/>
                <w:sz w:val="14"/>
                <w:szCs w:val="14"/>
                <w:color w:val="auto"/>
                <w:w w:val="94"/>
              </w:rPr>
              <w:t>12/30/2015</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2,327,727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2,334,152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340" w:type="dxa"/>
            <w:vAlign w:val="bottom"/>
            <w:gridSpan w:val="8"/>
            <w:shd w:val="clear" w:color="auto" w:fill="CCEEFF"/>
          </w:tcPr>
          <w:p>
            <w:pPr>
              <w:ind w:left="40"/>
              <w:spacing w:after="0"/>
              <w:rPr>
                <w:sz w:val="20"/>
                <w:szCs w:val="20"/>
                <w:color w:val="auto"/>
              </w:rPr>
            </w:pPr>
            <w:r>
              <w:rPr>
                <w:rFonts w:ascii="Arial" w:cs="Arial" w:eastAsia="Arial" w:hAnsi="Arial"/>
                <w:sz w:val="14"/>
                <w:szCs w:val="14"/>
                <w:color w:val="auto"/>
              </w:rPr>
              <w:t>Preferred shares, Series A 8%</w:t>
            </w:r>
          </w:p>
        </w:tc>
        <w:tc>
          <w:tcPr>
            <w:tcW w:w="120" w:type="dxa"/>
            <w:vAlign w:val="bottom"/>
            <w:shd w:val="clear" w:color="auto" w:fill="CCEEFF"/>
          </w:tcPr>
          <w:p>
            <w:pPr>
              <w:spacing w:after="0"/>
              <w:rPr>
                <w:sz w:val="23"/>
                <w:szCs w:val="23"/>
                <w:color w:val="auto"/>
              </w:rPr>
            </w:pPr>
          </w:p>
        </w:tc>
        <w:tc>
          <w:tcPr>
            <w:tcW w:w="25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4/17/2014</w:t>
            </w:r>
          </w:p>
        </w:tc>
        <w:tc>
          <w:tcPr>
            <w:tcW w:w="2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94"/>
              </w:rPr>
              <w:t>10,716,390</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9,999,999</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300" w:type="dxa"/>
            <w:vAlign w:val="bottom"/>
            <w:gridSpan w:val="7"/>
          </w:tcPr>
          <w:p>
            <w:pPr>
              <w:ind w:left="140"/>
              <w:spacing w:after="0"/>
              <w:rPr>
                <w:sz w:val="20"/>
                <w:szCs w:val="20"/>
                <w:color w:val="auto"/>
              </w:rPr>
            </w:pPr>
            <w:r>
              <w:rPr>
                <w:rFonts w:ascii="Arial" w:cs="Arial" w:eastAsia="Arial" w:hAnsi="Arial"/>
                <w:sz w:val="14"/>
                <w:szCs w:val="14"/>
                <w:color w:val="auto"/>
              </w:rPr>
              <w:t>Total</w:t>
            </w:r>
          </w:p>
        </w:tc>
        <w:tc>
          <w:tcPr>
            <w:tcW w:w="12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12,334,151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3"/>
        </w:trPr>
        <w:tc>
          <w:tcPr>
            <w:tcW w:w="40" w:type="dxa"/>
            <w:vAlign w:val="bottom"/>
            <w:tcBorders>
              <w:top w:val="single" w:sz="8" w:color="CCEEFF"/>
            </w:tcBorders>
            <w:shd w:val="clear" w:color="auto" w:fill="CCEEFF"/>
          </w:tcPr>
          <w:p>
            <w:pPr>
              <w:spacing w:after="0"/>
              <w:rPr>
                <w:sz w:val="24"/>
                <w:szCs w:val="24"/>
                <w:color w:val="auto"/>
              </w:rPr>
            </w:pPr>
          </w:p>
        </w:tc>
        <w:tc>
          <w:tcPr>
            <w:tcW w:w="780" w:type="dxa"/>
            <w:vAlign w:val="bottom"/>
            <w:tcBorders>
              <w:top w:val="single" w:sz="8" w:color="CCEEFF"/>
            </w:tcBorders>
            <w:shd w:val="clear" w:color="auto" w:fill="CCEEFF"/>
          </w:tcPr>
          <w:p>
            <w:pPr>
              <w:spacing w:after="0"/>
              <w:rPr>
                <w:sz w:val="24"/>
                <w:szCs w:val="24"/>
                <w:color w:val="auto"/>
              </w:rPr>
            </w:pPr>
          </w:p>
        </w:tc>
        <w:tc>
          <w:tcPr>
            <w:tcW w:w="6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220" w:type="dxa"/>
            <w:vAlign w:val="bottom"/>
            <w:tcBorders>
              <w:top w:val="single" w:sz="8" w:color="CCEEFF"/>
            </w:tcBorders>
            <w:shd w:val="clear" w:color="auto" w:fill="CCEEFF"/>
          </w:tcPr>
          <w:p>
            <w:pPr>
              <w:spacing w:after="0"/>
              <w:rPr>
                <w:sz w:val="24"/>
                <w:szCs w:val="24"/>
                <w:color w:val="auto"/>
              </w:rPr>
            </w:pPr>
          </w:p>
        </w:tc>
        <w:tc>
          <w:tcPr>
            <w:tcW w:w="200" w:type="dxa"/>
            <w:vAlign w:val="bottom"/>
            <w:tcBorders>
              <w:top w:val="single" w:sz="8" w:color="CCEEFF"/>
            </w:tcBorders>
            <w:shd w:val="clear" w:color="auto" w:fill="CCEEFF"/>
          </w:tcPr>
          <w:p>
            <w:pPr>
              <w:spacing w:after="0"/>
              <w:rPr>
                <w:sz w:val="24"/>
                <w:szCs w:val="24"/>
                <w:color w:val="auto"/>
              </w:rPr>
            </w:pPr>
          </w:p>
        </w:tc>
        <w:tc>
          <w:tcPr>
            <w:tcW w:w="178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250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140" w:type="dxa"/>
            <w:vAlign w:val="bottom"/>
            <w:tcBorders>
              <w:top w:val="single" w:sz="8" w:color="CCEEFF"/>
            </w:tcBorders>
            <w:shd w:val="clear" w:color="auto" w:fill="CCEEFF"/>
          </w:tcPr>
          <w:p>
            <w:pPr>
              <w:spacing w:after="0"/>
              <w:rPr>
                <w:sz w:val="24"/>
                <w:szCs w:val="24"/>
                <w:color w:val="auto"/>
              </w:rPr>
            </w:pPr>
          </w:p>
        </w:tc>
        <w:tc>
          <w:tcPr>
            <w:tcW w:w="220" w:type="dxa"/>
            <w:vAlign w:val="bottom"/>
            <w:tcBorders>
              <w:top w:val="single" w:sz="8" w:color="CCEEFF"/>
            </w:tcBorders>
            <w:shd w:val="clear" w:color="auto" w:fill="CCEEFF"/>
          </w:tcPr>
          <w:p>
            <w:pPr>
              <w:spacing w:after="0"/>
              <w:rPr>
                <w:sz w:val="24"/>
                <w:szCs w:val="24"/>
                <w:color w:val="auto"/>
              </w:rPr>
            </w:pPr>
          </w:p>
        </w:tc>
        <w:tc>
          <w:tcPr>
            <w:tcW w:w="78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auto"/>
            </w:tcBorders>
            <w:shd w:val="clear" w:color="auto" w:fill="CCEEFF"/>
          </w:tcPr>
          <w:p>
            <w:pPr>
              <w:spacing w:after="0"/>
              <w:rPr>
                <w:sz w:val="24"/>
                <w:szCs w:val="24"/>
                <w:color w:val="auto"/>
              </w:rPr>
            </w:pPr>
          </w:p>
        </w:tc>
        <w:tc>
          <w:tcPr>
            <w:tcW w:w="84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88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860" w:type="dxa"/>
            <w:vAlign w:val="bottom"/>
            <w:tcBorders>
              <w:top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-1242695</wp:posOffset>
            </wp:positionV>
            <wp:extent cx="521398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2139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-4210050</wp:posOffset>
            </wp:positionV>
            <wp:extent cx="378206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782060" cy="8890"/>
                    </a:xfrm>
                    <a:prstGeom prst="rect">
                      <a:avLst/>
                    </a:prstGeom>
                    <a:noFill/>
                  </pic:spPr>
                </pic:pic>
              </a:graphicData>
            </a:graphic>
          </wp:anchor>
        </w:drawing>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302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 Non-controlled/Affiliate</w:t>
            </w:r>
          </w:p>
        </w:tc>
        <w:tc>
          <w:tcPr>
            <w:tcW w:w="27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b w:val="1"/>
                <w:bCs w:val="1"/>
                <w:color w:val="auto"/>
              </w:rPr>
              <w:t>42,226,859</w:t>
            </w:r>
          </w:p>
        </w:tc>
        <w:tc>
          <w:tcPr>
            <w:tcW w:w="100" w:type="dxa"/>
            <w:vAlign w:val="bottom"/>
          </w:tcPr>
          <w:p>
            <w:pPr>
              <w:spacing w:after="0"/>
              <w:rPr>
                <w:sz w:val="16"/>
                <w:szCs w:val="16"/>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b w:val="1"/>
                <w:bCs w:val="1"/>
                <w:color w:val="auto"/>
              </w:rPr>
              <w:t>$   5,834,265</w:t>
            </w:r>
          </w:p>
        </w:tc>
        <w:tc>
          <w:tcPr>
            <w:tcW w:w="100" w:type="dxa"/>
            <w:vAlign w:val="bottom"/>
          </w:tcPr>
          <w:p>
            <w:pPr>
              <w:spacing w:after="0"/>
              <w:rPr>
                <w:sz w:val="16"/>
                <w:szCs w:val="16"/>
                <w:color w:val="auto"/>
              </w:rPr>
            </w:pPr>
          </w:p>
        </w:tc>
        <w:tc>
          <w:tcPr>
            <w:tcW w:w="860" w:type="dxa"/>
            <w:vAlign w:val="bottom"/>
          </w:tcPr>
          <w:p>
            <w:pPr>
              <w:ind w:left="440"/>
              <w:spacing w:after="0"/>
              <w:rPr>
                <w:sz w:val="20"/>
                <w:szCs w:val="20"/>
                <w:color w:val="auto"/>
              </w:rPr>
            </w:pPr>
            <w:r>
              <w:rPr>
                <w:rFonts w:ascii="Arial" w:cs="Arial" w:eastAsia="Arial" w:hAnsi="Arial"/>
                <w:sz w:val="14"/>
                <w:szCs w:val="14"/>
                <w:b w:val="1"/>
                <w:bCs w:val="1"/>
                <w:color w:val="auto"/>
              </w:rPr>
              <w:t>2.73%</w:t>
            </w:r>
          </w:p>
        </w:tc>
      </w:tr>
      <w:tr>
        <w:trPr>
          <w:trHeight w:val="290"/>
        </w:trPr>
        <w:tc>
          <w:tcPr>
            <w:tcW w:w="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940" w:type="dxa"/>
            <w:vAlign w:val="bottom"/>
            <w:shd w:val="clear" w:color="auto" w:fill="CCEEFF"/>
          </w:tcPr>
          <w:p>
            <w:pPr>
              <w:spacing w:after="0"/>
              <w:rPr>
                <w:sz w:val="24"/>
                <w:szCs w:val="24"/>
                <w:color w:val="auto"/>
              </w:rPr>
            </w:pPr>
          </w:p>
        </w:tc>
        <w:tc>
          <w:tcPr>
            <w:tcW w:w="276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64"/>
        </w:trPr>
        <w:tc>
          <w:tcPr>
            <w:tcW w:w="3060" w:type="dxa"/>
            <w:vAlign w:val="bottom"/>
            <w:gridSpan w:val="3"/>
          </w:tcPr>
          <w:p>
            <w:pPr>
              <w:ind w:left="40"/>
              <w:spacing w:after="0"/>
              <w:rPr>
                <w:sz w:val="20"/>
                <w:szCs w:val="20"/>
                <w:color w:val="auto"/>
              </w:rPr>
            </w:pPr>
            <w:r>
              <w:rPr>
                <w:rFonts w:ascii="Arial" w:cs="Arial" w:eastAsia="Arial" w:hAnsi="Arial"/>
                <w:sz w:val="14"/>
                <w:szCs w:val="14"/>
                <w:b w:val="1"/>
                <w:bCs w:val="1"/>
                <w:color w:val="auto"/>
              </w:rPr>
              <w:t>CONTROLLED</w:t>
            </w:r>
            <w:r>
              <w:rPr>
                <w:rFonts w:ascii="Arial" w:cs="Arial" w:eastAsia="Arial" w:hAnsi="Arial"/>
                <w:sz w:val="8"/>
                <w:szCs w:val="8"/>
                <w:color w:val="auto"/>
              </w:rPr>
              <w:t>(2)</w:t>
            </w:r>
          </w:p>
        </w:tc>
        <w:tc>
          <w:tcPr>
            <w:tcW w:w="27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49"/>
        </w:trPr>
        <w:tc>
          <w:tcPr>
            <w:tcW w:w="306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StormWind, LLC</w:t>
            </w:r>
            <w:r>
              <w:rPr>
                <w:rFonts w:ascii="Arial" w:cs="Arial" w:eastAsia="Arial" w:hAnsi="Arial"/>
                <w:sz w:val="8"/>
                <w:szCs w:val="8"/>
                <w:color w:val="auto"/>
              </w:rPr>
              <w:t>(5)</w:t>
            </w:r>
          </w:p>
        </w:tc>
        <w:tc>
          <w:tcPr>
            <w:tcW w:w="2760" w:type="dxa"/>
            <w:vAlign w:val="bottom"/>
            <w:shd w:val="clear" w:color="auto" w:fill="CCEEFF"/>
          </w:tcPr>
          <w:p>
            <w:pPr>
              <w:jc w:val="center"/>
              <w:ind w:left="468"/>
              <w:spacing w:after="0"/>
              <w:rPr>
                <w:sz w:val="20"/>
                <w:szCs w:val="20"/>
                <w:color w:val="auto"/>
              </w:rPr>
            </w:pPr>
            <w:r>
              <w:rPr>
                <w:rFonts w:ascii="Arial" w:cs="Arial" w:eastAsia="Arial" w:hAnsi="Arial"/>
                <w:sz w:val="14"/>
                <w:szCs w:val="14"/>
                <w:color w:val="auto"/>
                <w:w w:val="94"/>
              </w:rPr>
              <w:t>Scottsdale, AZ</w:t>
            </w:r>
          </w:p>
        </w:tc>
        <w:tc>
          <w:tcPr>
            <w:tcW w:w="14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276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r>
      <w:tr>
        <w:trPr>
          <w:trHeight w:val="264"/>
        </w:trPr>
        <w:tc>
          <w:tcPr>
            <w:tcW w:w="3060" w:type="dxa"/>
            <w:vAlign w:val="bottom"/>
            <w:gridSpan w:val="3"/>
          </w:tcPr>
          <w:p>
            <w:pPr>
              <w:ind w:left="40"/>
              <w:spacing w:after="0"/>
              <w:rPr>
                <w:sz w:val="20"/>
                <w:szCs w:val="20"/>
                <w:color w:val="auto"/>
              </w:rPr>
            </w:pPr>
            <w:r>
              <w:rPr>
                <w:rFonts w:ascii="Arial" w:cs="Arial" w:eastAsia="Arial" w:hAnsi="Arial"/>
                <w:sz w:val="14"/>
                <w:szCs w:val="14"/>
                <w:color w:val="auto"/>
              </w:rPr>
              <w:t>Preferred shares, Series C 8%</w:t>
            </w:r>
          </w:p>
        </w:tc>
        <w:tc>
          <w:tcPr>
            <w:tcW w:w="2760" w:type="dxa"/>
            <w:vAlign w:val="bottom"/>
          </w:tcPr>
          <w:p>
            <w:pPr>
              <w:jc w:val="center"/>
              <w:ind w:left="468"/>
              <w:spacing w:after="0"/>
              <w:rPr>
                <w:sz w:val="20"/>
                <w:szCs w:val="20"/>
                <w:color w:val="auto"/>
              </w:rPr>
            </w:pPr>
            <w:r>
              <w:rPr>
                <w:rFonts w:ascii="Arial" w:cs="Arial" w:eastAsia="Arial" w:hAnsi="Arial"/>
                <w:sz w:val="14"/>
                <w:szCs w:val="14"/>
                <w:color w:val="auto"/>
                <w:w w:val="95"/>
              </w:rPr>
              <w:t>Interactive Learning</w:t>
            </w:r>
          </w:p>
        </w:tc>
        <w:tc>
          <w:tcPr>
            <w:tcW w:w="1440" w:type="dxa"/>
            <w:vAlign w:val="bottom"/>
          </w:tcPr>
          <w:p>
            <w:pPr>
              <w:jc w:val="center"/>
              <w:ind w:left="148"/>
              <w:spacing w:after="0"/>
              <w:rPr>
                <w:sz w:val="20"/>
                <w:szCs w:val="20"/>
                <w:color w:val="auto"/>
              </w:rPr>
            </w:pPr>
            <w:r>
              <w:rPr>
                <w:rFonts w:ascii="Arial" w:cs="Arial" w:eastAsia="Arial" w:hAnsi="Arial"/>
                <w:sz w:val="14"/>
                <w:szCs w:val="14"/>
                <w:color w:val="auto"/>
                <w:w w:val="91"/>
              </w:rPr>
              <w:t>1/7/2014</w:t>
            </w: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2,779,134</w:t>
            </w: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4,000,787</w:t>
            </w:r>
          </w:p>
        </w:tc>
        <w:tc>
          <w:tcPr>
            <w:tcW w:w="1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8,402,683</w:t>
            </w:r>
          </w:p>
        </w:tc>
        <w:tc>
          <w:tcPr>
            <w:tcW w:w="100" w:type="dxa"/>
            <w:vAlign w:val="bottom"/>
          </w:tcPr>
          <w:p>
            <w:pPr>
              <w:spacing w:after="0"/>
              <w:rPr>
                <w:sz w:val="22"/>
                <w:szCs w:val="22"/>
                <w:color w:val="auto"/>
              </w:rPr>
            </w:pPr>
          </w:p>
        </w:tc>
        <w:tc>
          <w:tcPr>
            <w:tcW w:w="860" w:type="dxa"/>
            <w:vAlign w:val="bottom"/>
          </w:tcPr>
          <w:p>
            <w:pPr>
              <w:ind w:left="440"/>
              <w:spacing w:after="0"/>
              <w:rPr>
                <w:sz w:val="20"/>
                <w:szCs w:val="20"/>
                <w:color w:val="auto"/>
              </w:rPr>
            </w:pPr>
            <w:r>
              <w:rPr>
                <w:rFonts w:ascii="Arial" w:cs="Arial" w:eastAsia="Arial" w:hAnsi="Arial"/>
                <w:sz w:val="14"/>
                <w:szCs w:val="14"/>
                <w:color w:val="auto"/>
              </w:rPr>
              <w:t>3.94%</w:t>
            </w:r>
          </w:p>
        </w:tc>
      </w:tr>
      <w:tr>
        <w:trPr>
          <w:trHeight w:val="276"/>
        </w:trPr>
        <w:tc>
          <w:tcPr>
            <w:tcW w:w="30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Preferred shares, Series B 8%</w:t>
            </w:r>
          </w:p>
        </w:tc>
        <w:tc>
          <w:tcPr>
            <w:tcW w:w="2760" w:type="dxa"/>
            <w:vAlign w:val="bottom"/>
            <w:shd w:val="clear" w:color="auto" w:fill="CCEEFF"/>
          </w:tcPr>
          <w:p>
            <w:pPr>
              <w:spacing w:after="0"/>
              <w:rPr>
                <w:sz w:val="24"/>
                <w:szCs w:val="24"/>
                <w:color w:val="auto"/>
              </w:rPr>
            </w:pPr>
          </w:p>
        </w:tc>
        <w:tc>
          <w:tcPr>
            <w:tcW w:w="1440" w:type="dxa"/>
            <w:vAlign w:val="bottom"/>
            <w:shd w:val="clear" w:color="auto" w:fill="CCEEFF"/>
          </w:tcPr>
          <w:p>
            <w:pPr>
              <w:jc w:val="center"/>
              <w:ind w:left="148"/>
              <w:spacing w:after="0"/>
              <w:rPr>
                <w:sz w:val="20"/>
                <w:szCs w:val="20"/>
                <w:color w:val="auto"/>
              </w:rPr>
            </w:pPr>
            <w:r>
              <w:rPr>
                <w:rFonts w:ascii="Arial" w:cs="Arial" w:eastAsia="Arial" w:hAnsi="Arial"/>
                <w:sz w:val="14"/>
                <w:szCs w:val="14"/>
                <w:color w:val="auto"/>
                <w:w w:val="94"/>
              </w:rPr>
              <w:t>12/16/2011</w:t>
            </w:r>
          </w:p>
        </w:tc>
        <w:tc>
          <w:tcPr>
            <w:tcW w:w="10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3,279,629</w:t>
            </w: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2,019,687</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6,000,048</w:t>
            </w: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ind w:left="440"/>
              <w:spacing w:after="0"/>
              <w:rPr>
                <w:sz w:val="20"/>
                <w:szCs w:val="20"/>
                <w:color w:val="auto"/>
              </w:rPr>
            </w:pPr>
            <w:r>
              <w:rPr>
                <w:rFonts w:ascii="Arial" w:cs="Arial" w:eastAsia="Arial" w:hAnsi="Arial"/>
                <w:sz w:val="14"/>
                <w:szCs w:val="14"/>
                <w:color w:val="auto"/>
              </w:rPr>
              <w:t>2.81%</w:t>
            </w:r>
          </w:p>
        </w:tc>
      </w:tr>
      <w:tr>
        <w:trPr>
          <w:trHeight w:val="264"/>
        </w:trPr>
        <w:tc>
          <w:tcPr>
            <w:tcW w:w="3060" w:type="dxa"/>
            <w:vAlign w:val="bottom"/>
            <w:tcBorders>
              <w:bottom w:val="single" w:sz="8" w:color="CCEEFF"/>
            </w:tcBorders>
            <w:gridSpan w:val="3"/>
          </w:tcPr>
          <w:p>
            <w:pPr>
              <w:ind w:left="40"/>
              <w:spacing w:after="0"/>
              <w:rPr>
                <w:sz w:val="20"/>
                <w:szCs w:val="20"/>
                <w:color w:val="auto"/>
              </w:rPr>
            </w:pPr>
            <w:r>
              <w:rPr>
                <w:rFonts w:ascii="Arial" w:cs="Arial" w:eastAsia="Arial" w:hAnsi="Arial"/>
                <w:sz w:val="14"/>
                <w:szCs w:val="14"/>
                <w:color w:val="auto"/>
              </w:rPr>
              <w:t>Preferred shares, Series A 8%</w:t>
            </w:r>
          </w:p>
        </w:tc>
        <w:tc>
          <w:tcPr>
            <w:tcW w:w="2760" w:type="dxa"/>
            <w:vAlign w:val="bottom"/>
            <w:tcBorders>
              <w:bottom w:val="single" w:sz="8" w:color="CCEEFF"/>
            </w:tcBorders>
          </w:tcPr>
          <w:p>
            <w:pPr>
              <w:spacing w:after="0"/>
              <w:rPr>
                <w:sz w:val="22"/>
                <w:szCs w:val="22"/>
                <w:color w:val="auto"/>
              </w:rPr>
            </w:pPr>
          </w:p>
        </w:tc>
        <w:tc>
          <w:tcPr>
            <w:tcW w:w="1440" w:type="dxa"/>
            <w:vAlign w:val="bottom"/>
            <w:tcBorders>
              <w:bottom w:val="single" w:sz="8" w:color="CCEEFF"/>
            </w:tcBorders>
          </w:tcPr>
          <w:p>
            <w:pPr>
              <w:jc w:val="center"/>
              <w:ind w:left="148"/>
              <w:spacing w:after="0"/>
              <w:rPr>
                <w:sz w:val="20"/>
                <w:szCs w:val="20"/>
                <w:color w:val="auto"/>
              </w:rPr>
            </w:pPr>
            <w:r>
              <w:rPr>
                <w:rFonts w:ascii="Arial" w:cs="Arial" w:eastAsia="Arial" w:hAnsi="Arial"/>
                <w:sz w:val="14"/>
                <w:szCs w:val="14"/>
                <w:color w:val="auto"/>
                <w:w w:val="93"/>
              </w:rPr>
              <w:t>2/25/2014</w:t>
            </w:r>
          </w:p>
        </w:tc>
        <w:tc>
          <w:tcPr>
            <w:tcW w:w="1060" w:type="dxa"/>
            <w:vAlign w:val="bottom"/>
            <w:tcBorders>
              <w:bottom w:val="single" w:sz="8" w:color="CCEEFF"/>
            </w:tcBorders>
          </w:tcPr>
          <w:p>
            <w:pPr>
              <w:jc w:val="right"/>
              <w:ind w:right="128"/>
              <w:spacing w:after="0"/>
              <w:rPr>
                <w:sz w:val="20"/>
                <w:szCs w:val="20"/>
                <w:color w:val="auto"/>
              </w:rPr>
            </w:pPr>
            <w:r>
              <w:rPr>
                <w:rFonts w:ascii="Arial" w:cs="Arial" w:eastAsia="Arial" w:hAnsi="Arial"/>
                <w:sz w:val="14"/>
                <w:szCs w:val="14"/>
                <w:color w:val="auto"/>
              </w:rPr>
              <w:t>366,666</w:t>
            </w: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110,000</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580,865</w:t>
            </w:r>
          </w:p>
        </w:tc>
        <w:tc>
          <w:tcPr>
            <w:tcW w:w="10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ind w:left="440"/>
              <w:spacing w:after="0"/>
              <w:rPr>
                <w:sz w:val="20"/>
                <w:szCs w:val="20"/>
                <w:color w:val="auto"/>
              </w:rPr>
            </w:pPr>
            <w:r>
              <w:rPr>
                <w:rFonts w:ascii="Arial" w:cs="Arial" w:eastAsia="Arial" w:hAnsi="Arial"/>
                <w:sz w:val="14"/>
                <w:szCs w:val="14"/>
                <w:color w:val="auto"/>
              </w:rPr>
              <w:t>0.27%</w:t>
            </w:r>
          </w:p>
        </w:tc>
      </w:tr>
      <w:tr>
        <w:trPr>
          <w:trHeight w:val="264"/>
        </w:trPr>
        <w:tc>
          <w:tcPr>
            <w:tcW w:w="40" w:type="dxa"/>
            <w:vAlign w:val="bottom"/>
            <w:shd w:val="clear" w:color="auto" w:fill="CCEEFF"/>
          </w:tcPr>
          <w:p>
            <w:pPr>
              <w:spacing w:after="0"/>
              <w:rPr>
                <w:sz w:val="22"/>
                <w:szCs w:val="22"/>
                <w:color w:val="auto"/>
              </w:rPr>
            </w:pPr>
          </w:p>
        </w:tc>
        <w:tc>
          <w:tcPr>
            <w:tcW w:w="30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276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6,130,474</w:t>
            </w:r>
          </w:p>
        </w:tc>
        <w:tc>
          <w:tcPr>
            <w:tcW w:w="100" w:type="dxa"/>
            <w:vAlign w:val="bottom"/>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14,983,596</w:t>
            </w:r>
          </w:p>
        </w:tc>
        <w:tc>
          <w:tcPr>
            <w:tcW w:w="100" w:type="dxa"/>
            <w:vAlign w:val="bottom"/>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4"/>
                <w:szCs w:val="14"/>
                <w:color w:val="auto"/>
              </w:rPr>
              <w:t>7.02%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521398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2139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-882650</wp:posOffset>
            </wp:positionV>
            <wp:extent cx="521398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See accompanying notes to condensed consolidated financial statements.</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SCHEDULE OF INVESTMENTS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2018</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gridSpan w:val="7"/>
            <w:vMerge w:val="restart"/>
          </w:tcPr>
          <w:p>
            <w:pPr>
              <w:ind w:left="40"/>
              <w:spacing w:after="0"/>
              <w:rPr>
                <w:sz w:val="20"/>
                <w:szCs w:val="20"/>
                <w:color w:val="auto"/>
              </w:rPr>
            </w:pPr>
            <w:r>
              <w:rPr>
                <w:rFonts w:ascii="Arial" w:cs="Arial" w:eastAsia="Arial" w:hAnsi="Arial"/>
                <w:sz w:val="14"/>
                <w:szCs w:val="14"/>
                <w:b w:val="1"/>
                <w:bCs w:val="1"/>
                <w:color w:val="auto"/>
              </w:rPr>
              <w:t>Portfolio Investments*</w:t>
            </w:r>
          </w:p>
        </w:tc>
        <w:tc>
          <w:tcPr>
            <w:tcW w:w="2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Headquarters/</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7"/>
              </w:rPr>
              <w:t>Date of Initial</w:t>
            </w:r>
          </w:p>
        </w:tc>
        <w:tc>
          <w:tcPr>
            <w:tcW w:w="26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Shares/</w:t>
            </w:r>
          </w:p>
        </w:tc>
        <w:tc>
          <w:tcPr>
            <w:tcW w:w="200" w:type="dxa"/>
            <w:vAlign w:val="bottom"/>
          </w:tcPr>
          <w:p>
            <w:pPr>
              <w:spacing w:after="0"/>
              <w:rPr>
                <w:sz w:val="14"/>
                <w:szCs w:val="14"/>
                <w:color w:val="auto"/>
              </w:rPr>
            </w:pPr>
          </w:p>
        </w:tc>
        <w:tc>
          <w:tcPr>
            <w:tcW w:w="10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4"/>
                <w:szCs w:val="14"/>
                <w:color w:val="auto"/>
              </w:rPr>
            </w:pPr>
          </w:p>
        </w:tc>
        <w:tc>
          <w:tcPr>
            <w:tcW w:w="9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860" w:type="dxa"/>
            <w:vAlign w:val="bottom"/>
          </w:tcPr>
          <w:p>
            <w:pPr>
              <w:jc w:val="right"/>
              <w:ind w:right="68"/>
              <w:spacing w:after="0"/>
              <w:rPr>
                <w:sz w:val="20"/>
                <w:szCs w:val="20"/>
                <w:color w:val="auto"/>
              </w:rPr>
            </w:pPr>
            <w:r>
              <w:rPr>
                <w:rFonts w:ascii="Arial" w:cs="Arial" w:eastAsia="Arial" w:hAnsi="Arial"/>
                <w:sz w:val="14"/>
                <w:szCs w:val="14"/>
                <w:b w:val="1"/>
                <w:bCs w:val="1"/>
                <w:color w:val="auto"/>
              </w:rPr>
              <w:t>% of Net</w:t>
            </w:r>
          </w:p>
        </w:tc>
        <w:tc>
          <w:tcPr>
            <w:tcW w:w="0" w:type="dxa"/>
            <w:vAlign w:val="bottom"/>
          </w:tcPr>
          <w:p>
            <w:pPr>
              <w:spacing w:after="0"/>
              <w:rPr>
                <w:sz w:val="1"/>
                <w:szCs w:val="1"/>
                <w:color w:val="auto"/>
              </w:rPr>
            </w:pPr>
          </w:p>
        </w:tc>
      </w:tr>
      <w:tr>
        <w:trPr>
          <w:trHeight w:val="192"/>
        </w:trPr>
        <w:tc>
          <w:tcPr>
            <w:tcW w:w="3460" w:type="dxa"/>
            <w:vAlign w:val="bottom"/>
            <w:gridSpan w:val="7"/>
            <w:vMerge w:val="continue"/>
          </w:tcPr>
          <w:p>
            <w:pPr>
              <w:spacing w:after="0"/>
              <w:rPr>
                <w:sz w:val="16"/>
                <w:szCs w:val="16"/>
                <w:color w:val="auto"/>
              </w:rPr>
            </w:pPr>
          </w:p>
        </w:tc>
        <w:tc>
          <w:tcPr>
            <w:tcW w:w="2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Industry</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1"/>
              </w:rPr>
              <w:t>Investment</w:t>
            </w:r>
          </w:p>
        </w:tc>
        <w:tc>
          <w:tcPr>
            <w:tcW w:w="26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Principal</w:t>
            </w:r>
          </w:p>
        </w:tc>
        <w:tc>
          <w:tcPr>
            <w:tcW w:w="2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860" w:type="dxa"/>
            <w:vAlign w:val="bottom"/>
          </w:tcPr>
          <w:p>
            <w:pPr>
              <w:jc w:val="right"/>
              <w:ind w:right="168"/>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49"/>
        </w:trPr>
        <w:tc>
          <w:tcPr>
            <w:tcW w:w="3460" w:type="dxa"/>
            <w:vAlign w:val="bottom"/>
            <w:gridSpan w:val="7"/>
            <w:shd w:val="clear" w:color="auto" w:fill="CCEEFF"/>
          </w:tcPr>
          <w:p>
            <w:pPr>
              <w:ind w:left="40"/>
              <w:spacing w:after="0"/>
              <w:rPr>
                <w:sz w:val="20"/>
                <w:szCs w:val="20"/>
                <w:color w:val="auto"/>
              </w:rPr>
            </w:pPr>
            <w:r>
              <w:rPr>
                <w:rFonts w:ascii="Arial" w:cs="Arial" w:eastAsia="Arial" w:hAnsi="Arial"/>
                <w:sz w:val="14"/>
                <w:szCs w:val="14"/>
                <w:b w:val="1"/>
                <w:bCs w:val="1"/>
                <w:color w:val="auto"/>
              </w:rPr>
              <w:t>NestGSV, Inc. (d/b/a GSV Labs, Inc.)</w:t>
            </w:r>
          </w:p>
        </w:tc>
        <w:tc>
          <w:tcPr>
            <w:tcW w:w="240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4"/>
              </w:rPr>
              <w:t>Redwood City, CA</w:t>
            </w:r>
          </w:p>
        </w:tc>
        <w:tc>
          <w:tcPr>
            <w:tcW w:w="1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CCEEFF"/>
          </w:tcPr>
          <w:p>
            <w:pPr>
              <w:spacing w:after="0" w:line="20" w:lineRule="exact"/>
              <w:rPr>
                <w:sz w:val="1"/>
                <w:szCs w:val="1"/>
                <w:color w:val="auto"/>
              </w:rPr>
            </w:pPr>
          </w:p>
        </w:tc>
        <w:tc>
          <w:tcPr>
            <w:tcW w:w="1440" w:type="dxa"/>
            <w:vAlign w:val="bottom"/>
            <w:tcBorders>
              <w:top w:val="single" w:sz="8" w:color="auto"/>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3460" w:type="dxa"/>
            <w:vAlign w:val="bottom"/>
            <w:gridSpan w:val="7"/>
          </w:tcPr>
          <w:p>
            <w:pPr>
              <w:ind w:left="40"/>
              <w:spacing w:after="0"/>
              <w:rPr>
                <w:sz w:val="20"/>
                <w:szCs w:val="20"/>
                <w:color w:val="auto"/>
              </w:rPr>
            </w:pPr>
            <w:r>
              <w:rPr>
                <w:rFonts w:ascii="Arial" w:cs="Arial" w:eastAsia="Arial" w:hAnsi="Arial"/>
                <w:sz w:val="14"/>
                <w:szCs w:val="14"/>
                <w:color w:val="auto"/>
              </w:rPr>
              <w:t>Convertible Promissory Note 12% Due 12/31/2018***</w:t>
            </w:r>
          </w:p>
        </w:tc>
        <w:tc>
          <w:tcPr>
            <w:tcW w:w="240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96"/>
              </w:rPr>
              <w:t>Global Innovation Platform</w:t>
            </w:r>
          </w:p>
        </w:tc>
        <w:tc>
          <w:tcPr>
            <w:tcW w:w="1120" w:type="dxa"/>
            <w:vAlign w:val="bottom"/>
            <w:vMerge w:val="restart"/>
          </w:tcPr>
          <w:p>
            <w:pPr>
              <w:jc w:val="center"/>
              <w:spacing w:after="0"/>
              <w:rPr>
                <w:sz w:val="20"/>
                <w:szCs w:val="20"/>
                <w:color w:val="auto"/>
              </w:rPr>
            </w:pPr>
            <w:r>
              <w:rPr>
                <w:rFonts w:ascii="Arial" w:cs="Arial" w:eastAsia="Arial" w:hAnsi="Arial"/>
                <w:sz w:val="14"/>
                <w:szCs w:val="14"/>
                <w:color w:val="auto"/>
                <w:w w:val="93"/>
              </w:rPr>
              <w:t>2/17/2016</w:t>
            </w:r>
          </w:p>
        </w:tc>
        <w:tc>
          <w:tcPr>
            <w:tcW w:w="2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605,637</w:t>
            </w:r>
          </w:p>
        </w:tc>
        <w:tc>
          <w:tcPr>
            <w:tcW w:w="100" w:type="dxa"/>
            <w:vAlign w:val="bottom"/>
          </w:tcPr>
          <w:p>
            <w:pPr>
              <w:spacing w:after="0"/>
              <w:rPr>
                <w:sz w:val="14"/>
                <w:szCs w:val="14"/>
                <w:color w:val="auto"/>
              </w:rPr>
            </w:pP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28"/>
              <w:spacing w:after="0"/>
              <w:rPr>
                <w:sz w:val="20"/>
                <w:szCs w:val="20"/>
                <w:color w:val="auto"/>
              </w:rPr>
            </w:pPr>
            <w:r>
              <w:rPr>
                <w:rFonts w:ascii="Arial" w:cs="Arial" w:eastAsia="Arial" w:hAnsi="Arial"/>
                <w:sz w:val="14"/>
                <w:szCs w:val="14"/>
                <w:color w:val="auto"/>
              </w:rPr>
              <w:t>612,015</w:t>
            </w: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545,074</w:t>
            </w:r>
          </w:p>
        </w:tc>
        <w:tc>
          <w:tcPr>
            <w:tcW w:w="1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0.26%</w:t>
            </w:r>
          </w:p>
        </w:tc>
        <w:tc>
          <w:tcPr>
            <w:tcW w:w="0" w:type="dxa"/>
            <w:vAlign w:val="bottom"/>
          </w:tcPr>
          <w:p>
            <w:pPr>
              <w:spacing w:after="0"/>
              <w:rPr>
                <w:sz w:val="1"/>
                <w:szCs w:val="1"/>
                <w:color w:val="auto"/>
              </w:rPr>
            </w:pPr>
          </w:p>
        </w:tc>
      </w:tr>
      <w:tr>
        <w:trPr>
          <w:trHeight w:val="136"/>
        </w:trPr>
        <w:tc>
          <w:tcPr>
            <w:tcW w:w="320" w:type="dxa"/>
            <w:vAlign w:val="bottom"/>
            <w:gridSpan w:val="2"/>
          </w:tcPr>
          <w:p>
            <w:pPr>
              <w:ind w:left="40"/>
              <w:spacing w:after="0"/>
              <w:rPr>
                <w:sz w:val="20"/>
                <w:szCs w:val="20"/>
                <w:color w:val="auto"/>
              </w:rPr>
            </w:pPr>
            <w:r>
              <w:rPr>
                <w:rFonts w:ascii="Arial" w:cs="Arial" w:eastAsia="Arial" w:hAnsi="Arial"/>
                <w:sz w:val="9"/>
                <w:szCs w:val="9"/>
                <w:color w:val="auto"/>
              </w:rPr>
              <w:t>(14)</w:t>
            </w:r>
          </w:p>
        </w:tc>
        <w:tc>
          <w:tcPr>
            <w:tcW w:w="5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0" w:type="dxa"/>
            <w:vAlign w:val="bottom"/>
            <w:gridSpan w:val="2"/>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26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3460" w:type="dxa"/>
            <w:vAlign w:val="bottom"/>
            <w:gridSpan w:val="7"/>
            <w:shd w:val="clear" w:color="auto" w:fill="CCEEFF"/>
          </w:tcPr>
          <w:p>
            <w:pPr>
              <w:ind w:left="40"/>
              <w:spacing w:after="0"/>
              <w:rPr>
                <w:sz w:val="20"/>
                <w:szCs w:val="20"/>
                <w:color w:val="auto"/>
              </w:rPr>
            </w:pPr>
            <w:r>
              <w:rPr>
                <w:rFonts w:ascii="Arial" w:cs="Arial" w:eastAsia="Arial" w:hAnsi="Arial"/>
                <w:sz w:val="14"/>
                <w:szCs w:val="14"/>
                <w:color w:val="auto"/>
              </w:rPr>
              <w:t>Preferred shares, Series A-4</w:t>
            </w:r>
          </w:p>
        </w:tc>
        <w:tc>
          <w:tcPr>
            <w:tcW w:w="2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10/6/2014</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3,720,424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4,904,498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8,442,350</w:t>
            </w: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3.96%</w:t>
            </w:r>
          </w:p>
        </w:tc>
        <w:tc>
          <w:tcPr>
            <w:tcW w:w="0" w:type="dxa"/>
            <w:vAlign w:val="bottom"/>
          </w:tcPr>
          <w:p>
            <w:pPr>
              <w:spacing w:after="0"/>
              <w:rPr>
                <w:sz w:val="1"/>
                <w:szCs w:val="1"/>
                <w:color w:val="auto"/>
              </w:rPr>
            </w:pPr>
          </w:p>
        </w:tc>
      </w:tr>
      <w:tr>
        <w:trPr>
          <w:trHeight w:val="264"/>
        </w:trPr>
        <w:tc>
          <w:tcPr>
            <w:tcW w:w="3460" w:type="dxa"/>
            <w:vAlign w:val="bottom"/>
            <w:gridSpan w:val="7"/>
          </w:tcPr>
          <w:p>
            <w:pPr>
              <w:ind w:left="40"/>
              <w:spacing w:after="0"/>
              <w:rPr>
                <w:sz w:val="20"/>
                <w:szCs w:val="20"/>
                <w:color w:val="auto"/>
              </w:rPr>
            </w:pPr>
            <w:r>
              <w:rPr>
                <w:rFonts w:ascii="Arial" w:cs="Arial" w:eastAsia="Arial" w:hAnsi="Arial"/>
                <w:sz w:val="14"/>
                <w:szCs w:val="14"/>
                <w:color w:val="auto"/>
              </w:rPr>
              <w:t>Preferred shares, Series A-3</w:t>
            </w:r>
          </w:p>
        </w:tc>
        <w:tc>
          <w:tcPr>
            <w:tcW w:w="2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95"/>
              </w:rPr>
              <w:t>4/4/2014</w:t>
            </w:r>
          </w:p>
        </w:tc>
        <w:tc>
          <w:tcPr>
            <w:tcW w:w="26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1,561,625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2,005,730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2,953,020</w:t>
            </w:r>
          </w:p>
        </w:tc>
        <w:tc>
          <w:tcPr>
            <w:tcW w:w="1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1.38%</w:t>
            </w:r>
          </w:p>
        </w:tc>
        <w:tc>
          <w:tcPr>
            <w:tcW w:w="0" w:type="dxa"/>
            <w:vAlign w:val="bottom"/>
          </w:tcPr>
          <w:p>
            <w:pPr>
              <w:spacing w:after="0"/>
              <w:rPr>
                <w:sz w:val="1"/>
                <w:szCs w:val="1"/>
                <w:color w:val="auto"/>
              </w:rPr>
            </w:pPr>
          </w:p>
        </w:tc>
      </w:tr>
      <w:tr>
        <w:trPr>
          <w:trHeight w:val="276"/>
        </w:trPr>
        <w:tc>
          <w:tcPr>
            <w:tcW w:w="3460" w:type="dxa"/>
            <w:vAlign w:val="bottom"/>
            <w:gridSpan w:val="7"/>
            <w:shd w:val="clear" w:color="auto" w:fill="CCEEFF"/>
          </w:tcPr>
          <w:p>
            <w:pPr>
              <w:ind w:left="40"/>
              <w:spacing w:after="0"/>
              <w:rPr>
                <w:sz w:val="20"/>
                <w:szCs w:val="20"/>
                <w:color w:val="auto"/>
              </w:rPr>
            </w:pPr>
            <w:r>
              <w:rPr>
                <w:rFonts w:ascii="Arial" w:cs="Arial" w:eastAsia="Arial" w:hAnsi="Arial"/>
                <w:sz w:val="14"/>
                <w:szCs w:val="14"/>
                <w:color w:val="auto"/>
              </w:rPr>
              <w:t>Preferred shares, Series A-2</w:t>
            </w:r>
          </w:p>
        </w:tc>
        <w:tc>
          <w:tcPr>
            <w:tcW w:w="2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7/15/2013</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450,001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605,500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510,568</w:t>
            </w: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0.24%</w:t>
            </w:r>
          </w:p>
        </w:tc>
        <w:tc>
          <w:tcPr>
            <w:tcW w:w="0" w:type="dxa"/>
            <w:vAlign w:val="bottom"/>
          </w:tcPr>
          <w:p>
            <w:pPr>
              <w:spacing w:after="0"/>
              <w:rPr>
                <w:sz w:val="1"/>
                <w:szCs w:val="1"/>
                <w:color w:val="auto"/>
              </w:rPr>
            </w:pPr>
          </w:p>
        </w:tc>
      </w:tr>
      <w:tr>
        <w:trPr>
          <w:trHeight w:val="264"/>
        </w:trPr>
        <w:tc>
          <w:tcPr>
            <w:tcW w:w="3460" w:type="dxa"/>
            <w:vAlign w:val="bottom"/>
            <w:gridSpan w:val="7"/>
          </w:tcPr>
          <w:p>
            <w:pPr>
              <w:ind w:left="40"/>
              <w:spacing w:after="0"/>
              <w:rPr>
                <w:sz w:val="20"/>
                <w:szCs w:val="20"/>
                <w:color w:val="auto"/>
              </w:rPr>
            </w:pPr>
            <w:r>
              <w:rPr>
                <w:rFonts w:ascii="Arial" w:cs="Arial" w:eastAsia="Arial" w:hAnsi="Arial"/>
                <w:sz w:val="14"/>
                <w:szCs w:val="14"/>
                <w:color w:val="auto"/>
              </w:rPr>
              <w:t>Preferred shares, Series A-1</w:t>
            </w:r>
          </w:p>
        </w:tc>
        <w:tc>
          <w:tcPr>
            <w:tcW w:w="2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93"/>
              </w:rPr>
              <w:t>5/25/2012</w:t>
            </w:r>
          </w:p>
        </w:tc>
        <w:tc>
          <w:tcPr>
            <w:tcW w:w="26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1,000,000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1,021,778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850,946</w:t>
            </w:r>
          </w:p>
        </w:tc>
        <w:tc>
          <w:tcPr>
            <w:tcW w:w="1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0.40%</w:t>
            </w:r>
          </w:p>
        </w:tc>
        <w:tc>
          <w:tcPr>
            <w:tcW w:w="0" w:type="dxa"/>
            <w:vAlign w:val="bottom"/>
          </w:tcPr>
          <w:p>
            <w:pPr>
              <w:spacing w:after="0"/>
              <w:rPr>
                <w:sz w:val="1"/>
                <w:szCs w:val="1"/>
                <w:color w:val="auto"/>
              </w:rPr>
            </w:pPr>
          </w:p>
        </w:tc>
      </w:tr>
      <w:tr>
        <w:trPr>
          <w:trHeight w:val="276"/>
        </w:trPr>
        <w:tc>
          <w:tcPr>
            <w:tcW w:w="3460" w:type="dxa"/>
            <w:vAlign w:val="bottom"/>
            <w:gridSpan w:val="7"/>
            <w:shd w:val="clear" w:color="auto" w:fill="CCEEFF"/>
          </w:tcPr>
          <w:p>
            <w:pPr>
              <w:ind w:left="40"/>
              <w:spacing w:after="0"/>
              <w:rPr>
                <w:sz w:val="20"/>
                <w:szCs w:val="20"/>
                <w:color w:val="auto"/>
              </w:rPr>
            </w:pPr>
            <w:r>
              <w:rPr>
                <w:rFonts w:ascii="Arial" w:cs="Arial" w:eastAsia="Arial" w:hAnsi="Arial"/>
                <w:sz w:val="14"/>
                <w:szCs w:val="14"/>
                <w:color w:val="auto"/>
              </w:rPr>
              <w:t>Common shares</w:t>
            </w:r>
          </w:p>
        </w:tc>
        <w:tc>
          <w:tcPr>
            <w:tcW w:w="2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7/1/2014</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200,000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3460" w:type="dxa"/>
            <w:vAlign w:val="bottom"/>
            <w:gridSpan w:val="7"/>
          </w:tcPr>
          <w:p>
            <w:pPr>
              <w:ind w:left="40"/>
              <w:spacing w:after="0" w:line="157" w:lineRule="exact"/>
              <w:rPr>
                <w:sz w:val="20"/>
                <w:szCs w:val="20"/>
                <w:color w:val="auto"/>
              </w:rPr>
            </w:pPr>
            <w:r>
              <w:rPr>
                <w:rFonts w:ascii="Arial" w:cs="Arial" w:eastAsia="Arial" w:hAnsi="Arial"/>
                <w:sz w:val="14"/>
                <w:szCs w:val="14"/>
                <w:color w:val="auto"/>
              </w:rPr>
              <w:t>Preferred Warrants Series A-3, Strike Price $1.33,</w:t>
            </w:r>
          </w:p>
        </w:tc>
        <w:tc>
          <w:tcPr>
            <w:tcW w:w="2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460" w:type="dxa"/>
            <w:vAlign w:val="bottom"/>
            <w:gridSpan w:val="7"/>
          </w:tcPr>
          <w:p>
            <w:pPr>
              <w:ind w:left="40"/>
              <w:spacing w:after="0"/>
              <w:rPr>
                <w:sz w:val="20"/>
                <w:szCs w:val="20"/>
                <w:color w:val="auto"/>
              </w:rPr>
            </w:pPr>
            <w:r>
              <w:rPr>
                <w:rFonts w:ascii="Arial" w:cs="Arial" w:eastAsia="Arial" w:hAnsi="Arial"/>
                <w:sz w:val="14"/>
                <w:szCs w:val="14"/>
                <w:color w:val="auto"/>
              </w:rPr>
              <w:t>Expiration Date 4/4/2019</w:t>
            </w:r>
          </w:p>
        </w:tc>
        <w:tc>
          <w:tcPr>
            <w:tcW w:w="2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95"/>
              </w:rPr>
              <w:t>4/4/2014</w:t>
            </w:r>
          </w:p>
        </w:tc>
        <w:tc>
          <w:tcPr>
            <w:tcW w:w="260" w:type="dxa"/>
            <w:vAlign w:val="bottom"/>
          </w:tcPr>
          <w:p>
            <w:pPr>
              <w:spacing w:after="0"/>
              <w:rPr>
                <w:sz w:val="16"/>
                <w:szCs w:val="16"/>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187,500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110,625</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0.05%</w:t>
            </w:r>
          </w:p>
        </w:tc>
        <w:tc>
          <w:tcPr>
            <w:tcW w:w="0" w:type="dxa"/>
            <w:vAlign w:val="bottom"/>
          </w:tcPr>
          <w:p>
            <w:pPr>
              <w:spacing w:after="0"/>
              <w:rPr>
                <w:sz w:val="1"/>
                <w:szCs w:val="1"/>
                <w:color w:val="auto"/>
              </w:rPr>
            </w:pPr>
          </w:p>
        </w:tc>
      </w:tr>
      <w:tr>
        <w:trPr>
          <w:trHeight w:val="163"/>
        </w:trPr>
        <w:tc>
          <w:tcPr>
            <w:tcW w:w="3460" w:type="dxa"/>
            <w:vAlign w:val="bottom"/>
            <w:gridSpan w:val="7"/>
            <w:shd w:val="clear" w:color="auto" w:fill="CCEEFF"/>
          </w:tcPr>
          <w:p>
            <w:pPr>
              <w:ind w:left="40"/>
              <w:spacing w:after="0"/>
              <w:rPr>
                <w:sz w:val="20"/>
                <w:szCs w:val="20"/>
                <w:color w:val="auto"/>
              </w:rPr>
            </w:pPr>
            <w:r>
              <w:rPr>
                <w:rFonts w:ascii="Arial" w:cs="Arial" w:eastAsia="Arial" w:hAnsi="Arial"/>
                <w:sz w:val="14"/>
                <w:szCs w:val="14"/>
                <w:color w:val="auto"/>
              </w:rPr>
              <w:t>Preferred Warrants Series A-4, Strike Price $1.33,</w:t>
            </w:r>
          </w:p>
        </w:tc>
        <w:tc>
          <w:tcPr>
            <w:tcW w:w="2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460" w:type="dxa"/>
            <w:vAlign w:val="bottom"/>
            <w:gridSpan w:val="7"/>
            <w:shd w:val="clear" w:color="auto" w:fill="CCEEFF"/>
          </w:tcPr>
          <w:p>
            <w:pPr>
              <w:ind w:left="40"/>
              <w:spacing w:after="0"/>
              <w:rPr>
                <w:sz w:val="20"/>
                <w:szCs w:val="20"/>
                <w:color w:val="auto"/>
              </w:rPr>
            </w:pPr>
            <w:r>
              <w:rPr>
                <w:rFonts w:ascii="Arial" w:cs="Arial" w:eastAsia="Arial" w:hAnsi="Arial"/>
                <w:sz w:val="14"/>
                <w:szCs w:val="14"/>
                <w:color w:val="auto"/>
              </w:rPr>
              <w:t>Expiration Date 10/6/2019</w:t>
            </w:r>
          </w:p>
        </w:tc>
        <w:tc>
          <w:tcPr>
            <w:tcW w:w="2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10/6/2014</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500,000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495,000</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0.23%</w:t>
            </w:r>
          </w:p>
        </w:tc>
        <w:tc>
          <w:tcPr>
            <w:tcW w:w="0" w:type="dxa"/>
            <w:vAlign w:val="bottom"/>
          </w:tcPr>
          <w:p>
            <w:pPr>
              <w:spacing w:after="0"/>
              <w:rPr>
                <w:sz w:val="1"/>
                <w:szCs w:val="1"/>
                <w:color w:val="auto"/>
              </w:rPr>
            </w:pPr>
          </w:p>
        </w:tc>
      </w:tr>
      <w:tr>
        <w:trPr>
          <w:trHeight w:val="157"/>
        </w:trPr>
        <w:tc>
          <w:tcPr>
            <w:tcW w:w="3460" w:type="dxa"/>
            <w:vAlign w:val="bottom"/>
            <w:gridSpan w:val="7"/>
          </w:tcPr>
          <w:p>
            <w:pPr>
              <w:ind w:left="40"/>
              <w:spacing w:after="0" w:line="157" w:lineRule="exact"/>
              <w:rPr>
                <w:sz w:val="20"/>
                <w:szCs w:val="20"/>
                <w:color w:val="auto"/>
              </w:rPr>
            </w:pPr>
            <w:r>
              <w:rPr>
                <w:rFonts w:ascii="Arial" w:cs="Arial" w:eastAsia="Arial" w:hAnsi="Arial"/>
                <w:sz w:val="14"/>
                <w:szCs w:val="14"/>
                <w:color w:val="auto"/>
              </w:rPr>
              <w:t>Preferred Warrants Series A-4, Strike Price $1.33,</w:t>
            </w:r>
          </w:p>
        </w:tc>
        <w:tc>
          <w:tcPr>
            <w:tcW w:w="2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460" w:type="dxa"/>
            <w:vAlign w:val="bottom"/>
            <w:gridSpan w:val="7"/>
          </w:tcPr>
          <w:p>
            <w:pPr>
              <w:ind w:left="40"/>
              <w:spacing w:after="0"/>
              <w:rPr>
                <w:sz w:val="20"/>
                <w:szCs w:val="20"/>
                <w:color w:val="auto"/>
              </w:rPr>
            </w:pPr>
            <w:r>
              <w:rPr>
                <w:rFonts w:ascii="Arial" w:cs="Arial" w:eastAsia="Arial" w:hAnsi="Arial"/>
                <w:sz w:val="14"/>
                <w:szCs w:val="14"/>
                <w:color w:val="auto"/>
              </w:rPr>
              <w:t>Expiration Date 7/18/2021</w:t>
            </w:r>
          </w:p>
        </w:tc>
        <w:tc>
          <w:tcPr>
            <w:tcW w:w="2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95"/>
              </w:rPr>
              <w:t>7/8/2016</w:t>
            </w:r>
          </w:p>
        </w:tc>
        <w:tc>
          <w:tcPr>
            <w:tcW w:w="260" w:type="dxa"/>
            <w:vAlign w:val="bottom"/>
          </w:tcPr>
          <w:p>
            <w:pPr>
              <w:spacing w:after="0"/>
              <w:rPr>
                <w:sz w:val="16"/>
                <w:szCs w:val="16"/>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250,000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74,380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267,500</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0.13%</w:t>
            </w:r>
          </w:p>
        </w:tc>
        <w:tc>
          <w:tcPr>
            <w:tcW w:w="0" w:type="dxa"/>
            <w:vAlign w:val="bottom"/>
          </w:tcPr>
          <w:p>
            <w:pPr>
              <w:spacing w:after="0"/>
              <w:rPr>
                <w:sz w:val="1"/>
                <w:szCs w:val="1"/>
                <w:color w:val="auto"/>
              </w:rPr>
            </w:pPr>
          </w:p>
        </w:tc>
      </w:tr>
      <w:tr>
        <w:trPr>
          <w:trHeight w:val="163"/>
        </w:trPr>
        <w:tc>
          <w:tcPr>
            <w:tcW w:w="3460" w:type="dxa"/>
            <w:vAlign w:val="bottom"/>
            <w:gridSpan w:val="7"/>
            <w:shd w:val="clear" w:color="auto" w:fill="CCEEFF"/>
          </w:tcPr>
          <w:p>
            <w:pPr>
              <w:ind w:left="40"/>
              <w:spacing w:after="0"/>
              <w:rPr>
                <w:sz w:val="20"/>
                <w:szCs w:val="20"/>
                <w:color w:val="auto"/>
              </w:rPr>
            </w:pPr>
            <w:r>
              <w:rPr>
                <w:rFonts w:ascii="Arial" w:cs="Arial" w:eastAsia="Arial" w:hAnsi="Arial"/>
                <w:sz w:val="14"/>
                <w:szCs w:val="14"/>
                <w:color w:val="auto"/>
              </w:rPr>
              <w:t>Preferred Warrants Series B, Strike Price $2.31,</w:t>
            </w:r>
          </w:p>
        </w:tc>
        <w:tc>
          <w:tcPr>
            <w:tcW w:w="2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460" w:type="dxa"/>
            <w:vAlign w:val="bottom"/>
            <w:gridSpan w:val="7"/>
            <w:shd w:val="clear" w:color="auto" w:fill="CCEEFF"/>
          </w:tcPr>
          <w:p>
            <w:pPr>
              <w:ind w:left="40"/>
              <w:spacing w:after="0"/>
              <w:rPr>
                <w:sz w:val="20"/>
                <w:szCs w:val="20"/>
                <w:color w:val="auto"/>
              </w:rPr>
            </w:pPr>
            <w:r>
              <w:rPr>
                <w:rFonts w:ascii="Arial" w:cs="Arial" w:eastAsia="Arial" w:hAnsi="Arial"/>
                <w:sz w:val="14"/>
                <w:szCs w:val="14"/>
                <w:color w:val="auto"/>
              </w:rPr>
              <w:t>Expiration Date 11/29/2021</w:t>
            </w:r>
          </w:p>
        </w:tc>
        <w:tc>
          <w:tcPr>
            <w:tcW w:w="2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11/29/2016</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100,000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29,275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7,556</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157"/>
        </w:trPr>
        <w:tc>
          <w:tcPr>
            <w:tcW w:w="3460" w:type="dxa"/>
            <w:vAlign w:val="bottom"/>
            <w:gridSpan w:val="7"/>
          </w:tcPr>
          <w:p>
            <w:pPr>
              <w:ind w:left="40"/>
              <w:spacing w:after="0" w:line="157" w:lineRule="exact"/>
              <w:rPr>
                <w:sz w:val="20"/>
                <w:szCs w:val="20"/>
                <w:color w:val="auto"/>
              </w:rPr>
            </w:pPr>
            <w:r>
              <w:rPr>
                <w:rFonts w:ascii="Arial" w:cs="Arial" w:eastAsia="Arial" w:hAnsi="Arial"/>
                <w:sz w:val="14"/>
                <w:szCs w:val="14"/>
                <w:color w:val="auto"/>
              </w:rPr>
              <w:t>Preferred Warrant Series B, Strike Price $2.31,</w:t>
            </w:r>
          </w:p>
        </w:tc>
        <w:tc>
          <w:tcPr>
            <w:tcW w:w="2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460" w:type="dxa"/>
            <w:vAlign w:val="bottom"/>
            <w:tcBorders>
              <w:bottom w:val="single" w:sz="8" w:color="CCEEFF"/>
            </w:tcBorders>
            <w:gridSpan w:val="7"/>
          </w:tcPr>
          <w:p>
            <w:pPr>
              <w:ind w:left="40"/>
              <w:spacing w:after="0"/>
              <w:rPr>
                <w:sz w:val="20"/>
                <w:szCs w:val="20"/>
                <w:color w:val="auto"/>
              </w:rPr>
            </w:pPr>
            <w:r>
              <w:rPr>
                <w:rFonts w:ascii="Arial" w:cs="Arial" w:eastAsia="Arial" w:hAnsi="Arial"/>
                <w:sz w:val="14"/>
                <w:szCs w:val="14"/>
                <w:color w:val="auto"/>
              </w:rPr>
              <w:t>Expiration Date 5/29/2022</w:t>
            </w:r>
          </w:p>
        </w:tc>
        <w:tc>
          <w:tcPr>
            <w:tcW w:w="22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2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3"/>
              </w:rPr>
              <w:t>5/29/2017</w:t>
            </w:r>
          </w:p>
        </w:tc>
        <w:tc>
          <w:tcPr>
            <w:tcW w:w="260" w:type="dxa"/>
            <w:vAlign w:val="bottom"/>
            <w:tcBorders>
              <w:bottom w:val="single" w:sz="8" w:color="CCEEFF"/>
            </w:tcBorders>
          </w:tcPr>
          <w:p>
            <w:pPr>
              <w:spacing w:after="0"/>
              <w:rPr>
                <w:sz w:val="16"/>
                <w:szCs w:val="16"/>
                <w:color w:val="auto"/>
              </w:rPr>
            </w:pPr>
          </w:p>
        </w:tc>
        <w:tc>
          <w:tcPr>
            <w:tcW w:w="880" w:type="dxa"/>
            <w:vAlign w:val="bottom"/>
            <w:tcBorders>
              <w:bottom w:val="single" w:sz="8" w:color="CCEEFF"/>
            </w:tcBorders>
          </w:tcPr>
          <w:p>
            <w:pPr>
              <w:jc w:val="right"/>
              <w:ind w:right="48"/>
              <w:spacing w:after="0"/>
              <w:rPr>
                <w:sz w:val="20"/>
                <w:szCs w:val="20"/>
                <w:color w:val="auto"/>
              </w:rPr>
            </w:pPr>
            <w:r>
              <w:rPr>
                <w:rFonts w:ascii="Arial" w:cs="Arial" w:eastAsia="Arial" w:hAnsi="Arial"/>
                <w:sz w:val="14"/>
                <w:szCs w:val="14"/>
                <w:color w:val="auto"/>
              </w:rPr>
              <w:t>125,000</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70,379</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9,444</w:t>
            </w: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3420" w:type="dxa"/>
            <w:vAlign w:val="bottom"/>
            <w:gridSpan w:val="6"/>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2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9,324,555</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14,192,083</w:t>
            </w:r>
          </w:p>
        </w:tc>
        <w:tc>
          <w:tcPr>
            <w:tcW w:w="100" w:type="dxa"/>
            <w:vAlign w:val="bottom"/>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6.65%</w:t>
            </w:r>
          </w:p>
        </w:tc>
        <w:tc>
          <w:tcPr>
            <w:tcW w:w="0" w:type="dxa"/>
            <w:vAlign w:val="bottom"/>
          </w:tcPr>
          <w:p>
            <w:pPr>
              <w:spacing w:after="0"/>
              <w:rPr>
                <w:sz w:val="1"/>
                <w:szCs w:val="1"/>
                <w:color w:val="auto"/>
              </w:rPr>
            </w:pPr>
          </w:p>
        </w:tc>
      </w:tr>
      <w:tr>
        <w:trPr>
          <w:trHeight w:val="142"/>
        </w:trPr>
        <w:tc>
          <w:tcPr>
            <w:tcW w:w="3460" w:type="dxa"/>
            <w:vAlign w:val="bottom"/>
            <w:gridSpan w:val="7"/>
          </w:tcPr>
          <w:p>
            <w:pPr>
              <w:ind w:left="40"/>
              <w:spacing w:after="0" w:line="142" w:lineRule="exact"/>
              <w:rPr>
                <w:sz w:val="20"/>
                <w:szCs w:val="20"/>
                <w:color w:val="auto"/>
              </w:rPr>
            </w:pPr>
            <w:r>
              <w:rPr>
                <w:rFonts w:ascii="Arial" w:cs="Arial" w:eastAsia="Arial" w:hAnsi="Arial"/>
                <w:sz w:val="14"/>
                <w:szCs w:val="14"/>
                <w:b w:val="1"/>
                <w:bCs w:val="1"/>
                <w:color w:val="auto"/>
              </w:rPr>
              <w:t>SPBRX, INC. (f/k/a GSV Sustainability Partners,</w:t>
            </w:r>
          </w:p>
        </w:tc>
        <w:tc>
          <w:tcPr>
            <w:tcW w:w="240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93"/>
              </w:rPr>
              <w:t>Woodside, CA</w:t>
            </w: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3020" w:type="dxa"/>
            <w:vAlign w:val="bottom"/>
            <w:tcBorders>
              <w:top w:val="single" w:sz="8" w:color="auto"/>
            </w:tcBorders>
            <w:gridSpan w:val="4"/>
          </w:tcPr>
          <w:p>
            <w:pPr>
              <w:spacing w:after="0" w:line="129" w:lineRule="exact"/>
              <w:rPr>
                <w:sz w:val="20"/>
                <w:szCs w:val="20"/>
                <w:color w:val="auto"/>
              </w:rPr>
            </w:pPr>
            <w:r>
              <w:rPr>
                <w:rFonts w:ascii="Arial" w:cs="Arial" w:eastAsia="Arial" w:hAnsi="Arial"/>
                <w:sz w:val="14"/>
                <w:szCs w:val="14"/>
                <w:b w:val="1"/>
                <w:bCs w:val="1"/>
                <w:color w:val="auto"/>
              </w:rPr>
              <w:t>Inc.)</w:t>
            </w:r>
          </w:p>
        </w:tc>
        <w:tc>
          <w:tcPr>
            <w:tcW w:w="400" w:type="dxa"/>
            <w:vAlign w:val="bottom"/>
            <w:gridSpan w:val="2"/>
          </w:tcPr>
          <w:p>
            <w:pPr>
              <w:spacing w:after="0"/>
              <w:rPr>
                <w:sz w:val="11"/>
                <w:szCs w:val="11"/>
                <w:color w:val="auto"/>
              </w:rPr>
            </w:pPr>
          </w:p>
        </w:tc>
        <w:tc>
          <w:tcPr>
            <w:tcW w:w="2400" w:type="dxa"/>
            <w:vAlign w:val="bottom"/>
            <w:gridSpan w:val="2"/>
            <w:vMerge w:val="continue"/>
          </w:tcPr>
          <w:p>
            <w:pPr>
              <w:spacing w:after="0"/>
              <w:rPr>
                <w:sz w:val="11"/>
                <w:szCs w:val="11"/>
                <w:color w:val="auto"/>
              </w:rPr>
            </w:pPr>
          </w:p>
        </w:tc>
        <w:tc>
          <w:tcPr>
            <w:tcW w:w="1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460" w:type="dxa"/>
            <w:vAlign w:val="bottom"/>
            <w:gridSpan w:val="7"/>
            <w:shd w:val="clear" w:color="auto" w:fill="CCEEFF"/>
          </w:tcPr>
          <w:p>
            <w:pPr>
              <w:ind w:left="40"/>
              <w:spacing w:after="0"/>
              <w:rPr>
                <w:sz w:val="20"/>
                <w:szCs w:val="20"/>
                <w:color w:val="auto"/>
              </w:rPr>
            </w:pPr>
            <w:r>
              <w:rPr>
                <w:rFonts w:ascii="Arial" w:cs="Arial" w:eastAsia="Arial" w:hAnsi="Arial"/>
                <w:sz w:val="14"/>
                <w:szCs w:val="14"/>
                <w:color w:val="auto"/>
              </w:rPr>
              <w:t>Preferred shares, Class A***</w:t>
            </w:r>
            <w:r>
              <w:rPr>
                <w:rFonts w:ascii="Arial" w:cs="Arial" w:eastAsia="Arial" w:hAnsi="Arial"/>
                <w:sz w:val="8"/>
                <w:szCs w:val="8"/>
                <w:color w:val="auto"/>
              </w:rPr>
              <w:t>(16)</w:t>
            </w:r>
          </w:p>
        </w:tc>
        <w:tc>
          <w:tcPr>
            <w:tcW w:w="240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2"/>
              </w:rPr>
              <w:t>Clean Technology</w:t>
            </w: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4/15/2014</w:t>
            </w: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14,300,000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7,151,412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959,192</w:t>
            </w:r>
          </w:p>
        </w:tc>
        <w:tc>
          <w:tcPr>
            <w:tcW w:w="10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0.45%</w:t>
            </w:r>
          </w:p>
        </w:tc>
        <w:tc>
          <w:tcPr>
            <w:tcW w:w="0" w:type="dxa"/>
            <w:vAlign w:val="bottom"/>
          </w:tcPr>
          <w:p>
            <w:pPr>
              <w:spacing w:after="0"/>
              <w:rPr>
                <w:sz w:val="1"/>
                <w:szCs w:val="1"/>
                <w:color w:val="auto"/>
              </w:rPr>
            </w:pPr>
          </w:p>
        </w:tc>
      </w:tr>
      <w:tr>
        <w:trPr>
          <w:trHeight w:val="264"/>
        </w:trPr>
        <w:tc>
          <w:tcPr>
            <w:tcW w:w="3460" w:type="dxa"/>
            <w:vAlign w:val="bottom"/>
            <w:gridSpan w:val="7"/>
          </w:tcPr>
          <w:p>
            <w:pPr>
              <w:ind w:left="40"/>
              <w:spacing w:after="0"/>
              <w:rPr>
                <w:sz w:val="20"/>
                <w:szCs w:val="20"/>
                <w:color w:val="auto"/>
              </w:rPr>
            </w:pPr>
            <w:r>
              <w:rPr>
                <w:rFonts w:ascii="Arial" w:cs="Arial" w:eastAsia="Arial" w:hAnsi="Arial"/>
                <w:sz w:val="14"/>
                <w:szCs w:val="14"/>
                <w:color w:val="auto"/>
              </w:rPr>
              <w:t>Common shares</w:t>
            </w:r>
          </w:p>
        </w:tc>
        <w:tc>
          <w:tcPr>
            <w:tcW w:w="2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93"/>
              </w:rPr>
              <w:t>4/15/2014</w:t>
            </w:r>
          </w:p>
        </w:tc>
        <w:tc>
          <w:tcPr>
            <w:tcW w:w="26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100,000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10,000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0" w:type="dxa"/>
            <w:vAlign w:val="bottom"/>
            <w:tcBorders>
              <w:top w:val="single" w:sz="8" w:color="CCEEFF"/>
              <w:bottom w:val="single" w:sz="8" w:color="CCEEFF"/>
            </w:tcBorders>
            <w:shd w:val="clear" w:color="auto" w:fill="CCEEFF"/>
          </w:tcPr>
          <w:p>
            <w:pPr>
              <w:spacing w:after="0"/>
              <w:rPr>
                <w:sz w:val="22"/>
                <w:szCs w:val="22"/>
                <w:color w:val="auto"/>
              </w:rPr>
            </w:pPr>
          </w:p>
        </w:tc>
        <w:tc>
          <w:tcPr>
            <w:tcW w:w="3300" w:type="dxa"/>
            <w:vAlign w:val="bottom"/>
            <w:tcBorders>
              <w:top w:val="single" w:sz="8" w:color="CCEEFF"/>
              <w:bottom w:val="single" w:sz="8" w:color="CCEEFF"/>
            </w:tcBorders>
            <w:gridSpan w:val="5"/>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120" w:type="dxa"/>
            <w:vAlign w:val="bottom"/>
            <w:tcBorders>
              <w:top w:val="single" w:sz="8" w:color="CCEEFF"/>
            </w:tcBorders>
            <w:shd w:val="clear" w:color="auto" w:fill="CCEEFF"/>
          </w:tcPr>
          <w:p>
            <w:pPr>
              <w:spacing w:after="0"/>
              <w:rPr>
                <w:sz w:val="22"/>
                <w:szCs w:val="22"/>
                <w:color w:val="auto"/>
              </w:rPr>
            </w:pPr>
          </w:p>
        </w:tc>
        <w:tc>
          <w:tcPr>
            <w:tcW w:w="228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12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CCEEFF"/>
              <w:bottom w:val="single" w:sz="8" w:color="CCEEFF"/>
            </w:tcBorders>
            <w:shd w:val="clear" w:color="auto" w:fill="CCEEFF"/>
          </w:tcPr>
          <w:p>
            <w:pPr>
              <w:spacing w:after="0"/>
              <w:rPr>
                <w:sz w:val="22"/>
                <w:szCs w:val="22"/>
                <w:color w:val="auto"/>
              </w:rPr>
            </w:pPr>
          </w:p>
        </w:tc>
        <w:tc>
          <w:tcPr>
            <w:tcW w:w="88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9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7,161,412</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2"/>
                <w:szCs w:val="22"/>
                <w:color w:val="auto"/>
              </w:rPr>
            </w:pPr>
          </w:p>
        </w:tc>
        <w:tc>
          <w:tcPr>
            <w:tcW w:w="8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959,192</w:t>
            </w:r>
          </w:p>
        </w:tc>
        <w:tc>
          <w:tcPr>
            <w:tcW w:w="100" w:type="dxa"/>
            <w:vAlign w:val="bottom"/>
            <w:tcBorders>
              <w:top w:val="single" w:sz="8" w:color="CCEEFF"/>
            </w:tcBorders>
            <w:shd w:val="clear" w:color="auto" w:fill="CCEEFF"/>
          </w:tcPr>
          <w:p>
            <w:pPr>
              <w:spacing w:after="0"/>
              <w:rPr>
                <w:sz w:val="22"/>
                <w:szCs w:val="22"/>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0.45%</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3420" w:type="dxa"/>
            <w:vAlign w:val="bottom"/>
            <w:gridSpan w:val="6"/>
            <w:shd w:val="clear" w:color="auto" w:fill="CCEEFF"/>
          </w:tcPr>
          <w:p>
            <w:pPr>
              <w:ind w:left="140"/>
              <w:spacing w:after="0"/>
              <w:rPr>
                <w:sz w:val="20"/>
                <w:szCs w:val="20"/>
                <w:color w:val="auto"/>
              </w:rPr>
            </w:pPr>
            <w:r>
              <w:rPr>
                <w:rFonts w:ascii="Arial" w:cs="Arial" w:eastAsia="Arial" w:hAnsi="Arial"/>
                <w:sz w:val="14"/>
                <w:szCs w:val="14"/>
                <w:b w:val="1"/>
                <w:bCs w:val="1"/>
                <w:color w:val="auto"/>
              </w:rPr>
              <w:t>Total Controlled</w:t>
            </w:r>
          </w:p>
        </w:tc>
        <w:tc>
          <w:tcPr>
            <w:tcW w:w="2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22,616,441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30,134,871</w:t>
            </w:r>
          </w:p>
        </w:tc>
        <w:tc>
          <w:tcPr>
            <w:tcW w:w="10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14.12%</w:t>
            </w:r>
          </w:p>
        </w:tc>
        <w:tc>
          <w:tcPr>
            <w:tcW w:w="0" w:type="dxa"/>
            <w:vAlign w:val="bottom"/>
          </w:tcPr>
          <w:p>
            <w:pPr>
              <w:spacing w:after="0"/>
              <w:rPr>
                <w:sz w:val="1"/>
                <w:szCs w:val="1"/>
                <w:color w:val="auto"/>
              </w:rPr>
            </w:pPr>
          </w:p>
        </w:tc>
      </w:tr>
      <w:tr>
        <w:trPr>
          <w:trHeight w:val="284"/>
        </w:trPr>
        <w:tc>
          <w:tcPr>
            <w:tcW w:w="4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1440" w:type="dxa"/>
            <w:vAlign w:val="bottom"/>
            <w:tcBorders>
              <w:bottom w:val="single" w:sz="8" w:color="CCEEFF"/>
            </w:tcBorders>
          </w:tcPr>
          <w:p>
            <w:pPr>
              <w:spacing w:after="0"/>
              <w:rPr>
                <w:sz w:val="24"/>
                <w:szCs w:val="24"/>
                <w:color w:val="auto"/>
              </w:rPr>
            </w:pPr>
          </w:p>
        </w:tc>
        <w:tc>
          <w:tcPr>
            <w:tcW w:w="74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12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8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 w:type="dxa"/>
            <w:vAlign w:val="bottom"/>
            <w:shd w:val="clear" w:color="auto" w:fill="CCEEFF"/>
          </w:tcPr>
          <w:p>
            <w:pPr>
              <w:spacing w:after="0"/>
              <w:rPr>
                <w:sz w:val="21"/>
                <w:szCs w:val="21"/>
                <w:color w:val="auto"/>
              </w:rPr>
            </w:pPr>
          </w:p>
        </w:tc>
        <w:tc>
          <w:tcPr>
            <w:tcW w:w="3420" w:type="dxa"/>
            <w:vAlign w:val="bottom"/>
            <w:gridSpan w:val="6"/>
            <w:shd w:val="clear" w:color="auto" w:fill="CCEEFF"/>
          </w:tcPr>
          <w:p>
            <w:pPr>
              <w:ind w:left="140"/>
              <w:spacing w:after="0"/>
              <w:rPr>
                <w:sz w:val="20"/>
                <w:szCs w:val="20"/>
                <w:color w:val="auto"/>
              </w:rPr>
            </w:pPr>
            <w:r>
              <w:rPr>
                <w:rFonts w:ascii="Arial" w:cs="Arial" w:eastAsia="Arial" w:hAnsi="Arial"/>
                <w:sz w:val="14"/>
                <w:szCs w:val="14"/>
                <w:b w:val="1"/>
                <w:bCs w:val="1"/>
                <w:color w:val="auto"/>
              </w:rPr>
              <w:t>Total Portfolio Investments</w:t>
            </w:r>
          </w:p>
        </w:tc>
        <w:tc>
          <w:tcPr>
            <w:tcW w:w="2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167,035,543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w w:val="97"/>
              </w:rPr>
              <w:t>217,191,170</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101.77%</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460" w:type="dxa"/>
            <w:vAlign w:val="bottom"/>
            <w:gridSpan w:val="7"/>
            <w:shd w:val="clear" w:color="auto" w:fill="CCEEFF"/>
          </w:tcPr>
          <w:p>
            <w:pPr>
              <w:ind w:left="40"/>
              <w:spacing w:after="0"/>
              <w:rPr>
                <w:sz w:val="20"/>
                <w:szCs w:val="20"/>
                <w:color w:val="auto"/>
              </w:rPr>
            </w:pPr>
            <w:r>
              <w:rPr>
                <w:rFonts w:ascii="Arial" w:cs="Arial" w:eastAsia="Arial" w:hAnsi="Arial"/>
                <w:sz w:val="14"/>
                <w:szCs w:val="14"/>
                <w:b w:val="1"/>
                <w:bCs w:val="1"/>
                <w:color w:val="auto"/>
              </w:rPr>
              <w:t>U.S. Treasury</w:t>
            </w:r>
          </w:p>
        </w:tc>
        <w:tc>
          <w:tcPr>
            <w:tcW w:w="2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460" w:type="dxa"/>
            <w:vAlign w:val="bottom"/>
            <w:gridSpan w:val="7"/>
          </w:tcPr>
          <w:p>
            <w:pPr>
              <w:ind w:left="40"/>
              <w:spacing w:after="0"/>
              <w:rPr>
                <w:sz w:val="20"/>
                <w:szCs w:val="20"/>
                <w:color w:val="auto"/>
              </w:rPr>
            </w:pPr>
            <w:r>
              <w:rPr>
                <w:rFonts w:ascii="Arial" w:cs="Arial" w:eastAsia="Arial" w:hAnsi="Arial"/>
                <w:sz w:val="14"/>
                <w:szCs w:val="14"/>
                <w:color w:val="auto"/>
              </w:rPr>
              <w:t>U.S. Treasury bills, 0%, due 10/4/2018***</w:t>
            </w:r>
            <w:r>
              <w:rPr>
                <w:rFonts w:ascii="Arial" w:cs="Arial" w:eastAsia="Arial" w:hAnsi="Arial"/>
                <w:sz w:val="8"/>
                <w:szCs w:val="8"/>
                <w:color w:val="auto"/>
              </w:rPr>
              <w:t>(3)</w:t>
            </w:r>
          </w:p>
        </w:tc>
        <w:tc>
          <w:tcPr>
            <w:tcW w:w="2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93"/>
              </w:rPr>
              <w:t>9/27/2018</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w w:val="95"/>
              </w:rPr>
              <w:t>100,000,000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99,967,958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99,983,000</w:t>
            </w:r>
          </w:p>
        </w:tc>
        <w:tc>
          <w:tcPr>
            <w:tcW w:w="1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46.85%</w:t>
            </w:r>
          </w:p>
        </w:tc>
        <w:tc>
          <w:tcPr>
            <w:tcW w:w="0" w:type="dxa"/>
            <w:vAlign w:val="bottom"/>
          </w:tcPr>
          <w:p>
            <w:pPr>
              <w:spacing w:after="0"/>
              <w:rPr>
                <w:sz w:val="1"/>
                <w:szCs w:val="1"/>
                <w:color w:val="auto"/>
              </w:rPr>
            </w:pPr>
          </w:p>
        </w:tc>
      </w:tr>
      <w:tr>
        <w:trPr>
          <w:trHeight w:val="303"/>
        </w:trPr>
        <w:tc>
          <w:tcPr>
            <w:tcW w:w="4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80" w:type="dxa"/>
            <w:vAlign w:val="bottom"/>
            <w:tcBorders>
              <w:bottom w:val="single" w:sz="8" w:color="CCEEFF"/>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460" w:type="dxa"/>
            <w:vAlign w:val="bottom"/>
            <w:gridSpan w:val="7"/>
          </w:tcPr>
          <w:p>
            <w:pPr>
              <w:ind w:left="40"/>
              <w:spacing w:after="0"/>
              <w:rPr>
                <w:sz w:val="20"/>
                <w:szCs w:val="20"/>
                <w:color w:val="auto"/>
              </w:rPr>
            </w:pPr>
            <w:r>
              <w:rPr>
                <w:rFonts w:ascii="Arial" w:cs="Arial" w:eastAsia="Arial" w:hAnsi="Arial"/>
                <w:sz w:val="14"/>
                <w:szCs w:val="14"/>
                <w:b w:val="1"/>
                <w:bCs w:val="1"/>
                <w:color w:val="auto"/>
              </w:rPr>
              <w:t>TOTAL INVESTMENTS</w:t>
            </w:r>
          </w:p>
        </w:tc>
        <w:tc>
          <w:tcPr>
            <w:tcW w:w="2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267,003,501</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97"/>
              </w:rPr>
              <w:t>317,174,170</w:t>
            </w:r>
          </w:p>
        </w:tc>
        <w:tc>
          <w:tcPr>
            <w:tcW w:w="100" w:type="dxa"/>
            <w:vAlign w:val="bottom"/>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148.63%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-1783080</wp:posOffset>
            </wp:positionV>
            <wp:extent cx="514540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54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-2529205</wp:posOffset>
            </wp:positionV>
            <wp:extent cx="514540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See accompanying notes to condensed consolidated financial statements.</w:t>
      </w:r>
    </w:p>
    <w:p>
      <w:pPr>
        <w:spacing w:after="0" w:line="17"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__________________________________________</w:t>
      </w:r>
    </w:p>
    <w:p>
      <w:pPr>
        <w:ind w:left="500" w:right="20" w:hanging="492"/>
        <w:spacing w:after="0" w:line="281" w:lineRule="auto"/>
        <w:tabs>
          <w:tab w:leader="none" w:pos="500" w:val="left"/>
        </w:tabs>
        <w:numPr>
          <w:ilvl w:val="0"/>
          <w:numId w:val="4"/>
        </w:numPr>
        <w:rPr>
          <w:rFonts w:ascii="Arial" w:cs="Arial" w:eastAsia="Arial" w:hAnsi="Arial"/>
          <w:sz w:val="16"/>
          <w:szCs w:val="16"/>
          <w:color w:val="auto"/>
        </w:rPr>
      </w:pPr>
      <w:r>
        <w:rPr>
          <w:rFonts w:ascii="Arial" w:cs="Arial" w:eastAsia="Arial" w:hAnsi="Arial"/>
          <w:sz w:val="16"/>
          <w:szCs w:val="16"/>
          <w:color w:val="auto"/>
        </w:rPr>
        <w:t>All portfolio investments are non-control/non-affiliated and non-income-producing, unless otherwise identified. Equity investments are subject to lock-up restrictions upon their initial public offering (“IPO”). Preferred dividends are generally only payable when declared and paid by the portfolio company's board of directors. The Company’s and GSV Asset Management’s officers and staff, as applicable, may serve on the board of directors of the Company’s portfolio investments. (Refer to “Note 3—Related-Party Arrangements”). All portfolio investments are considered Level 3 and valued using significant unobservable inputs, unless otherwise noted. (Refer to “Note 4—Investments at Fair Value”). All of the Company's portfolio</w:t>
      </w:r>
    </w:p>
    <w:p>
      <w:pPr>
        <w:spacing w:after="0" w:line="2" w:lineRule="exact"/>
        <w:rPr>
          <w:sz w:val="20"/>
          <w:szCs w:val="20"/>
          <w:color w:val="auto"/>
        </w:rPr>
      </w:pPr>
    </w:p>
    <w:p>
      <w:pPr>
        <w:ind w:left="500" w:right="320"/>
        <w:spacing w:after="0" w:line="250" w:lineRule="auto"/>
        <w:rPr>
          <w:sz w:val="20"/>
          <w:szCs w:val="20"/>
          <w:color w:val="auto"/>
        </w:rPr>
      </w:pPr>
      <w:r>
        <w:rPr>
          <w:rFonts w:ascii="Arial" w:cs="Arial" w:eastAsia="Arial" w:hAnsi="Arial"/>
          <w:sz w:val="18"/>
          <w:szCs w:val="18"/>
          <w:color w:val="auto"/>
        </w:rPr>
        <w:t>investments are restricted as to resale, unless otherwise noted, and were valued at fair value as determined in good faith by the Company’s board of directors. (Refer to "Note 2—Significant Accounting Policies—</w:t>
      </w:r>
      <w:r>
        <w:rPr>
          <w:rFonts w:ascii="Arial" w:cs="Arial" w:eastAsia="Arial" w:hAnsi="Arial"/>
          <w:sz w:val="18"/>
          <w:szCs w:val="18"/>
          <w:i w:val="1"/>
          <w:iCs w:val="1"/>
          <w:color w:val="auto"/>
        </w:rPr>
        <w:t>Investments at Fair Value</w:t>
      </w:r>
      <w:r>
        <w:rPr>
          <w:rFonts w:ascii="Arial" w:cs="Arial" w:eastAsia="Arial" w:hAnsi="Arial"/>
          <w:sz w:val="18"/>
          <w:szCs w:val="18"/>
          <w:color w:val="auto"/>
        </w:rPr>
        <w:t>").</w:t>
      </w:r>
    </w:p>
    <w:p>
      <w:pPr>
        <w:spacing w:after="0" w:line="1" w:lineRule="exact"/>
        <w:rPr>
          <w:sz w:val="20"/>
          <w:szCs w:val="20"/>
          <w:color w:val="auto"/>
        </w:rPr>
      </w:pPr>
    </w:p>
    <w:p>
      <w:pPr>
        <w:ind w:left="500" w:right="160" w:hanging="492"/>
        <w:spacing w:after="0" w:line="250"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Indicates assets that GSV Capital Corp. believes do not represent “qualifying assets” under Section 55(a) of the Investment Company Act of 1940, as amended (the “1940 Act”). Of GSV Capital Corp.’s total investments as of September 30, 2018, 20.82% of its total investments are non-qualifying assets.</w:t>
      </w:r>
    </w:p>
    <w:p>
      <w:pPr>
        <w:spacing w:after="0" w:line="1" w:lineRule="exact"/>
        <w:rPr>
          <w:rFonts w:ascii="Arial" w:cs="Arial" w:eastAsia="Arial" w:hAnsi="Arial"/>
          <w:sz w:val="18"/>
          <w:szCs w:val="18"/>
          <w:color w:val="auto"/>
        </w:rPr>
      </w:pPr>
    </w:p>
    <w:p>
      <w:pPr>
        <w:ind w:left="500" w:hanging="492"/>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Investment is income-producing.</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SCHEDULE OF INVESTMENTS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2018</w:t>
      </w:r>
    </w:p>
    <w:p>
      <w:pPr>
        <w:spacing w:after="0" w:line="251" w:lineRule="exact"/>
        <w:rPr>
          <w:sz w:val="20"/>
          <w:szCs w:val="20"/>
          <w:color w:val="auto"/>
        </w:rPr>
      </w:pPr>
    </w:p>
    <w:p>
      <w:pPr>
        <w:ind w:left="500" w:right="40" w:hanging="492"/>
        <w:spacing w:after="0" w:line="259"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“Affiliate Investments” are investments in those companies that are “Affiliated Companies” of GSV Capital Corp., as defined in the 1940 Act. In general, a company is deemed to be an “Affiliate” of GSV Capital Corp. if GSV Capital Corp. owns 5% or more of the voting securities (</w:t>
      </w:r>
      <w:r>
        <w:rPr>
          <w:rFonts w:ascii="Arial" w:cs="Arial" w:eastAsia="Arial" w:hAnsi="Arial"/>
          <w:sz w:val="18"/>
          <w:szCs w:val="18"/>
          <w:i w:val="1"/>
          <w:iCs w:val="1"/>
          <w:color w:val="auto"/>
        </w:rPr>
        <w:t>i.e.</w:t>
      </w:r>
      <w:r>
        <w:rPr>
          <w:rFonts w:ascii="Arial" w:cs="Arial" w:eastAsia="Arial" w:hAnsi="Arial"/>
          <w:sz w:val="18"/>
          <w:szCs w:val="18"/>
          <w:color w:val="auto"/>
        </w:rPr>
        <w:t>, securities with the right to elect directors) of such company. For the Schedule of Investments In, and Advances To, Affiliates, as required by SEC Regulation S-X, Rule 12-14, refer to “Note 4—Investments at Fair Value”.</w:t>
      </w:r>
    </w:p>
    <w:p>
      <w:pPr>
        <w:spacing w:after="0" w:line="186" w:lineRule="exact"/>
        <w:rPr>
          <w:rFonts w:ascii="Arial" w:cs="Arial" w:eastAsia="Arial" w:hAnsi="Arial"/>
          <w:sz w:val="18"/>
          <w:szCs w:val="18"/>
          <w:color w:val="auto"/>
        </w:rPr>
      </w:pPr>
    </w:p>
    <w:p>
      <w:pPr>
        <w:ind w:left="500" w:right="240" w:hanging="492"/>
        <w:spacing w:after="0" w:line="257"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“Control Investments” are investments in those companies that are “Controlled Companies” of GSV Capital Corp., as defined in the 1940 Act. In general, under the 1940 Act, the Company would “Control” a portfolio company if the Company owned more than 25% of its outstanding voting securities (</w:t>
      </w:r>
      <w:r>
        <w:rPr>
          <w:rFonts w:ascii="Arial" w:cs="Arial" w:eastAsia="Arial" w:hAnsi="Arial"/>
          <w:sz w:val="18"/>
          <w:szCs w:val="18"/>
          <w:i w:val="1"/>
          <w:iCs w:val="1"/>
          <w:color w:val="auto"/>
        </w:rPr>
        <w:t>i.e.</w:t>
      </w:r>
      <w:r>
        <w:rPr>
          <w:rFonts w:ascii="Arial" w:cs="Arial" w:eastAsia="Arial" w:hAnsi="Arial"/>
          <w:sz w:val="18"/>
          <w:szCs w:val="18"/>
          <w:color w:val="auto"/>
        </w:rPr>
        <w:t>, securities with the right to elect directors) and/or had the power to exercise control over the management or policies of such portfolio company. For the Schedule of Investments In, and Advances To, Affiliates, as required by SEC Regulation S-X, Rule 12-14, refer to “Note 4— Investments at Fair Value”.</w:t>
      </w:r>
    </w:p>
    <w:p>
      <w:pPr>
        <w:spacing w:after="0" w:line="188" w:lineRule="exact"/>
        <w:rPr>
          <w:rFonts w:ascii="Arial" w:cs="Arial" w:eastAsia="Arial" w:hAnsi="Arial"/>
          <w:sz w:val="18"/>
          <w:szCs w:val="18"/>
          <w:color w:val="auto"/>
        </w:rPr>
      </w:pPr>
    </w:p>
    <w:p>
      <w:pPr>
        <w:ind w:left="500" w:hanging="492"/>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Denotes an investment considered Level 1 or Level 2 and valued using observable inputs.</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 of September 30, 2018, the investments noted had been placed on non-accrual status.</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7"/>
        </w:numPr>
        <w:rPr>
          <w:rFonts w:ascii="Arial" w:cs="Arial" w:eastAsia="Arial" w:hAnsi="Arial"/>
          <w:sz w:val="17"/>
          <w:szCs w:val="17"/>
          <w:color w:val="auto"/>
        </w:rPr>
      </w:pPr>
      <w:r>
        <w:rPr>
          <w:rFonts w:ascii="Arial" w:cs="Arial" w:eastAsia="Arial" w:hAnsi="Arial"/>
          <w:sz w:val="17"/>
          <w:szCs w:val="17"/>
          <w:color w:val="auto"/>
        </w:rPr>
        <w:t>GSV Capital Corp.’s investments in StormWind, LLC are held through GSV Capital Corp.'s wholly owned subsidiary, GSVC SW Holdings, Inc.</w:t>
      </w:r>
    </w:p>
    <w:p>
      <w:pPr>
        <w:spacing w:after="0" w:line="236" w:lineRule="exact"/>
        <w:rPr>
          <w:rFonts w:ascii="Arial" w:cs="Arial" w:eastAsia="Arial" w:hAnsi="Arial"/>
          <w:sz w:val="17"/>
          <w:szCs w:val="17"/>
          <w:color w:val="auto"/>
        </w:rPr>
      </w:pPr>
    </w:p>
    <w:p>
      <w:pPr>
        <w:ind w:left="500" w:hanging="492"/>
        <w:spacing w:after="0" w:line="257"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Interest will accrue daily on the unpaid principal balance of the note. Interest began compounding annually on November 26, 2015. Accrued interest is not payable until the earlier of (a) the closing of a subsequent equity offering by CUX, Inc. (d/b/a CorpU), or (b) the maturity of the note. Subsequent to period end, GSV Capital Corp. agreed to extend the maturity of the Senior Subordinated Convertible Promissory Note to CUX, Inc. (d/b/a CorpU) until February 14, 2020, with a new interest rate of 10%. Accrued interest will continue to be compounded annually on November 26 of the current and each subsequent year until repaid.</w:t>
      </w:r>
    </w:p>
    <w:p>
      <w:pPr>
        <w:spacing w:after="0" w:line="188" w:lineRule="exact"/>
        <w:rPr>
          <w:rFonts w:ascii="Arial" w:cs="Arial" w:eastAsia="Arial" w:hAnsi="Arial"/>
          <w:sz w:val="18"/>
          <w:szCs w:val="18"/>
          <w:color w:val="auto"/>
        </w:rPr>
      </w:pPr>
    </w:p>
    <w:p>
      <w:pPr>
        <w:ind w:left="500" w:right="100" w:hanging="492"/>
        <w:spacing w:after="0" w:line="276" w:lineRule="auto"/>
        <w:tabs>
          <w:tab w:leader="none" w:pos="500" w:val="left"/>
        </w:tabs>
        <w:numPr>
          <w:ilvl w:val="0"/>
          <w:numId w:val="7"/>
        </w:numPr>
        <w:rPr>
          <w:rFonts w:ascii="Arial" w:cs="Arial" w:eastAsia="Arial" w:hAnsi="Arial"/>
          <w:sz w:val="17"/>
          <w:szCs w:val="17"/>
          <w:color w:val="auto"/>
        </w:rPr>
      </w:pPr>
      <w:r>
        <w:rPr>
          <w:rFonts w:ascii="Arial" w:cs="Arial" w:eastAsia="Arial" w:hAnsi="Arial"/>
          <w:sz w:val="17"/>
          <w:szCs w:val="17"/>
          <w:color w:val="auto"/>
        </w:rPr>
        <w:t>On March 14, 2018, as disclosed in its Amendment No. 1 to its Form F-1 Registration Statement filed in connection with its direct listing, Spotify Technology S.A. effectuated a 40:1 stock split of its ordinary shares, beneficiary certificates and any other of its outstanding securities. On April 3, 2018, Spotify Technology S.A., registered for resale up to 55,731,480 ordinary shares by the registered shareholders in a direct listing. GSV Capital Corp.'s common shares of Spotify Technology S.A. are considered unrestricted as they are not subject to restriction upon sale. At September 30, 2018, GSV Capital Corp. valued its common shares of Spotify Technology S.A. based on its September 30, 2018 closing price.</w:t>
      </w:r>
    </w:p>
    <w:p>
      <w:pPr>
        <w:spacing w:after="0" w:line="172" w:lineRule="exact"/>
        <w:rPr>
          <w:rFonts w:ascii="Arial" w:cs="Arial" w:eastAsia="Arial" w:hAnsi="Arial"/>
          <w:sz w:val="17"/>
          <w:szCs w:val="17"/>
          <w:color w:val="auto"/>
        </w:rPr>
      </w:pPr>
    </w:p>
    <w:p>
      <w:pPr>
        <w:ind w:left="500" w:right="60" w:hanging="492"/>
        <w:spacing w:after="0" w:line="297" w:lineRule="auto"/>
        <w:tabs>
          <w:tab w:leader="none" w:pos="500" w:val="left"/>
        </w:tabs>
        <w:numPr>
          <w:ilvl w:val="0"/>
          <w:numId w:val="7"/>
        </w:numPr>
        <w:rPr>
          <w:rFonts w:ascii="Arial" w:cs="Arial" w:eastAsia="Arial" w:hAnsi="Arial"/>
          <w:sz w:val="16"/>
          <w:szCs w:val="16"/>
          <w:color w:val="auto"/>
        </w:rPr>
      </w:pPr>
      <w:r>
        <w:rPr>
          <w:rFonts w:ascii="Arial" w:cs="Arial" w:eastAsia="Arial" w:hAnsi="Arial"/>
          <w:sz w:val="16"/>
          <w:szCs w:val="16"/>
          <w:color w:val="auto"/>
        </w:rPr>
        <w:t>On March 7, 2018, as disclosed in its Amendment No. 1 to its Form S-1 Registration Statement filed in connection with its initial public offering, Dropbox, Inc. effectuated a 1:1.5 reverse stock split of its capital stock. On March 23, 2018, Dropbox, Inc. priced its initial public offering for 26,822,409 Class A common shares at a price of $21.00 per share. Dropbox, Inc., also registered for resale up to 9,177,591 Class A common shares by the registered shareholders. As of August 23, 2018 GSV Capital Corp.'s shares of common stock in Dropbox, Inc. were no longer restricted. At September 30, 2018, GSV Capital Corp. valued its common shares of Dropbox, Inc. based on its September 30, 2018 closing price.</w:t>
      </w:r>
    </w:p>
    <w:p>
      <w:pPr>
        <w:spacing w:after="0" w:line="158" w:lineRule="exact"/>
        <w:rPr>
          <w:rFonts w:ascii="Arial" w:cs="Arial" w:eastAsia="Arial" w:hAnsi="Arial"/>
          <w:sz w:val="16"/>
          <w:szCs w:val="16"/>
          <w:color w:val="auto"/>
        </w:rPr>
      </w:pPr>
    </w:p>
    <w:p>
      <w:pPr>
        <w:ind w:left="500" w:right="140" w:hanging="492"/>
        <w:spacing w:after="0" w:line="279" w:lineRule="auto"/>
        <w:tabs>
          <w:tab w:leader="none" w:pos="500" w:val="left"/>
        </w:tabs>
        <w:numPr>
          <w:ilvl w:val="0"/>
          <w:numId w:val="7"/>
        </w:numPr>
        <w:rPr>
          <w:rFonts w:ascii="Arial" w:cs="Arial" w:eastAsia="Arial" w:hAnsi="Arial"/>
          <w:sz w:val="17"/>
          <w:szCs w:val="17"/>
          <w:color w:val="auto"/>
        </w:rPr>
      </w:pPr>
      <w:r>
        <w:rPr>
          <w:rFonts w:ascii="Arial" w:cs="Arial" w:eastAsia="Arial" w:hAnsi="Arial"/>
          <w:sz w:val="17"/>
          <w:szCs w:val="17"/>
          <w:color w:val="auto"/>
        </w:rPr>
        <w:t>On February 23, 2018, CUX, Inc. (d/b/a CorpU) agreed to extend the maturity of the GSV Capital Corp.'s Series D warrants until August 1, 2018. On July 31, 2018, CUX, Inc. (d/b/a CorpU) agreed to further extend the maturity of GSV Capital Corp.'s Series D warrants until November 26, 2018. Subsequent to period end and in connection with the extension of the maturity date on the related debt investment, CUX, Inc. (d/b/a CorpU) agreed to further extend the maturity of GSV Capital Corp's Series D warrants until February 14, 2020.</w:t>
      </w:r>
    </w:p>
    <w:p>
      <w:pPr>
        <w:spacing w:after="0" w:line="171" w:lineRule="exact"/>
        <w:rPr>
          <w:rFonts w:ascii="Arial" w:cs="Arial" w:eastAsia="Arial" w:hAnsi="Arial"/>
          <w:sz w:val="17"/>
          <w:szCs w:val="17"/>
          <w:color w:val="auto"/>
        </w:rPr>
      </w:pPr>
    </w:p>
    <w:p>
      <w:pPr>
        <w:ind w:left="500" w:right="80" w:hanging="492"/>
        <w:spacing w:after="0" w:line="259"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maturity date of the convertible promissory note to Declara, Inc. was extended an additional three months to April 30, 2018. On January 31, 2018 the interest rate on the convertible promissory note increased to 12% per annum (including 365 days for the purposes of accrual). On January 31, 2018 the convertible promissory note to Declara Inc. was placed on non-accrual status. On April 30, 2018, the Company deemed this investment to be in default based on Declara Inc.'s financial position.</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SCHEDULE OF INVESTMENTS –continued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September 30, 2018</w:t>
      </w:r>
    </w:p>
    <w:p>
      <w:pPr>
        <w:spacing w:after="0" w:line="211" w:lineRule="exact"/>
        <w:rPr>
          <w:sz w:val="20"/>
          <w:szCs w:val="20"/>
          <w:color w:val="auto"/>
        </w:rPr>
      </w:pPr>
    </w:p>
    <w:p>
      <w:pPr>
        <w:ind w:left="500" w:right="100" w:hanging="492"/>
        <w:spacing w:after="0" w:line="276" w:lineRule="auto"/>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Effective April 9, 2018, the term of Ozy Media Inc.'s notes were extended through the issuance of a new convertible promissory note, which extended the maturity date of the existing notes to October 31, 2018, or December 31, 2018 if certain conditions are satisfied. Effective August 17, 2018, Ozy Media Inc. executed an additional debt amendment, which expanded its borrowing limit. In consideration for amending and restating the existing notes, the Company was issued warrants exercisable for 295,565 shares of Ozy Media Inc.'s common stock. Subsequent to period-end, Ozy Media Inc.'s obligations under its financing arrangements with the Company became past due.</w:t>
      </w:r>
    </w:p>
    <w:p>
      <w:pPr>
        <w:spacing w:after="0" w:line="172" w:lineRule="exact"/>
        <w:rPr>
          <w:rFonts w:ascii="Arial" w:cs="Arial" w:eastAsia="Arial" w:hAnsi="Arial"/>
          <w:sz w:val="17"/>
          <w:szCs w:val="17"/>
          <w:color w:val="auto"/>
        </w:rPr>
      </w:pPr>
    </w:p>
    <w:p>
      <w:pPr>
        <w:ind w:left="500" w:right="180" w:hanging="492"/>
        <w:spacing w:after="0" w:line="277"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 July 23, 2018, Knewton, Inc. issued an 8% unsecured convertible promissory amount with a principal amount of $134,405 and a maturity date of December 31, 2019 to GSV Capital Corp.</w:t>
      </w:r>
    </w:p>
    <w:p>
      <w:pPr>
        <w:spacing w:after="0" w:line="170" w:lineRule="exact"/>
        <w:rPr>
          <w:rFonts w:ascii="Arial" w:cs="Arial" w:eastAsia="Arial" w:hAnsi="Arial"/>
          <w:sz w:val="18"/>
          <w:szCs w:val="18"/>
          <w:color w:val="auto"/>
        </w:rPr>
      </w:pPr>
    </w:p>
    <w:p>
      <w:pPr>
        <w:ind w:left="500" w:hanging="492"/>
        <w:spacing w:after="0"/>
        <w:tabs>
          <w:tab w:leader="none" w:pos="500" w:val="left"/>
        </w:tabs>
        <w:numPr>
          <w:ilvl w:val="0"/>
          <w:numId w:val="8"/>
        </w:numPr>
        <w:rPr>
          <w:rFonts w:ascii="Arial" w:cs="Arial" w:eastAsia="Arial" w:hAnsi="Arial"/>
          <w:sz w:val="16"/>
          <w:szCs w:val="16"/>
          <w:color w:val="auto"/>
        </w:rPr>
      </w:pPr>
      <w:r>
        <w:rPr>
          <w:rFonts w:ascii="Arial" w:cs="Arial" w:eastAsia="Arial" w:hAnsi="Arial"/>
          <w:sz w:val="16"/>
          <w:szCs w:val="16"/>
          <w:color w:val="auto"/>
        </w:rPr>
        <w:t>On June 15, 2018 GSV Capital Corp. exercised its 770,934 warrants to purchase shares of SharesPost, Inc.'s common stock, with a $0.13 strike price.</w:t>
      </w:r>
    </w:p>
    <w:p>
      <w:pPr>
        <w:spacing w:after="0" w:line="248" w:lineRule="exact"/>
        <w:rPr>
          <w:rFonts w:ascii="Arial" w:cs="Arial" w:eastAsia="Arial" w:hAnsi="Arial"/>
          <w:sz w:val="16"/>
          <w:szCs w:val="16"/>
          <w:color w:val="auto"/>
        </w:rPr>
      </w:pPr>
    </w:p>
    <w:p>
      <w:pPr>
        <w:ind w:left="500" w:right="40" w:hanging="492"/>
        <w:spacing w:after="0" w:line="308" w:lineRule="auto"/>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Effective July 31, 2018, GSV Capital Corp agreed to extend the Convertible Promissory Note to NestGSV, Inc. (d/b/a GSV Labs, Inc.) until December 31, 2018, with a new interest rate of 12%. Previously accrued interest will be capitalized into the principal of the new note.</w:t>
      </w:r>
    </w:p>
    <w:p>
      <w:pPr>
        <w:spacing w:after="0" w:line="146" w:lineRule="exact"/>
        <w:rPr>
          <w:rFonts w:ascii="Arial" w:cs="Arial" w:eastAsia="Arial" w:hAnsi="Arial"/>
          <w:sz w:val="17"/>
          <w:szCs w:val="17"/>
          <w:color w:val="auto"/>
        </w:rPr>
      </w:pPr>
    </w:p>
    <w:p>
      <w:pPr>
        <w:ind w:left="500" w:right="320" w:hanging="492"/>
        <w:spacing w:after="0" w:line="264"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 June 8, 2018, Curious.com, Inc. completed a recapitalization and issued new Series C preferred shares. In connection with the offering, GSV Capital Corp.'s 3,407,834 Series B preferred shares were converted into common shares. Additionally, a 1:3 reverse stock split was declared on the now common shares.</w:t>
      </w:r>
    </w:p>
    <w:p>
      <w:pPr>
        <w:spacing w:after="0" w:line="181" w:lineRule="exact"/>
        <w:rPr>
          <w:rFonts w:ascii="Arial" w:cs="Arial" w:eastAsia="Arial" w:hAnsi="Arial"/>
          <w:sz w:val="18"/>
          <w:szCs w:val="18"/>
          <w:color w:val="auto"/>
        </w:rPr>
      </w:pPr>
    </w:p>
    <w:p>
      <w:pPr>
        <w:ind w:left="500" w:hanging="492"/>
        <w:spacing w:after="0" w:line="259"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SPBRX, INC. (f/k/a GSV Sustainability Partners, Inc.) preferred shares held by GSV Capital Corp. do not entitle GSV Capital Corp. to a preferred dividend rate. During the nine months ended September 30, 2018, SPBRX, INC. declared, and GSV Capital Corp. received, an aggregate of $350,000 in cash distributions. GSV Capital Corp. does not anticipate that SPBRX, INC. will pay distributions on a quarterly or regular basis or become a predictable distributor of distributions.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22" w:right="259" w:bottom="1440" w:gutter="0" w:footer="0" w:header="0"/>
        </w:sectPr>
      </w:pPr>
    </w:p>
    <w:bookmarkStart w:id="11" w:name="page12"/>
    <w:bookmarkEnd w:id="11"/>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SCHEDULE OF INVESTMENTS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gridSpan w:val="16"/>
            <w:vMerge w:val="restart"/>
          </w:tcPr>
          <w:p>
            <w:pPr>
              <w:ind w:left="40"/>
              <w:spacing w:after="0"/>
              <w:rPr>
                <w:sz w:val="20"/>
                <w:szCs w:val="20"/>
                <w:color w:val="auto"/>
              </w:rPr>
            </w:pPr>
            <w:r>
              <w:rPr>
                <w:rFonts w:ascii="Arial" w:cs="Arial" w:eastAsia="Arial" w:hAnsi="Arial"/>
                <w:sz w:val="14"/>
                <w:szCs w:val="14"/>
                <w:b w:val="1"/>
                <w:bCs w:val="1"/>
                <w:color w:val="auto"/>
              </w:rPr>
              <w:t>Portfolio Investments*</w:t>
            </w:r>
          </w:p>
        </w:tc>
        <w:tc>
          <w:tcPr>
            <w:tcW w:w="120" w:type="dxa"/>
            <w:vAlign w:val="bottom"/>
          </w:tcPr>
          <w:p>
            <w:pPr>
              <w:spacing w:after="0"/>
              <w:rPr>
                <w:sz w:val="14"/>
                <w:szCs w:val="14"/>
                <w:color w:val="auto"/>
              </w:rPr>
            </w:pPr>
          </w:p>
        </w:tc>
        <w:tc>
          <w:tcPr>
            <w:tcW w:w="2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Headquarters/</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Shares/</w:t>
            </w:r>
          </w:p>
        </w:tc>
        <w:tc>
          <w:tcPr>
            <w:tcW w:w="240" w:type="dxa"/>
            <w:vAlign w:val="bottom"/>
          </w:tcPr>
          <w:p>
            <w:pPr>
              <w:spacing w:after="0"/>
              <w:rPr>
                <w:sz w:val="14"/>
                <w:szCs w:val="14"/>
                <w:color w:val="auto"/>
              </w:rPr>
            </w:pPr>
          </w:p>
        </w:tc>
        <w:tc>
          <w:tcPr>
            <w:tcW w:w="10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10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1180" w:type="dxa"/>
            <w:vAlign w:val="bottom"/>
          </w:tcPr>
          <w:p>
            <w:pPr>
              <w:jc w:val="right"/>
              <w:ind w:right="248"/>
              <w:spacing w:after="0"/>
              <w:rPr>
                <w:sz w:val="20"/>
                <w:szCs w:val="20"/>
                <w:color w:val="auto"/>
              </w:rPr>
            </w:pPr>
            <w:r>
              <w:rPr>
                <w:rFonts w:ascii="Arial" w:cs="Arial" w:eastAsia="Arial" w:hAnsi="Arial"/>
                <w:sz w:val="14"/>
                <w:szCs w:val="14"/>
                <w:b w:val="1"/>
                <w:bCs w:val="1"/>
                <w:color w:val="auto"/>
              </w:rPr>
              <w:t>% of Net</w:t>
            </w:r>
          </w:p>
        </w:tc>
        <w:tc>
          <w:tcPr>
            <w:tcW w:w="0" w:type="dxa"/>
            <w:vAlign w:val="bottom"/>
          </w:tcPr>
          <w:p>
            <w:pPr>
              <w:spacing w:after="0"/>
              <w:rPr>
                <w:sz w:val="1"/>
                <w:szCs w:val="1"/>
                <w:color w:val="auto"/>
              </w:rPr>
            </w:pPr>
          </w:p>
        </w:tc>
      </w:tr>
      <w:tr>
        <w:trPr>
          <w:trHeight w:val="192"/>
        </w:trPr>
        <w:tc>
          <w:tcPr>
            <w:tcW w:w="3540" w:type="dxa"/>
            <w:vAlign w:val="bottom"/>
            <w:gridSpan w:val="16"/>
            <w:vMerge w:val="continue"/>
          </w:tcPr>
          <w:p>
            <w:pPr>
              <w:spacing w:after="0"/>
              <w:rPr>
                <w:sz w:val="16"/>
                <w:szCs w:val="16"/>
                <w:color w:val="auto"/>
              </w:rPr>
            </w:pPr>
          </w:p>
        </w:tc>
        <w:tc>
          <w:tcPr>
            <w:tcW w:w="120" w:type="dxa"/>
            <w:vAlign w:val="bottom"/>
          </w:tcPr>
          <w:p>
            <w:pPr>
              <w:spacing w:after="0"/>
              <w:rPr>
                <w:sz w:val="16"/>
                <w:szCs w:val="16"/>
                <w:color w:val="auto"/>
              </w:rPr>
            </w:pPr>
          </w:p>
        </w:tc>
        <w:tc>
          <w:tcPr>
            <w:tcW w:w="2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Industry</w:t>
            </w: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Principal</w:t>
            </w:r>
          </w:p>
        </w:tc>
        <w:tc>
          <w:tcPr>
            <w:tcW w:w="2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180" w:type="dxa"/>
            <w:vAlign w:val="bottom"/>
          </w:tcPr>
          <w:p>
            <w:pPr>
              <w:jc w:val="right"/>
              <w:ind w:right="328"/>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56"/>
        </w:trPr>
        <w:tc>
          <w:tcPr>
            <w:tcW w:w="3540" w:type="dxa"/>
            <w:vAlign w:val="bottom"/>
            <w:tcBorders>
              <w:top w:val="single" w:sz="8" w:color="auto"/>
            </w:tcBorders>
            <w:gridSpan w:val="16"/>
            <w:shd w:val="clear" w:color="auto" w:fill="CCEEFF"/>
          </w:tcPr>
          <w:p>
            <w:pPr>
              <w:ind w:left="40"/>
              <w:spacing w:after="0"/>
              <w:rPr>
                <w:sz w:val="20"/>
                <w:szCs w:val="20"/>
                <w:color w:val="auto"/>
              </w:rPr>
            </w:pPr>
            <w:r>
              <w:rPr>
                <w:rFonts w:ascii="Arial" w:cs="Arial" w:eastAsia="Arial" w:hAnsi="Arial"/>
                <w:sz w:val="14"/>
                <w:szCs w:val="14"/>
                <w:b w:val="1"/>
                <w:bCs w:val="1"/>
                <w:color w:val="auto"/>
              </w:rPr>
              <w:t>NON-CONTROLLED/NON-AFFILIATE</w:t>
            </w:r>
          </w:p>
        </w:tc>
        <w:tc>
          <w:tcPr>
            <w:tcW w:w="120" w:type="dxa"/>
            <w:vAlign w:val="bottom"/>
            <w:tcBorders>
              <w:top w:val="single" w:sz="8" w:color="CCEEFF"/>
            </w:tcBorders>
            <w:shd w:val="clear" w:color="auto" w:fill="CCEEFF"/>
          </w:tcPr>
          <w:p>
            <w:pPr>
              <w:spacing w:after="0"/>
              <w:rPr>
                <w:sz w:val="22"/>
                <w:szCs w:val="22"/>
                <w:color w:val="auto"/>
              </w:rPr>
            </w:pPr>
          </w:p>
        </w:tc>
        <w:tc>
          <w:tcPr>
            <w:tcW w:w="274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540" w:type="dxa"/>
            <w:vAlign w:val="bottom"/>
            <w:gridSpan w:val="16"/>
          </w:tcPr>
          <w:p>
            <w:pPr>
              <w:ind w:left="40"/>
              <w:spacing w:after="0"/>
              <w:rPr>
                <w:sz w:val="20"/>
                <w:szCs w:val="20"/>
                <w:color w:val="auto"/>
              </w:rPr>
            </w:pPr>
            <w:r>
              <w:rPr>
                <w:rFonts w:ascii="Arial" w:cs="Arial" w:eastAsia="Arial" w:hAnsi="Arial"/>
                <w:sz w:val="14"/>
                <w:szCs w:val="14"/>
                <w:b w:val="1"/>
                <w:bCs w:val="1"/>
                <w:color w:val="auto"/>
              </w:rPr>
              <w:t>Palantir Technologies, Inc.</w:t>
            </w:r>
          </w:p>
        </w:tc>
        <w:tc>
          <w:tcPr>
            <w:tcW w:w="120" w:type="dxa"/>
            <w:vAlign w:val="bottom"/>
          </w:tcPr>
          <w:p>
            <w:pPr>
              <w:spacing w:after="0"/>
              <w:rPr>
                <w:sz w:val="19"/>
                <w:szCs w:val="19"/>
                <w:color w:val="auto"/>
              </w:rPr>
            </w:pPr>
          </w:p>
        </w:tc>
        <w:tc>
          <w:tcPr>
            <w:tcW w:w="2880" w:type="dxa"/>
            <w:vAlign w:val="bottom"/>
            <w:gridSpan w:val="2"/>
          </w:tcPr>
          <w:p>
            <w:pPr>
              <w:jc w:val="center"/>
              <w:ind w:right="140"/>
              <w:spacing w:after="0"/>
              <w:rPr>
                <w:sz w:val="20"/>
                <w:szCs w:val="20"/>
                <w:color w:val="auto"/>
              </w:rPr>
            </w:pPr>
            <w:r>
              <w:rPr>
                <w:rFonts w:ascii="Arial" w:cs="Arial" w:eastAsia="Arial" w:hAnsi="Arial"/>
                <w:sz w:val="14"/>
                <w:szCs w:val="14"/>
                <w:color w:val="auto"/>
                <w:w w:val="98"/>
              </w:rPr>
              <w:t>Palo Alto, CA</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gridSpan w:val="16"/>
            <w:shd w:val="clear" w:color="auto" w:fill="CCEEFF"/>
          </w:tcPr>
          <w:p>
            <w:pPr>
              <w:ind w:left="40"/>
              <w:spacing w:after="0"/>
              <w:rPr>
                <w:sz w:val="20"/>
                <w:szCs w:val="20"/>
                <w:color w:val="auto"/>
              </w:rPr>
            </w:pPr>
            <w:r>
              <w:rPr>
                <w:rFonts w:ascii="Arial" w:cs="Arial" w:eastAsia="Arial" w:hAnsi="Arial"/>
                <w:sz w:val="14"/>
                <w:szCs w:val="14"/>
                <w:color w:val="auto"/>
              </w:rPr>
              <w:t>Common shares, Class A</w:t>
            </w:r>
          </w:p>
        </w:tc>
        <w:tc>
          <w:tcPr>
            <w:tcW w:w="120" w:type="dxa"/>
            <w:vAlign w:val="bottom"/>
            <w:shd w:val="clear" w:color="auto" w:fill="CCEEFF"/>
          </w:tcPr>
          <w:p>
            <w:pPr>
              <w:spacing w:after="0"/>
              <w:rPr>
                <w:sz w:val="23"/>
                <w:szCs w:val="23"/>
                <w:color w:val="auto"/>
              </w:rPr>
            </w:pPr>
          </w:p>
        </w:tc>
        <w:tc>
          <w:tcPr>
            <w:tcW w:w="28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3"/>
              </w:rPr>
              <w:t>Data Analysis</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5,773,690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16,189,935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35,075,759</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17.13%</w:t>
            </w:r>
          </w:p>
        </w:tc>
        <w:tc>
          <w:tcPr>
            <w:tcW w:w="0" w:type="dxa"/>
            <w:vAlign w:val="bottom"/>
          </w:tcPr>
          <w:p>
            <w:pPr>
              <w:spacing w:after="0"/>
              <w:rPr>
                <w:sz w:val="1"/>
                <w:szCs w:val="1"/>
                <w:color w:val="auto"/>
              </w:rPr>
            </w:pPr>
          </w:p>
        </w:tc>
      </w:tr>
      <w:tr>
        <w:trPr>
          <w:trHeight w:val="230"/>
        </w:trPr>
        <w:tc>
          <w:tcPr>
            <w:tcW w:w="3540" w:type="dxa"/>
            <w:vAlign w:val="bottom"/>
            <w:gridSpan w:val="16"/>
          </w:tcPr>
          <w:p>
            <w:pPr>
              <w:ind w:left="40"/>
              <w:spacing w:after="0"/>
              <w:rPr>
                <w:sz w:val="20"/>
                <w:szCs w:val="20"/>
                <w:color w:val="auto"/>
              </w:rPr>
            </w:pPr>
            <w:r>
              <w:rPr>
                <w:rFonts w:ascii="Arial" w:cs="Arial" w:eastAsia="Arial" w:hAnsi="Arial"/>
                <w:sz w:val="14"/>
                <w:szCs w:val="14"/>
                <w:b w:val="1"/>
                <w:bCs w:val="1"/>
                <w:color w:val="auto"/>
              </w:rPr>
              <w:t>Spotify Technology S.A.**</w:t>
            </w:r>
          </w:p>
        </w:tc>
        <w:tc>
          <w:tcPr>
            <w:tcW w:w="120" w:type="dxa"/>
            <w:vAlign w:val="bottom"/>
          </w:tcPr>
          <w:p>
            <w:pPr>
              <w:spacing w:after="0"/>
              <w:rPr>
                <w:sz w:val="19"/>
                <w:szCs w:val="19"/>
                <w:color w:val="auto"/>
              </w:rPr>
            </w:pPr>
          </w:p>
        </w:tc>
        <w:tc>
          <w:tcPr>
            <w:tcW w:w="288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Stockholm, Sweden</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gridSpan w:val="16"/>
            <w:shd w:val="clear" w:color="auto" w:fill="CCEEFF"/>
          </w:tcPr>
          <w:p>
            <w:pPr>
              <w:ind w:left="40"/>
              <w:spacing w:after="0"/>
              <w:rPr>
                <w:sz w:val="20"/>
                <w:szCs w:val="20"/>
                <w:color w:val="auto"/>
              </w:rPr>
            </w:pPr>
            <w:r>
              <w:rPr>
                <w:rFonts w:ascii="Arial" w:cs="Arial" w:eastAsia="Arial" w:hAnsi="Arial"/>
                <w:sz w:val="14"/>
                <w:szCs w:val="14"/>
                <w:color w:val="auto"/>
              </w:rPr>
              <w:t>Common shares</w:t>
            </w:r>
          </w:p>
        </w:tc>
        <w:tc>
          <w:tcPr>
            <w:tcW w:w="120" w:type="dxa"/>
            <w:vAlign w:val="bottom"/>
            <w:shd w:val="clear" w:color="auto" w:fill="CCEEFF"/>
          </w:tcPr>
          <w:p>
            <w:pPr>
              <w:spacing w:after="0"/>
              <w:rPr>
                <w:sz w:val="23"/>
                <w:szCs w:val="23"/>
                <w:color w:val="auto"/>
              </w:rPr>
            </w:pPr>
          </w:p>
        </w:tc>
        <w:tc>
          <w:tcPr>
            <w:tcW w:w="28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3"/>
              </w:rPr>
              <w:t>On-Demand Music Streaming</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5,884</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10,002,084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30,729,068</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15.01%</w:t>
            </w:r>
          </w:p>
        </w:tc>
        <w:tc>
          <w:tcPr>
            <w:tcW w:w="0" w:type="dxa"/>
            <w:vAlign w:val="bottom"/>
          </w:tcPr>
          <w:p>
            <w:pPr>
              <w:spacing w:after="0"/>
              <w:rPr>
                <w:sz w:val="1"/>
                <w:szCs w:val="1"/>
                <w:color w:val="auto"/>
              </w:rPr>
            </w:pPr>
          </w:p>
        </w:tc>
      </w:tr>
      <w:tr>
        <w:trPr>
          <w:trHeight w:val="230"/>
        </w:trPr>
        <w:tc>
          <w:tcPr>
            <w:tcW w:w="3540" w:type="dxa"/>
            <w:vAlign w:val="bottom"/>
            <w:gridSpan w:val="16"/>
          </w:tcPr>
          <w:p>
            <w:pPr>
              <w:ind w:left="40"/>
              <w:spacing w:after="0"/>
              <w:rPr>
                <w:sz w:val="20"/>
                <w:szCs w:val="20"/>
                <w:color w:val="auto"/>
              </w:rPr>
            </w:pPr>
            <w:r>
              <w:rPr>
                <w:rFonts w:ascii="Arial" w:cs="Arial" w:eastAsia="Arial" w:hAnsi="Arial"/>
                <w:sz w:val="14"/>
                <w:szCs w:val="14"/>
                <w:b w:val="1"/>
                <w:bCs w:val="1"/>
                <w:color w:val="auto"/>
              </w:rPr>
              <w:t>Coursera, Inc.</w:t>
            </w:r>
          </w:p>
        </w:tc>
        <w:tc>
          <w:tcPr>
            <w:tcW w:w="120" w:type="dxa"/>
            <w:vAlign w:val="bottom"/>
          </w:tcPr>
          <w:p>
            <w:pPr>
              <w:spacing w:after="0"/>
              <w:rPr>
                <w:sz w:val="19"/>
                <w:szCs w:val="19"/>
                <w:color w:val="auto"/>
              </w:rPr>
            </w:pPr>
          </w:p>
        </w:tc>
        <w:tc>
          <w:tcPr>
            <w:tcW w:w="2880" w:type="dxa"/>
            <w:vAlign w:val="bottom"/>
            <w:gridSpan w:val="2"/>
          </w:tcPr>
          <w:p>
            <w:pPr>
              <w:jc w:val="center"/>
              <w:ind w:right="120"/>
              <w:spacing w:after="0"/>
              <w:rPr>
                <w:sz w:val="20"/>
                <w:szCs w:val="20"/>
                <w:color w:val="auto"/>
              </w:rPr>
            </w:pPr>
            <w:r>
              <w:rPr>
                <w:rFonts w:ascii="Arial" w:cs="Arial" w:eastAsia="Arial" w:hAnsi="Arial"/>
                <w:sz w:val="14"/>
                <w:szCs w:val="14"/>
                <w:color w:val="auto"/>
                <w:w w:val="97"/>
              </w:rPr>
              <w:t>Mountain View, CA</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gridSpan w:val="16"/>
            <w:shd w:val="clear" w:color="auto" w:fill="CCEEFF"/>
          </w:tcPr>
          <w:p>
            <w:pPr>
              <w:ind w:left="40"/>
              <w:spacing w:after="0"/>
              <w:rPr>
                <w:sz w:val="20"/>
                <w:szCs w:val="20"/>
                <w:color w:val="auto"/>
              </w:rPr>
            </w:pPr>
            <w:r>
              <w:rPr>
                <w:rFonts w:ascii="Arial" w:cs="Arial" w:eastAsia="Arial" w:hAnsi="Arial"/>
                <w:sz w:val="14"/>
                <w:szCs w:val="14"/>
                <w:color w:val="auto"/>
              </w:rPr>
              <w:t>Preferred shares, Series B</w:t>
            </w:r>
          </w:p>
        </w:tc>
        <w:tc>
          <w:tcPr>
            <w:tcW w:w="120" w:type="dxa"/>
            <w:vAlign w:val="bottom"/>
            <w:shd w:val="clear" w:color="auto" w:fill="CCEEFF"/>
          </w:tcPr>
          <w:p>
            <w:pPr>
              <w:spacing w:after="0"/>
              <w:rPr>
                <w:sz w:val="23"/>
                <w:szCs w:val="23"/>
                <w:color w:val="auto"/>
              </w:rPr>
            </w:pPr>
          </w:p>
        </w:tc>
        <w:tc>
          <w:tcPr>
            <w:tcW w:w="28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3"/>
              </w:rPr>
              <w:t>Online Education</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2,961,399</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14,519,519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18,360,674</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8.97%</w:t>
            </w:r>
          </w:p>
        </w:tc>
        <w:tc>
          <w:tcPr>
            <w:tcW w:w="0" w:type="dxa"/>
            <w:vAlign w:val="bottom"/>
          </w:tcPr>
          <w:p>
            <w:pPr>
              <w:spacing w:after="0"/>
              <w:rPr>
                <w:sz w:val="1"/>
                <w:szCs w:val="1"/>
                <w:color w:val="auto"/>
              </w:rPr>
            </w:pPr>
          </w:p>
        </w:tc>
      </w:tr>
      <w:tr>
        <w:trPr>
          <w:trHeight w:val="230"/>
        </w:trPr>
        <w:tc>
          <w:tcPr>
            <w:tcW w:w="3540" w:type="dxa"/>
            <w:vAlign w:val="bottom"/>
            <w:gridSpan w:val="16"/>
          </w:tcPr>
          <w:p>
            <w:pPr>
              <w:ind w:left="40"/>
              <w:spacing w:after="0"/>
              <w:rPr>
                <w:sz w:val="20"/>
                <w:szCs w:val="20"/>
                <w:color w:val="auto"/>
              </w:rPr>
            </w:pPr>
            <w:r>
              <w:rPr>
                <w:rFonts w:ascii="Arial" w:cs="Arial" w:eastAsia="Arial" w:hAnsi="Arial"/>
                <w:sz w:val="14"/>
                <w:szCs w:val="14"/>
                <w:b w:val="1"/>
                <w:bCs w:val="1"/>
                <w:color w:val="auto"/>
              </w:rPr>
              <w:t>Dropbox, Inc.</w:t>
            </w:r>
          </w:p>
        </w:tc>
        <w:tc>
          <w:tcPr>
            <w:tcW w:w="120" w:type="dxa"/>
            <w:vAlign w:val="bottom"/>
          </w:tcPr>
          <w:p>
            <w:pPr>
              <w:spacing w:after="0"/>
              <w:rPr>
                <w:sz w:val="19"/>
                <w:szCs w:val="19"/>
                <w:color w:val="auto"/>
              </w:rPr>
            </w:pPr>
          </w:p>
        </w:tc>
        <w:tc>
          <w:tcPr>
            <w:tcW w:w="288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San Francisco, CA</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gridSpan w:val="16"/>
            <w:shd w:val="clear" w:color="auto" w:fill="CCEEFF"/>
          </w:tcPr>
          <w:p>
            <w:pPr>
              <w:ind w:left="40"/>
              <w:spacing w:after="0"/>
              <w:rPr>
                <w:sz w:val="20"/>
                <w:szCs w:val="20"/>
                <w:color w:val="auto"/>
              </w:rPr>
            </w:pPr>
            <w:r>
              <w:rPr>
                <w:rFonts w:ascii="Arial" w:cs="Arial" w:eastAsia="Arial" w:hAnsi="Arial"/>
                <w:sz w:val="14"/>
                <w:szCs w:val="14"/>
                <w:color w:val="auto"/>
              </w:rPr>
              <w:t>Preferred shares, Series A-1</w:t>
            </w:r>
          </w:p>
        </w:tc>
        <w:tc>
          <w:tcPr>
            <w:tcW w:w="120" w:type="dxa"/>
            <w:vAlign w:val="bottom"/>
            <w:shd w:val="clear" w:color="auto" w:fill="CCEEFF"/>
          </w:tcPr>
          <w:p>
            <w:pPr>
              <w:spacing w:after="0"/>
              <w:rPr>
                <w:sz w:val="23"/>
                <w:szCs w:val="23"/>
                <w:color w:val="auto"/>
              </w:rPr>
            </w:pPr>
          </w:p>
        </w:tc>
        <w:tc>
          <w:tcPr>
            <w:tcW w:w="28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4"/>
              </w:rPr>
              <w:t>Cloud Computing Services</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552,486</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5,015,773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7,524,859</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3.67%</w:t>
            </w:r>
          </w:p>
        </w:tc>
        <w:tc>
          <w:tcPr>
            <w:tcW w:w="0" w:type="dxa"/>
            <w:vAlign w:val="bottom"/>
          </w:tcPr>
          <w:p>
            <w:pPr>
              <w:spacing w:after="0"/>
              <w:rPr>
                <w:sz w:val="1"/>
                <w:szCs w:val="1"/>
                <w:color w:val="auto"/>
              </w:rPr>
            </w:pPr>
          </w:p>
        </w:tc>
      </w:tr>
      <w:tr>
        <w:trPr>
          <w:trHeight w:val="264"/>
        </w:trPr>
        <w:tc>
          <w:tcPr>
            <w:tcW w:w="3540" w:type="dxa"/>
            <w:vAlign w:val="bottom"/>
            <w:tcBorders>
              <w:bottom w:val="single" w:sz="8" w:color="CCEEFF"/>
            </w:tcBorders>
            <w:gridSpan w:val="16"/>
          </w:tcPr>
          <w:p>
            <w:pPr>
              <w:ind w:left="40"/>
              <w:spacing w:after="0"/>
              <w:rPr>
                <w:sz w:val="20"/>
                <w:szCs w:val="20"/>
                <w:color w:val="auto"/>
              </w:rPr>
            </w:pPr>
            <w:r>
              <w:rPr>
                <w:rFonts w:ascii="Arial" w:cs="Arial" w:eastAsia="Arial" w:hAnsi="Arial"/>
                <w:sz w:val="14"/>
                <w:szCs w:val="14"/>
                <w:color w:val="auto"/>
              </w:rPr>
              <w:t>Common shares</w:t>
            </w:r>
          </w:p>
        </w:tc>
        <w:tc>
          <w:tcPr>
            <w:tcW w:w="120" w:type="dxa"/>
            <w:vAlign w:val="bottom"/>
            <w:tcBorders>
              <w:bottom w:val="single" w:sz="8" w:color="CCEEFF"/>
            </w:tcBorders>
          </w:tcPr>
          <w:p>
            <w:pPr>
              <w:spacing w:after="0"/>
              <w:rPr>
                <w:sz w:val="22"/>
                <w:szCs w:val="22"/>
                <w:color w:val="auto"/>
              </w:rPr>
            </w:pPr>
          </w:p>
        </w:tc>
        <w:tc>
          <w:tcPr>
            <w:tcW w:w="274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14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color w:val="auto"/>
              </w:rPr>
              <w:t>760,000</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8,641,153</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10,350,837</w:t>
            </w:r>
          </w:p>
        </w:tc>
        <w:tc>
          <w:tcPr>
            <w:tcW w:w="10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5.06%</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3500" w:type="dxa"/>
            <w:vAlign w:val="bottom"/>
            <w:tcBorders>
              <w:bottom w:val="single" w:sz="8" w:color="CCEEFF"/>
            </w:tcBorders>
            <w:gridSpan w:val="15"/>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120" w:type="dxa"/>
            <w:vAlign w:val="bottom"/>
            <w:tcBorders>
              <w:bottom w:val="single" w:sz="8" w:color="CCEEFF"/>
            </w:tcBorders>
            <w:shd w:val="clear" w:color="auto" w:fill="CCEEFF"/>
          </w:tcPr>
          <w:p>
            <w:pPr>
              <w:spacing w:after="0"/>
              <w:rPr>
                <w:sz w:val="22"/>
                <w:szCs w:val="22"/>
                <w:color w:val="auto"/>
              </w:rPr>
            </w:pPr>
          </w:p>
        </w:tc>
        <w:tc>
          <w:tcPr>
            <w:tcW w:w="2740" w:type="dxa"/>
            <w:vAlign w:val="bottom"/>
            <w:tcBorders>
              <w:bottom w:val="single" w:sz="8" w:color="CCEEFF"/>
            </w:tcBorders>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13,656,926</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17,875,696</w:t>
            </w:r>
          </w:p>
        </w:tc>
        <w:tc>
          <w:tcPr>
            <w:tcW w:w="100" w:type="dxa"/>
            <w:vAlign w:val="bottom"/>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8.73%</w:t>
            </w:r>
          </w:p>
        </w:tc>
        <w:tc>
          <w:tcPr>
            <w:tcW w:w="0" w:type="dxa"/>
            <w:vAlign w:val="bottom"/>
          </w:tcPr>
          <w:p>
            <w:pPr>
              <w:spacing w:after="0"/>
              <w:rPr>
                <w:sz w:val="1"/>
                <w:szCs w:val="1"/>
                <w:color w:val="auto"/>
              </w:rPr>
            </w:pPr>
          </w:p>
        </w:tc>
      </w:tr>
      <w:tr>
        <w:trPr>
          <w:trHeight w:val="229"/>
        </w:trPr>
        <w:tc>
          <w:tcPr>
            <w:tcW w:w="3540" w:type="dxa"/>
            <w:vAlign w:val="bottom"/>
            <w:gridSpan w:val="16"/>
          </w:tcPr>
          <w:p>
            <w:pPr>
              <w:ind w:left="40"/>
              <w:spacing w:after="0"/>
              <w:rPr>
                <w:sz w:val="20"/>
                <w:szCs w:val="20"/>
                <w:color w:val="auto"/>
              </w:rPr>
            </w:pPr>
            <w:r>
              <w:rPr>
                <w:rFonts w:ascii="Arial" w:cs="Arial" w:eastAsia="Arial" w:hAnsi="Arial"/>
                <w:sz w:val="14"/>
                <w:szCs w:val="14"/>
                <w:b w:val="1"/>
                <w:bCs w:val="1"/>
                <w:color w:val="auto"/>
              </w:rPr>
              <w:t>General Assembly Space, Inc.</w:t>
            </w:r>
          </w:p>
        </w:tc>
        <w:tc>
          <w:tcPr>
            <w:tcW w:w="120" w:type="dxa"/>
            <w:vAlign w:val="bottom"/>
          </w:tcPr>
          <w:p>
            <w:pPr>
              <w:spacing w:after="0"/>
              <w:rPr>
                <w:sz w:val="19"/>
                <w:szCs w:val="19"/>
                <w:color w:val="auto"/>
              </w:rPr>
            </w:pPr>
          </w:p>
        </w:tc>
        <w:tc>
          <w:tcPr>
            <w:tcW w:w="2880" w:type="dxa"/>
            <w:vAlign w:val="bottom"/>
            <w:gridSpan w:val="2"/>
          </w:tcPr>
          <w:p>
            <w:pPr>
              <w:jc w:val="center"/>
              <w:ind w:right="120"/>
              <w:spacing w:after="0"/>
              <w:rPr>
                <w:sz w:val="20"/>
                <w:szCs w:val="20"/>
                <w:color w:val="auto"/>
              </w:rPr>
            </w:pPr>
            <w:r>
              <w:rPr>
                <w:rFonts w:ascii="Arial" w:cs="Arial" w:eastAsia="Arial" w:hAnsi="Arial"/>
                <w:sz w:val="14"/>
                <w:szCs w:val="14"/>
                <w:color w:val="auto"/>
              </w:rPr>
              <w:t>New York, NY</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gridSpan w:val="16"/>
            <w:shd w:val="clear" w:color="auto" w:fill="CCEEFF"/>
          </w:tcPr>
          <w:p>
            <w:pPr>
              <w:ind w:left="40"/>
              <w:spacing w:after="0"/>
              <w:rPr>
                <w:sz w:val="20"/>
                <w:szCs w:val="20"/>
                <w:color w:val="auto"/>
              </w:rPr>
            </w:pPr>
            <w:r>
              <w:rPr>
                <w:rFonts w:ascii="Arial" w:cs="Arial" w:eastAsia="Arial" w:hAnsi="Arial"/>
                <w:sz w:val="14"/>
                <w:szCs w:val="14"/>
                <w:color w:val="auto"/>
              </w:rPr>
              <w:t>Preferred shares, Series C</w:t>
            </w:r>
          </w:p>
        </w:tc>
        <w:tc>
          <w:tcPr>
            <w:tcW w:w="120" w:type="dxa"/>
            <w:vAlign w:val="bottom"/>
            <w:shd w:val="clear" w:color="auto" w:fill="CCEEFF"/>
          </w:tcPr>
          <w:p>
            <w:pPr>
              <w:spacing w:after="0"/>
              <w:rPr>
                <w:sz w:val="23"/>
                <w:szCs w:val="23"/>
                <w:color w:val="auto"/>
              </w:rPr>
            </w:pPr>
          </w:p>
        </w:tc>
        <w:tc>
          <w:tcPr>
            <w:tcW w:w="28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3"/>
              </w:rPr>
              <w:t>Online Education</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126,552</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2,999,978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5,281,440</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w:t>
            </w:r>
          </w:p>
        </w:tc>
        <w:tc>
          <w:tcPr>
            <w:tcW w:w="0" w:type="dxa"/>
            <w:vAlign w:val="bottom"/>
          </w:tcPr>
          <w:p>
            <w:pPr>
              <w:spacing w:after="0"/>
              <w:rPr>
                <w:sz w:val="1"/>
                <w:szCs w:val="1"/>
                <w:color w:val="auto"/>
              </w:rPr>
            </w:pPr>
          </w:p>
        </w:tc>
      </w:tr>
      <w:tr>
        <w:trPr>
          <w:trHeight w:val="264"/>
        </w:trPr>
        <w:tc>
          <w:tcPr>
            <w:tcW w:w="3540" w:type="dxa"/>
            <w:vAlign w:val="bottom"/>
            <w:tcBorders>
              <w:bottom w:val="single" w:sz="8" w:color="CCEEFF"/>
            </w:tcBorders>
            <w:gridSpan w:val="16"/>
          </w:tcPr>
          <w:p>
            <w:pPr>
              <w:ind w:left="40"/>
              <w:spacing w:after="0"/>
              <w:rPr>
                <w:sz w:val="20"/>
                <w:szCs w:val="20"/>
                <w:color w:val="auto"/>
              </w:rPr>
            </w:pPr>
            <w:r>
              <w:rPr>
                <w:rFonts w:ascii="Arial" w:cs="Arial" w:eastAsia="Arial" w:hAnsi="Arial"/>
                <w:sz w:val="14"/>
                <w:szCs w:val="14"/>
                <w:color w:val="auto"/>
              </w:rPr>
              <w:t>Common shares</w:t>
            </w:r>
          </w:p>
        </w:tc>
        <w:tc>
          <w:tcPr>
            <w:tcW w:w="120" w:type="dxa"/>
            <w:vAlign w:val="bottom"/>
            <w:tcBorders>
              <w:bottom w:val="single" w:sz="8" w:color="CCEEFF"/>
            </w:tcBorders>
          </w:tcPr>
          <w:p>
            <w:pPr>
              <w:spacing w:after="0"/>
              <w:rPr>
                <w:sz w:val="22"/>
                <w:szCs w:val="22"/>
                <w:color w:val="auto"/>
              </w:rPr>
            </w:pPr>
          </w:p>
        </w:tc>
        <w:tc>
          <w:tcPr>
            <w:tcW w:w="274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14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color w:val="auto"/>
              </w:rPr>
              <w:t>133,213</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2,999,983</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5,559,426</w:t>
            </w:r>
          </w:p>
        </w:tc>
        <w:tc>
          <w:tcPr>
            <w:tcW w:w="10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2.72%</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3500" w:type="dxa"/>
            <w:vAlign w:val="bottom"/>
            <w:tcBorders>
              <w:bottom w:val="single" w:sz="8" w:color="CCEEFF"/>
            </w:tcBorders>
            <w:gridSpan w:val="15"/>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120" w:type="dxa"/>
            <w:vAlign w:val="bottom"/>
            <w:tcBorders>
              <w:bottom w:val="single" w:sz="8" w:color="CCEEFF"/>
            </w:tcBorders>
            <w:shd w:val="clear" w:color="auto" w:fill="CCEEFF"/>
          </w:tcPr>
          <w:p>
            <w:pPr>
              <w:spacing w:after="0"/>
              <w:rPr>
                <w:sz w:val="22"/>
                <w:szCs w:val="22"/>
                <w:color w:val="auto"/>
              </w:rPr>
            </w:pPr>
          </w:p>
        </w:tc>
        <w:tc>
          <w:tcPr>
            <w:tcW w:w="2740" w:type="dxa"/>
            <w:vAlign w:val="bottom"/>
            <w:tcBorders>
              <w:bottom w:val="single" w:sz="8" w:color="CCEEFF"/>
            </w:tcBorders>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5,999,961</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10,840,866</w:t>
            </w:r>
          </w:p>
        </w:tc>
        <w:tc>
          <w:tcPr>
            <w:tcW w:w="100" w:type="dxa"/>
            <w:vAlign w:val="bottom"/>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5.30%</w:t>
            </w:r>
          </w:p>
        </w:tc>
        <w:tc>
          <w:tcPr>
            <w:tcW w:w="0" w:type="dxa"/>
            <w:vAlign w:val="bottom"/>
          </w:tcPr>
          <w:p>
            <w:pPr>
              <w:spacing w:after="0"/>
              <w:rPr>
                <w:sz w:val="1"/>
                <w:szCs w:val="1"/>
                <w:color w:val="auto"/>
              </w:rPr>
            </w:pPr>
          </w:p>
        </w:tc>
      </w:tr>
      <w:tr>
        <w:trPr>
          <w:trHeight w:val="229"/>
        </w:trPr>
        <w:tc>
          <w:tcPr>
            <w:tcW w:w="3540" w:type="dxa"/>
            <w:vAlign w:val="bottom"/>
            <w:gridSpan w:val="16"/>
          </w:tcPr>
          <w:p>
            <w:pPr>
              <w:ind w:left="40"/>
              <w:spacing w:after="0"/>
              <w:rPr>
                <w:sz w:val="20"/>
                <w:szCs w:val="20"/>
                <w:color w:val="auto"/>
              </w:rPr>
            </w:pPr>
            <w:r>
              <w:rPr>
                <w:rFonts w:ascii="Arial" w:cs="Arial" w:eastAsia="Arial" w:hAnsi="Arial"/>
                <w:sz w:val="14"/>
                <w:szCs w:val="14"/>
                <w:b w:val="1"/>
                <w:bCs w:val="1"/>
                <w:color w:val="auto"/>
              </w:rPr>
              <w:t>Lyft, Inc.</w:t>
            </w:r>
          </w:p>
        </w:tc>
        <w:tc>
          <w:tcPr>
            <w:tcW w:w="120" w:type="dxa"/>
            <w:vAlign w:val="bottom"/>
          </w:tcPr>
          <w:p>
            <w:pPr>
              <w:spacing w:after="0"/>
              <w:rPr>
                <w:sz w:val="19"/>
                <w:szCs w:val="19"/>
                <w:color w:val="auto"/>
              </w:rPr>
            </w:pPr>
          </w:p>
        </w:tc>
        <w:tc>
          <w:tcPr>
            <w:tcW w:w="288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San Francisco, CA</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gridSpan w:val="16"/>
            <w:shd w:val="clear" w:color="auto" w:fill="CCEEFF"/>
          </w:tcPr>
          <w:p>
            <w:pPr>
              <w:ind w:left="40"/>
              <w:spacing w:after="0"/>
              <w:rPr>
                <w:sz w:val="20"/>
                <w:szCs w:val="20"/>
                <w:color w:val="auto"/>
              </w:rPr>
            </w:pPr>
            <w:r>
              <w:rPr>
                <w:rFonts w:ascii="Arial" w:cs="Arial" w:eastAsia="Arial" w:hAnsi="Arial"/>
                <w:sz w:val="14"/>
                <w:szCs w:val="14"/>
                <w:color w:val="auto"/>
              </w:rPr>
              <w:t>Preferred shares, Series E</w:t>
            </w:r>
          </w:p>
        </w:tc>
        <w:tc>
          <w:tcPr>
            <w:tcW w:w="120" w:type="dxa"/>
            <w:vAlign w:val="bottom"/>
            <w:shd w:val="clear" w:color="auto" w:fill="CCEEFF"/>
          </w:tcPr>
          <w:p>
            <w:pPr>
              <w:spacing w:after="0"/>
              <w:rPr>
                <w:sz w:val="23"/>
                <w:szCs w:val="23"/>
                <w:color w:val="auto"/>
              </w:rPr>
            </w:pPr>
          </w:p>
        </w:tc>
        <w:tc>
          <w:tcPr>
            <w:tcW w:w="28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2"/>
              </w:rPr>
              <w:t>On-Demand Transportation Services</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128,563</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2,503,585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4,269,577</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w:t>
            </w:r>
          </w:p>
        </w:tc>
        <w:tc>
          <w:tcPr>
            <w:tcW w:w="0" w:type="dxa"/>
            <w:vAlign w:val="bottom"/>
          </w:tcPr>
          <w:p>
            <w:pPr>
              <w:spacing w:after="0"/>
              <w:rPr>
                <w:sz w:val="1"/>
                <w:szCs w:val="1"/>
                <w:color w:val="auto"/>
              </w:rPr>
            </w:pPr>
          </w:p>
        </w:tc>
      </w:tr>
      <w:tr>
        <w:trPr>
          <w:trHeight w:val="264"/>
        </w:trPr>
        <w:tc>
          <w:tcPr>
            <w:tcW w:w="3540" w:type="dxa"/>
            <w:vAlign w:val="bottom"/>
            <w:tcBorders>
              <w:bottom w:val="single" w:sz="8" w:color="CCEEFF"/>
            </w:tcBorders>
            <w:gridSpan w:val="16"/>
          </w:tcPr>
          <w:p>
            <w:pPr>
              <w:ind w:left="40"/>
              <w:spacing w:after="0"/>
              <w:rPr>
                <w:sz w:val="20"/>
                <w:szCs w:val="20"/>
                <w:color w:val="auto"/>
              </w:rPr>
            </w:pPr>
            <w:r>
              <w:rPr>
                <w:rFonts w:ascii="Arial" w:cs="Arial" w:eastAsia="Arial" w:hAnsi="Arial"/>
                <w:sz w:val="14"/>
                <w:szCs w:val="14"/>
                <w:color w:val="auto"/>
              </w:rPr>
              <w:t>Preferred shares, Series D</w:t>
            </w:r>
          </w:p>
        </w:tc>
        <w:tc>
          <w:tcPr>
            <w:tcW w:w="120" w:type="dxa"/>
            <w:vAlign w:val="bottom"/>
            <w:tcBorders>
              <w:bottom w:val="single" w:sz="8" w:color="CCEEFF"/>
            </w:tcBorders>
          </w:tcPr>
          <w:p>
            <w:pPr>
              <w:spacing w:after="0"/>
              <w:rPr>
                <w:sz w:val="22"/>
                <w:szCs w:val="22"/>
                <w:color w:val="auto"/>
              </w:rPr>
            </w:pPr>
          </w:p>
        </w:tc>
        <w:tc>
          <w:tcPr>
            <w:tcW w:w="274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14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color w:val="auto"/>
              </w:rPr>
              <w:t>176,266</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1,792,749</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5,853,938</w:t>
            </w:r>
          </w:p>
        </w:tc>
        <w:tc>
          <w:tcPr>
            <w:tcW w:w="10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2.86%</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3500" w:type="dxa"/>
            <w:vAlign w:val="bottom"/>
            <w:tcBorders>
              <w:bottom w:val="single" w:sz="8" w:color="CCEEFF"/>
            </w:tcBorders>
            <w:gridSpan w:val="15"/>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120" w:type="dxa"/>
            <w:vAlign w:val="bottom"/>
            <w:tcBorders>
              <w:bottom w:val="single" w:sz="8" w:color="CCEEFF"/>
            </w:tcBorders>
            <w:shd w:val="clear" w:color="auto" w:fill="CCEEFF"/>
          </w:tcPr>
          <w:p>
            <w:pPr>
              <w:spacing w:after="0"/>
              <w:rPr>
                <w:sz w:val="22"/>
                <w:szCs w:val="22"/>
                <w:color w:val="auto"/>
              </w:rPr>
            </w:pPr>
          </w:p>
        </w:tc>
        <w:tc>
          <w:tcPr>
            <w:tcW w:w="2740" w:type="dxa"/>
            <w:vAlign w:val="bottom"/>
            <w:tcBorders>
              <w:bottom w:val="single" w:sz="8" w:color="CCEEFF"/>
            </w:tcBorders>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4,296,334</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10,123,515</w:t>
            </w:r>
          </w:p>
        </w:tc>
        <w:tc>
          <w:tcPr>
            <w:tcW w:w="100" w:type="dxa"/>
            <w:vAlign w:val="bottom"/>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4.95%</w:t>
            </w:r>
          </w:p>
        </w:tc>
        <w:tc>
          <w:tcPr>
            <w:tcW w:w="0" w:type="dxa"/>
            <w:vAlign w:val="bottom"/>
          </w:tcPr>
          <w:p>
            <w:pPr>
              <w:spacing w:after="0"/>
              <w:rPr>
                <w:sz w:val="1"/>
                <w:szCs w:val="1"/>
                <w:color w:val="auto"/>
              </w:rPr>
            </w:pPr>
          </w:p>
        </w:tc>
      </w:tr>
      <w:tr>
        <w:trPr>
          <w:trHeight w:val="229"/>
        </w:trPr>
        <w:tc>
          <w:tcPr>
            <w:tcW w:w="3540" w:type="dxa"/>
            <w:vAlign w:val="bottom"/>
            <w:gridSpan w:val="16"/>
          </w:tcPr>
          <w:p>
            <w:pPr>
              <w:ind w:left="40"/>
              <w:spacing w:after="0"/>
              <w:rPr>
                <w:sz w:val="20"/>
                <w:szCs w:val="20"/>
                <w:color w:val="auto"/>
              </w:rPr>
            </w:pPr>
            <w:r>
              <w:rPr>
                <w:rFonts w:ascii="Arial" w:cs="Arial" w:eastAsia="Arial" w:hAnsi="Arial"/>
                <w:sz w:val="14"/>
                <w:szCs w:val="14"/>
                <w:b w:val="1"/>
                <w:bCs w:val="1"/>
                <w:color w:val="auto"/>
              </w:rPr>
              <w:t>Course Hero, Inc.</w:t>
            </w:r>
          </w:p>
        </w:tc>
        <w:tc>
          <w:tcPr>
            <w:tcW w:w="120" w:type="dxa"/>
            <w:vAlign w:val="bottom"/>
          </w:tcPr>
          <w:p>
            <w:pPr>
              <w:spacing w:after="0"/>
              <w:rPr>
                <w:sz w:val="19"/>
                <w:szCs w:val="19"/>
                <w:color w:val="auto"/>
              </w:rPr>
            </w:pPr>
          </w:p>
        </w:tc>
        <w:tc>
          <w:tcPr>
            <w:tcW w:w="2880" w:type="dxa"/>
            <w:vAlign w:val="bottom"/>
            <w:gridSpan w:val="2"/>
          </w:tcPr>
          <w:p>
            <w:pPr>
              <w:jc w:val="center"/>
              <w:ind w:right="140"/>
              <w:spacing w:after="0"/>
              <w:rPr>
                <w:sz w:val="20"/>
                <w:szCs w:val="20"/>
                <w:color w:val="auto"/>
              </w:rPr>
            </w:pPr>
            <w:r>
              <w:rPr>
                <w:rFonts w:ascii="Arial" w:cs="Arial" w:eastAsia="Arial" w:hAnsi="Arial"/>
                <w:sz w:val="14"/>
                <w:szCs w:val="14"/>
                <w:color w:val="auto"/>
                <w:w w:val="96"/>
              </w:rPr>
              <w:t>Redwood City, CA</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540" w:type="dxa"/>
            <w:vAlign w:val="bottom"/>
            <w:tcBorders>
              <w:bottom w:val="single" w:sz="8" w:color="CCEEFF"/>
            </w:tcBorders>
            <w:gridSpan w:val="16"/>
            <w:shd w:val="clear" w:color="auto" w:fill="CCEEFF"/>
          </w:tcPr>
          <w:p>
            <w:pPr>
              <w:ind w:left="40"/>
              <w:spacing w:after="0"/>
              <w:rPr>
                <w:sz w:val="20"/>
                <w:szCs w:val="20"/>
                <w:color w:val="auto"/>
              </w:rPr>
            </w:pPr>
            <w:r>
              <w:rPr>
                <w:rFonts w:ascii="Arial" w:cs="Arial" w:eastAsia="Arial" w:hAnsi="Arial"/>
                <w:sz w:val="14"/>
                <w:szCs w:val="14"/>
                <w:color w:val="auto"/>
              </w:rPr>
              <w:t>Preferred shares, Series A</w:t>
            </w:r>
          </w:p>
        </w:tc>
        <w:tc>
          <w:tcPr>
            <w:tcW w:w="120" w:type="dxa"/>
            <w:vAlign w:val="bottom"/>
            <w:tcBorders>
              <w:bottom w:val="single" w:sz="8" w:color="CCEEFF"/>
            </w:tcBorders>
            <w:shd w:val="clear" w:color="auto" w:fill="CCEEFF"/>
          </w:tcPr>
          <w:p>
            <w:pPr>
              <w:spacing w:after="0"/>
              <w:rPr>
                <w:sz w:val="22"/>
                <w:szCs w:val="22"/>
                <w:color w:val="auto"/>
              </w:rPr>
            </w:pPr>
          </w:p>
        </w:tc>
        <w:tc>
          <w:tcPr>
            <w:tcW w:w="2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3"/>
              </w:rPr>
              <w:t>Online Education</w:t>
            </w:r>
          </w:p>
        </w:tc>
        <w:tc>
          <w:tcPr>
            <w:tcW w:w="140" w:type="dxa"/>
            <w:vAlign w:val="bottom"/>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2,145,509</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5,000,001</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10,041,426</w:t>
            </w:r>
          </w:p>
        </w:tc>
        <w:tc>
          <w:tcPr>
            <w:tcW w:w="100" w:type="dxa"/>
            <w:vAlign w:val="bottom"/>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4.90%</w:t>
            </w:r>
          </w:p>
        </w:tc>
        <w:tc>
          <w:tcPr>
            <w:tcW w:w="0" w:type="dxa"/>
            <w:vAlign w:val="bottom"/>
          </w:tcPr>
          <w:p>
            <w:pPr>
              <w:spacing w:after="0"/>
              <w:rPr>
                <w:sz w:val="1"/>
                <w:szCs w:val="1"/>
                <w:color w:val="auto"/>
              </w:rPr>
            </w:pPr>
          </w:p>
        </w:tc>
      </w:tr>
      <w:tr>
        <w:trPr>
          <w:trHeight w:val="229"/>
        </w:trPr>
        <w:tc>
          <w:tcPr>
            <w:tcW w:w="3540" w:type="dxa"/>
            <w:vAlign w:val="bottom"/>
            <w:gridSpan w:val="16"/>
          </w:tcPr>
          <w:p>
            <w:pPr>
              <w:ind w:left="40"/>
              <w:spacing w:after="0"/>
              <w:rPr>
                <w:sz w:val="20"/>
                <w:szCs w:val="20"/>
                <w:color w:val="auto"/>
              </w:rPr>
            </w:pPr>
            <w:r>
              <w:rPr>
                <w:rFonts w:ascii="Arial" w:cs="Arial" w:eastAsia="Arial" w:hAnsi="Arial"/>
                <w:sz w:val="14"/>
                <w:szCs w:val="14"/>
                <w:b w:val="1"/>
                <w:bCs w:val="1"/>
                <w:color w:val="auto"/>
              </w:rPr>
              <w:t>Chegg, Inc.**</w:t>
            </w:r>
          </w:p>
        </w:tc>
        <w:tc>
          <w:tcPr>
            <w:tcW w:w="120" w:type="dxa"/>
            <w:vAlign w:val="bottom"/>
          </w:tcPr>
          <w:p>
            <w:pPr>
              <w:spacing w:after="0"/>
              <w:rPr>
                <w:sz w:val="19"/>
                <w:szCs w:val="19"/>
                <w:color w:val="auto"/>
              </w:rPr>
            </w:pPr>
          </w:p>
        </w:tc>
        <w:tc>
          <w:tcPr>
            <w:tcW w:w="2880" w:type="dxa"/>
            <w:vAlign w:val="bottom"/>
            <w:gridSpan w:val="2"/>
          </w:tcPr>
          <w:p>
            <w:pPr>
              <w:jc w:val="center"/>
              <w:ind w:right="140"/>
              <w:spacing w:after="0"/>
              <w:rPr>
                <w:sz w:val="20"/>
                <w:szCs w:val="20"/>
                <w:color w:val="auto"/>
              </w:rPr>
            </w:pPr>
            <w:r>
              <w:rPr>
                <w:rFonts w:ascii="Arial" w:cs="Arial" w:eastAsia="Arial" w:hAnsi="Arial"/>
                <w:sz w:val="14"/>
                <w:szCs w:val="14"/>
                <w:color w:val="auto"/>
                <w:w w:val="92"/>
              </w:rPr>
              <w:t>Santa Clara, CA</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540" w:type="dxa"/>
            <w:vAlign w:val="bottom"/>
            <w:tcBorders>
              <w:bottom w:val="single" w:sz="8" w:color="CCEEFF"/>
            </w:tcBorders>
            <w:gridSpan w:val="16"/>
            <w:shd w:val="clear" w:color="auto" w:fill="CCEEFF"/>
          </w:tcPr>
          <w:p>
            <w:pPr>
              <w:ind w:left="40"/>
              <w:spacing w:after="0"/>
              <w:rPr>
                <w:sz w:val="20"/>
                <w:szCs w:val="20"/>
                <w:color w:val="auto"/>
              </w:rPr>
            </w:pPr>
            <w:r>
              <w:rPr>
                <w:rFonts w:ascii="Arial" w:cs="Arial" w:eastAsia="Arial" w:hAnsi="Arial"/>
                <w:sz w:val="14"/>
                <w:szCs w:val="14"/>
                <w:color w:val="auto"/>
              </w:rPr>
              <w:t>Common shares</w:t>
            </w:r>
            <w:r>
              <w:rPr>
                <w:rFonts w:ascii="Arial" w:cs="Arial" w:eastAsia="Arial" w:hAnsi="Arial"/>
                <w:sz w:val="8"/>
                <w:szCs w:val="8"/>
                <w:color w:val="auto"/>
              </w:rPr>
              <w:t>(3)(11)</w:t>
            </w:r>
          </w:p>
        </w:tc>
        <w:tc>
          <w:tcPr>
            <w:tcW w:w="120" w:type="dxa"/>
            <w:vAlign w:val="bottom"/>
            <w:tcBorders>
              <w:bottom w:val="single" w:sz="8" w:color="CCEEFF"/>
            </w:tcBorders>
            <w:shd w:val="clear" w:color="auto" w:fill="CCEEFF"/>
          </w:tcPr>
          <w:p>
            <w:pPr>
              <w:spacing w:after="0"/>
              <w:rPr>
                <w:sz w:val="22"/>
                <w:szCs w:val="22"/>
                <w:color w:val="auto"/>
              </w:rPr>
            </w:pPr>
          </w:p>
        </w:tc>
        <w:tc>
          <w:tcPr>
            <w:tcW w:w="2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2"/>
              </w:rPr>
              <w:t>Online Education Services</w:t>
            </w:r>
          </w:p>
        </w:tc>
        <w:tc>
          <w:tcPr>
            <w:tcW w:w="140" w:type="dxa"/>
            <w:vAlign w:val="bottom"/>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500,000</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6,008,468</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8,160,000</w:t>
            </w:r>
          </w:p>
        </w:tc>
        <w:tc>
          <w:tcPr>
            <w:tcW w:w="100" w:type="dxa"/>
            <w:vAlign w:val="bottom"/>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3.99%</w:t>
            </w:r>
          </w:p>
        </w:tc>
        <w:tc>
          <w:tcPr>
            <w:tcW w:w="0" w:type="dxa"/>
            <w:vAlign w:val="bottom"/>
          </w:tcPr>
          <w:p>
            <w:pPr>
              <w:spacing w:after="0"/>
              <w:rPr>
                <w:sz w:val="1"/>
                <w:szCs w:val="1"/>
                <w:color w:val="auto"/>
              </w:rPr>
            </w:pPr>
          </w:p>
        </w:tc>
      </w:tr>
      <w:tr>
        <w:trPr>
          <w:trHeight w:val="229"/>
        </w:trPr>
        <w:tc>
          <w:tcPr>
            <w:tcW w:w="3540" w:type="dxa"/>
            <w:vAlign w:val="bottom"/>
            <w:gridSpan w:val="16"/>
          </w:tcPr>
          <w:p>
            <w:pPr>
              <w:ind w:left="40"/>
              <w:spacing w:after="0"/>
              <w:rPr>
                <w:sz w:val="20"/>
                <w:szCs w:val="20"/>
                <w:color w:val="auto"/>
              </w:rPr>
            </w:pPr>
            <w:r>
              <w:rPr>
                <w:rFonts w:ascii="Arial" w:cs="Arial" w:eastAsia="Arial" w:hAnsi="Arial"/>
                <w:sz w:val="14"/>
                <w:szCs w:val="14"/>
                <w:b w:val="1"/>
                <w:bCs w:val="1"/>
                <w:color w:val="auto"/>
              </w:rPr>
              <w:t>Avenues Global Holdings, LLC</w:t>
            </w:r>
            <w:r>
              <w:rPr>
                <w:rFonts w:ascii="Arial" w:cs="Arial" w:eastAsia="Arial" w:hAnsi="Arial"/>
                <w:sz w:val="8"/>
                <w:szCs w:val="8"/>
                <w:color w:val="auto"/>
              </w:rPr>
              <w:t>(4)</w:t>
            </w:r>
          </w:p>
        </w:tc>
        <w:tc>
          <w:tcPr>
            <w:tcW w:w="120" w:type="dxa"/>
            <w:vAlign w:val="bottom"/>
          </w:tcPr>
          <w:p>
            <w:pPr>
              <w:spacing w:after="0"/>
              <w:rPr>
                <w:sz w:val="19"/>
                <w:szCs w:val="19"/>
                <w:color w:val="auto"/>
              </w:rPr>
            </w:pPr>
          </w:p>
        </w:tc>
        <w:tc>
          <w:tcPr>
            <w:tcW w:w="2880" w:type="dxa"/>
            <w:vAlign w:val="bottom"/>
            <w:gridSpan w:val="2"/>
          </w:tcPr>
          <w:p>
            <w:pPr>
              <w:jc w:val="center"/>
              <w:ind w:right="120"/>
              <w:spacing w:after="0"/>
              <w:rPr>
                <w:sz w:val="20"/>
                <w:szCs w:val="20"/>
                <w:color w:val="auto"/>
              </w:rPr>
            </w:pPr>
            <w:r>
              <w:rPr>
                <w:rFonts w:ascii="Arial" w:cs="Arial" w:eastAsia="Arial" w:hAnsi="Arial"/>
                <w:sz w:val="14"/>
                <w:szCs w:val="14"/>
                <w:color w:val="auto"/>
              </w:rPr>
              <w:t>New York, NY</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gridSpan w:val="16"/>
            <w:shd w:val="clear" w:color="auto" w:fill="CCEEFF"/>
          </w:tcPr>
          <w:p>
            <w:pPr>
              <w:ind w:left="40"/>
              <w:spacing w:after="0"/>
              <w:rPr>
                <w:sz w:val="20"/>
                <w:szCs w:val="20"/>
                <w:color w:val="auto"/>
              </w:rPr>
            </w:pPr>
            <w:r>
              <w:rPr>
                <w:rFonts w:ascii="Arial" w:cs="Arial" w:eastAsia="Arial" w:hAnsi="Arial"/>
                <w:sz w:val="14"/>
                <w:szCs w:val="14"/>
                <w:color w:val="auto"/>
              </w:rPr>
              <w:t>Preferred shares, Junior Preferred Stock</w:t>
            </w:r>
          </w:p>
        </w:tc>
        <w:tc>
          <w:tcPr>
            <w:tcW w:w="120" w:type="dxa"/>
            <w:vAlign w:val="bottom"/>
            <w:shd w:val="clear" w:color="auto" w:fill="CCEEFF"/>
          </w:tcPr>
          <w:p>
            <w:pPr>
              <w:spacing w:after="0"/>
              <w:rPr>
                <w:sz w:val="23"/>
                <w:szCs w:val="23"/>
                <w:color w:val="auto"/>
              </w:rPr>
            </w:pPr>
          </w:p>
        </w:tc>
        <w:tc>
          <w:tcPr>
            <w:tcW w:w="28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4"/>
              </w:rPr>
              <w:t>Globally-Focused Private School</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10,014,270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10,151,854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5,908,419</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2.89%</w:t>
            </w:r>
          </w:p>
        </w:tc>
        <w:tc>
          <w:tcPr>
            <w:tcW w:w="0" w:type="dxa"/>
            <w:vAlign w:val="bottom"/>
          </w:tcPr>
          <w:p>
            <w:pPr>
              <w:spacing w:after="0"/>
              <w:rPr>
                <w:sz w:val="1"/>
                <w:szCs w:val="1"/>
                <w:color w:val="auto"/>
              </w:rPr>
            </w:pPr>
          </w:p>
        </w:tc>
      </w:tr>
      <w:tr>
        <w:trPr>
          <w:trHeight w:val="230"/>
        </w:trPr>
        <w:tc>
          <w:tcPr>
            <w:tcW w:w="3540" w:type="dxa"/>
            <w:vAlign w:val="bottom"/>
            <w:gridSpan w:val="16"/>
          </w:tcPr>
          <w:p>
            <w:pPr>
              <w:ind w:left="40"/>
              <w:spacing w:after="0"/>
              <w:rPr>
                <w:sz w:val="20"/>
                <w:szCs w:val="20"/>
                <w:color w:val="auto"/>
              </w:rPr>
            </w:pPr>
            <w:r>
              <w:rPr>
                <w:rFonts w:ascii="Arial" w:cs="Arial" w:eastAsia="Arial" w:hAnsi="Arial"/>
                <w:sz w:val="14"/>
                <w:szCs w:val="14"/>
                <w:b w:val="1"/>
                <w:bCs w:val="1"/>
                <w:color w:val="auto"/>
              </w:rPr>
              <w:t>Parchment, Inc.</w:t>
            </w:r>
          </w:p>
        </w:tc>
        <w:tc>
          <w:tcPr>
            <w:tcW w:w="120" w:type="dxa"/>
            <w:vAlign w:val="bottom"/>
          </w:tcPr>
          <w:p>
            <w:pPr>
              <w:spacing w:after="0"/>
              <w:rPr>
                <w:sz w:val="19"/>
                <w:szCs w:val="19"/>
                <w:color w:val="auto"/>
              </w:rPr>
            </w:pPr>
          </w:p>
        </w:tc>
        <w:tc>
          <w:tcPr>
            <w:tcW w:w="288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Scottsdale, AZ</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gridSpan w:val="16"/>
            <w:shd w:val="clear" w:color="auto" w:fill="CCEEFF"/>
          </w:tcPr>
          <w:p>
            <w:pPr>
              <w:ind w:left="40"/>
              <w:spacing w:after="0"/>
              <w:rPr>
                <w:sz w:val="20"/>
                <w:szCs w:val="20"/>
                <w:color w:val="auto"/>
              </w:rPr>
            </w:pPr>
            <w:r>
              <w:rPr>
                <w:rFonts w:ascii="Arial" w:cs="Arial" w:eastAsia="Arial" w:hAnsi="Arial"/>
                <w:sz w:val="14"/>
                <w:szCs w:val="14"/>
                <w:color w:val="auto"/>
              </w:rPr>
              <w:t>Preferred shares, Series D</w:t>
            </w:r>
          </w:p>
        </w:tc>
        <w:tc>
          <w:tcPr>
            <w:tcW w:w="120" w:type="dxa"/>
            <w:vAlign w:val="bottom"/>
            <w:shd w:val="clear" w:color="auto" w:fill="CCEEFF"/>
          </w:tcPr>
          <w:p>
            <w:pPr>
              <w:spacing w:after="0"/>
              <w:rPr>
                <w:sz w:val="23"/>
                <w:szCs w:val="23"/>
                <w:color w:val="auto"/>
              </w:rPr>
            </w:pPr>
          </w:p>
        </w:tc>
        <w:tc>
          <w:tcPr>
            <w:tcW w:w="28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2"/>
              </w:rPr>
              <w:t>E-Transcript Exchange</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3,200,512</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4,000,982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5,583,562</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w:t>
            </w:r>
          </w:p>
        </w:tc>
        <w:tc>
          <w:tcPr>
            <w:tcW w:w="0" w:type="dxa"/>
            <w:vAlign w:val="bottom"/>
          </w:tcPr>
          <w:p>
            <w:pPr>
              <w:spacing w:after="0"/>
              <w:rPr>
                <w:sz w:val="1"/>
                <w:szCs w:val="1"/>
                <w:color w:val="auto"/>
              </w:rPr>
            </w:pPr>
          </w:p>
        </w:tc>
      </w:tr>
      <w:tr>
        <w:trPr>
          <w:trHeight w:val="230"/>
        </w:trPr>
        <w:tc>
          <w:tcPr>
            <w:tcW w:w="3540" w:type="dxa"/>
            <w:vAlign w:val="bottom"/>
            <w:gridSpan w:val="16"/>
          </w:tcPr>
          <w:p>
            <w:pPr>
              <w:ind w:left="40"/>
              <w:spacing w:after="0"/>
              <w:rPr>
                <w:sz w:val="20"/>
                <w:szCs w:val="20"/>
                <w:color w:val="auto"/>
              </w:rPr>
            </w:pPr>
            <w:r>
              <w:rPr>
                <w:rFonts w:ascii="Arial" w:cs="Arial" w:eastAsia="Arial" w:hAnsi="Arial"/>
                <w:sz w:val="14"/>
                <w:szCs w:val="14"/>
                <w:b w:val="1"/>
                <w:bCs w:val="1"/>
                <w:color w:val="auto"/>
              </w:rPr>
              <w:t>Enjoy Technology, Inc.</w:t>
            </w:r>
          </w:p>
        </w:tc>
        <w:tc>
          <w:tcPr>
            <w:tcW w:w="120" w:type="dxa"/>
            <w:vAlign w:val="bottom"/>
          </w:tcPr>
          <w:p>
            <w:pPr>
              <w:spacing w:after="0"/>
              <w:rPr>
                <w:sz w:val="19"/>
                <w:szCs w:val="19"/>
                <w:color w:val="auto"/>
              </w:rPr>
            </w:pPr>
          </w:p>
        </w:tc>
        <w:tc>
          <w:tcPr>
            <w:tcW w:w="2880" w:type="dxa"/>
            <w:vAlign w:val="bottom"/>
            <w:gridSpan w:val="2"/>
          </w:tcPr>
          <w:p>
            <w:pPr>
              <w:jc w:val="center"/>
              <w:ind w:right="120"/>
              <w:spacing w:after="0"/>
              <w:rPr>
                <w:sz w:val="20"/>
                <w:szCs w:val="20"/>
                <w:color w:val="auto"/>
              </w:rPr>
            </w:pPr>
            <w:r>
              <w:rPr>
                <w:rFonts w:ascii="Arial" w:cs="Arial" w:eastAsia="Arial" w:hAnsi="Arial"/>
                <w:sz w:val="14"/>
                <w:szCs w:val="14"/>
                <w:color w:val="auto"/>
                <w:w w:val="97"/>
              </w:rPr>
              <w:t>Menlo Park, CA</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gridSpan w:val="16"/>
            <w:shd w:val="clear" w:color="auto" w:fill="CCEEFF"/>
          </w:tcPr>
          <w:p>
            <w:pPr>
              <w:ind w:left="40"/>
              <w:spacing w:after="0"/>
              <w:rPr>
                <w:sz w:val="20"/>
                <w:szCs w:val="20"/>
                <w:color w:val="auto"/>
              </w:rPr>
            </w:pPr>
            <w:r>
              <w:rPr>
                <w:rFonts w:ascii="Arial" w:cs="Arial" w:eastAsia="Arial" w:hAnsi="Arial"/>
                <w:sz w:val="14"/>
                <w:szCs w:val="14"/>
                <w:color w:val="auto"/>
              </w:rPr>
              <w:t>Preferred shares, Series B</w:t>
            </w:r>
          </w:p>
        </w:tc>
        <w:tc>
          <w:tcPr>
            <w:tcW w:w="120" w:type="dxa"/>
            <w:vAlign w:val="bottom"/>
            <w:shd w:val="clear" w:color="auto" w:fill="CCEEFF"/>
          </w:tcPr>
          <w:p>
            <w:pPr>
              <w:spacing w:after="0"/>
              <w:rPr>
                <w:sz w:val="23"/>
                <w:szCs w:val="23"/>
                <w:color w:val="auto"/>
              </w:rPr>
            </w:pPr>
          </w:p>
        </w:tc>
        <w:tc>
          <w:tcPr>
            <w:tcW w:w="288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2"/>
              </w:rPr>
              <w:t>On-Demand Commerce</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1,681,520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4,000,280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3,929,210</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w:t>
            </w:r>
          </w:p>
        </w:tc>
        <w:tc>
          <w:tcPr>
            <w:tcW w:w="0" w:type="dxa"/>
            <w:vAlign w:val="bottom"/>
          </w:tcPr>
          <w:p>
            <w:pPr>
              <w:spacing w:after="0"/>
              <w:rPr>
                <w:sz w:val="1"/>
                <w:szCs w:val="1"/>
                <w:color w:val="auto"/>
              </w:rPr>
            </w:pPr>
          </w:p>
        </w:tc>
      </w:tr>
      <w:tr>
        <w:trPr>
          <w:trHeight w:val="264"/>
        </w:trPr>
        <w:tc>
          <w:tcPr>
            <w:tcW w:w="3540" w:type="dxa"/>
            <w:vAlign w:val="bottom"/>
            <w:tcBorders>
              <w:bottom w:val="single" w:sz="8" w:color="CCEEFF"/>
            </w:tcBorders>
            <w:gridSpan w:val="16"/>
          </w:tcPr>
          <w:p>
            <w:pPr>
              <w:ind w:left="40"/>
              <w:spacing w:after="0"/>
              <w:rPr>
                <w:sz w:val="20"/>
                <w:szCs w:val="20"/>
                <w:color w:val="auto"/>
              </w:rPr>
            </w:pPr>
            <w:r>
              <w:rPr>
                <w:rFonts w:ascii="Arial" w:cs="Arial" w:eastAsia="Arial" w:hAnsi="Arial"/>
                <w:sz w:val="14"/>
                <w:szCs w:val="14"/>
                <w:color w:val="auto"/>
              </w:rPr>
              <w:t>Preferred shares, Series A</w:t>
            </w:r>
          </w:p>
        </w:tc>
        <w:tc>
          <w:tcPr>
            <w:tcW w:w="120" w:type="dxa"/>
            <w:vAlign w:val="bottom"/>
            <w:tcBorders>
              <w:bottom w:val="single" w:sz="8" w:color="CCEEFF"/>
            </w:tcBorders>
          </w:tcPr>
          <w:p>
            <w:pPr>
              <w:spacing w:after="0"/>
              <w:rPr>
                <w:sz w:val="22"/>
                <w:szCs w:val="22"/>
                <w:color w:val="auto"/>
              </w:rPr>
            </w:pPr>
          </w:p>
        </w:tc>
        <w:tc>
          <w:tcPr>
            <w:tcW w:w="274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14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color w:val="auto"/>
              </w:rPr>
              <w:t>879,198</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1,002,440</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1,190,998</w:t>
            </w:r>
          </w:p>
        </w:tc>
        <w:tc>
          <w:tcPr>
            <w:tcW w:w="10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0.58%</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3500" w:type="dxa"/>
            <w:vAlign w:val="bottom"/>
            <w:tcBorders>
              <w:bottom w:val="single" w:sz="8" w:color="CCEEFF"/>
            </w:tcBorders>
            <w:gridSpan w:val="15"/>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120" w:type="dxa"/>
            <w:vAlign w:val="bottom"/>
            <w:tcBorders>
              <w:bottom w:val="single" w:sz="8" w:color="CCEEFF"/>
            </w:tcBorders>
            <w:shd w:val="clear" w:color="auto" w:fill="CCEEFF"/>
          </w:tcPr>
          <w:p>
            <w:pPr>
              <w:spacing w:after="0"/>
              <w:rPr>
                <w:sz w:val="22"/>
                <w:szCs w:val="22"/>
                <w:color w:val="auto"/>
              </w:rPr>
            </w:pPr>
          </w:p>
        </w:tc>
        <w:tc>
          <w:tcPr>
            <w:tcW w:w="2740" w:type="dxa"/>
            <w:vAlign w:val="bottom"/>
            <w:tcBorders>
              <w:bottom w:val="single" w:sz="8" w:color="CCEEFF"/>
            </w:tcBorders>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5,002,720</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5,120,208</w:t>
            </w:r>
          </w:p>
        </w:tc>
        <w:tc>
          <w:tcPr>
            <w:tcW w:w="100" w:type="dxa"/>
            <w:vAlign w:val="bottom"/>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2.50%</w:t>
            </w:r>
          </w:p>
        </w:tc>
        <w:tc>
          <w:tcPr>
            <w:tcW w:w="0" w:type="dxa"/>
            <w:vAlign w:val="bottom"/>
          </w:tcPr>
          <w:p>
            <w:pPr>
              <w:spacing w:after="0"/>
              <w:rPr>
                <w:sz w:val="1"/>
                <w:szCs w:val="1"/>
                <w:color w:val="auto"/>
              </w:rPr>
            </w:pPr>
          </w:p>
        </w:tc>
      </w:tr>
      <w:tr>
        <w:trPr>
          <w:trHeight w:val="229"/>
        </w:trPr>
        <w:tc>
          <w:tcPr>
            <w:tcW w:w="3540" w:type="dxa"/>
            <w:vAlign w:val="bottom"/>
            <w:gridSpan w:val="16"/>
          </w:tcPr>
          <w:p>
            <w:pPr>
              <w:ind w:left="40"/>
              <w:spacing w:after="0"/>
              <w:rPr>
                <w:sz w:val="20"/>
                <w:szCs w:val="20"/>
                <w:color w:val="auto"/>
              </w:rPr>
            </w:pPr>
            <w:r>
              <w:rPr>
                <w:rFonts w:ascii="Arial" w:cs="Arial" w:eastAsia="Arial" w:hAnsi="Arial"/>
                <w:sz w:val="14"/>
                <w:szCs w:val="14"/>
                <w:b w:val="1"/>
                <w:bCs w:val="1"/>
                <w:color w:val="auto"/>
              </w:rPr>
              <w:t>Knewton, Inc.</w:t>
            </w:r>
          </w:p>
        </w:tc>
        <w:tc>
          <w:tcPr>
            <w:tcW w:w="120" w:type="dxa"/>
            <w:vAlign w:val="bottom"/>
          </w:tcPr>
          <w:p>
            <w:pPr>
              <w:spacing w:after="0"/>
              <w:rPr>
                <w:sz w:val="19"/>
                <w:szCs w:val="19"/>
                <w:color w:val="auto"/>
              </w:rPr>
            </w:pPr>
          </w:p>
        </w:tc>
        <w:tc>
          <w:tcPr>
            <w:tcW w:w="2880" w:type="dxa"/>
            <w:vAlign w:val="bottom"/>
            <w:gridSpan w:val="2"/>
          </w:tcPr>
          <w:p>
            <w:pPr>
              <w:jc w:val="center"/>
              <w:ind w:right="120"/>
              <w:spacing w:after="0"/>
              <w:rPr>
                <w:sz w:val="20"/>
                <w:szCs w:val="20"/>
                <w:color w:val="auto"/>
              </w:rPr>
            </w:pPr>
            <w:r>
              <w:rPr>
                <w:rFonts w:ascii="Arial" w:cs="Arial" w:eastAsia="Arial" w:hAnsi="Arial"/>
                <w:sz w:val="14"/>
                <w:szCs w:val="14"/>
                <w:color w:val="auto"/>
              </w:rPr>
              <w:t>New York, NY</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gridSpan w:val="16"/>
            <w:shd w:val="clear" w:color="auto" w:fill="CCEEFF"/>
          </w:tcPr>
          <w:p>
            <w:pPr>
              <w:ind w:left="40"/>
              <w:spacing w:after="0"/>
              <w:rPr>
                <w:sz w:val="20"/>
                <w:szCs w:val="20"/>
                <w:color w:val="auto"/>
              </w:rPr>
            </w:pPr>
            <w:r>
              <w:rPr>
                <w:rFonts w:ascii="Arial" w:cs="Arial" w:eastAsia="Arial" w:hAnsi="Arial"/>
                <w:sz w:val="14"/>
                <w:szCs w:val="14"/>
                <w:color w:val="auto"/>
              </w:rPr>
              <w:t>Preferred shares, Series E</w:t>
            </w:r>
          </w:p>
        </w:tc>
        <w:tc>
          <w:tcPr>
            <w:tcW w:w="120" w:type="dxa"/>
            <w:vAlign w:val="bottom"/>
            <w:shd w:val="clear" w:color="auto" w:fill="CCEEFF"/>
          </w:tcPr>
          <w:p>
            <w:pPr>
              <w:spacing w:after="0"/>
              <w:rPr>
                <w:sz w:val="23"/>
                <w:szCs w:val="23"/>
                <w:color w:val="auto"/>
              </w:rPr>
            </w:pPr>
          </w:p>
        </w:tc>
        <w:tc>
          <w:tcPr>
            <w:tcW w:w="28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3"/>
              </w:rPr>
              <w:t>Online Education</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375,985</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4,999,999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3,597,034</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w:t>
            </w:r>
          </w:p>
        </w:tc>
        <w:tc>
          <w:tcPr>
            <w:tcW w:w="0" w:type="dxa"/>
            <w:vAlign w:val="bottom"/>
          </w:tcPr>
          <w:p>
            <w:pPr>
              <w:spacing w:after="0"/>
              <w:rPr>
                <w:sz w:val="1"/>
                <w:szCs w:val="1"/>
                <w:color w:val="auto"/>
              </w:rPr>
            </w:pPr>
          </w:p>
        </w:tc>
      </w:tr>
      <w:tr>
        <w:trPr>
          <w:trHeight w:val="230"/>
        </w:trPr>
        <w:tc>
          <w:tcPr>
            <w:tcW w:w="3540" w:type="dxa"/>
            <w:vAlign w:val="bottom"/>
            <w:gridSpan w:val="16"/>
          </w:tcPr>
          <w:p>
            <w:pPr>
              <w:ind w:left="40"/>
              <w:spacing w:after="0"/>
              <w:rPr>
                <w:sz w:val="20"/>
                <w:szCs w:val="20"/>
                <w:color w:val="auto"/>
              </w:rPr>
            </w:pPr>
            <w:r>
              <w:rPr>
                <w:rFonts w:ascii="Arial" w:cs="Arial" w:eastAsia="Arial" w:hAnsi="Arial"/>
                <w:sz w:val="14"/>
                <w:szCs w:val="14"/>
                <w:b w:val="1"/>
                <w:bCs w:val="1"/>
                <w:color w:val="auto"/>
              </w:rPr>
              <w:t>SugarCRM, Inc.</w:t>
            </w:r>
          </w:p>
        </w:tc>
        <w:tc>
          <w:tcPr>
            <w:tcW w:w="120" w:type="dxa"/>
            <w:vAlign w:val="bottom"/>
          </w:tcPr>
          <w:p>
            <w:pPr>
              <w:spacing w:after="0"/>
              <w:rPr>
                <w:sz w:val="19"/>
                <w:szCs w:val="19"/>
                <w:color w:val="auto"/>
              </w:rPr>
            </w:pPr>
          </w:p>
        </w:tc>
        <w:tc>
          <w:tcPr>
            <w:tcW w:w="2880" w:type="dxa"/>
            <w:vAlign w:val="bottom"/>
            <w:gridSpan w:val="2"/>
          </w:tcPr>
          <w:p>
            <w:pPr>
              <w:jc w:val="center"/>
              <w:ind w:right="120"/>
              <w:spacing w:after="0"/>
              <w:rPr>
                <w:sz w:val="20"/>
                <w:szCs w:val="20"/>
                <w:color w:val="auto"/>
              </w:rPr>
            </w:pPr>
            <w:r>
              <w:rPr>
                <w:rFonts w:ascii="Arial" w:cs="Arial" w:eastAsia="Arial" w:hAnsi="Arial"/>
                <w:sz w:val="14"/>
                <w:szCs w:val="14"/>
                <w:color w:val="auto"/>
                <w:w w:val="95"/>
              </w:rPr>
              <w:t>Cupertino, CA</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gridSpan w:val="16"/>
            <w:shd w:val="clear" w:color="auto" w:fill="CCEEFF"/>
          </w:tcPr>
          <w:p>
            <w:pPr>
              <w:ind w:left="40"/>
              <w:spacing w:after="0"/>
              <w:rPr>
                <w:sz w:val="20"/>
                <w:szCs w:val="20"/>
                <w:color w:val="auto"/>
              </w:rPr>
            </w:pPr>
            <w:r>
              <w:rPr>
                <w:rFonts w:ascii="Arial" w:cs="Arial" w:eastAsia="Arial" w:hAnsi="Arial"/>
                <w:sz w:val="14"/>
                <w:szCs w:val="14"/>
                <w:color w:val="auto"/>
              </w:rPr>
              <w:t>Preferred shares, Series E</w:t>
            </w:r>
          </w:p>
        </w:tc>
        <w:tc>
          <w:tcPr>
            <w:tcW w:w="120" w:type="dxa"/>
            <w:vAlign w:val="bottom"/>
            <w:shd w:val="clear" w:color="auto" w:fill="CCEEFF"/>
          </w:tcPr>
          <w:p>
            <w:pPr>
              <w:spacing w:after="0"/>
              <w:rPr>
                <w:sz w:val="23"/>
                <w:szCs w:val="23"/>
                <w:color w:val="auto"/>
              </w:rPr>
            </w:pPr>
          </w:p>
        </w:tc>
        <w:tc>
          <w:tcPr>
            <w:tcW w:w="28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3"/>
              </w:rPr>
              <w:t>Customer Relationship Manager</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373,134</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1,500,522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1,838,912</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0.90%</w:t>
            </w:r>
          </w:p>
        </w:tc>
        <w:tc>
          <w:tcPr>
            <w:tcW w:w="0" w:type="dxa"/>
            <w:vAlign w:val="bottom"/>
          </w:tcPr>
          <w:p>
            <w:pPr>
              <w:spacing w:after="0"/>
              <w:rPr>
                <w:sz w:val="1"/>
                <w:szCs w:val="1"/>
                <w:color w:val="auto"/>
              </w:rPr>
            </w:pPr>
          </w:p>
        </w:tc>
      </w:tr>
      <w:tr>
        <w:trPr>
          <w:trHeight w:val="264"/>
        </w:trPr>
        <w:tc>
          <w:tcPr>
            <w:tcW w:w="3540" w:type="dxa"/>
            <w:vAlign w:val="bottom"/>
            <w:tcBorders>
              <w:bottom w:val="single" w:sz="8" w:color="CCEEFF"/>
            </w:tcBorders>
            <w:gridSpan w:val="16"/>
          </w:tcPr>
          <w:p>
            <w:pPr>
              <w:ind w:left="40"/>
              <w:spacing w:after="0"/>
              <w:rPr>
                <w:sz w:val="20"/>
                <w:szCs w:val="20"/>
                <w:color w:val="auto"/>
              </w:rPr>
            </w:pPr>
            <w:r>
              <w:rPr>
                <w:rFonts w:ascii="Arial" w:cs="Arial" w:eastAsia="Arial" w:hAnsi="Arial"/>
                <w:sz w:val="14"/>
                <w:szCs w:val="14"/>
                <w:color w:val="auto"/>
              </w:rPr>
              <w:t>Common shares</w:t>
            </w:r>
          </w:p>
        </w:tc>
        <w:tc>
          <w:tcPr>
            <w:tcW w:w="120" w:type="dxa"/>
            <w:vAlign w:val="bottom"/>
            <w:tcBorders>
              <w:bottom w:val="single" w:sz="8" w:color="CCEEFF"/>
            </w:tcBorders>
          </w:tcPr>
          <w:p>
            <w:pPr>
              <w:spacing w:after="0"/>
              <w:rPr>
                <w:sz w:val="22"/>
                <w:szCs w:val="22"/>
                <w:color w:val="auto"/>
              </w:rPr>
            </w:pPr>
          </w:p>
        </w:tc>
        <w:tc>
          <w:tcPr>
            <w:tcW w:w="274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14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color w:val="auto"/>
              </w:rPr>
              <w:t>1,524,799</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5,476,502</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1,384,956</w:t>
            </w:r>
          </w:p>
        </w:tc>
        <w:tc>
          <w:tcPr>
            <w:tcW w:w="10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0.68%</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3500" w:type="dxa"/>
            <w:vAlign w:val="bottom"/>
            <w:tcBorders>
              <w:bottom w:val="single" w:sz="8" w:color="CCEEFF"/>
            </w:tcBorders>
            <w:gridSpan w:val="15"/>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120" w:type="dxa"/>
            <w:vAlign w:val="bottom"/>
            <w:tcBorders>
              <w:bottom w:val="single" w:sz="8" w:color="CCEEFF"/>
            </w:tcBorders>
            <w:shd w:val="clear" w:color="auto" w:fill="CCEEFF"/>
          </w:tcPr>
          <w:p>
            <w:pPr>
              <w:spacing w:after="0"/>
              <w:rPr>
                <w:sz w:val="22"/>
                <w:szCs w:val="22"/>
                <w:color w:val="auto"/>
              </w:rPr>
            </w:pPr>
          </w:p>
        </w:tc>
        <w:tc>
          <w:tcPr>
            <w:tcW w:w="2740" w:type="dxa"/>
            <w:vAlign w:val="bottom"/>
            <w:tcBorders>
              <w:bottom w:val="single" w:sz="8" w:color="CCEEFF"/>
            </w:tcBorders>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6,977,024</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3,223,868</w:t>
            </w:r>
          </w:p>
        </w:tc>
        <w:tc>
          <w:tcPr>
            <w:tcW w:w="100" w:type="dxa"/>
            <w:vAlign w:val="bottom"/>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1.58%</w:t>
            </w:r>
          </w:p>
        </w:tc>
        <w:tc>
          <w:tcPr>
            <w:tcW w:w="0" w:type="dxa"/>
            <w:vAlign w:val="bottom"/>
          </w:tcPr>
          <w:p>
            <w:pPr>
              <w:spacing w:after="0"/>
              <w:rPr>
                <w:sz w:val="1"/>
                <w:szCs w:val="1"/>
                <w:color w:val="auto"/>
              </w:rPr>
            </w:pPr>
          </w:p>
        </w:tc>
      </w:tr>
      <w:tr>
        <w:trPr>
          <w:trHeight w:val="229"/>
        </w:trPr>
        <w:tc>
          <w:tcPr>
            <w:tcW w:w="3540" w:type="dxa"/>
            <w:vAlign w:val="bottom"/>
            <w:gridSpan w:val="16"/>
          </w:tcPr>
          <w:p>
            <w:pPr>
              <w:ind w:left="40"/>
              <w:spacing w:after="0"/>
              <w:rPr>
                <w:sz w:val="20"/>
                <w:szCs w:val="20"/>
                <w:color w:val="auto"/>
              </w:rPr>
            </w:pPr>
            <w:r>
              <w:rPr>
                <w:rFonts w:ascii="Arial" w:cs="Arial" w:eastAsia="Arial" w:hAnsi="Arial"/>
                <w:sz w:val="14"/>
                <w:szCs w:val="14"/>
                <w:b w:val="1"/>
                <w:bCs w:val="1"/>
                <w:color w:val="auto"/>
              </w:rPr>
              <w:t>A Place for Rover Inc. (f/k/a DogVacay, Inc.)</w:t>
            </w:r>
            <w:r>
              <w:rPr>
                <w:rFonts w:ascii="Arial" w:cs="Arial" w:eastAsia="Arial" w:hAnsi="Arial"/>
                <w:sz w:val="8"/>
                <w:szCs w:val="8"/>
                <w:color w:val="auto"/>
              </w:rPr>
              <w:t>(7)</w:t>
            </w:r>
          </w:p>
        </w:tc>
        <w:tc>
          <w:tcPr>
            <w:tcW w:w="120" w:type="dxa"/>
            <w:vAlign w:val="bottom"/>
          </w:tcPr>
          <w:p>
            <w:pPr>
              <w:spacing w:after="0"/>
              <w:rPr>
                <w:sz w:val="19"/>
                <w:szCs w:val="19"/>
                <w:color w:val="auto"/>
              </w:rPr>
            </w:pPr>
          </w:p>
        </w:tc>
        <w:tc>
          <w:tcPr>
            <w:tcW w:w="288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Seattle, WA</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gridSpan w:val="16"/>
            <w:shd w:val="clear" w:color="auto" w:fill="CCEEFF"/>
          </w:tcPr>
          <w:p>
            <w:pPr>
              <w:ind w:left="40"/>
              <w:spacing w:after="0"/>
              <w:rPr>
                <w:sz w:val="20"/>
                <w:szCs w:val="20"/>
                <w:color w:val="auto"/>
              </w:rPr>
            </w:pPr>
            <w:r>
              <w:rPr>
                <w:rFonts w:ascii="Arial" w:cs="Arial" w:eastAsia="Arial" w:hAnsi="Arial"/>
                <w:sz w:val="14"/>
                <w:szCs w:val="14"/>
                <w:color w:val="auto"/>
              </w:rPr>
              <w:t>Common shares</w:t>
            </w:r>
          </w:p>
        </w:tc>
        <w:tc>
          <w:tcPr>
            <w:tcW w:w="120" w:type="dxa"/>
            <w:vAlign w:val="bottom"/>
            <w:shd w:val="clear" w:color="auto" w:fill="CCEEFF"/>
          </w:tcPr>
          <w:p>
            <w:pPr>
              <w:spacing w:after="0"/>
              <w:rPr>
                <w:sz w:val="23"/>
                <w:szCs w:val="23"/>
                <w:color w:val="auto"/>
              </w:rPr>
            </w:pPr>
          </w:p>
        </w:tc>
        <w:tc>
          <w:tcPr>
            <w:tcW w:w="288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89"/>
              </w:rPr>
              <w:t>Peer-to-Peer Pet Services</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707,991</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2,506,119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3,130,348</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w:t>
            </w:r>
          </w:p>
        </w:tc>
        <w:tc>
          <w:tcPr>
            <w:tcW w:w="0" w:type="dxa"/>
            <w:vAlign w:val="bottom"/>
          </w:tcPr>
          <w:p>
            <w:pPr>
              <w:spacing w:after="0"/>
              <w:rPr>
                <w:sz w:val="1"/>
                <w:szCs w:val="1"/>
                <w:color w:val="auto"/>
              </w:rPr>
            </w:pPr>
          </w:p>
        </w:tc>
      </w:tr>
      <w:tr>
        <w:trPr>
          <w:trHeight w:val="230"/>
        </w:trPr>
        <w:tc>
          <w:tcPr>
            <w:tcW w:w="3540" w:type="dxa"/>
            <w:vAlign w:val="bottom"/>
            <w:gridSpan w:val="16"/>
          </w:tcPr>
          <w:p>
            <w:pPr>
              <w:ind w:left="40"/>
              <w:spacing w:after="0"/>
              <w:rPr>
                <w:sz w:val="20"/>
                <w:szCs w:val="20"/>
                <w:color w:val="auto"/>
              </w:rPr>
            </w:pPr>
            <w:r>
              <w:rPr>
                <w:rFonts w:ascii="Arial" w:cs="Arial" w:eastAsia="Arial" w:hAnsi="Arial"/>
                <w:sz w:val="14"/>
                <w:szCs w:val="14"/>
                <w:b w:val="1"/>
                <w:bCs w:val="1"/>
                <w:color w:val="auto"/>
              </w:rPr>
              <w:t>SharesPost, Inc.</w:t>
            </w:r>
          </w:p>
        </w:tc>
        <w:tc>
          <w:tcPr>
            <w:tcW w:w="120" w:type="dxa"/>
            <w:vAlign w:val="bottom"/>
          </w:tcPr>
          <w:p>
            <w:pPr>
              <w:spacing w:after="0"/>
              <w:rPr>
                <w:sz w:val="19"/>
                <w:szCs w:val="19"/>
                <w:color w:val="auto"/>
              </w:rPr>
            </w:pPr>
          </w:p>
        </w:tc>
        <w:tc>
          <w:tcPr>
            <w:tcW w:w="288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San Francisco, CA</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gridSpan w:val="16"/>
            <w:shd w:val="clear" w:color="auto" w:fill="CCEEFF"/>
          </w:tcPr>
          <w:p>
            <w:pPr>
              <w:ind w:left="40"/>
              <w:spacing w:after="0"/>
              <w:rPr>
                <w:sz w:val="20"/>
                <w:szCs w:val="20"/>
                <w:color w:val="auto"/>
              </w:rPr>
            </w:pPr>
            <w:r>
              <w:rPr>
                <w:rFonts w:ascii="Arial" w:cs="Arial" w:eastAsia="Arial" w:hAnsi="Arial"/>
                <w:sz w:val="14"/>
                <w:szCs w:val="14"/>
                <w:color w:val="auto"/>
              </w:rPr>
              <w:t>Preferred shares, Series B</w:t>
            </w:r>
          </w:p>
        </w:tc>
        <w:tc>
          <w:tcPr>
            <w:tcW w:w="120" w:type="dxa"/>
            <w:vAlign w:val="bottom"/>
            <w:shd w:val="clear" w:color="auto" w:fill="CCEEFF"/>
          </w:tcPr>
          <w:p>
            <w:pPr>
              <w:spacing w:after="0"/>
              <w:rPr>
                <w:sz w:val="23"/>
                <w:szCs w:val="23"/>
                <w:color w:val="auto"/>
              </w:rPr>
            </w:pPr>
          </w:p>
        </w:tc>
        <w:tc>
          <w:tcPr>
            <w:tcW w:w="28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4"/>
              </w:rPr>
              <w:t>Online Marketplace Finance</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1,771,653</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2,259,716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2,249,999</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157"/>
        </w:trPr>
        <w:tc>
          <w:tcPr>
            <w:tcW w:w="3540" w:type="dxa"/>
            <w:vAlign w:val="bottom"/>
            <w:gridSpan w:val="16"/>
          </w:tcPr>
          <w:p>
            <w:pPr>
              <w:ind w:left="40"/>
              <w:spacing w:after="0" w:line="157" w:lineRule="exact"/>
              <w:rPr>
                <w:sz w:val="20"/>
                <w:szCs w:val="20"/>
                <w:color w:val="auto"/>
              </w:rPr>
            </w:pPr>
            <w:r>
              <w:rPr>
                <w:rFonts w:ascii="Arial" w:cs="Arial" w:eastAsia="Arial" w:hAnsi="Arial"/>
                <w:sz w:val="14"/>
                <w:szCs w:val="14"/>
                <w:color w:val="auto"/>
              </w:rPr>
              <w:t>Common warrants, $0.13 Strike Price,</w:t>
            </w:r>
          </w:p>
        </w:tc>
        <w:tc>
          <w:tcPr>
            <w:tcW w:w="12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0" w:type="dxa"/>
            <w:vAlign w:val="bottom"/>
            <w:tcBorders>
              <w:bottom w:val="single" w:sz="8" w:color="CCEEFF"/>
            </w:tcBorders>
          </w:tcPr>
          <w:p>
            <w:pPr>
              <w:spacing w:after="0"/>
              <w:rPr>
                <w:sz w:val="16"/>
                <w:szCs w:val="16"/>
                <w:color w:val="auto"/>
              </w:rPr>
            </w:pPr>
          </w:p>
        </w:tc>
        <w:tc>
          <w:tcPr>
            <w:tcW w:w="3500" w:type="dxa"/>
            <w:vAlign w:val="bottom"/>
            <w:tcBorders>
              <w:bottom w:val="single" w:sz="8" w:color="CCEEFF"/>
            </w:tcBorders>
            <w:gridSpan w:val="15"/>
          </w:tcPr>
          <w:p>
            <w:pPr>
              <w:ind w:left="160"/>
              <w:spacing w:after="0"/>
              <w:rPr>
                <w:sz w:val="20"/>
                <w:szCs w:val="20"/>
                <w:color w:val="auto"/>
              </w:rPr>
            </w:pPr>
            <w:r>
              <w:rPr>
                <w:rFonts w:ascii="Arial" w:cs="Arial" w:eastAsia="Arial" w:hAnsi="Arial"/>
                <w:sz w:val="14"/>
                <w:szCs w:val="14"/>
                <w:color w:val="auto"/>
              </w:rPr>
              <w:t>Expiration Date 6/15/2018</w:t>
            </w:r>
          </w:p>
        </w:tc>
        <w:tc>
          <w:tcPr>
            <w:tcW w:w="120" w:type="dxa"/>
            <w:vAlign w:val="bottom"/>
            <w:tcBorders>
              <w:bottom w:val="single" w:sz="8" w:color="CCEEFF"/>
            </w:tcBorders>
          </w:tcPr>
          <w:p>
            <w:pPr>
              <w:spacing w:after="0"/>
              <w:rPr>
                <w:sz w:val="16"/>
                <w:szCs w:val="16"/>
                <w:color w:val="auto"/>
              </w:rPr>
            </w:pPr>
          </w:p>
        </w:tc>
        <w:tc>
          <w:tcPr>
            <w:tcW w:w="274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14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color w:val="auto"/>
              </w:rPr>
              <w:t>770,934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23,128</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46,256</w:t>
            </w:r>
          </w:p>
        </w:tc>
        <w:tc>
          <w:tcPr>
            <w:tcW w:w="1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0.02%</w:t>
            </w:r>
          </w:p>
        </w:tc>
        <w:tc>
          <w:tcPr>
            <w:tcW w:w="0" w:type="dxa"/>
            <w:vAlign w:val="bottom"/>
          </w:tcPr>
          <w:p>
            <w:pPr>
              <w:spacing w:after="0"/>
              <w:rPr>
                <w:sz w:val="1"/>
                <w:szCs w:val="1"/>
                <w:color w:val="auto"/>
              </w:rPr>
            </w:pPr>
          </w:p>
        </w:tc>
      </w:tr>
      <w:tr>
        <w:trPr>
          <w:trHeight w:val="250"/>
        </w:trPr>
        <w:tc>
          <w:tcPr>
            <w:tcW w:w="40" w:type="dxa"/>
            <w:vAlign w:val="bottom"/>
            <w:shd w:val="clear" w:color="auto" w:fill="CCEEFF"/>
          </w:tcPr>
          <w:p>
            <w:pPr>
              <w:spacing w:after="0"/>
              <w:rPr>
                <w:sz w:val="21"/>
                <w:szCs w:val="21"/>
                <w:color w:val="auto"/>
              </w:rPr>
            </w:pPr>
          </w:p>
        </w:tc>
        <w:tc>
          <w:tcPr>
            <w:tcW w:w="3500" w:type="dxa"/>
            <w:vAlign w:val="bottom"/>
            <w:gridSpan w:val="15"/>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120" w:type="dxa"/>
            <w:vAlign w:val="bottom"/>
            <w:shd w:val="clear" w:color="auto" w:fill="CCEEFF"/>
          </w:tcPr>
          <w:p>
            <w:pPr>
              <w:spacing w:after="0"/>
              <w:rPr>
                <w:sz w:val="21"/>
                <w:szCs w:val="21"/>
                <w:color w:val="auto"/>
              </w:rPr>
            </w:pPr>
          </w:p>
        </w:tc>
        <w:tc>
          <w:tcPr>
            <w:tcW w:w="27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2,282,844</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2,296,255</w:t>
            </w:r>
          </w:p>
        </w:tc>
        <w:tc>
          <w:tcPr>
            <w:tcW w:w="100" w:type="dxa"/>
            <w:vAlign w:val="bottom"/>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-1276985</wp:posOffset>
            </wp:positionV>
            <wp:extent cx="487108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8710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-2323465</wp:posOffset>
            </wp:positionV>
            <wp:extent cx="487108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8710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-4415790</wp:posOffset>
            </wp:positionV>
            <wp:extent cx="487108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8710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-5119370</wp:posOffset>
            </wp:positionV>
            <wp:extent cx="487108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8710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-5822315</wp:posOffset>
            </wp:positionV>
            <wp:extent cx="487108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871085" cy="8890"/>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1" w:right="239" w:bottom="1440" w:gutter="0" w:footer="0" w:header="0"/>
          <w:type w:val="continuous"/>
        </w:sectPr>
      </w:pPr>
    </w:p>
    <w:bookmarkStart w:id="12" w:name="page13"/>
    <w:bookmarkEnd w:id="12"/>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gridSpan w:val="14"/>
            <w:vMerge w:val="restart"/>
          </w:tcPr>
          <w:p>
            <w:pPr>
              <w:ind w:left="40"/>
              <w:spacing w:after="0"/>
              <w:rPr>
                <w:sz w:val="20"/>
                <w:szCs w:val="20"/>
                <w:color w:val="auto"/>
              </w:rPr>
            </w:pPr>
            <w:r>
              <w:rPr>
                <w:rFonts w:ascii="Arial" w:cs="Arial" w:eastAsia="Arial" w:hAnsi="Arial"/>
                <w:sz w:val="14"/>
                <w:szCs w:val="14"/>
                <w:b w:val="1"/>
                <w:bCs w:val="1"/>
                <w:color w:val="auto"/>
              </w:rPr>
              <w:t>Portfolio Investments*</w:t>
            </w:r>
          </w:p>
        </w:tc>
        <w:tc>
          <w:tcPr>
            <w:tcW w:w="120" w:type="dxa"/>
            <w:vAlign w:val="bottom"/>
          </w:tcPr>
          <w:p>
            <w:pPr>
              <w:spacing w:after="0"/>
              <w:rPr>
                <w:sz w:val="14"/>
                <w:szCs w:val="14"/>
                <w:color w:val="auto"/>
              </w:rPr>
            </w:pPr>
          </w:p>
        </w:tc>
        <w:tc>
          <w:tcPr>
            <w:tcW w:w="2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Headquarters/</w:t>
            </w:r>
          </w:p>
        </w:tc>
        <w:tc>
          <w:tcPr>
            <w:tcW w:w="180" w:type="dxa"/>
            <w:vAlign w:val="bottom"/>
          </w:tcPr>
          <w:p>
            <w:pPr>
              <w:spacing w:after="0"/>
              <w:rPr>
                <w:sz w:val="14"/>
                <w:szCs w:val="14"/>
                <w:color w:val="auto"/>
              </w:rPr>
            </w:pPr>
          </w:p>
        </w:tc>
        <w:tc>
          <w:tcPr>
            <w:tcW w:w="1040" w:type="dxa"/>
            <w:vAlign w:val="bottom"/>
            <w:gridSpan w:val="2"/>
          </w:tcPr>
          <w:p>
            <w:pPr>
              <w:ind w:left="140"/>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4"/>
                <w:szCs w:val="14"/>
                <w:color w:val="auto"/>
              </w:rPr>
            </w:pPr>
          </w:p>
        </w:tc>
        <w:tc>
          <w:tcPr>
            <w:tcW w:w="92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Cost</w:t>
            </w:r>
          </w:p>
        </w:tc>
        <w:tc>
          <w:tcPr>
            <w:tcW w:w="10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Fair Value</w:t>
            </w:r>
          </w:p>
        </w:tc>
        <w:tc>
          <w:tcPr>
            <w:tcW w:w="120" w:type="dxa"/>
            <w:vAlign w:val="bottom"/>
            <w:vMerge w:val="restart"/>
          </w:tcPr>
          <w:p>
            <w:pPr>
              <w:spacing w:after="0"/>
              <w:rPr>
                <w:sz w:val="14"/>
                <w:szCs w:val="14"/>
                <w:color w:val="auto"/>
              </w:rPr>
            </w:pPr>
          </w:p>
        </w:tc>
        <w:tc>
          <w:tcPr>
            <w:tcW w:w="12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 of Net Assets</w:t>
            </w:r>
          </w:p>
        </w:tc>
        <w:tc>
          <w:tcPr>
            <w:tcW w:w="0" w:type="dxa"/>
            <w:vAlign w:val="bottom"/>
          </w:tcPr>
          <w:p>
            <w:pPr>
              <w:spacing w:after="0"/>
              <w:rPr>
                <w:sz w:val="1"/>
                <w:szCs w:val="1"/>
                <w:color w:val="auto"/>
              </w:rPr>
            </w:pPr>
          </w:p>
        </w:tc>
      </w:tr>
      <w:tr>
        <w:trPr>
          <w:trHeight w:val="192"/>
        </w:trPr>
        <w:tc>
          <w:tcPr>
            <w:tcW w:w="3540" w:type="dxa"/>
            <w:vAlign w:val="bottom"/>
            <w:tcBorders>
              <w:bottom w:val="single" w:sz="8" w:color="auto"/>
            </w:tcBorders>
            <w:gridSpan w:val="14"/>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Industry</w:t>
            </w:r>
          </w:p>
        </w:tc>
        <w:tc>
          <w:tcPr>
            <w:tcW w:w="1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Principal</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540" w:type="dxa"/>
            <w:vAlign w:val="bottom"/>
            <w:gridSpan w:val="14"/>
            <w:shd w:val="clear" w:color="auto" w:fill="CCEEFF"/>
          </w:tcPr>
          <w:p>
            <w:pPr>
              <w:ind w:left="40"/>
              <w:spacing w:after="0"/>
              <w:rPr>
                <w:sz w:val="20"/>
                <w:szCs w:val="20"/>
                <w:color w:val="auto"/>
              </w:rPr>
            </w:pPr>
            <w:r>
              <w:rPr>
                <w:rFonts w:ascii="Arial" w:cs="Arial" w:eastAsia="Arial" w:hAnsi="Arial"/>
                <w:sz w:val="14"/>
                <w:szCs w:val="14"/>
                <w:b w:val="1"/>
                <w:bCs w:val="1"/>
                <w:color w:val="auto"/>
              </w:rPr>
              <w:t>DreamBox Learning, Inc.</w:t>
            </w:r>
          </w:p>
        </w:tc>
        <w:tc>
          <w:tcPr>
            <w:tcW w:w="120" w:type="dxa"/>
            <w:vAlign w:val="bottom"/>
            <w:shd w:val="clear" w:color="auto" w:fill="CCEEFF"/>
          </w:tcPr>
          <w:p>
            <w:pPr>
              <w:spacing w:after="0"/>
              <w:rPr>
                <w:sz w:val="19"/>
                <w:szCs w:val="19"/>
                <w:color w:val="auto"/>
              </w:rPr>
            </w:pPr>
          </w:p>
        </w:tc>
        <w:tc>
          <w:tcPr>
            <w:tcW w:w="28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5"/>
              </w:rPr>
              <w:t>Bellevue, WA</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7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540" w:type="dxa"/>
            <w:vAlign w:val="bottom"/>
            <w:gridSpan w:val="14"/>
          </w:tcPr>
          <w:p>
            <w:pPr>
              <w:ind w:left="40"/>
              <w:spacing w:after="0"/>
              <w:rPr>
                <w:sz w:val="20"/>
                <w:szCs w:val="20"/>
                <w:color w:val="auto"/>
              </w:rPr>
            </w:pPr>
            <w:r>
              <w:rPr>
                <w:rFonts w:ascii="Arial" w:cs="Arial" w:eastAsia="Arial" w:hAnsi="Arial"/>
                <w:sz w:val="14"/>
                <w:szCs w:val="14"/>
                <w:color w:val="auto"/>
              </w:rPr>
              <w:t>Preferred shares, Series A-1</w:t>
            </w:r>
          </w:p>
        </w:tc>
        <w:tc>
          <w:tcPr>
            <w:tcW w:w="120" w:type="dxa"/>
            <w:vAlign w:val="bottom"/>
          </w:tcPr>
          <w:p>
            <w:pPr>
              <w:spacing w:after="0"/>
              <w:rPr>
                <w:sz w:val="22"/>
                <w:szCs w:val="22"/>
                <w:color w:val="auto"/>
              </w:rPr>
            </w:pPr>
          </w:p>
        </w:tc>
        <w:tc>
          <w:tcPr>
            <w:tcW w:w="288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Education Technology</w:t>
            </w:r>
          </w:p>
        </w:tc>
        <w:tc>
          <w:tcPr>
            <w:tcW w:w="18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7,159,221</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1,502,362</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1,518,176</w:t>
            </w:r>
          </w:p>
        </w:tc>
        <w:tc>
          <w:tcPr>
            <w:tcW w:w="1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0.74%</w:t>
            </w:r>
          </w:p>
        </w:tc>
        <w:tc>
          <w:tcPr>
            <w:tcW w:w="0" w:type="dxa"/>
            <w:vAlign w:val="bottom"/>
          </w:tcPr>
          <w:p>
            <w:pPr>
              <w:spacing w:after="0"/>
              <w:rPr>
                <w:sz w:val="1"/>
                <w:szCs w:val="1"/>
                <w:color w:val="auto"/>
              </w:rPr>
            </w:pPr>
          </w:p>
        </w:tc>
      </w:tr>
      <w:tr>
        <w:trPr>
          <w:trHeight w:val="270"/>
        </w:trPr>
        <w:tc>
          <w:tcPr>
            <w:tcW w:w="3540" w:type="dxa"/>
            <w:vAlign w:val="bottom"/>
            <w:tcBorders>
              <w:bottom w:val="single" w:sz="8" w:color="CCEEFF"/>
            </w:tcBorders>
            <w:gridSpan w:val="14"/>
            <w:shd w:val="clear" w:color="auto" w:fill="CCEEFF"/>
          </w:tcPr>
          <w:p>
            <w:pPr>
              <w:ind w:left="40"/>
              <w:spacing w:after="0"/>
              <w:rPr>
                <w:sz w:val="20"/>
                <w:szCs w:val="20"/>
                <w:color w:val="auto"/>
              </w:rPr>
            </w:pPr>
            <w:r>
              <w:rPr>
                <w:rFonts w:ascii="Arial" w:cs="Arial" w:eastAsia="Arial" w:hAnsi="Arial"/>
                <w:sz w:val="14"/>
                <w:szCs w:val="14"/>
                <w:color w:val="auto"/>
              </w:rPr>
              <w:t>Preferred shares, Series A</w:t>
            </w:r>
          </w:p>
        </w:tc>
        <w:tc>
          <w:tcPr>
            <w:tcW w:w="120" w:type="dxa"/>
            <w:vAlign w:val="bottom"/>
            <w:tcBorders>
              <w:bottom w:val="single" w:sz="8" w:color="CCEEFF"/>
            </w:tcBorders>
            <w:shd w:val="clear" w:color="auto" w:fill="CCEEFF"/>
          </w:tcPr>
          <w:p>
            <w:pPr>
              <w:spacing w:after="0"/>
              <w:rPr>
                <w:sz w:val="23"/>
                <w:szCs w:val="23"/>
                <w:color w:val="auto"/>
              </w:rPr>
            </w:pPr>
          </w:p>
        </w:tc>
        <w:tc>
          <w:tcPr>
            <w:tcW w:w="2740" w:type="dxa"/>
            <w:vAlign w:val="bottom"/>
            <w:tcBorders>
              <w:bottom w:val="single" w:sz="8" w:color="CCEEFF"/>
            </w:tcBorders>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3,579,610</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758,017</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759,088</w:t>
            </w:r>
          </w:p>
        </w:tc>
        <w:tc>
          <w:tcPr>
            <w:tcW w:w="120" w:type="dxa"/>
            <w:vAlign w:val="bottom"/>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0.37%</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3500" w:type="dxa"/>
            <w:vAlign w:val="bottom"/>
            <w:tcBorders>
              <w:bottom w:val="single" w:sz="8" w:color="CCEEFF"/>
            </w:tcBorders>
            <w:gridSpan w:val="13"/>
          </w:tcPr>
          <w:p>
            <w:pPr>
              <w:ind w:left="140"/>
              <w:spacing w:after="0"/>
              <w:rPr>
                <w:sz w:val="20"/>
                <w:szCs w:val="20"/>
                <w:color w:val="auto"/>
              </w:rPr>
            </w:pPr>
            <w:r>
              <w:rPr>
                <w:rFonts w:ascii="Arial" w:cs="Arial" w:eastAsia="Arial" w:hAnsi="Arial"/>
                <w:sz w:val="14"/>
                <w:szCs w:val="14"/>
                <w:color w:val="auto"/>
              </w:rPr>
              <w:t>Total</w:t>
            </w:r>
          </w:p>
        </w:tc>
        <w:tc>
          <w:tcPr>
            <w:tcW w:w="120" w:type="dxa"/>
            <w:vAlign w:val="bottom"/>
            <w:tcBorders>
              <w:bottom w:val="single" w:sz="8" w:color="CCEEFF"/>
            </w:tcBorders>
          </w:tcPr>
          <w:p>
            <w:pPr>
              <w:spacing w:after="0"/>
              <w:rPr>
                <w:sz w:val="22"/>
                <w:szCs w:val="22"/>
                <w:color w:val="auto"/>
              </w:rPr>
            </w:pPr>
          </w:p>
        </w:tc>
        <w:tc>
          <w:tcPr>
            <w:tcW w:w="274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9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2,260,379</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2,277,264</w:t>
            </w:r>
          </w:p>
        </w:tc>
        <w:tc>
          <w:tcPr>
            <w:tcW w:w="12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229"/>
        </w:trPr>
        <w:tc>
          <w:tcPr>
            <w:tcW w:w="3540" w:type="dxa"/>
            <w:vAlign w:val="bottom"/>
            <w:gridSpan w:val="14"/>
            <w:shd w:val="clear" w:color="auto" w:fill="CCEEFF"/>
          </w:tcPr>
          <w:p>
            <w:pPr>
              <w:ind w:left="40"/>
              <w:spacing w:after="0"/>
              <w:rPr>
                <w:sz w:val="20"/>
                <w:szCs w:val="20"/>
                <w:color w:val="auto"/>
              </w:rPr>
            </w:pPr>
            <w:r>
              <w:rPr>
                <w:rFonts w:ascii="Arial" w:cs="Arial" w:eastAsia="Arial" w:hAnsi="Arial"/>
                <w:sz w:val="14"/>
                <w:szCs w:val="14"/>
                <w:b w:val="1"/>
                <w:bCs w:val="1"/>
                <w:color w:val="auto"/>
              </w:rPr>
              <w:t>Lytro, Inc.</w:t>
            </w:r>
          </w:p>
        </w:tc>
        <w:tc>
          <w:tcPr>
            <w:tcW w:w="120" w:type="dxa"/>
            <w:vAlign w:val="bottom"/>
            <w:shd w:val="clear" w:color="auto" w:fill="CCEEFF"/>
          </w:tcPr>
          <w:p>
            <w:pPr>
              <w:spacing w:after="0"/>
              <w:rPr>
                <w:sz w:val="19"/>
                <w:szCs w:val="19"/>
                <w:color w:val="auto"/>
              </w:rPr>
            </w:pPr>
          </w:p>
        </w:tc>
        <w:tc>
          <w:tcPr>
            <w:tcW w:w="28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7"/>
              </w:rPr>
              <w:t>Mountain View, CA</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7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540" w:type="dxa"/>
            <w:vAlign w:val="bottom"/>
            <w:gridSpan w:val="14"/>
          </w:tcPr>
          <w:p>
            <w:pPr>
              <w:ind w:left="40"/>
              <w:spacing w:after="0"/>
              <w:rPr>
                <w:sz w:val="20"/>
                <w:szCs w:val="20"/>
                <w:color w:val="auto"/>
              </w:rPr>
            </w:pPr>
            <w:r>
              <w:rPr>
                <w:rFonts w:ascii="Arial" w:cs="Arial" w:eastAsia="Arial" w:hAnsi="Arial"/>
                <w:sz w:val="14"/>
                <w:szCs w:val="14"/>
                <w:color w:val="auto"/>
              </w:rPr>
              <w:t>Preferred shares, Series D</w:t>
            </w:r>
          </w:p>
        </w:tc>
        <w:tc>
          <w:tcPr>
            <w:tcW w:w="120" w:type="dxa"/>
            <w:vAlign w:val="bottom"/>
          </w:tcPr>
          <w:p>
            <w:pPr>
              <w:spacing w:after="0"/>
              <w:rPr>
                <w:sz w:val="22"/>
                <w:szCs w:val="22"/>
                <w:color w:val="auto"/>
              </w:rPr>
            </w:pPr>
          </w:p>
        </w:tc>
        <w:tc>
          <w:tcPr>
            <w:tcW w:w="2880" w:type="dxa"/>
            <w:vAlign w:val="bottom"/>
            <w:gridSpan w:val="2"/>
          </w:tcPr>
          <w:p>
            <w:pPr>
              <w:jc w:val="center"/>
              <w:ind w:right="140"/>
              <w:spacing w:after="0"/>
              <w:rPr>
                <w:sz w:val="20"/>
                <w:szCs w:val="20"/>
                <w:color w:val="auto"/>
              </w:rPr>
            </w:pPr>
            <w:r>
              <w:rPr>
                <w:rFonts w:ascii="Arial" w:cs="Arial" w:eastAsia="Arial" w:hAnsi="Arial"/>
                <w:sz w:val="14"/>
                <w:szCs w:val="14"/>
                <w:color w:val="auto"/>
                <w:w w:val="97"/>
              </w:rPr>
              <w:t>Light Field Imaging Platform</w:t>
            </w:r>
          </w:p>
        </w:tc>
        <w:tc>
          <w:tcPr>
            <w:tcW w:w="18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159,160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502,081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100,680</w:t>
            </w:r>
          </w:p>
        </w:tc>
        <w:tc>
          <w:tcPr>
            <w:tcW w:w="1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0.05%</w:t>
            </w:r>
          </w:p>
        </w:tc>
        <w:tc>
          <w:tcPr>
            <w:tcW w:w="0" w:type="dxa"/>
            <w:vAlign w:val="bottom"/>
          </w:tcPr>
          <w:p>
            <w:pPr>
              <w:spacing w:after="0"/>
              <w:rPr>
                <w:sz w:val="1"/>
                <w:szCs w:val="1"/>
                <w:color w:val="auto"/>
              </w:rPr>
            </w:pPr>
          </w:p>
        </w:tc>
      </w:tr>
      <w:tr>
        <w:trPr>
          <w:trHeight w:val="270"/>
        </w:trPr>
        <w:tc>
          <w:tcPr>
            <w:tcW w:w="3540" w:type="dxa"/>
            <w:vAlign w:val="bottom"/>
            <w:tcBorders>
              <w:bottom w:val="single" w:sz="8" w:color="CCEEFF"/>
            </w:tcBorders>
            <w:gridSpan w:val="14"/>
            <w:shd w:val="clear" w:color="auto" w:fill="CCEEFF"/>
          </w:tcPr>
          <w:p>
            <w:pPr>
              <w:ind w:left="40"/>
              <w:spacing w:after="0"/>
              <w:rPr>
                <w:sz w:val="20"/>
                <w:szCs w:val="20"/>
                <w:color w:val="auto"/>
              </w:rPr>
            </w:pPr>
            <w:r>
              <w:rPr>
                <w:rFonts w:ascii="Arial" w:cs="Arial" w:eastAsia="Arial" w:hAnsi="Arial"/>
                <w:sz w:val="14"/>
                <w:szCs w:val="14"/>
                <w:color w:val="auto"/>
              </w:rPr>
              <w:t>Preferred shares, Series C-1</w:t>
            </w:r>
          </w:p>
        </w:tc>
        <w:tc>
          <w:tcPr>
            <w:tcW w:w="120" w:type="dxa"/>
            <w:vAlign w:val="bottom"/>
            <w:tcBorders>
              <w:bottom w:val="single" w:sz="8" w:color="CCEEFF"/>
            </w:tcBorders>
            <w:shd w:val="clear" w:color="auto" w:fill="CCEEFF"/>
          </w:tcPr>
          <w:p>
            <w:pPr>
              <w:spacing w:after="0"/>
              <w:rPr>
                <w:sz w:val="23"/>
                <w:szCs w:val="23"/>
                <w:color w:val="auto"/>
              </w:rPr>
            </w:pPr>
          </w:p>
        </w:tc>
        <w:tc>
          <w:tcPr>
            <w:tcW w:w="2740" w:type="dxa"/>
            <w:vAlign w:val="bottom"/>
            <w:tcBorders>
              <w:bottom w:val="single" w:sz="8" w:color="CCEEFF"/>
            </w:tcBorders>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3,378,379</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10,000,002</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2,013,587</w:t>
            </w:r>
          </w:p>
        </w:tc>
        <w:tc>
          <w:tcPr>
            <w:tcW w:w="120" w:type="dxa"/>
            <w:vAlign w:val="bottom"/>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0.98%</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3500" w:type="dxa"/>
            <w:vAlign w:val="bottom"/>
            <w:tcBorders>
              <w:bottom w:val="single" w:sz="8" w:color="CCEEFF"/>
            </w:tcBorders>
            <w:gridSpan w:val="13"/>
          </w:tcPr>
          <w:p>
            <w:pPr>
              <w:ind w:left="140"/>
              <w:spacing w:after="0"/>
              <w:rPr>
                <w:sz w:val="20"/>
                <w:szCs w:val="20"/>
                <w:color w:val="auto"/>
              </w:rPr>
            </w:pPr>
            <w:r>
              <w:rPr>
                <w:rFonts w:ascii="Arial" w:cs="Arial" w:eastAsia="Arial" w:hAnsi="Arial"/>
                <w:sz w:val="14"/>
                <w:szCs w:val="14"/>
                <w:color w:val="auto"/>
              </w:rPr>
              <w:t>Total</w:t>
            </w:r>
          </w:p>
        </w:tc>
        <w:tc>
          <w:tcPr>
            <w:tcW w:w="120" w:type="dxa"/>
            <w:vAlign w:val="bottom"/>
            <w:tcBorders>
              <w:bottom w:val="single" w:sz="8" w:color="CCEEFF"/>
            </w:tcBorders>
          </w:tcPr>
          <w:p>
            <w:pPr>
              <w:spacing w:after="0"/>
              <w:rPr>
                <w:sz w:val="22"/>
                <w:szCs w:val="22"/>
                <w:color w:val="auto"/>
              </w:rPr>
            </w:pPr>
          </w:p>
        </w:tc>
        <w:tc>
          <w:tcPr>
            <w:tcW w:w="274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9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10,502,083</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2,114,267</w:t>
            </w:r>
          </w:p>
        </w:tc>
        <w:tc>
          <w:tcPr>
            <w:tcW w:w="12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229"/>
        </w:trPr>
        <w:tc>
          <w:tcPr>
            <w:tcW w:w="3540" w:type="dxa"/>
            <w:vAlign w:val="bottom"/>
            <w:gridSpan w:val="14"/>
            <w:shd w:val="clear" w:color="auto" w:fill="CCEEFF"/>
          </w:tcPr>
          <w:p>
            <w:pPr>
              <w:ind w:left="40"/>
              <w:spacing w:after="0"/>
              <w:rPr>
                <w:sz w:val="20"/>
                <w:szCs w:val="20"/>
                <w:color w:val="auto"/>
              </w:rPr>
            </w:pPr>
            <w:r>
              <w:rPr>
                <w:rFonts w:ascii="Arial" w:cs="Arial" w:eastAsia="Arial" w:hAnsi="Arial"/>
                <w:sz w:val="14"/>
                <w:szCs w:val="14"/>
                <w:b w:val="1"/>
                <w:bCs w:val="1"/>
                <w:color w:val="auto"/>
              </w:rPr>
              <w:t>Clever, Inc.</w:t>
            </w:r>
          </w:p>
        </w:tc>
        <w:tc>
          <w:tcPr>
            <w:tcW w:w="120" w:type="dxa"/>
            <w:vAlign w:val="bottom"/>
            <w:shd w:val="clear" w:color="auto" w:fill="CCEEFF"/>
          </w:tcPr>
          <w:p>
            <w:pPr>
              <w:spacing w:after="0"/>
              <w:rPr>
                <w:sz w:val="19"/>
                <w:szCs w:val="19"/>
                <w:color w:val="auto"/>
              </w:rPr>
            </w:pPr>
          </w:p>
        </w:tc>
        <w:tc>
          <w:tcPr>
            <w:tcW w:w="28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2"/>
              </w:rPr>
              <w:t>San Francisco, CA</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7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540" w:type="dxa"/>
            <w:vAlign w:val="bottom"/>
            <w:gridSpan w:val="14"/>
          </w:tcPr>
          <w:p>
            <w:pPr>
              <w:ind w:left="40"/>
              <w:spacing w:after="0"/>
              <w:rPr>
                <w:sz w:val="20"/>
                <w:szCs w:val="20"/>
                <w:color w:val="auto"/>
              </w:rPr>
            </w:pPr>
            <w:r>
              <w:rPr>
                <w:rFonts w:ascii="Arial" w:cs="Arial" w:eastAsia="Arial" w:hAnsi="Arial"/>
                <w:sz w:val="14"/>
                <w:szCs w:val="14"/>
                <w:color w:val="auto"/>
              </w:rPr>
              <w:t>Preferred shares, Series B</w:t>
            </w:r>
          </w:p>
        </w:tc>
        <w:tc>
          <w:tcPr>
            <w:tcW w:w="120" w:type="dxa"/>
            <w:vAlign w:val="bottom"/>
          </w:tcPr>
          <w:p>
            <w:pPr>
              <w:spacing w:after="0"/>
              <w:rPr>
                <w:sz w:val="22"/>
                <w:szCs w:val="22"/>
                <w:color w:val="auto"/>
              </w:rPr>
            </w:pPr>
          </w:p>
        </w:tc>
        <w:tc>
          <w:tcPr>
            <w:tcW w:w="2880" w:type="dxa"/>
            <w:vAlign w:val="bottom"/>
            <w:gridSpan w:val="2"/>
          </w:tcPr>
          <w:p>
            <w:pPr>
              <w:jc w:val="center"/>
              <w:ind w:right="140"/>
              <w:spacing w:after="0"/>
              <w:rPr>
                <w:sz w:val="20"/>
                <w:szCs w:val="20"/>
                <w:color w:val="auto"/>
              </w:rPr>
            </w:pPr>
            <w:r>
              <w:rPr>
                <w:rFonts w:ascii="Arial" w:cs="Arial" w:eastAsia="Arial" w:hAnsi="Arial"/>
                <w:sz w:val="14"/>
                <w:szCs w:val="14"/>
                <w:color w:val="auto"/>
                <w:w w:val="93"/>
              </w:rPr>
              <w:t>Education Software</w:t>
            </w:r>
          </w:p>
        </w:tc>
        <w:tc>
          <w:tcPr>
            <w:tcW w:w="18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1,799,047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2,000,601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2,000,001</w:t>
            </w:r>
          </w:p>
        </w:tc>
        <w:tc>
          <w:tcPr>
            <w:tcW w:w="1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0.98%</w:t>
            </w:r>
          </w:p>
        </w:tc>
        <w:tc>
          <w:tcPr>
            <w:tcW w:w="0" w:type="dxa"/>
            <w:vAlign w:val="bottom"/>
          </w:tcPr>
          <w:p>
            <w:pPr>
              <w:spacing w:after="0"/>
              <w:rPr>
                <w:sz w:val="1"/>
                <w:szCs w:val="1"/>
                <w:color w:val="auto"/>
              </w:rPr>
            </w:pPr>
          </w:p>
        </w:tc>
      </w:tr>
      <w:tr>
        <w:trPr>
          <w:trHeight w:val="236"/>
        </w:trPr>
        <w:tc>
          <w:tcPr>
            <w:tcW w:w="3540" w:type="dxa"/>
            <w:vAlign w:val="bottom"/>
            <w:gridSpan w:val="14"/>
            <w:shd w:val="clear" w:color="auto" w:fill="CCEEFF"/>
          </w:tcPr>
          <w:p>
            <w:pPr>
              <w:ind w:left="40"/>
              <w:spacing w:after="0"/>
              <w:rPr>
                <w:sz w:val="20"/>
                <w:szCs w:val="20"/>
                <w:color w:val="auto"/>
              </w:rPr>
            </w:pPr>
            <w:r>
              <w:rPr>
                <w:rFonts w:ascii="Arial" w:cs="Arial" w:eastAsia="Arial" w:hAnsi="Arial"/>
                <w:sz w:val="14"/>
                <w:szCs w:val="14"/>
                <w:b w:val="1"/>
                <w:bCs w:val="1"/>
                <w:color w:val="auto"/>
              </w:rPr>
              <w:t>Aspiration Partners, Inc.</w:t>
            </w:r>
          </w:p>
        </w:tc>
        <w:tc>
          <w:tcPr>
            <w:tcW w:w="120" w:type="dxa"/>
            <w:vAlign w:val="bottom"/>
            <w:shd w:val="clear" w:color="auto" w:fill="CCEEFF"/>
          </w:tcPr>
          <w:p>
            <w:pPr>
              <w:spacing w:after="0"/>
              <w:rPr>
                <w:sz w:val="20"/>
                <w:szCs w:val="20"/>
                <w:color w:val="auto"/>
              </w:rPr>
            </w:pPr>
          </w:p>
        </w:tc>
        <w:tc>
          <w:tcPr>
            <w:tcW w:w="28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6"/>
              </w:rPr>
              <w:t>Marina Del Rey, CA</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7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540" w:type="dxa"/>
            <w:vAlign w:val="bottom"/>
            <w:gridSpan w:val="14"/>
          </w:tcPr>
          <w:p>
            <w:pPr>
              <w:ind w:left="40"/>
              <w:spacing w:after="0"/>
              <w:rPr>
                <w:sz w:val="20"/>
                <w:szCs w:val="20"/>
                <w:color w:val="auto"/>
              </w:rPr>
            </w:pPr>
            <w:r>
              <w:rPr>
                <w:rFonts w:ascii="Arial" w:cs="Arial" w:eastAsia="Arial" w:hAnsi="Arial"/>
                <w:sz w:val="14"/>
                <w:szCs w:val="14"/>
                <w:color w:val="auto"/>
              </w:rPr>
              <w:t>Preferred shares, Series A</w:t>
            </w:r>
          </w:p>
        </w:tc>
        <w:tc>
          <w:tcPr>
            <w:tcW w:w="120" w:type="dxa"/>
            <w:vAlign w:val="bottom"/>
          </w:tcPr>
          <w:p>
            <w:pPr>
              <w:spacing w:after="0"/>
              <w:rPr>
                <w:sz w:val="22"/>
                <w:szCs w:val="22"/>
                <w:color w:val="auto"/>
              </w:rPr>
            </w:pPr>
          </w:p>
        </w:tc>
        <w:tc>
          <w:tcPr>
            <w:tcW w:w="2880" w:type="dxa"/>
            <w:vAlign w:val="bottom"/>
            <w:gridSpan w:val="2"/>
          </w:tcPr>
          <w:p>
            <w:pPr>
              <w:jc w:val="center"/>
              <w:ind w:right="140"/>
              <w:spacing w:after="0"/>
              <w:rPr>
                <w:sz w:val="20"/>
                <w:szCs w:val="20"/>
                <w:color w:val="auto"/>
              </w:rPr>
            </w:pPr>
            <w:r>
              <w:rPr>
                <w:rFonts w:ascii="Arial" w:cs="Arial" w:eastAsia="Arial" w:hAnsi="Arial"/>
                <w:sz w:val="14"/>
                <w:szCs w:val="14"/>
                <w:color w:val="auto"/>
                <w:w w:val="93"/>
              </w:rPr>
              <w:t>Financial Services</w:t>
            </w:r>
          </w:p>
        </w:tc>
        <w:tc>
          <w:tcPr>
            <w:tcW w:w="18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540,270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1,001,815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1,748,371</w:t>
            </w:r>
          </w:p>
        </w:tc>
        <w:tc>
          <w:tcPr>
            <w:tcW w:w="1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0.85%</w:t>
            </w:r>
          </w:p>
        </w:tc>
        <w:tc>
          <w:tcPr>
            <w:tcW w:w="0" w:type="dxa"/>
            <w:vAlign w:val="bottom"/>
          </w:tcPr>
          <w:p>
            <w:pPr>
              <w:spacing w:after="0"/>
              <w:rPr>
                <w:sz w:val="1"/>
                <w:szCs w:val="1"/>
                <w:color w:val="auto"/>
              </w:rPr>
            </w:pPr>
          </w:p>
        </w:tc>
      </w:tr>
      <w:tr>
        <w:trPr>
          <w:trHeight w:val="236"/>
        </w:trPr>
        <w:tc>
          <w:tcPr>
            <w:tcW w:w="3540" w:type="dxa"/>
            <w:vAlign w:val="bottom"/>
            <w:gridSpan w:val="14"/>
            <w:shd w:val="clear" w:color="auto" w:fill="CCEEFF"/>
          </w:tcPr>
          <w:p>
            <w:pPr>
              <w:ind w:left="40"/>
              <w:spacing w:after="0"/>
              <w:rPr>
                <w:sz w:val="20"/>
                <w:szCs w:val="20"/>
                <w:color w:val="auto"/>
              </w:rPr>
            </w:pPr>
            <w:r>
              <w:rPr>
                <w:rFonts w:ascii="Arial" w:cs="Arial" w:eastAsia="Arial" w:hAnsi="Arial"/>
                <w:sz w:val="14"/>
                <w:szCs w:val="14"/>
                <w:b w:val="1"/>
                <w:bCs w:val="1"/>
                <w:color w:val="auto"/>
              </w:rPr>
              <w:t>Tynker (f/k/a Neuron Fuel, Inc.)</w:t>
            </w:r>
          </w:p>
        </w:tc>
        <w:tc>
          <w:tcPr>
            <w:tcW w:w="120" w:type="dxa"/>
            <w:vAlign w:val="bottom"/>
            <w:shd w:val="clear" w:color="auto" w:fill="CCEEFF"/>
          </w:tcPr>
          <w:p>
            <w:pPr>
              <w:spacing w:after="0"/>
              <w:rPr>
                <w:sz w:val="20"/>
                <w:szCs w:val="20"/>
                <w:color w:val="auto"/>
              </w:rPr>
            </w:pPr>
          </w:p>
        </w:tc>
        <w:tc>
          <w:tcPr>
            <w:tcW w:w="28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7"/>
              </w:rPr>
              <w:t>Mountain View, CA</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7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540" w:type="dxa"/>
            <w:vAlign w:val="bottom"/>
            <w:gridSpan w:val="14"/>
          </w:tcPr>
          <w:p>
            <w:pPr>
              <w:ind w:left="40"/>
              <w:spacing w:after="0"/>
              <w:rPr>
                <w:sz w:val="20"/>
                <w:szCs w:val="20"/>
                <w:color w:val="auto"/>
              </w:rPr>
            </w:pPr>
            <w:r>
              <w:rPr>
                <w:rFonts w:ascii="Arial" w:cs="Arial" w:eastAsia="Arial" w:hAnsi="Arial"/>
                <w:sz w:val="14"/>
                <w:szCs w:val="14"/>
                <w:color w:val="auto"/>
              </w:rPr>
              <w:t>Preferred shares, Series A</w:t>
            </w:r>
          </w:p>
        </w:tc>
        <w:tc>
          <w:tcPr>
            <w:tcW w:w="120" w:type="dxa"/>
            <w:vAlign w:val="bottom"/>
          </w:tcPr>
          <w:p>
            <w:pPr>
              <w:spacing w:after="0"/>
              <w:rPr>
                <w:sz w:val="22"/>
                <w:szCs w:val="22"/>
                <w:color w:val="auto"/>
              </w:rPr>
            </w:pPr>
          </w:p>
        </w:tc>
        <w:tc>
          <w:tcPr>
            <w:tcW w:w="288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Computer Software</w:t>
            </w:r>
          </w:p>
        </w:tc>
        <w:tc>
          <w:tcPr>
            <w:tcW w:w="18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534,162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309,310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791,361</w:t>
            </w:r>
          </w:p>
        </w:tc>
        <w:tc>
          <w:tcPr>
            <w:tcW w:w="1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0.39%</w:t>
            </w:r>
          </w:p>
        </w:tc>
        <w:tc>
          <w:tcPr>
            <w:tcW w:w="0" w:type="dxa"/>
            <w:vAlign w:val="bottom"/>
          </w:tcPr>
          <w:p>
            <w:pPr>
              <w:spacing w:after="0"/>
              <w:rPr>
                <w:sz w:val="1"/>
                <w:szCs w:val="1"/>
                <w:color w:val="auto"/>
              </w:rPr>
            </w:pPr>
          </w:p>
        </w:tc>
      </w:tr>
      <w:tr>
        <w:trPr>
          <w:trHeight w:val="236"/>
        </w:trPr>
        <w:tc>
          <w:tcPr>
            <w:tcW w:w="3540" w:type="dxa"/>
            <w:vAlign w:val="bottom"/>
            <w:gridSpan w:val="14"/>
            <w:shd w:val="clear" w:color="auto" w:fill="CCEEFF"/>
          </w:tcPr>
          <w:p>
            <w:pPr>
              <w:ind w:left="40"/>
              <w:spacing w:after="0"/>
              <w:rPr>
                <w:sz w:val="20"/>
                <w:szCs w:val="20"/>
                <w:color w:val="auto"/>
              </w:rPr>
            </w:pPr>
            <w:r>
              <w:rPr>
                <w:rFonts w:ascii="Arial" w:cs="Arial" w:eastAsia="Arial" w:hAnsi="Arial"/>
                <w:sz w:val="14"/>
                <w:szCs w:val="14"/>
                <w:b w:val="1"/>
                <w:bCs w:val="1"/>
                <w:color w:val="auto"/>
              </w:rPr>
              <w:t>4C Insights (f/k/a The Echo Systems Corp.)</w:t>
            </w:r>
          </w:p>
        </w:tc>
        <w:tc>
          <w:tcPr>
            <w:tcW w:w="120" w:type="dxa"/>
            <w:vAlign w:val="bottom"/>
            <w:shd w:val="clear" w:color="auto" w:fill="CCEEFF"/>
          </w:tcPr>
          <w:p>
            <w:pPr>
              <w:spacing w:after="0"/>
              <w:rPr>
                <w:sz w:val="20"/>
                <w:szCs w:val="20"/>
                <w:color w:val="auto"/>
              </w:rPr>
            </w:pPr>
          </w:p>
        </w:tc>
        <w:tc>
          <w:tcPr>
            <w:tcW w:w="28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5"/>
              </w:rPr>
              <w:t>Chicago, IL</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7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540" w:type="dxa"/>
            <w:vAlign w:val="bottom"/>
            <w:gridSpan w:val="14"/>
          </w:tcPr>
          <w:p>
            <w:pPr>
              <w:ind w:left="40"/>
              <w:spacing w:after="0"/>
              <w:rPr>
                <w:sz w:val="20"/>
                <w:szCs w:val="20"/>
                <w:color w:val="auto"/>
              </w:rPr>
            </w:pPr>
            <w:r>
              <w:rPr>
                <w:rFonts w:ascii="Arial" w:cs="Arial" w:eastAsia="Arial" w:hAnsi="Arial"/>
                <w:sz w:val="14"/>
                <w:szCs w:val="14"/>
                <w:color w:val="auto"/>
              </w:rPr>
              <w:t>Common shares</w:t>
            </w:r>
          </w:p>
        </w:tc>
        <w:tc>
          <w:tcPr>
            <w:tcW w:w="120" w:type="dxa"/>
            <w:vAlign w:val="bottom"/>
          </w:tcPr>
          <w:p>
            <w:pPr>
              <w:spacing w:after="0"/>
              <w:rPr>
                <w:sz w:val="22"/>
                <w:szCs w:val="22"/>
                <w:color w:val="auto"/>
              </w:rPr>
            </w:pPr>
          </w:p>
        </w:tc>
        <w:tc>
          <w:tcPr>
            <w:tcW w:w="288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Social Data Platform</w:t>
            </w:r>
          </w:p>
        </w:tc>
        <w:tc>
          <w:tcPr>
            <w:tcW w:w="18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436,219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1,436,404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593,702</w:t>
            </w:r>
          </w:p>
        </w:tc>
        <w:tc>
          <w:tcPr>
            <w:tcW w:w="1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0.29%</w:t>
            </w:r>
          </w:p>
        </w:tc>
        <w:tc>
          <w:tcPr>
            <w:tcW w:w="0" w:type="dxa"/>
            <w:vAlign w:val="bottom"/>
          </w:tcPr>
          <w:p>
            <w:pPr>
              <w:spacing w:after="0"/>
              <w:rPr>
                <w:sz w:val="1"/>
                <w:szCs w:val="1"/>
                <w:color w:val="auto"/>
              </w:rPr>
            </w:pPr>
          </w:p>
        </w:tc>
      </w:tr>
      <w:tr>
        <w:trPr>
          <w:trHeight w:val="236"/>
        </w:trPr>
        <w:tc>
          <w:tcPr>
            <w:tcW w:w="3540" w:type="dxa"/>
            <w:vAlign w:val="bottom"/>
            <w:gridSpan w:val="14"/>
            <w:shd w:val="clear" w:color="auto" w:fill="CCEEFF"/>
          </w:tcPr>
          <w:p>
            <w:pPr>
              <w:ind w:left="40"/>
              <w:spacing w:after="0"/>
              <w:rPr>
                <w:sz w:val="20"/>
                <w:szCs w:val="20"/>
                <w:color w:val="auto"/>
              </w:rPr>
            </w:pPr>
            <w:r>
              <w:rPr>
                <w:rFonts w:ascii="Arial" w:cs="Arial" w:eastAsia="Arial" w:hAnsi="Arial"/>
                <w:sz w:val="14"/>
                <w:szCs w:val="14"/>
                <w:b w:val="1"/>
                <w:bCs w:val="1"/>
                <w:color w:val="auto"/>
              </w:rPr>
              <w:t>Fullbridge, Inc.</w:t>
            </w:r>
          </w:p>
        </w:tc>
        <w:tc>
          <w:tcPr>
            <w:tcW w:w="120" w:type="dxa"/>
            <w:vAlign w:val="bottom"/>
            <w:shd w:val="clear" w:color="auto" w:fill="CCEEFF"/>
          </w:tcPr>
          <w:p>
            <w:pPr>
              <w:spacing w:after="0"/>
              <w:rPr>
                <w:sz w:val="20"/>
                <w:szCs w:val="20"/>
                <w:color w:val="auto"/>
              </w:rPr>
            </w:pPr>
          </w:p>
        </w:tc>
        <w:tc>
          <w:tcPr>
            <w:tcW w:w="28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8"/>
              </w:rPr>
              <w:t>Cambridge, MA</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7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540" w:type="dxa"/>
            <w:vAlign w:val="bottom"/>
            <w:gridSpan w:val="14"/>
          </w:tcPr>
          <w:p>
            <w:pPr>
              <w:ind w:left="40"/>
              <w:spacing w:after="0"/>
              <w:rPr>
                <w:sz w:val="20"/>
                <w:szCs w:val="20"/>
                <w:color w:val="auto"/>
              </w:rPr>
            </w:pPr>
            <w:r>
              <w:rPr>
                <w:rFonts w:ascii="Arial" w:cs="Arial" w:eastAsia="Arial" w:hAnsi="Arial"/>
                <w:sz w:val="14"/>
                <w:szCs w:val="14"/>
                <w:color w:val="auto"/>
              </w:rPr>
              <w:t>Common shares</w:t>
            </w:r>
          </w:p>
        </w:tc>
        <w:tc>
          <w:tcPr>
            <w:tcW w:w="120" w:type="dxa"/>
            <w:vAlign w:val="bottom"/>
          </w:tcPr>
          <w:p>
            <w:pPr>
              <w:spacing w:after="0"/>
              <w:rPr>
                <w:sz w:val="22"/>
                <w:szCs w:val="22"/>
                <w:color w:val="auto"/>
              </w:rPr>
            </w:pPr>
          </w:p>
        </w:tc>
        <w:tc>
          <w:tcPr>
            <w:tcW w:w="288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Business Education</w:t>
            </w:r>
          </w:p>
        </w:tc>
        <w:tc>
          <w:tcPr>
            <w:tcW w:w="18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517,917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6,150,506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540" w:type="dxa"/>
            <w:vAlign w:val="bottom"/>
            <w:tcBorders>
              <w:bottom w:val="single" w:sz="8" w:color="CCEEFF"/>
            </w:tcBorders>
            <w:gridSpan w:val="14"/>
            <w:shd w:val="clear" w:color="auto" w:fill="CCEEFF"/>
          </w:tcPr>
          <w:p>
            <w:pPr>
              <w:ind w:left="40"/>
              <w:spacing w:after="0"/>
              <w:rPr>
                <w:sz w:val="20"/>
                <w:szCs w:val="20"/>
                <w:color w:val="auto"/>
              </w:rPr>
            </w:pPr>
            <w:r>
              <w:rPr>
                <w:rFonts w:ascii="Arial" w:cs="Arial" w:eastAsia="Arial" w:hAnsi="Arial"/>
                <w:sz w:val="14"/>
                <w:szCs w:val="14"/>
                <w:color w:val="auto"/>
              </w:rPr>
              <w:t>Promissory note 1.47%, Due 11/9/2021</w:t>
            </w:r>
            <w:r>
              <w:rPr>
                <w:rFonts w:ascii="Arial" w:cs="Arial" w:eastAsia="Arial" w:hAnsi="Arial"/>
                <w:sz w:val="8"/>
                <w:szCs w:val="8"/>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2740" w:type="dxa"/>
            <w:vAlign w:val="bottom"/>
            <w:tcBorders>
              <w:bottom w:val="single" w:sz="8" w:color="CCEEFF"/>
            </w:tcBorders>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2,270,458</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2,270,858</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316,570</w:t>
            </w:r>
          </w:p>
        </w:tc>
        <w:tc>
          <w:tcPr>
            <w:tcW w:w="120" w:type="dxa"/>
            <w:vAlign w:val="bottom"/>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0.15%</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3500" w:type="dxa"/>
            <w:vAlign w:val="bottom"/>
            <w:tcBorders>
              <w:bottom w:val="single" w:sz="8" w:color="CCEEFF"/>
            </w:tcBorders>
            <w:gridSpan w:val="13"/>
          </w:tcPr>
          <w:p>
            <w:pPr>
              <w:ind w:left="140"/>
              <w:spacing w:after="0"/>
              <w:rPr>
                <w:sz w:val="20"/>
                <w:szCs w:val="20"/>
                <w:color w:val="auto"/>
              </w:rPr>
            </w:pPr>
            <w:r>
              <w:rPr>
                <w:rFonts w:ascii="Arial" w:cs="Arial" w:eastAsia="Arial" w:hAnsi="Arial"/>
                <w:sz w:val="14"/>
                <w:szCs w:val="14"/>
                <w:color w:val="auto"/>
              </w:rPr>
              <w:t>Total</w:t>
            </w:r>
          </w:p>
        </w:tc>
        <w:tc>
          <w:tcPr>
            <w:tcW w:w="120" w:type="dxa"/>
            <w:vAlign w:val="bottom"/>
            <w:tcBorders>
              <w:bottom w:val="single" w:sz="8" w:color="CCEEFF"/>
            </w:tcBorders>
          </w:tcPr>
          <w:p>
            <w:pPr>
              <w:spacing w:after="0"/>
              <w:rPr>
                <w:sz w:val="22"/>
                <w:szCs w:val="22"/>
                <w:color w:val="auto"/>
              </w:rPr>
            </w:pPr>
          </w:p>
        </w:tc>
        <w:tc>
          <w:tcPr>
            <w:tcW w:w="274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9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8,421,364</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316,570</w:t>
            </w:r>
          </w:p>
        </w:tc>
        <w:tc>
          <w:tcPr>
            <w:tcW w:w="12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0.15%</w:t>
            </w:r>
          </w:p>
        </w:tc>
        <w:tc>
          <w:tcPr>
            <w:tcW w:w="0" w:type="dxa"/>
            <w:vAlign w:val="bottom"/>
          </w:tcPr>
          <w:p>
            <w:pPr>
              <w:spacing w:after="0"/>
              <w:rPr>
                <w:sz w:val="1"/>
                <w:szCs w:val="1"/>
                <w:color w:val="auto"/>
              </w:rPr>
            </w:pPr>
          </w:p>
        </w:tc>
      </w:tr>
      <w:tr>
        <w:trPr>
          <w:trHeight w:val="270"/>
        </w:trPr>
        <w:tc>
          <w:tcPr>
            <w:tcW w:w="3540" w:type="dxa"/>
            <w:vAlign w:val="bottom"/>
            <w:gridSpan w:val="14"/>
            <w:shd w:val="clear" w:color="auto" w:fill="CCEEFF"/>
          </w:tcPr>
          <w:p>
            <w:pPr>
              <w:ind w:left="40"/>
              <w:spacing w:after="0"/>
              <w:rPr>
                <w:sz w:val="20"/>
                <w:szCs w:val="20"/>
                <w:color w:val="auto"/>
              </w:rPr>
            </w:pPr>
            <w:r>
              <w:rPr>
                <w:rFonts w:ascii="Arial" w:cs="Arial" w:eastAsia="Arial" w:hAnsi="Arial"/>
                <w:sz w:val="14"/>
                <w:szCs w:val="14"/>
                <w:b w:val="1"/>
                <w:bCs w:val="1"/>
                <w:color w:val="auto"/>
              </w:rPr>
              <w:t>Total Non-controlled/Non-affiliate</w:t>
            </w:r>
          </w:p>
        </w:tc>
        <w:tc>
          <w:tcPr>
            <w:tcW w:w="120" w:type="dxa"/>
            <w:vAlign w:val="bottom"/>
            <w:shd w:val="clear" w:color="auto" w:fill="CCEEFF"/>
          </w:tcPr>
          <w:p>
            <w:pPr>
              <w:spacing w:after="0"/>
              <w:rPr>
                <w:sz w:val="23"/>
                <w:szCs w:val="23"/>
                <w:color w:val="auto"/>
              </w:rPr>
            </w:pPr>
          </w:p>
        </w:tc>
        <w:tc>
          <w:tcPr>
            <w:tcW w:w="27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137,526,726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179,908,234</w:t>
            </w:r>
          </w:p>
        </w:tc>
        <w:tc>
          <w:tcPr>
            <w:tcW w:w="12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87.89%</w:t>
            </w:r>
          </w:p>
        </w:tc>
        <w:tc>
          <w:tcPr>
            <w:tcW w:w="0" w:type="dxa"/>
            <w:vAlign w:val="bottom"/>
          </w:tcPr>
          <w:p>
            <w:pPr>
              <w:spacing w:after="0"/>
              <w:rPr>
                <w:sz w:val="1"/>
                <w:szCs w:val="1"/>
                <w:color w:val="auto"/>
              </w:rPr>
            </w:pPr>
          </w:p>
        </w:tc>
      </w:tr>
      <w:tr>
        <w:trPr>
          <w:trHeight w:val="264"/>
        </w:trPr>
        <w:tc>
          <w:tcPr>
            <w:tcW w:w="3540" w:type="dxa"/>
            <w:vAlign w:val="bottom"/>
            <w:gridSpan w:val="14"/>
          </w:tcPr>
          <w:p>
            <w:pPr>
              <w:ind w:left="40"/>
              <w:spacing w:after="0"/>
              <w:rPr>
                <w:sz w:val="20"/>
                <w:szCs w:val="20"/>
                <w:color w:val="auto"/>
              </w:rPr>
            </w:pPr>
            <w:r>
              <w:rPr>
                <w:rFonts w:ascii="Arial" w:cs="Arial" w:eastAsia="Arial" w:hAnsi="Arial"/>
                <w:sz w:val="14"/>
                <w:szCs w:val="14"/>
                <w:b w:val="1"/>
                <w:bCs w:val="1"/>
                <w:color w:val="auto"/>
              </w:rPr>
              <w:t>NON-CONTROLLED/AFFILIATE</w:t>
            </w:r>
            <w:r>
              <w:rPr>
                <w:rFonts w:ascii="Arial" w:cs="Arial" w:eastAsia="Arial" w:hAnsi="Arial"/>
                <w:sz w:val="8"/>
                <w:szCs w:val="8"/>
                <w:b w:val="1"/>
                <w:bCs w:val="1"/>
                <w:color w:val="auto"/>
              </w:rPr>
              <w:t>(1)</w:t>
            </w:r>
          </w:p>
        </w:tc>
        <w:tc>
          <w:tcPr>
            <w:tcW w:w="12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3540" w:type="dxa"/>
            <w:vAlign w:val="bottom"/>
            <w:gridSpan w:val="14"/>
            <w:shd w:val="clear" w:color="auto" w:fill="CCEEFF"/>
          </w:tcPr>
          <w:p>
            <w:pPr>
              <w:ind w:left="40"/>
              <w:spacing w:after="0"/>
              <w:rPr>
                <w:sz w:val="20"/>
                <w:szCs w:val="20"/>
                <w:color w:val="auto"/>
              </w:rPr>
            </w:pPr>
            <w:r>
              <w:rPr>
                <w:rFonts w:ascii="Arial" w:cs="Arial" w:eastAsia="Arial" w:hAnsi="Arial"/>
                <w:sz w:val="14"/>
                <w:szCs w:val="14"/>
                <w:b w:val="1"/>
                <w:bCs w:val="1"/>
                <w:color w:val="auto"/>
              </w:rPr>
              <w:t>Curious.com, Inc.</w:t>
            </w:r>
          </w:p>
        </w:tc>
        <w:tc>
          <w:tcPr>
            <w:tcW w:w="120" w:type="dxa"/>
            <w:vAlign w:val="bottom"/>
            <w:shd w:val="clear" w:color="auto" w:fill="CCEEFF"/>
          </w:tcPr>
          <w:p>
            <w:pPr>
              <w:spacing w:after="0"/>
              <w:rPr>
                <w:sz w:val="20"/>
                <w:szCs w:val="20"/>
                <w:color w:val="auto"/>
              </w:rPr>
            </w:pPr>
          </w:p>
        </w:tc>
        <w:tc>
          <w:tcPr>
            <w:tcW w:w="28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7"/>
              </w:rPr>
              <w:t>Menlo Park, CA</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7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540" w:type="dxa"/>
            <w:vAlign w:val="bottom"/>
            <w:gridSpan w:val="14"/>
          </w:tcPr>
          <w:p>
            <w:pPr>
              <w:ind w:left="40"/>
              <w:spacing w:after="0"/>
              <w:rPr>
                <w:sz w:val="20"/>
                <w:szCs w:val="20"/>
                <w:color w:val="auto"/>
              </w:rPr>
            </w:pPr>
            <w:r>
              <w:rPr>
                <w:rFonts w:ascii="Arial" w:cs="Arial" w:eastAsia="Arial" w:hAnsi="Arial"/>
                <w:sz w:val="14"/>
                <w:szCs w:val="14"/>
                <w:color w:val="auto"/>
              </w:rPr>
              <w:t>Preferred shares, Series B</w:t>
            </w:r>
          </w:p>
        </w:tc>
        <w:tc>
          <w:tcPr>
            <w:tcW w:w="120" w:type="dxa"/>
            <w:vAlign w:val="bottom"/>
          </w:tcPr>
          <w:p>
            <w:pPr>
              <w:spacing w:after="0"/>
              <w:rPr>
                <w:sz w:val="22"/>
                <w:szCs w:val="22"/>
                <w:color w:val="auto"/>
              </w:rPr>
            </w:pPr>
          </w:p>
        </w:tc>
        <w:tc>
          <w:tcPr>
            <w:tcW w:w="288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Online Education</w:t>
            </w:r>
          </w:p>
        </w:tc>
        <w:tc>
          <w:tcPr>
            <w:tcW w:w="18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3,407,834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12,000,006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5,514,077</w:t>
            </w:r>
          </w:p>
        </w:tc>
        <w:tc>
          <w:tcPr>
            <w:tcW w:w="1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2.69%</w:t>
            </w:r>
          </w:p>
        </w:tc>
        <w:tc>
          <w:tcPr>
            <w:tcW w:w="0" w:type="dxa"/>
            <w:vAlign w:val="bottom"/>
          </w:tcPr>
          <w:p>
            <w:pPr>
              <w:spacing w:after="0"/>
              <w:rPr>
                <w:sz w:val="1"/>
                <w:szCs w:val="1"/>
                <w:color w:val="auto"/>
              </w:rPr>
            </w:pPr>
          </w:p>
        </w:tc>
      </w:tr>
      <w:tr>
        <w:trPr>
          <w:trHeight w:val="236"/>
        </w:trPr>
        <w:tc>
          <w:tcPr>
            <w:tcW w:w="3540" w:type="dxa"/>
            <w:vAlign w:val="bottom"/>
            <w:gridSpan w:val="14"/>
            <w:shd w:val="clear" w:color="auto" w:fill="CCEEFF"/>
          </w:tcPr>
          <w:p>
            <w:pPr>
              <w:ind w:left="40"/>
              <w:spacing w:after="0"/>
              <w:rPr>
                <w:sz w:val="20"/>
                <w:szCs w:val="20"/>
                <w:color w:val="auto"/>
              </w:rPr>
            </w:pPr>
            <w:r>
              <w:rPr>
                <w:rFonts w:ascii="Arial" w:cs="Arial" w:eastAsia="Arial" w:hAnsi="Arial"/>
                <w:sz w:val="14"/>
                <w:szCs w:val="14"/>
                <w:b w:val="1"/>
                <w:bCs w:val="1"/>
                <w:color w:val="auto"/>
              </w:rPr>
              <w:t>Ozy Media, Inc.</w:t>
            </w:r>
          </w:p>
        </w:tc>
        <w:tc>
          <w:tcPr>
            <w:tcW w:w="120" w:type="dxa"/>
            <w:vAlign w:val="bottom"/>
            <w:shd w:val="clear" w:color="auto" w:fill="CCEEFF"/>
          </w:tcPr>
          <w:p>
            <w:pPr>
              <w:spacing w:after="0"/>
              <w:rPr>
                <w:sz w:val="20"/>
                <w:szCs w:val="20"/>
                <w:color w:val="auto"/>
              </w:rPr>
            </w:pPr>
          </w:p>
        </w:tc>
        <w:tc>
          <w:tcPr>
            <w:tcW w:w="28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7"/>
              </w:rPr>
              <w:t>Mountain View, CA</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7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540" w:type="dxa"/>
            <w:vAlign w:val="bottom"/>
            <w:gridSpan w:val="14"/>
          </w:tcPr>
          <w:p>
            <w:pPr>
              <w:ind w:left="40"/>
              <w:spacing w:after="0" w:line="157" w:lineRule="exact"/>
              <w:rPr>
                <w:sz w:val="20"/>
                <w:szCs w:val="20"/>
                <w:color w:val="auto"/>
              </w:rPr>
            </w:pPr>
            <w:r>
              <w:rPr>
                <w:rFonts w:ascii="Arial" w:cs="Arial" w:eastAsia="Arial" w:hAnsi="Arial"/>
                <w:sz w:val="14"/>
                <w:szCs w:val="14"/>
                <w:color w:val="auto"/>
              </w:rPr>
              <w:t>Convertible Promissory Note 5% Due</w:t>
            </w:r>
          </w:p>
        </w:tc>
        <w:tc>
          <w:tcPr>
            <w:tcW w:w="12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000" w:type="dxa"/>
            <w:vAlign w:val="bottom"/>
            <w:gridSpan w:val="6"/>
          </w:tcPr>
          <w:p>
            <w:pPr>
              <w:ind w:left="40"/>
              <w:spacing w:after="0"/>
              <w:rPr>
                <w:sz w:val="20"/>
                <w:szCs w:val="20"/>
                <w:color w:val="auto"/>
              </w:rPr>
            </w:pPr>
            <w:r>
              <w:rPr>
                <w:rFonts w:ascii="Arial" w:cs="Arial" w:eastAsia="Arial" w:hAnsi="Arial"/>
                <w:sz w:val="14"/>
                <w:szCs w:val="14"/>
                <w:color w:val="auto"/>
              </w:rPr>
              <w:t>2/28/2018***</w:t>
            </w:r>
            <w:r>
              <w:rPr>
                <w:rFonts w:ascii="Arial" w:cs="Arial" w:eastAsia="Arial" w:hAnsi="Arial"/>
                <w:sz w:val="8"/>
                <w:szCs w:val="8"/>
                <w:color w:val="auto"/>
              </w:rPr>
              <w:t>(14)</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8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Digital Media Platform</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2,000,000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2,000,000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1,067,639</w:t>
            </w: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0.52%</w:t>
            </w:r>
          </w:p>
        </w:tc>
        <w:tc>
          <w:tcPr>
            <w:tcW w:w="0" w:type="dxa"/>
            <w:vAlign w:val="bottom"/>
          </w:tcPr>
          <w:p>
            <w:pPr>
              <w:spacing w:after="0"/>
              <w:rPr>
                <w:sz w:val="1"/>
                <w:szCs w:val="1"/>
                <w:color w:val="auto"/>
              </w:rPr>
            </w:pPr>
          </w:p>
        </w:tc>
      </w:tr>
      <w:tr>
        <w:trPr>
          <w:trHeight w:val="256"/>
        </w:trPr>
        <w:tc>
          <w:tcPr>
            <w:tcW w:w="4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gridSpan w:val="8"/>
            <w:shd w:val="clear" w:color="auto" w:fill="CCEEFF"/>
          </w:tcPr>
          <w:p>
            <w:pPr>
              <w:spacing w:after="0"/>
              <w:rPr>
                <w:sz w:val="20"/>
                <w:szCs w:val="20"/>
                <w:color w:val="auto"/>
              </w:rPr>
            </w:pPr>
            <w:r>
              <w:rPr>
                <w:rFonts w:ascii="Arial" w:cs="Arial" w:eastAsia="Arial" w:hAnsi="Arial"/>
                <w:sz w:val="14"/>
                <w:szCs w:val="14"/>
                <w:color w:val="auto"/>
                <w:w w:val="90"/>
                <w:shd w:val="clear" w:color="auto" w:fill="CCEEFF"/>
              </w:rPr>
              <w:t>Preferred shares, Series B</w:t>
            </w:r>
          </w:p>
        </w:tc>
        <w:tc>
          <w:tcPr>
            <w:tcW w:w="1140" w:type="dxa"/>
            <w:vAlign w:val="bottom"/>
            <w:tcBorders>
              <w:bottom w:val="single" w:sz="8" w:color="CCEEFF"/>
            </w:tcBorders>
            <w:gridSpan w:val="4"/>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922,509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4,999,999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2,367,022</w:t>
            </w: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1.16%</w:t>
            </w:r>
          </w:p>
        </w:tc>
        <w:tc>
          <w:tcPr>
            <w:tcW w:w="0" w:type="dxa"/>
            <w:vAlign w:val="bottom"/>
          </w:tcPr>
          <w:p>
            <w:pPr>
              <w:spacing w:after="0"/>
              <w:rPr>
                <w:sz w:val="1"/>
                <w:szCs w:val="1"/>
                <w:color w:val="auto"/>
              </w:rPr>
            </w:pPr>
          </w:p>
        </w:tc>
      </w:tr>
      <w:tr>
        <w:trPr>
          <w:trHeight w:val="264"/>
        </w:trPr>
        <w:tc>
          <w:tcPr>
            <w:tcW w:w="3540" w:type="dxa"/>
            <w:vAlign w:val="bottom"/>
            <w:gridSpan w:val="14"/>
          </w:tcPr>
          <w:p>
            <w:pPr>
              <w:ind w:left="40"/>
              <w:spacing w:after="0"/>
              <w:rPr>
                <w:sz w:val="20"/>
                <w:szCs w:val="20"/>
                <w:color w:val="auto"/>
              </w:rPr>
            </w:pPr>
            <w:r>
              <w:rPr>
                <w:rFonts w:ascii="Arial" w:cs="Arial" w:eastAsia="Arial" w:hAnsi="Arial"/>
                <w:sz w:val="14"/>
                <w:szCs w:val="14"/>
                <w:color w:val="auto"/>
              </w:rPr>
              <w:t>Preferred shares, Series A</w:t>
            </w:r>
          </w:p>
        </w:tc>
        <w:tc>
          <w:tcPr>
            <w:tcW w:w="12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1,090,909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3,000,200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1,419,810</w:t>
            </w:r>
          </w:p>
        </w:tc>
        <w:tc>
          <w:tcPr>
            <w:tcW w:w="1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0.69%</w:t>
            </w:r>
          </w:p>
        </w:tc>
        <w:tc>
          <w:tcPr>
            <w:tcW w:w="0" w:type="dxa"/>
            <w:vAlign w:val="bottom"/>
          </w:tcPr>
          <w:p>
            <w:pPr>
              <w:spacing w:after="0"/>
              <w:rPr>
                <w:sz w:val="1"/>
                <w:szCs w:val="1"/>
                <w:color w:val="auto"/>
              </w:rPr>
            </w:pPr>
          </w:p>
        </w:tc>
      </w:tr>
      <w:tr>
        <w:trPr>
          <w:trHeight w:val="270"/>
        </w:trPr>
        <w:tc>
          <w:tcPr>
            <w:tcW w:w="3540" w:type="dxa"/>
            <w:vAlign w:val="bottom"/>
            <w:tcBorders>
              <w:bottom w:val="single" w:sz="8" w:color="CCEEFF"/>
            </w:tcBorders>
            <w:gridSpan w:val="14"/>
            <w:shd w:val="clear" w:color="auto" w:fill="CCEEFF"/>
          </w:tcPr>
          <w:p>
            <w:pPr>
              <w:ind w:left="40"/>
              <w:spacing w:after="0"/>
              <w:rPr>
                <w:sz w:val="20"/>
                <w:szCs w:val="20"/>
                <w:color w:val="auto"/>
              </w:rPr>
            </w:pPr>
            <w:r>
              <w:rPr>
                <w:rFonts w:ascii="Arial" w:cs="Arial" w:eastAsia="Arial" w:hAnsi="Arial"/>
                <w:sz w:val="14"/>
                <w:szCs w:val="14"/>
                <w:color w:val="auto"/>
              </w:rPr>
              <w:t>Preferred shares, Series Seed</w:t>
            </w:r>
          </w:p>
        </w:tc>
        <w:tc>
          <w:tcPr>
            <w:tcW w:w="120" w:type="dxa"/>
            <w:vAlign w:val="bottom"/>
            <w:tcBorders>
              <w:bottom w:val="single" w:sz="8" w:color="CCEEFF"/>
            </w:tcBorders>
            <w:shd w:val="clear" w:color="auto" w:fill="CCEEFF"/>
          </w:tcPr>
          <w:p>
            <w:pPr>
              <w:spacing w:after="0"/>
              <w:rPr>
                <w:sz w:val="23"/>
                <w:szCs w:val="23"/>
                <w:color w:val="auto"/>
              </w:rPr>
            </w:pPr>
          </w:p>
        </w:tc>
        <w:tc>
          <w:tcPr>
            <w:tcW w:w="2740" w:type="dxa"/>
            <w:vAlign w:val="bottom"/>
            <w:tcBorders>
              <w:bottom w:val="single" w:sz="8" w:color="CCEEFF"/>
            </w:tcBorders>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500,000</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500,000</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236,635</w:t>
            </w:r>
          </w:p>
        </w:tc>
        <w:tc>
          <w:tcPr>
            <w:tcW w:w="120" w:type="dxa"/>
            <w:vAlign w:val="bottom"/>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0.12%</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3500" w:type="dxa"/>
            <w:vAlign w:val="bottom"/>
            <w:tcBorders>
              <w:bottom w:val="single" w:sz="8" w:color="CCEEFF"/>
            </w:tcBorders>
            <w:gridSpan w:val="13"/>
          </w:tcPr>
          <w:p>
            <w:pPr>
              <w:ind w:left="140"/>
              <w:spacing w:after="0"/>
              <w:rPr>
                <w:sz w:val="20"/>
                <w:szCs w:val="20"/>
                <w:color w:val="auto"/>
              </w:rPr>
            </w:pPr>
            <w:r>
              <w:rPr>
                <w:rFonts w:ascii="Arial" w:cs="Arial" w:eastAsia="Arial" w:hAnsi="Arial"/>
                <w:sz w:val="14"/>
                <w:szCs w:val="14"/>
                <w:color w:val="auto"/>
              </w:rPr>
              <w:t>Total</w:t>
            </w:r>
          </w:p>
        </w:tc>
        <w:tc>
          <w:tcPr>
            <w:tcW w:w="120" w:type="dxa"/>
            <w:vAlign w:val="bottom"/>
            <w:tcBorders>
              <w:bottom w:val="single" w:sz="8" w:color="CCEEFF"/>
            </w:tcBorders>
          </w:tcPr>
          <w:p>
            <w:pPr>
              <w:spacing w:after="0"/>
              <w:rPr>
                <w:sz w:val="22"/>
                <w:szCs w:val="22"/>
                <w:color w:val="auto"/>
              </w:rPr>
            </w:pPr>
          </w:p>
        </w:tc>
        <w:tc>
          <w:tcPr>
            <w:tcW w:w="274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9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10,500,199</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5,091,106</w:t>
            </w:r>
          </w:p>
        </w:tc>
        <w:tc>
          <w:tcPr>
            <w:tcW w:w="12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2.49%</w:t>
            </w:r>
          </w:p>
        </w:tc>
        <w:tc>
          <w:tcPr>
            <w:tcW w:w="0" w:type="dxa"/>
            <w:vAlign w:val="bottom"/>
          </w:tcPr>
          <w:p>
            <w:pPr>
              <w:spacing w:after="0"/>
              <w:rPr>
                <w:sz w:val="1"/>
                <w:szCs w:val="1"/>
                <w:color w:val="auto"/>
              </w:rPr>
            </w:pPr>
          </w:p>
        </w:tc>
      </w:tr>
      <w:tr>
        <w:trPr>
          <w:trHeight w:val="229"/>
        </w:trPr>
        <w:tc>
          <w:tcPr>
            <w:tcW w:w="3540" w:type="dxa"/>
            <w:vAlign w:val="bottom"/>
            <w:gridSpan w:val="14"/>
            <w:shd w:val="clear" w:color="auto" w:fill="CCEEFF"/>
          </w:tcPr>
          <w:p>
            <w:pPr>
              <w:ind w:left="40"/>
              <w:spacing w:after="0"/>
              <w:rPr>
                <w:sz w:val="20"/>
                <w:szCs w:val="20"/>
                <w:color w:val="auto"/>
              </w:rPr>
            </w:pPr>
            <w:r>
              <w:rPr>
                <w:rFonts w:ascii="Arial" w:cs="Arial" w:eastAsia="Arial" w:hAnsi="Arial"/>
                <w:sz w:val="14"/>
                <w:szCs w:val="14"/>
                <w:b w:val="1"/>
                <w:bCs w:val="1"/>
                <w:color w:val="auto"/>
              </w:rPr>
              <w:t>CUX, Inc. (d/b/a CorpU)</w:t>
            </w:r>
          </w:p>
        </w:tc>
        <w:tc>
          <w:tcPr>
            <w:tcW w:w="120" w:type="dxa"/>
            <w:vAlign w:val="bottom"/>
            <w:shd w:val="clear" w:color="auto" w:fill="CCEEFF"/>
          </w:tcPr>
          <w:p>
            <w:pPr>
              <w:spacing w:after="0"/>
              <w:rPr>
                <w:sz w:val="19"/>
                <w:szCs w:val="19"/>
                <w:color w:val="auto"/>
              </w:rPr>
            </w:pPr>
          </w:p>
        </w:tc>
        <w:tc>
          <w:tcPr>
            <w:tcW w:w="28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3"/>
              </w:rPr>
              <w:t>Philadelphia, PA</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7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540" w:type="dxa"/>
            <w:vAlign w:val="bottom"/>
            <w:gridSpan w:val="14"/>
          </w:tcPr>
          <w:p>
            <w:pPr>
              <w:ind w:left="40"/>
              <w:spacing w:after="0" w:line="157" w:lineRule="exact"/>
              <w:rPr>
                <w:sz w:val="20"/>
                <w:szCs w:val="20"/>
                <w:color w:val="auto"/>
              </w:rPr>
            </w:pPr>
            <w:r>
              <w:rPr>
                <w:rFonts w:ascii="Arial" w:cs="Arial" w:eastAsia="Arial" w:hAnsi="Arial"/>
                <w:sz w:val="14"/>
                <w:szCs w:val="14"/>
                <w:color w:val="auto"/>
                <w:w w:val="94"/>
              </w:rPr>
              <w:t>Senior Subordinated Convertible Promissory Note 8%, Due</w:t>
            </w:r>
          </w:p>
        </w:tc>
        <w:tc>
          <w:tcPr>
            <w:tcW w:w="12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020" w:type="dxa"/>
            <w:vAlign w:val="bottom"/>
            <w:gridSpan w:val="7"/>
          </w:tcPr>
          <w:p>
            <w:pPr>
              <w:ind w:left="40"/>
              <w:spacing w:after="0"/>
              <w:rPr>
                <w:sz w:val="20"/>
                <w:szCs w:val="20"/>
                <w:color w:val="auto"/>
              </w:rPr>
            </w:pPr>
            <w:r>
              <w:rPr>
                <w:rFonts w:ascii="Arial" w:cs="Arial" w:eastAsia="Arial" w:hAnsi="Arial"/>
                <w:sz w:val="14"/>
                <w:szCs w:val="14"/>
                <w:color w:val="auto"/>
                <w:w w:val="99"/>
              </w:rPr>
              <w:t>11/26/2018***</w:t>
            </w:r>
            <w:r>
              <w:rPr>
                <w:rFonts w:ascii="Arial" w:cs="Arial" w:eastAsia="Arial" w:hAnsi="Arial"/>
                <w:sz w:val="8"/>
                <w:szCs w:val="8"/>
                <w:color w:val="auto"/>
                <w:w w:val="99"/>
              </w:rPr>
              <w:t>(6)</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8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Corporate Education</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1,259,712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1,259,712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1,259,712</w:t>
            </w: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0.62%</w:t>
            </w:r>
          </w:p>
        </w:tc>
        <w:tc>
          <w:tcPr>
            <w:tcW w:w="0" w:type="dxa"/>
            <w:vAlign w:val="bottom"/>
          </w:tcPr>
          <w:p>
            <w:pPr>
              <w:spacing w:after="0"/>
              <w:rPr>
                <w:sz w:val="1"/>
                <w:szCs w:val="1"/>
                <w:color w:val="auto"/>
              </w:rPr>
            </w:pPr>
          </w:p>
        </w:tc>
      </w:tr>
      <w:tr>
        <w:trPr>
          <w:trHeight w:val="256"/>
        </w:trPr>
        <w:tc>
          <w:tcPr>
            <w:tcW w:w="40" w:type="dxa"/>
            <w:vAlign w:val="bottom"/>
            <w:tcBorders>
              <w:bottom w:val="single" w:sz="8" w:color="CCEEFF"/>
            </w:tcBorders>
            <w:shd w:val="clear" w:color="auto" w:fill="CCEEFF"/>
          </w:tcPr>
          <w:p>
            <w:pPr>
              <w:spacing w:after="0"/>
              <w:rPr>
                <w:sz w:val="22"/>
                <w:szCs w:val="22"/>
                <w:color w:val="auto"/>
              </w:rPr>
            </w:pPr>
          </w:p>
        </w:tc>
        <w:tc>
          <w:tcPr>
            <w:tcW w:w="2660" w:type="dxa"/>
            <w:vAlign w:val="bottom"/>
            <w:tcBorders>
              <w:bottom w:val="single" w:sz="8" w:color="CCEEFF"/>
            </w:tcBorders>
            <w:gridSpan w:val="12"/>
            <w:shd w:val="clear" w:color="auto" w:fill="CCEEFF"/>
          </w:tcPr>
          <w:p>
            <w:pPr>
              <w:spacing w:after="0"/>
              <w:rPr>
                <w:sz w:val="20"/>
                <w:szCs w:val="20"/>
                <w:color w:val="auto"/>
              </w:rPr>
            </w:pPr>
            <w:r>
              <w:rPr>
                <w:rFonts w:ascii="Arial" w:cs="Arial" w:eastAsia="Arial" w:hAnsi="Arial"/>
                <w:sz w:val="14"/>
                <w:szCs w:val="14"/>
                <w:color w:val="auto"/>
                <w:shd w:val="clear" w:color="auto" w:fill="CCEEFF"/>
              </w:rPr>
              <w:t>Convertible preferred shares, Series D</w:t>
            </w:r>
          </w:p>
        </w:tc>
        <w:tc>
          <w:tcPr>
            <w:tcW w:w="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169,033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778,607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989,489</w:t>
            </w: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0.48%</w:t>
            </w:r>
          </w:p>
        </w:tc>
        <w:tc>
          <w:tcPr>
            <w:tcW w:w="0" w:type="dxa"/>
            <w:vAlign w:val="bottom"/>
          </w:tcPr>
          <w:p>
            <w:pPr>
              <w:spacing w:after="0"/>
              <w:rPr>
                <w:sz w:val="1"/>
                <w:szCs w:val="1"/>
                <w:color w:val="auto"/>
              </w:rPr>
            </w:pPr>
          </w:p>
        </w:tc>
      </w:tr>
      <w:tr>
        <w:trPr>
          <w:trHeight w:val="264"/>
        </w:trPr>
        <w:tc>
          <w:tcPr>
            <w:tcW w:w="3540" w:type="dxa"/>
            <w:vAlign w:val="bottom"/>
            <w:gridSpan w:val="14"/>
          </w:tcPr>
          <w:p>
            <w:pPr>
              <w:ind w:left="40"/>
              <w:spacing w:after="0"/>
              <w:rPr>
                <w:sz w:val="20"/>
                <w:szCs w:val="20"/>
                <w:color w:val="auto"/>
              </w:rPr>
            </w:pPr>
            <w:r>
              <w:rPr>
                <w:rFonts w:ascii="Arial" w:cs="Arial" w:eastAsia="Arial" w:hAnsi="Arial"/>
                <w:sz w:val="14"/>
                <w:szCs w:val="14"/>
                <w:color w:val="auto"/>
              </w:rPr>
              <w:t>Convertible preferred shares, Series C</w:t>
            </w:r>
          </w:p>
        </w:tc>
        <w:tc>
          <w:tcPr>
            <w:tcW w:w="12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615,763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2,006,077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480,184</w:t>
            </w:r>
          </w:p>
        </w:tc>
        <w:tc>
          <w:tcPr>
            <w:tcW w:w="1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0.23%</w:t>
            </w:r>
          </w:p>
        </w:tc>
        <w:tc>
          <w:tcPr>
            <w:tcW w:w="0" w:type="dxa"/>
            <w:vAlign w:val="bottom"/>
          </w:tcPr>
          <w:p>
            <w:pPr>
              <w:spacing w:after="0"/>
              <w:rPr>
                <w:sz w:val="1"/>
                <w:szCs w:val="1"/>
                <w:color w:val="auto"/>
              </w:rPr>
            </w:pPr>
          </w:p>
        </w:tc>
      </w:tr>
      <w:tr>
        <w:trPr>
          <w:trHeight w:val="163"/>
        </w:trPr>
        <w:tc>
          <w:tcPr>
            <w:tcW w:w="3540" w:type="dxa"/>
            <w:vAlign w:val="bottom"/>
            <w:gridSpan w:val="14"/>
            <w:shd w:val="clear" w:color="auto" w:fill="CCEEFF"/>
          </w:tcPr>
          <w:p>
            <w:pPr>
              <w:ind w:left="40"/>
              <w:spacing w:after="0"/>
              <w:rPr>
                <w:sz w:val="20"/>
                <w:szCs w:val="20"/>
                <w:color w:val="auto"/>
              </w:rPr>
            </w:pPr>
            <w:r>
              <w:rPr>
                <w:rFonts w:ascii="Arial" w:cs="Arial" w:eastAsia="Arial" w:hAnsi="Arial"/>
                <w:sz w:val="14"/>
                <w:szCs w:val="14"/>
                <w:color w:val="auto"/>
                <w:w w:val="95"/>
              </w:rPr>
              <w:t>Preferred Warrants Series D–Strike Price $4.59–Expiration</w:t>
            </w:r>
          </w:p>
        </w:tc>
        <w:tc>
          <w:tcPr>
            <w:tcW w:w="120" w:type="dxa"/>
            <w:vAlign w:val="bottom"/>
            <w:shd w:val="clear" w:color="auto" w:fill="CCEEFF"/>
          </w:tcPr>
          <w:p>
            <w:pPr>
              <w:spacing w:after="0"/>
              <w:rPr>
                <w:sz w:val="14"/>
                <w:szCs w:val="14"/>
                <w:color w:val="auto"/>
              </w:rPr>
            </w:pPr>
          </w:p>
        </w:tc>
        <w:tc>
          <w:tcPr>
            <w:tcW w:w="2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540" w:type="dxa"/>
            <w:vAlign w:val="bottom"/>
            <w:gridSpan w:val="14"/>
            <w:shd w:val="clear" w:color="auto" w:fill="CCEEFF"/>
          </w:tcPr>
          <w:p>
            <w:pPr>
              <w:ind w:left="40"/>
              <w:spacing w:after="0"/>
              <w:rPr>
                <w:sz w:val="20"/>
                <w:szCs w:val="20"/>
                <w:color w:val="auto"/>
              </w:rPr>
            </w:pPr>
            <w:r>
              <w:rPr>
                <w:rFonts w:ascii="Arial" w:cs="Arial" w:eastAsia="Arial" w:hAnsi="Arial"/>
                <w:sz w:val="14"/>
                <w:szCs w:val="14"/>
                <w:color w:val="auto"/>
              </w:rPr>
              <w:t>Date 2/25/2018</w:t>
            </w:r>
            <w:r>
              <w:rPr>
                <w:rFonts w:ascii="Arial" w:cs="Arial" w:eastAsia="Arial" w:hAnsi="Arial"/>
                <w:sz w:val="8"/>
                <w:szCs w:val="8"/>
                <w:color w:val="auto"/>
              </w:rPr>
              <w:t>(15)</w:t>
            </w:r>
          </w:p>
        </w:tc>
        <w:tc>
          <w:tcPr>
            <w:tcW w:w="120" w:type="dxa"/>
            <w:vAlign w:val="bottom"/>
            <w:shd w:val="clear" w:color="auto" w:fill="CCEEFF"/>
          </w:tcPr>
          <w:p>
            <w:pPr>
              <w:spacing w:after="0"/>
              <w:rPr>
                <w:sz w:val="16"/>
                <w:szCs w:val="16"/>
                <w:color w:val="auto"/>
              </w:rPr>
            </w:pPr>
          </w:p>
        </w:tc>
        <w:tc>
          <w:tcPr>
            <w:tcW w:w="2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16,903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2,366</w:t>
            </w: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264"/>
        </w:trPr>
        <w:tc>
          <w:tcPr>
            <w:tcW w:w="40" w:type="dxa"/>
            <w:vAlign w:val="bottom"/>
            <w:tcBorders>
              <w:top w:val="single" w:sz="8" w:color="CCEEFF"/>
              <w:bottom w:val="single" w:sz="8" w:color="CCEEFF"/>
            </w:tcBorders>
          </w:tcPr>
          <w:p>
            <w:pPr>
              <w:spacing w:after="0"/>
              <w:rPr>
                <w:sz w:val="22"/>
                <w:szCs w:val="22"/>
                <w:color w:val="auto"/>
              </w:rPr>
            </w:pPr>
          </w:p>
        </w:tc>
        <w:tc>
          <w:tcPr>
            <w:tcW w:w="3500" w:type="dxa"/>
            <w:vAlign w:val="bottom"/>
            <w:tcBorders>
              <w:top w:val="single" w:sz="8" w:color="CCEEFF"/>
              <w:bottom w:val="single" w:sz="8" w:color="CCEEFF"/>
            </w:tcBorders>
            <w:gridSpan w:val="13"/>
          </w:tcPr>
          <w:p>
            <w:pPr>
              <w:ind w:left="140"/>
              <w:spacing w:after="0"/>
              <w:rPr>
                <w:sz w:val="20"/>
                <w:szCs w:val="20"/>
                <w:color w:val="auto"/>
              </w:rPr>
            </w:pPr>
            <w:r>
              <w:rPr>
                <w:rFonts w:ascii="Arial" w:cs="Arial" w:eastAsia="Arial" w:hAnsi="Arial"/>
                <w:sz w:val="14"/>
                <w:szCs w:val="14"/>
                <w:color w:val="auto"/>
              </w:rPr>
              <w:t>Total</w:t>
            </w:r>
          </w:p>
        </w:tc>
        <w:tc>
          <w:tcPr>
            <w:tcW w:w="120" w:type="dxa"/>
            <w:vAlign w:val="bottom"/>
            <w:tcBorders>
              <w:top w:val="single" w:sz="8" w:color="CCEEFF"/>
              <w:bottom w:val="single" w:sz="8" w:color="CCEEFF"/>
            </w:tcBorders>
          </w:tcPr>
          <w:p>
            <w:pPr>
              <w:spacing w:after="0"/>
              <w:rPr>
                <w:sz w:val="22"/>
                <w:szCs w:val="22"/>
                <w:color w:val="auto"/>
              </w:rPr>
            </w:pPr>
          </w:p>
        </w:tc>
        <w:tc>
          <w:tcPr>
            <w:tcW w:w="2740" w:type="dxa"/>
            <w:vAlign w:val="bottom"/>
            <w:tcBorders>
              <w:top w:val="single" w:sz="8" w:color="CCEEFF"/>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80" w:type="dxa"/>
            <w:vAlign w:val="bottom"/>
            <w:tcBorders>
              <w:top w:val="single" w:sz="8" w:color="CCEEFF"/>
              <w:bottom w:val="single" w:sz="8" w:color="CCEEFF"/>
            </w:tcBorders>
          </w:tcPr>
          <w:p>
            <w:pPr>
              <w:spacing w:after="0"/>
              <w:rPr>
                <w:sz w:val="22"/>
                <w:szCs w:val="22"/>
                <w:color w:val="auto"/>
              </w:rPr>
            </w:pPr>
          </w:p>
        </w:tc>
        <w:tc>
          <w:tcPr>
            <w:tcW w:w="940" w:type="dxa"/>
            <w:vAlign w:val="bottom"/>
            <w:tcBorders>
              <w:top w:val="single" w:sz="8" w:color="CCEEFF"/>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4,044,396</w:t>
            </w:r>
          </w:p>
        </w:tc>
        <w:tc>
          <w:tcPr>
            <w:tcW w:w="10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2,731,751</w:t>
            </w:r>
          </w:p>
        </w:tc>
        <w:tc>
          <w:tcPr>
            <w:tcW w:w="120" w:type="dxa"/>
            <w:vAlign w:val="bottom"/>
            <w:tcBorders>
              <w:bottom w:val="single" w:sz="8" w:color="CCEEFF"/>
            </w:tcBorders>
          </w:tcPr>
          <w:p>
            <w:pPr>
              <w:spacing w:after="0"/>
              <w:rPr>
                <w:sz w:val="22"/>
                <w:szCs w:val="22"/>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1.33%</w:t>
            </w:r>
          </w:p>
        </w:tc>
        <w:tc>
          <w:tcPr>
            <w:tcW w:w="0" w:type="dxa"/>
            <w:vAlign w:val="bottom"/>
          </w:tcPr>
          <w:p>
            <w:pPr>
              <w:spacing w:after="0"/>
              <w:rPr>
                <w:sz w:val="1"/>
                <w:szCs w:val="1"/>
                <w:color w:val="auto"/>
              </w:rPr>
            </w:pPr>
          </w:p>
        </w:tc>
      </w:tr>
      <w:tr>
        <w:trPr>
          <w:trHeight w:val="229"/>
        </w:trPr>
        <w:tc>
          <w:tcPr>
            <w:tcW w:w="3540" w:type="dxa"/>
            <w:vAlign w:val="bottom"/>
            <w:gridSpan w:val="14"/>
            <w:shd w:val="clear" w:color="auto" w:fill="CCEEFF"/>
          </w:tcPr>
          <w:p>
            <w:pPr>
              <w:ind w:left="40"/>
              <w:spacing w:after="0"/>
              <w:rPr>
                <w:sz w:val="20"/>
                <w:szCs w:val="20"/>
                <w:color w:val="auto"/>
              </w:rPr>
            </w:pPr>
            <w:r>
              <w:rPr>
                <w:rFonts w:ascii="Arial" w:cs="Arial" w:eastAsia="Arial" w:hAnsi="Arial"/>
                <w:sz w:val="14"/>
                <w:szCs w:val="14"/>
                <w:b w:val="1"/>
                <w:bCs w:val="1"/>
                <w:color w:val="auto"/>
              </w:rPr>
              <w:t>Declara, Inc.</w:t>
            </w:r>
          </w:p>
        </w:tc>
        <w:tc>
          <w:tcPr>
            <w:tcW w:w="120" w:type="dxa"/>
            <w:vAlign w:val="bottom"/>
            <w:shd w:val="clear" w:color="auto" w:fill="CCEEFF"/>
          </w:tcPr>
          <w:p>
            <w:pPr>
              <w:spacing w:after="0"/>
              <w:rPr>
                <w:sz w:val="19"/>
                <w:szCs w:val="19"/>
                <w:color w:val="auto"/>
              </w:rPr>
            </w:pPr>
          </w:p>
        </w:tc>
        <w:tc>
          <w:tcPr>
            <w:tcW w:w="288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8"/>
              </w:rPr>
              <w:t>Palo Alto, CA</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7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540" w:type="dxa"/>
            <w:vAlign w:val="bottom"/>
            <w:gridSpan w:val="14"/>
          </w:tcPr>
          <w:p>
            <w:pPr>
              <w:ind w:left="40"/>
              <w:spacing w:after="0" w:line="157" w:lineRule="exact"/>
              <w:rPr>
                <w:sz w:val="20"/>
                <w:szCs w:val="20"/>
                <w:color w:val="auto"/>
              </w:rPr>
            </w:pPr>
            <w:r>
              <w:rPr>
                <w:rFonts w:ascii="Arial" w:cs="Arial" w:eastAsia="Arial" w:hAnsi="Arial"/>
                <w:sz w:val="14"/>
                <w:szCs w:val="14"/>
                <w:color w:val="auto"/>
              </w:rPr>
              <w:t>Convertible Promissory Note 9% Due</w:t>
            </w:r>
          </w:p>
        </w:tc>
        <w:tc>
          <w:tcPr>
            <w:tcW w:w="12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000" w:type="dxa"/>
            <w:vAlign w:val="bottom"/>
            <w:gridSpan w:val="6"/>
          </w:tcPr>
          <w:p>
            <w:pPr>
              <w:ind w:left="40"/>
              <w:spacing w:after="0"/>
              <w:rPr>
                <w:sz w:val="20"/>
                <w:szCs w:val="20"/>
                <w:color w:val="auto"/>
              </w:rPr>
            </w:pPr>
            <w:r>
              <w:rPr>
                <w:rFonts w:ascii="Arial" w:cs="Arial" w:eastAsia="Arial" w:hAnsi="Arial"/>
                <w:sz w:val="14"/>
                <w:szCs w:val="14"/>
                <w:color w:val="auto"/>
                <w:w w:val="95"/>
              </w:rPr>
              <w:t>12/31/2017</w:t>
            </w:r>
            <w:r>
              <w:rPr>
                <w:rFonts w:ascii="Arial" w:cs="Arial" w:eastAsia="Arial" w:hAnsi="Arial"/>
                <w:sz w:val="8"/>
                <w:szCs w:val="8"/>
                <w:color w:val="auto"/>
                <w:w w:val="95"/>
              </w:rPr>
              <w:t>(10)(12)</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80" w:type="dxa"/>
            <w:vAlign w:val="bottom"/>
            <w:gridSpan w:val="2"/>
          </w:tcPr>
          <w:p>
            <w:pPr>
              <w:jc w:val="center"/>
              <w:ind w:right="120"/>
              <w:spacing w:after="0"/>
              <w:rPr>
                <w:sz w:val="20"/>
                <w:szCs w:val="20"/>
                <w:color w:val="auto"/>
              </w:rPr>
            </w:pPr>
            <w:r>
              <w:rPr>
                <w:rFonts w:ascii="Arial" w:cs="Arial" w:eastAsia="Arial" w:hAnsi="Arial"/>
                <w:sz w:val="14"/>
                <w:szCs w:val="14"/>
                <w:color w:val="auto"/>
                <w:w w:val="95"/>
              </w:rPr>
              <w:t>Social Cognitive Learning</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2,120,658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2,121,898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1,120,329</w:t>
            </w: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0.55%</w:t>
            </w:r>
          </w:p>
        </w:tc>
        <w:tc>
          <w:tcPr>
            <w:tcW w:w="0" w:type="dxa"/>
            <w:vAlign w:val="bottom"/>
          </w:tcPr>
          <w:p>
            <w:pPr>
              <w:spacing w:after="0"/>
              <w:rPr>
                <w:sz w:val="1"/>
                <w:szCs w:val="1"/>
                <w:color w:val="auto"/>
              </w:rPr>
            </w:pPr>
          </w:p>
        </w:tc>
      </w:tr>
      <w:tr>
        <w:trPr>
          <w:trHeight w:val="270"/>
        </w:trPr>
        <w:tc>
          <w:tcPr>
            <w:tcW w:w="3540" w:type="dxa"/>
            <w:vAlign w:val="bottom"/>
            <w:tcBorders>
              <w:bottom w:val="single" w:sz="8" w:color="CCEEFF"/>
            </w:tcBorders>
            <w:gridSpan w:val="14"/>
            <w:shd w:val="clear" w:color="auto" w:fill="CCEEFF"/>
          </w:tcPr>
          <w:p>
            <w:pPr>
              <w:ind w:left="40"/>
              <w:spacing w:after="0"/>
              <w:rPr>
                <w:sz w:val="20"/>
                <w:szCs w:val="20"/>
                <w:color w:val="auto"/>
              </w:rPr>
            </w:pPr>
            <w:r>
              <w:rPr>
                <w:rFonts w:ascii="Arial" w:cs="Arial" w:eastAsia="Arial" w:hAnsi="Arial"/>
                <w:sz w:val="14"/>
                <w:szCs w:val="14"/>
                <w:color w:val="auto"/>
              </w:rPr>
              <w:t>Preferred shares, Series A</w:t>
            </w:r>
          </w:p>
        </w:tc>
        <w:tc>
          <w:tcPr>
            <w:tcW w:w="120" w:type="dxa"/>
            <w:vAlign w:val="bottom"/>
            <w:tcBorders>
              <w:bottom w:val="single" w:sz="8" w:color="CCEEFF"/>
            </w:tcBorders>
            <w:shd w:val="clear" w:color="auto" w:fill="CCEEFF"/>
          </w:tcPr>
          <w:p>
            <w:pPr>
              <w:spacing w:after="0"/>
              <w:rPr>
                <w:sz w:val="23"/>
                <w:szCs w:val="23"/>
                <w:color w:val="auto"/>
              </w:rPr>
            </w:pPr>
          </w:p>
        </w:tc>
        <w:tc>
          <w:tcPr>
            <w:tcW w:w="2740" w:type="dxa"/>
            <w:vAlign w:val="bottom"/>
            <w:tcBorders>
              <w:bottom w:val="single" w:sz="8" w:color="CCEEFF"/>
            </w:tcBorders>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10,716,390</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9,999,999</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382,678</w:t>
            </w:r>
          </w:p>
        </w:tc>
        <w:tc>
          <w:tcPr>
            <w:tcW w:w="120" w:type="dxa"/>
            <w:vAlign w:val="bottom"/>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0.19%</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3500" w:type="dxa"/>
            <w:vAlign w:val="bottom"/>
            <w:tcBorders>
              <w:bottom w:val="single" w:sz="8" w:color="CCEEFF"/>
            </w:tcBorders>
            <w:gridSpan w:val="13"/>
          </w:tcPr>
          <w:p>
            <w:pPr>
              <w:ind w:left="140"/>
              <w:spacing w:after="0"/>
              <w:rPr>
                <w:sz w:val="20"/>
                <w:szCs w:val="20"/>
                <w:color w:val="auto"/>
              </w:rPr>
            </w:pPr>
            <w:r>
              <w:rPr>
                <w:rFonts w:ascii="Arial" w:cs="Arial" w:eastAsia="Arial" w:hAnsi="Arial"/>
                <w:sz w:val="14"/>
                <w:szCs w:val="14"/>
                <w:color w:val="auto"/>
              </w:rPr>
              <w:t>Total</w:t>
            </w:r>
          </w:p>
        </w:tc>
        <w:tc>
          <w:tcPr>
            <w:tcW w:w="120" w:type="dxa"/>
            <w:vAlign w:val="bottom"/>
            <w:tcBorders>
              <w:bottom w:val="single" w:sz="8" w:color="CCEEFF"/>
            </w:tcBorders>
          </w:tcPr>
          <w:p>
            <w:pPr>
              <w:spacing w:after="0"/>
              <w:rPr>
                <w:sz w:val="22"/>
                <w:szCs w:val="22"/>
                <w:color w:val="auto"/>
              </w:rPr>
            </w:pPr>
          </w:p>
        </w:tc>
        <w:tc>
          <w:tcPr>
            <w:tcW w:w="274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9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12,121,897</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1,503,007</w:t>
            </w:r>
          </w:p>
        </w:tc>
        <w:tc>
          <w:tcPr>
            <w:tcW w:w="12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0.74%</w:t>
            </w:r>
          </w:p>
        </w:tc>
        <w:tc>
          <w:tcPr>
            <w:tcW w:w="0" w:type="dxa"/>
            <w:vAlign w:val="bottom"/>
          </w:tcPr>
          <w:p>
            <w:pPr>
              <w:spacing w:after="0"/>
              <w:rPr>
                <w:sz w:val="1"/>
                <w:szCs w:val="1"/>
                <w:color w:val="auto"/>
              </w:rPr>
            </w:pPr>
          </w:p>
        </w:tc>
      </w:tr>
      <w:tr>
        <w:trPr>
          <w:trHeight w:val="229"/>
        </w:trPr>
        <w:tc>
          <w:tcPr>
            <w:tcW w:w="3540" w:type="dxa"/>
            <w:vAlign w:val="bottom"/>
            <w:gridSpan w:val="14"/>
            <w:shd w:val="clear" w:color="auto" w:fill="CCEEFF"/>
          </w:tcPr>
          <w:p>
            <w:pPr>
              <w:ind w:left="40"/>
              <w:spacing w:after="0"/>
              <w:rPr>
                <w:sz w:val="20"/>
                <w:szCs w:val="20"/>
                <w:color w:val="auto"/>
              </w:rPr>
            </w:pPr>
            <w:r>
              <w:rPr>
                <w:rFonts w:ascii="Arial" w:cs="Arial" w:eastAsia="Arial" w:hAnsi="Arial"/>
                <w:sz w:val="14"/>
                <w:szCs w:val="14"/>
                <w:b w:val="1"/>
                <w:bCs w:val="1"/>
                <w:color w:val="auto"/>
              </w:rPr>
              <w:t>EdSurge, Inc.</w:t>
            </w:r>
          </w:p>
        </w:tc>
        <w:tc>
          <w:tcPr>
            <w:tcW w:w="120" w:type="dxa"/>
            <w:vAlign w:val="bottom"/>
            <w:shd w:val="clear" w:color="auto" w:fill="CCEEFF"/>
          </w:tcPr>
          <w:p>
            <w:pPr>
              <w:spacing w:after="0"/>
              <w:rPr>
                <w:sz w:val="19"/>
                <w:szCs w:val="19"/>
                <w:color w:val="auto"/>
              </w:rPr>
            </w:pPr>
          </w:p>
        </w:tc>
        <w:tc>
          <w:tcPr>
            <w:tcW w:w="28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7"/>
              </w:rPr>
              <w:t>Burlingame, CA</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7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540" w:type="dxa"/>
            <w:vAlign w:val="bottom"/>
            <w:gridSpan w:val="14"/>
          </w:tcPr>
          <w:p>
            <w:pPr>
              <w:ind w:left="40"/>
              <w:spacing w:after="0"/>
              <w:rPr>
                <w:sz w:val="20"/>
                <w:szCs w:val="20"/>
                <w:color w:val="auto"/>
              </w:rPr>
            </w:pPr>
            <w:r>
              <w:rPr>
                <w:rFonts w:ascii="Arial" w:cs="Arial" w:eastAsia="Arial" w:hAnsi="Arial"/>
                <w:sz w:val="14"/>
                <w:szCs w:val="14"/>
                <w:color w:val="auto"/>
              </w:rPr>
              <w:t>Preferred shares, Series A-1</w:t>
            </w:r>
          </w:p>
        </w:tc>
        <w:tc>
          <w:tcPr>
            <w:tcW w:w="120" w:type="dxa"/>
            <w:vAlign w:val="bottom"/>
          </w:tcPr>
          <w:p>
            <w:pPr>
              <w:spacing w:after="0"/>
              <w:rPr>
                <w:sz w:val="22"/>
                <w:szCs w:val="22"/>
                <w:color w:val="auto"/>
              </w:rPr>
            </w:pPr>
          </w:p>
        </w:tc>
        <w:tc>
          <w:tcPr>
            <w:tcW w:w="288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Education Media Platform</w:t>
            </w:r>
          </w:p>
        </w:tc>
        <w:tc>
          <w:tcPr>
            <w:tcW w:w="18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378,788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501,360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500,000</w:t>
            </w:r>
          </w:p>
        </w:tc>
        <w:tc>
          <w:tcPr>
            <w:tcW w:w="1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0.24%</w:t>
            </w:r>
          </w:p>
        </w:tc>
        <w:tc>
          <w:tcPr>
            <w:tcW w:w="0" w:type="dxa"/>
            <w:vAlign w:val="bottom"/>
          </w:tcPr>
          <w:p>
            <w:pPr>
              <w:spacing w:after="0"/>
              <w:rPr>
                <w:sz w:val="1"/>
                <w:szCs w:val="1"/>
                <w:color w:val="auto"/>
              </w:rPr>
            </w:pPr>
          </w:p>
        </w:tc>
      </w:tr>
      <w:tr>
        <w:trPr>
          <w:trHeight w:val="270"/>
        </w:trPr>
        <w:tc>
          <w:tcPr>
            <w:tcW w:w="3540" w:type="dxa"/>
            <w:vAlign w:val="bottom"/>
            <w:tcBorders>
              <w:bottom w:val="single" w:sz="8" w:color="CCEEFF"/>
            </w:tcBorders>
            <w:gridSpan w:val="14"/>
            <w:shd w:val="clear" w:color="auto" w:fill="CCEEFF"/>
          </w:tcPr>
          <w:p>
            <w:pPr>
              <w:ind w:left="40"/>
              <w:spacing w:after="0"/>
              <w:rPr>
                <w:sz w:val="20"/>
                <w:szCs w:val="20"/>
                <w:color w:val="auto"/>
              </w:rPr>
            </w:pPr>
            <w:r>
              <w:rPr>
                <w:rFonts w:ascii="Arial" w:cs="Arial" w:eastAsia="Arial" w:hAnsi="Arial"/>
                <w:sz w:val="14"/>
                <w:szCs w:val="14"/>
                <w:color w:val="auto"/>
              </w:rPr>
              <w:t>Preferred shares, Series A</w:t>
            </w:r>
          </w:p>
        </w:tc>
        <w:tc>
          <w:tcPr>
            <w:tcW w:w="120" w:type="dxa"/>
            <w:vAlign w:val="bottom"/>
            <w:tcBorders>
              <w:bottom w:val="single" w:sz="8" w:color="CCEEFF"/>
            </w:tcBorders>
            <w:shd w:val="clear" w:color="auto" w:fill="CCEEFF"/>
          </w:tcPr>
          <w:p>
            <w:pPr>
              <w:spacing w:after="0"/>
              <w:rPr>
                <w:sz w:val="23"/>
                <w:szCs w:val="23"/>
                <w:color w:val="auto"/>
              </w:rPr>
            </w:pPr>
          </w:p>
        </w:tc>
        <w:tc>
          <w:tcPr>
            <w:tcW w:w="2740" w:type="dxa"/>
            <w:vAlign w:val="bottom"/>
            <w:tcBorders>
              <w:bottom w:val="single" w:sz="8" w:color="CCEEFF"/>
            </w:tcBorders>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494,365</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500,801</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581,917</w:t>
            </w:r>
          </w:p>
        </w:tc>
        <w:tc>
          <w:tcPr>
            <w:tcW w:w="120" w:type="dxa"/>
            <w:vAlign w:val="bottom"/>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0.28%</w:t>
            </w:r>
          </w:p>
        </w:tc>
        <w:tc>
          <w:tcPr>
            <w:tcW w:w="0" w:type="dxa"/>
            <w:vAlign w:val="bottom"/>
          </w:tcPr>
          <w:p>
            <w:pPr>
              <w:spacing w:after="0"/>
              <w:rPr>
                <w:sz w:val="1"/>
                <w:szCs w:val="1"/>
                <w:color w:val="auto"/>
              </w:rPr>
            </w:pPr>
          </w:p>
        </w:tc>
      </w:tr>
      <w:tr>
        <w:trPr>
          <w:trHeight w:val="258"/>
        </w:trPr>
        <w:tc>
          <w:tcPr>
            <w:tcW w:w="40" w:type="dxa"/>
            <w:vAlign w:val="bottom"/>
          </w:tcPr>
          <w:p>
            <w:pPr>
              <w:spacing w:after="0"/>
              <w:rPr>
                <w:sz w:val="22"/>
                <w:szCs w:val="22"/>
                <w:color w:val="auto"/>
              </w:rPr>
            </w:pPr>
          </w:p>
        </w:tc>
        <w:tc>
          <w:tcPr>
            <w:tcW w:w="3500" w:type="dxa"/>
            <w:vAlign w:val="bottom"/>
            <w:gridSpan w:val="13"/>
          </w:tcPr>
          <w:p>
            <w:pPr>
              <w:ind w:left="140"/>
              <w:spacing w:after="0"/>
              <w:rPr>
                <w:sz w:val="20"/>
                <w:szCs w:val="20"/>
                <w:color w:val="auto"/>
              </w:rPr>
            </w:pPr>
            <w:r>
              <w:rPr>
                <w:rFonts w:ascii="Arial" w:cs="Arial" w:eastAsia="Arial" w:hAnsi="Arial"/>
                <w:sz w:val="14"/>
                <w:szCs w:val="14"/>
                <w:color w:val="auto"/>
              </w:rPr>
              <w:t>Total</w:t>
            </w:r>
          </w:p>
        </w:tc>
        <w:tc>
          <w:tcPr>
            <w:tcW w:w="12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1,002,161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1,081,917</w:t>
            </w:r>
          </w:p>
        </w:tc>
        <w:tc>
          <w:tcPr>
            <w:tcW w:w="1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0.52%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-694690</wp:posOffset>
            </wp:positionV>
            <wp:extent cx="485394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8539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-1449705</wp:posOffset>
            </wp:positionV>
            <wp:extent cx="485394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8539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-2599055</wp:posOffset>
            </wp:positionV>
            <wp:extent cx="485394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8539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-4382770</wp:posOffset>
            </wp:positionV>
            <wp:extent cx="485394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8539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-6457950</wp:posOffset>
            </wp:positionV>
            <wp:extent cx="485394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8539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-7160895</wp:posOffset>
            </wp:positionV>
            <wp:extent cx="485394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85394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4927600</wp:posOffset>
            </wp:positionH>
            <wp:positionV relativeFrom="paragraph">
              <wp:posOffset>-130175</wp:posOffset>
            </wp:positionV>
            <wp:extent cx="23241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22" w:right="239" w:bottom="1440" w:gutter="0" w:footer="0" w:header="0"/>
          <w:type w:val="continuous"/>
        </w:sectPr>
      </w:pPr>
    </w:p>
    <w:bookmarkStart w:id="13" w:name="page14"/>
    <w:bookmarkEnd w:id="13"/>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gridSpan w:val="7"/>
            <w:vMerge w:val="restart"/>
          </w:tcPr>
          <w:p>
            <w:pPr>
              <w:ind w:left="40"/>
              <w:spacing w:after="0"/>
              <w:rPr>
                <w:sz w:val="20"/>
                <w:szCs w:val="20"/>
                <w:color w:val="auto"/>
              </w:rPr>
            </w:pPr>
            <w:r>
              <w:rPr>
                <w:rFonts w:ascii="Arial" w:cs="Arial" w:eastAsia="Arial" w:hAnsi="Arial"/>
                <w:sz w:val="14"/>
                <w:szCs w:val="14"/>
                <w:b w:val="1"/>
                <w:bCs w:val="1"/>
                <w:color w:val="auto"/>
              </w:rPr>
              <w:t>Portfolio Investments*</w:t>
            </w:r>
          </w:p>
        </w:tc>
        <w:tc>
          <w:tcPr>
            <w:tcW w:w="120" w:type="dxa"/>
            <w:vAlign w:val="bottom"/>
            <w:vMerge w:val="restart"/>
          </w:tcPr>
          <w:p>
            <w:pPr>
              <w:spacing w:after="0"/>
              <w:rPr>
                <w:sz w:val="14"/>
                <w:szCs w:val="14"/>
                <w:color w:val="auto"/>
              </w:rPr>
            </w:pPr>
          </w:p>
        </w:tc>
        <w:tc>
          <w:tcPr>
            <w:tcW w:w="2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Headquarters/</w:t>
            </w:r>
          </w:p>
        </w:tc>
        <w:tc>
          <w:tcPr>
            <w:tcW w:w="180" w:type="dxa"/>
            <w:vAlign w:val="bottom"/>
          </w:tcPr>
          <w:p>
            <w:pPr>
              <w:spacing w:after="0"/>
              <w:rPr>
                <w:sz w:val="14"/>
                <w:szCs w:val="14"/>
                <w:color w:val="auto"/>
              </w:rPr>
            </w:pPr>
          </w:p>
        </w:tc>
        <w:tc>
          <w:tcPr>
            <w:tcW w:w="1040" w:type="dxa"/>
            <w:vAlign w:val="bottom"/>
            <w:gridSpan w:val="2"/>
          </w:tcPr>
          <w:p>
            <w:pPr>
              <w:ind w:left="140"/>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4"/>
                <w:szCs w:val="14"/>
                <w:color w:val="auto"/>
              </w:rPr>
            </w:pPr>
          </w:p>
        </w:tc>
        <w:tc>
          <w:tcPr>
            <w:tcW w:w="92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Cost</w:t>
            </w:r>
          </w:p>
        </w:tc>
        <w:tc>
          <w:tcPr>
            <w:tcW w:w="10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Fair Value</w:t>
            </w:r>
          </w:p>
        </w:tc>
        <w:tc>
          <w:tcPr>
            <w:tcW w:w="120" w:type="dxa"/>
            <w:vAlign w:val="bottom"/>
            <w:vMerge w:val="restart"/>
          </w:tcPr>
          <w:p>
            <w:pPr>
              <w:spacing w:after="0"/>
              <w:rPr>
                <w:sz w:val="14"/>
                <w:szCs w:val="14"/>
                <w:color w:val="auto"/>
              </w:rPr>
            </w:pPr>
          </w:p>
        </w:tc>
        <w:tc>
          <w:tcPr>
            <w:tcW w:w="12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 of Net Assets</w:t>
            </w:r>
          </w:p>
        </w:tc>
        <w:tc>
          <w:tcPr>
            <w:tcW w:w="0" w:type="dxa"/>
            <w:vAlign w:val="bottom"/>
          </w:tcPr>
          <w:p>
            <w:pPr>
              <w:spacing w:after="0"/>
              <w:rPr>
                <w:sz w:val="1"/>
                <w:szCs w:val="1"/>
                <w:color w:val="auto"/>
              </w:rPr>
            </w:pPr>
          </w:p>
        </w:tc>
      </w:tr>
      <w:tr>
        <w:trPr>
          <w:trHeight w:val="192"/>
        </w:trPr>
        <w:tc>
          <w:tcPr>
            <w:tcW w:w="3540" w:type="dxa"/>
            <w:vAlign w:val="bottom"/>
            <w:tcBorders>
              <w:bottom w:val="single" w:sz="8" w:color="auto"/>
            </w:tcBorders>
            <w:gridSpan w:val="7"/>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Industry</w:t>
            </w:r>
          </w:p>
        </w:tc>
        <w:tc>
          <w:tcPr>
            <w:tcW w:w="1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Principal</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60" w:type="dxa"/>
            <w:vAlign w:val="bottom"/>
            <w:gridSpan w:val="8"/>
            <w:shd w:val="clear" w:color="auto" w:fill="CCEEFF"/>
          </w:tcPr>
          <w:p>
            <w:pPr>
              <w:ind w:left="40"/>
              <w:spacing w:after="0"/>
              <w:rPr>
                <w:sz w:val="20"/>
                <w:szCs w:val="20"/>
                <w:color w:val="auto"/>
              </w:rPr>
            </w:pPr>
            <w:r>
              <w:rPr>
                <w:rFonts w:ascii="Arial" w:cs="Arial" w:eastAsia="Arial" w:hAnsi="Arial"/>
                <w:sz w:val="14"/>
                <w:szCs w:val="14"/>
                <w:b w:val="1"/>
                <w:bCs w:val="1"/>
                <w:color w:val="auto"/>
              </w:rPr>
              <w:t>Maven Research, Inc.</w:t>
            </w:r>
          </w:p>
        </w:tc>
        <w:tc>
          <w:tcPr>
            <w:tcW w:w="28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2"/>
              </w:rPr>
              <w:t>San Francisco, CA</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7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660" w:type="dxa"/>
            <w:vAlign w:val="bottom"/>
            <w:gridSpan w:val="8"/>
          </w:tcPr>
          <w:p>
            <w:pPr>
              <w:ind w:left="40"/>
              <w:spacing w:after="0"/>
              <w:rPr>
                <w:sz w:val="20"/>
                <w:szCs w:val="20"/>
                <w:color w:val="auto"/>
              </w:rPr>
            </w:pPr>
            <w:r>
              <w:rPr>
                <w:rFonts w:ascii="Arial" w:cs="Arial" w:eastAsia="Arial" w:hAnsi="Arial"/>
                <w:sz w:val="14"/>
                <w:szCs w:val="14"/>
                <w:color w:val="auto"/>
              </w:rPr>
              <w:t>Preferred shares, Series C</w:t>
            </w:r>
          </w:p>
        </w:tc>
        <w:tc>
          <w:tcPr>
            <w:tcW w:w="2880" w:type="dxa"/>
            <w:vAlign w:val="bottom"/>
            <w:gridSpan w:val="2"/>
          </w:tcPr>
          <w:p>
            <w:pPr>
              <w:jc w:val="center"/>
              <w:ind w:right="140"/>
              <w:spacing w:after="0"/>
              <w:rPr>
                <w:sz w:val="20"/>
                <w:szCs w:val="20"/>
                <w:color w:val="auto"/>
              </w:rPr>
            </w:pPr>
            <w:r>
              <w:rPr>
                <w:rFonts w:ascii="Arial" w:cs="Arial" w:eastAsia="Arial" w:hAnsi="Arial"/>
                <w:sz w:val="14"/>
                <w:szCs w:val="14"/>
                <w:color w:val="auto"/>
                <w:w w:val="95"/>
              </w:rPr>
              <w:t>Knowledge Networks</w:t>
            </w:r>
          </w:p>
        </w:tc>
        <w:tc>
          <w:tcPr>
            <w:tcW w:w="18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318,979</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2,000,447</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501,240</w:t>
            </w:r>
          </w:p>
        </w:tc>
        <w:tc>
          <w:tcPr>
            <w:tcW w:w="1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0.24%</w:t>
            </w:r>
          </w:p>
        </w:tc>
        <w:tc>
          <w:tcPr>
            <w:tcW w:w="0" w:type="dxa"/>
            <w:vAlign w:val="bottom"/>
          </w:tcPr>
          <w:p>
            <w:pPr>
              <w:spacing w:after="0"/>
              <w:rPr>
                <w:sz w:val="1"/>
                <w:szCs w:val="1"/>
                <w:color w:val="auto"/>
              </w:rPr>
            </w:pPr>
          </w:p>
        </w:tc>
      </w:tr>
      <w:tr>
        <w:trPr>
          <w:trHeight w:val="270"/>
        </w:trPr>
        <w:tc>
          <w:tcPr>
            <w:tcW w:w="354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4"/>
                <w:szCs w:val="14"/>
                <w:color w:val="auto"/>
              </w:rPr>
              <w:t>Preferred shares, Series B</w:t>
            </w:r>
          </w:p>
        </w:tc>
        <w:tc>
          <w:tcPr>
            <w:tcW w:w="120" w:type="dxa"/>
            <w:vAlign w:val="bottom"/>
            <w:shd w:val="clear" w:color="auto" w:fill="CCEEFF"/>
          </w:tcPr>
          <w:p>
            <w:pPr>
              <w:spacing w:after="0"/>
              <w:rPr>
                <w:sz w:val="23"/>
                <w:szCs w:val="23"/>
                <w:color w:val="auto"/>
              </w:rPr>
            </w:pPr>
          </w:p>
        </w:tc>
        <w:tc>
          <w:tcPr>
            <w:tcW w:w="2740" w:type="dxa"/>
            <w:vAlign w:val="bottom"/>
            <w:tcBorders>
              <w:bottom w:val="single" w:sz="8" w:color="CCEEFF"/>
            </w:tcBorders>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49,505</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217,206</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50,000</w:t>
            </w:r>
          </w:p>
        </w:tc>
        <w:tc>
          <w:tcPr>
            <w:tcW w:w="120" w:type="dxa"/>
            <w:vAlign w:val="bottom"/>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0.02%</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3620" w:type="dxa"/>
            <w:vAlign w:val="bottom"/>
            <w:tcBorders>
              <w:bottom w:val="single" w:sz="8" w:color="CCEEFF"/>
            </w:tcBorders>
            <w:gridSpan w:val="7"/>
          </w:tcPr>
          <w:p>
            <w:pPr>
              <w:ind w:left="140"/>
              <w:spacing w:after="0"/>
              <w:rPr>
                <w:sz w:val="20"/>
                <w:szCs w:val="20"/>
                <w:color w:val="auto"/>
              </w:rPr>
            </w:pPr>
            <w:r>
              <w:rPr>
                <w:rFonts w:ascii="Arial" w:cs="Arial" w:eastAsia="Arial" w:hAnsi="Arial"/>
                <w:sz w:val="14"/>
                <w:szCs w:val="14"/>
                <w:color w:val="auto"/>
              </w:rPr>
              <w:t>Total</w:t>
            </w:r>
          </w:p>
        </w:tc>
        <w:tc>
          <w:tcPr>
            <w:tcW w:w="274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9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2,217,653</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551,240</w:t>
            </w:r>
          </w:p>
        </w:tc>
        <w:tc>
          <w:tcPr>
            <w:tcW w:w="12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0.26%</w:t>
            </w:r>
          </w:p>
        </w:tc>
        <w:tc>
          <w:tcPr>
            <w:tcW w:w="0" w:type="dxa"/>
            <w:vAlign w:val="bottom"/>
          </w:tcPr>
          <w:p>
            <w:pPr>
              <w:spacing w:after="0"/>
              <w:rPr>
                <w:sz w:val="1"/>
                <w:szCs w:val="1"/>
                <w:color w:val="auto"/>
              </w:rPr>
            </w:pPr>
          </w:p>
        </w:tc>
      </w:tr>
      <w:tr>
        <w:trPr>
          <w:trHeight w:val="270"/>
        </w:trPr>
        <w:tc>
          <w:tcPr>
            <w:tcW w:w="3660" w:type="dxa"/>
            <w:vAlign w:val="bottom"/>
            <w:gridSpan w:val="8"/>
            <w:shd w:val="clear" w:color="auto" w:fill="CCEEFF"/>
          </w:tcPr>
          <w:p>
            <w:pPr>
              <w:ind w:left="40"/>
              <w:spacing w:after="0"/>
              <w:rPr>
                <w:sz w:val="20"/>
                <w:szCs w:val="20"/>
                <w:color w:val="auto"/>
              </w:rPr>
            </w:pPr>
            <w:r>
              <w:rPr>
                <w:rFonts w:ascii="Arial" w:cs="Arial" w:eastAsia="Arial" w:hAnsi="Arial"/>
                <w:sz w:val="14"/>
                <w:szCs w:val="14"/>
                <w:b w:val="1"/>
                <w:bCs w:val="1"/>
                <w:color w:val="auto"/>
              </w:rPr>
              <w:t>Total Non-controlled/Affiliate</w:t>
            </w:r>
          </w:p>
        </w:tc>
        <w:tc>
          <w:tcPr>
            <w:tcW w:w="27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41,886,312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16,473,098</w:t>
            </w:r>
          </w:p>
        </w:tc>
        <w:tc>
          <w:tcPr>
            <w:tcW w:w="12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8.03%</w:t>
            </w:r>
          </w:p>
        </w:tc>
        <w:tc>
          <w:tcPr>
            <w:tcW w:w="0" w:type="dxa"/>
            <w:vAlign w:val="bottom"/>
          </w:tcPr>
          <w:p>
            <w:pPr>
              <w:spacing w:after="0"/>
              <w:rPr>
                <w:sz w:val="1"/>
                <w:szCs w:val="1"/>
                <w:color w:val="auto"/>
              </w:rPr>
            </w:pPr>
          </w:p>
        </w:tc>
      </w:tr>
      <w:tr>
        <w:trPr>
          <w:trHeight w:val="264"/>
        </w:trPr>
        <w:tc>
          <w:tcPr>
            <w:tcW w:w="3660" w:type="dxa"/>
            <w:vAlign w:val="bottom"/>
            <w:gridSpan w:val="8"/>
          </w:tcPr>
          <w:p>
            <w:pPr>
              <w:ind w:left="40"/>
              <w:spacing w:after="0"/>
              <w:rPr>
                <w:sz w:val="20"/>
                <w:szCs w:val="20"/>
                <w:color w:val="auto"/>
              </w:rPr>
            </w:pPr>
            <w:r>
              <w:rPr>
                <w:rFonts w:ascii="Arial" w:cs="Arial" w:eastAsia="Arial" w:hAnsi="Arial"/>
                <w:sz w:val="14"/>
                <w:szCs w:val="14"/>
                <w:b w:val="1"/>
                <w:bCs w:val="1"/>
                <w:color w:val="auto"/>
              </w:rPr>
              <w:t>CONTROLLED</w:t>
            </w:r>
            <w:r>
              <w:rPr>
                <w:rFonts w:ascii="Arial" w:cs="Arial" w:eastAsia="Arial" w:hAnsi="Arial"/>
                <w:sz w:val="8"/>
                <w:szCs w:val="8"/>
                <w:color w:val="auto"/>
              </w:rPr>
              <w:t>(2)</w:t>
            </w:r>
          </w:p>
        </w:tc>
        <w:tc>
          <w:tcPr>
            <w:tcW w:w="2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3660" w:type="dxa"/>
            <w:vAlign w:val="bottom"/>
            <w:gridSpan w:val="8"/>
            <w:shd w:val="clear" w:color="auto" w:fill="CCEEFF"/>
          </w:tcPr>
          <w:p>
            <w:pPr>
              <w:ind w:left="40"/>
              <w:spacing w:after="0"/>
              <w:rPr>
                <w:sz w:val="20"/>
                <w:szCs w:val="20"/>
                <w:color w:val="auto"/>
              </w:rPr>
            </w:pPr>
            <w:r>
              <w:rPr>
                <w:rFonts w:ascii="Arial" w:cs="Arial" w:eastAsia="Arial" w:hAnsi="Arial"/>
                <w:sz w:val="14"/>
                <w:szCs w:val="14"/>
                <w:b w:val="1"/>
                <w:bCs w:val="1"/>
                <w:color w:val="auto"/>
              </w:rPr>
              <w:t>StormWind, LLC</w:t>
            </w:r>
            <w:r>
              <w:rPr>
                <w:rFonts w:ascii="Arial" w:cs="Arial" w:eastAsia="Arial" w:hAnsi="Arial"/>
                <w:sz w:val="8"/>
                <w:szCs w:val="8"/>
                <w:color w:val="auto"/>
              </w:rPr>
              <w:t>(5)</w:t>
            </w:r>
          </w:p>
        </w:tc>
        <w:tc>
          <w:tcPr>
            <w:tcW w:w="28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2"/>
              </w:rPr>
              <w:t>Scottsdale, AZ</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7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660" w:type="dxa"/>
            <w:vAlign w:val="bottom"/>
            <w:gridSpan w:val="8"/>
          </w:tcPr>
          <w:p>
            <w:pPr>
              <w:ind w:left="40"/>
              <w:spacing w:after="0"/>
              <w:rPr>
                <w:sz w:val="20"/>
                <w:szCs w:val="20"/>
                <w:color w:val="auto"/>
              </w:rPr>
            </w:pPr>
            <w:r>
              <w:rPr>
                <w:rFonts w:ascii="Arial" w:cs="Arial" w:eastAsia="Arial" w:hAnsi="Arial"/>
                <w:sz w:val="14"/>
                <w:szCs w:val="14"/>
                <w:color w:val="auto"/>
              </w:rPr>
              <w:t>Preferred shares, Series C</w:t>
            </w:r>
          </w:p>
        </w:tc>
        <w:tc>
          <w:tcPr>
            <w:tcW w:w="288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Interactive Learning</w:t>
            </w:r>
          </w:p>
        </w:tc>
        <w:tc>
          <w:tcPr>
            <w:tcW w:w="18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2,779,134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4,000,787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7,223,904</w:t>
            </w:r>
          </w:p>
        </w:tc>
        <w:tc>
          <w:tcPr>
            <w:tcW w:w="1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3.53%</w:t>
            </w:r>
          </w:p>
        </w:tc>
        <w:tc>
          <w:tcPr>
            <w:tcW w:w="0" w:type="dxa"/>
            <w:vAlign w:val="bottom"/>
          </w:tcPr>
          <w:p>
            <w:pPr>
              <w:spacing w:after="0"/>
              <w:rPr>
                <w:sz w:val="1"/>
                <w:szCs w:val="1"/>
                <w:color w:val="auto"/>
              </w:rPr>
            </w:pPr>
          </w:p>
        </w:tc>
      </w:tr>
      <w:tr>
        <w:trPr>
          <w:trHeight w:val="276"/>
        </w:trPr>
        <w:tc>
          <w:tcPr>
            <w:tcW w:w="3660" w:type="dxa"/>
            <w:vAlign w:val="bottom"/>
            <w:gridSpan w:val="8"/>
            <w:shd w:val="clear" w:color="auto" w:fill="CCEEFF"/>
          </w:tcPr>
          <w:p>
            <w:pPr>
              <w:ind w:left="40"/>
              <w:spacing w:after="0"/>
              <w:rPr>
                <w:sz w:val="20"/>
                <w:szCs w:val="20"/>
                <w:color w:val="auto"/>
              </w:rPr>
            </w:pPr>
            <w:r>
              <w:rPr>
                <w:rFonts w:ascii="Arial" w:cs="Arial" w:eastAsia="Arial" w:hAnsi="Arial"/>
                <w:sz w:val="14"/>
                <w:szCs w:val="14"/>
                <w:color w:val="auto"/>
              </w:rPr>
              <w:t>Preferred shares, Series B</w:t>
            </w:r>
          </w:p>
        </w:tc>
        <w:tc>
          <w:tcPr>
            <w:tcW w:w="27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3,279,629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2,019,687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5,804,472</w:t>
            </w:r>
          </w:p>
        </w:tc>
        <w:tc>
          <w:tcPr>
            <w:tcW w:w="12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w:t>
            </w:r>
          </w:p>
        </w:tc>
        <w:tc>
          <w:tcPr>
            <w:tcW w:w="0" w:type="dxa"/>
            <w:vAlign w:val="bottom"/>
          </w:tcPr>
          <w:p>
            <w:pPr>
              <w:spacing w:after="0"/>
              <w:rPr>
                <w:sz w:val="1"/>
                <w:szCs w:val="1"/>
                <w:color w:val="auto"/>
              </w:rPr>
            </w:pPr>
          </w:p>
        </w:tc>
      </w:tr>
      <w:tr>
        <w:trPr>
          <w:trHeight w:val="264"/>
        </w:trPr>
        <w:tc>
          <w:tcPr>
            <w:tcW w:w="3660" w:type="dxa"/>
            <w:vAlign w:val="bottom"/>
            <w:tcBorders>
              <w:bottom w:val="single" w:sz="8" w:color="CCEEFF"/>
            </w:tcBorders>
            <w:gridSpan w:val="8"/>
          </w:tcPr>
          <w:p>
            <w:pPr>
              <w:ind w:left="40"/>
              <w:spacing w:after="0"/>
              <w:rPr>
                <w:sz w:val="20"/>
                <w:szCs w:val="20"/>
                <w:color w:val="auto"/>
              </w:rPr>
            </w:pPr>
            <w:r>
              <w:rPr>
                <w:rFonts w:ascii="Arial" w:cs="Arial" w:eastAsia="Arial" w:hAnsi="Arial"/>
                <w:sz w:val="14"/>
                <w:szCs w:val="14"/>
                <w:color w:val="auto"/>
              </w:rPr>
              <w:t>Preferred shares, Series A</w:t>
            </w:r>
          </w:p>
        </w:tc>
        <w:tc>
          <w:tcPr>
            <w:tcW w:w="274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940" w:type="dxa"/>
            <w:vAlign w:val="bottom"/>
            <w:tcBorders>
              <w:bottom w:val="single" w:sz="8" w:color="CCEEFF"/>
            </w:tcBorders>
          </w:tcPr>
          <w:p>
            <w:pPr>
              <w:jc w:val="right"/>
              <w:ind w:right="48"/>
              <w:spacing w:after="0"/>
              <w:rPr>
                <w:sz w:val="20"/>
                <w:szCs w:val="20"/>
                <w:color w:val="auto"/>
              </w:rPr>
            </w:pPr>
            <w:r>
              <w:rPr>
                <w:rFonts w:ascii="Arial" w:cs="Arial" w:eastAsia="Arial" w:hAnsi="Arial"/>
                <w:sz w:val="14"/>
                <w:szCs w:val="14"/>
                <w:color w:val="auto"/>
              </w:rPr>
              <w:t>366,666</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110,000</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425,342</w:t>
            </w:r>
          </w:p>
        </w:tc>
        <w:tc>
          <w:tcPr>
            <w:tcW w:w="12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0.21%</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3500" w:type="dxa"/>
            <w:vAlign w:val="bottom"/>
            <w:tcBorders>
              <w:bottom w:val="single" w:sz="8" w:color="CCEEFF"/>
            </w:tcBorders>
            <w:gridSpan w:val="6"/>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120" w:type="dxa"/>
            <w:vAlign w:val="bottom"/>
            <w:shd w:val="clear" w:color="auto" w:fill="CCEEFF"/>
          </w:tcPr>
          <w:p>
            <w:pPr>
              <w:spacing w:after="0"/>
              <w:rPr>
                <w:sz w:val="22"/>
                <w:szCs w:val="22"/>
                <w:color w:val="auto"/>
              </w:rPr>
            </w:pPr>
          </w:p>
        </w:tc>
        <w:tc>
          <w:tcPr>
            <w:tcW w:w="2740" w:type="dxa"/>
            <w:vAlign w:val="bottom"/>
            <w:tcBorders>
              <w:bottom w:val="single" w:sz="8" w:color="CCEEFF"/>
            </w:tcBorders>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6,130,474</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13,453,718</w:t>
            </w:r>
          </w:p>
        </w:tc>
        <w:tc>
          <w:tcPr>
            <w:tcW w:w="120" w:type="dxa"/>
            <w:vAlign w:val="bottom"/>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6.57%</w:t>
            </w:r>
          </w:p>
        </w:tc>
        <w:tc>
          <w:tcPr>
            <w:tcW w:w="0" w:type="dxa"/>
            <w:vAlign w:val="bottom"/>
          </w:tcPr>
          <w:p>
            <w:pPr>
              <w:spacing w:after="0"/>
              <w:rPr>
                <w:sz w:val="1"/>
                <w:szCs w:val="1"/>
                <w:color w:val="auto"/>
              </w:rPr>
            </w:pPr>
          </w:p>
        </w:tc>
      </w:tr>
      <w:tr>
        <w:trPr>
          <w:trHeight w:val="229"/>
        </w:trPr>
        <w:tc>
          <w:tcPr>
            <w:tcW w:w="3660" w:type="dxa"/>
            <w:vAlign w:val="bottom"/>
            <w:gridSpan w:val="8"/>
          </w:tcPr>
          <w:p>
            <w:pPr>
              <w:ind w:left="40"/>
              <w:spacing w:after="0"/>
              <w:rPr>
                <w:sz w:val="20"/>
                <w:szCs w:val="20"/>
                <w:color w:val="auto"/>
              </w:rPr>
            </w:pPr>
            <w:r>
              <w:rPr>
                <w:rFonts w:ascii="Arial" w:cs="Arial" w:eastAsia="Arial" w:hAnsi="Arial"/>
                <w:sz w:val="14"/>
                <w:szCs w:val="14"/>
                <w:b w:val="1"/>
                <w:bCs w:val="1"/>
                <w:color w:val="auto"/>
              </w:rPr>
              <w:t>NestGSV, Inc. (d/b/a GSV Labs, Inc.)</w:t>
            </w:r>
          </w:p>
        </w:tc>
        <w:tc>
          <w:tcPr>
            <w:tcW w:w="2880" w:type="dxa"/>
            <w:vAlign w:val="bottom"/>
            <w:gridSpan w:val="2"/>
          </w:tcPr>
          <w:p>
            <w:pPr>
              <w:jc w:val="center"/>
              <w:ind w:right="140"/>
              <w:spacing w:after="0"/>
              <w:rPr>
                <w:sz w:val="20"/>
                <w:szCs w:val="20"/>
                <w:color w:val="auto"/>
              </w:rPr>
            </w:pPr>
            <w:r>
              <w:rPr>
                <w:rFonts w:ascii="Arial" w:cs="Arial" w:eastAsia="Arial" w:hAnsi="Arial"/>
                <w:sz w:val="14"/>
                <w:szCs w:val="14"/>
                <w:color w:val="auto"/>
                <w:w w:val="96"/>
              </w:rPr>
              <w:t>Redwood City, CA</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660" w:type="dxa"/>
            <w:vAlign w:val="bottom"/>
            <w:gridSpan w:val="8"/>
            <w:shd w:val="clear" w:color="auto" w:fill="CCEEFF"/>
          </w:tcPr>
          <w:p>
            <w:pPr>
              <w:ind w:left="40"/>
              <w:spacing w:after="0" w:line="157" w:lineRule="exact"/>
              <w:rPr>
                <w:sz w:val="20"/>
                <w:szCs w:val="20"/>
                <w:color w:val="auto"/>
              </w:rPr>
            </w:pPr>
            <w:r>
              <w:rPr>
                <w:rFonts w:ascii="Arial" w:cs="Arial" w:eastAsia="Arial" w:hAnsi="Arial"/>
                <w:sz w:val="14"/>
                <w:szCs w:val="14"/>
                <w:color w:val="auto"/>
              </w:rPr>
              <w:t>Convertible Promissory Note 8% Due</w:t>
            </w:r>
          </w:p>
        </w:tc>
        <w:tc>
          <w:tcPr>
            <w:tcW w:w="2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112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7/31/2018***</w:t>
            </w:r>
            <w:r>
              <w:rPr>
                <w:rFonts w:ascii="Arial" w:cs="Arial" w:eastAsia="Arial" w:hAnsi="Arial"/>
                <w:sz w:val="8"/>
                <w:szCs w:val="8"/>
                <w:color w:val="auto"/>
              </w:rPr>
              <w:t>(9)</w:t>
            </w: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6"/>
              </w:rPr>
              <w:t>Global Innovation Platform</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560,199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564,079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560,199</w:t>
            </w: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0.27%</w:t>
            </w:r>
          </w:p>
        </w:tc>
        <w:tc>
          <w:tcPr>
            <w:tcW w:w="0" w:type="dxa"/>
            <w:vAlign w:val="bottom"/>
          </w:tcPr>
          <w:p>
            <w:pPr>
              <w:spacing w:after="0"/>
              <w:rPr>
                <w:sz w:val="1"/>
                <w:szCs w:val="1"/>
                <w:color w:val="auto"/>
              </w:rPr>
            </w:pPr>
          </w:p>
        </w:tc>
      </w:tr>
      <w:tr>
        <w:trPr>
          <w:trHeight w:val="157"/>
        </w:trPr>
        <w:tc>
          <w:tcPr>
            <w:tcW w:w="3660" w:type="dxa"/>
            <w:vAlign w:val="bottom"/>
            <w:gridSpan w:val="8"/>
          </w:tcPr>
          <w:p>
            <w:pPr>
              <w:ind w:left="40"/>
              <w:spacing w:after="0" w:line="157" w:lineRule="exact"/>
              <w:rPr>
                <w:sz w:val="20"/>
                <w:szCs w:val="20"/>
                <w:color w:val="auto"/>
              </w:rPr>
            </w:pPr>
            <w:r>
              <w:rPr>
                <w:rFonts w:ascii="Arial" w:cs="Arial" w:eastAsia="Arial" w:hAnsi="Arial"/>
                <w:sz w:val="14"/>
                <w:szCs w:val="14"/>
                <w:color w:val="auto"/>
              </w:rPr>
              <w:t>Unsecured Promissory Note 12% Due</w:t>
            </w:r>
          </w:p>
        </w:tc>
        <w:tc>
          <w:tcPr>
            <w:tcW w:w="2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120" w:type="dxa"/>
            <w:vAlign w:val="bottom"/>
            <w:gridSpan w:val="3"/>
          </w:tcPr>
          <w:p>
            <w:pPr>
              <w:ind w:left="200"/>
              <w:spacing w:after="0"/>
              <w:rPr>
                <w:sz w:val="20"/>
                <w:szCs w:val="20"/>
                <w:color w:val="auto"/>
              </w:rPr>
            </w:pPr>
            <w:r>
              <w:rPr>
                <w:rFonts w:ascii="Arial" w:cs="Arial" w:eastAsia="Arial" w:hAnsi="Arial"/>
                <w:sz w:val="14"/>
                <w:szCs w:val="14"/>
                <w:color w:val="auto"/>
              </w:rPr>
              <w:t>1/15/2018***</w:t>
            </w:r>
            <w:r>
              <w:rPr>
                <w:rFonts w:ascii="Arial" w:cs="Arial" w:eastAsia="Arial" w:hAnsi="Arial"/>
                <w:sz w:val="8"/>
                <w:szCs w:val="8"/>
                <w:color w:val="auto"/>
              </w:rPr>
              <w:t>(8)</w:t>
            </w: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592,129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592,809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592,129</w:t>
            </w: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0.29%</w:t>
            </w:r>
          </w:p>
        </w:tc>
        <w:tc>
          <w:tcPr>
            <w:tcW w:w="0" w:type="dxa"/>
            <w:vAlign w:val="bottom"/>
          </w:tcPr>
          <w:p>
            <w:pPr>
              <w:spacing w:after="0"/>
              <w:rPr>
                <w:sz w:val="1"/>
                <w:szCs w:val="1"/>
                <w:color w:val="auto"/>
              </w:rPr>
            </w:pPr>
          </w:p>
        </w:tc>
      </w:tr>
      <w:tr>
        <w:trPr>
          <w:trHeight w:val="276"/>
        </w:trPr>
        <w:tc>
          <w:tcPr>
            <w:tcW w:w="3660" w:type="dxa"/>
            <w:vAlign w:val="bottom"/>
            <w:gridSpan w:val="8"/>
            <w:shd w:val="clear" w:color="auto" w:fill="CCEEFF"/>
          </w:tcPr>
          <w:p>
            <w:pPr>
              <w:ind w:left="40"/>
              <w:spacing w:after="0"/>
              <w:rPr>
                <w:sz w:val="20"/>
                <w:szCs w:val="20"/>
                <w:color w:val="auto"/>
              </w:rPr>
            </w:pPr>
            <w:r>
              <w:rPr>
                <w:rFonts w:ascii="Arial" w:cs="Arial" w:eastAsia="Arial" w:hAnsi="Arial"/>
                <w:sz w:val="14"/>
                <w:szCs w:val="14"/>
                <w:color w:val="auto"/>
              </w:rPr>
              <w:t>Preferred shares, Series A-4</w:t>
            </w:r>
          </w:p>
        </w:tc>
        <w:tc>
          <w:tcPr>
            <w:tcW w:w="27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3,720,424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4,904,498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5,390,842</w:t>
            </w:r>
          </w:p>
        </w:tc>
        <w:tc>
          <w:tcPr>
            <w:tcW w:w="12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w:t>
            </w:r>
          </w:p>
        </w:tc>
        <w:tc>
          <w:tcPr>
            <w:tcW w:w="0" w:type="dxa"/>
            <w:vAlign w:val="bottom"/>
          </w:tcPr>
          <w:p>
            <w:pPr>
              <w:spacing w:after="0"/>
              <w:rPr>
                <w:sz w:val="1"/>
                <w:szCs w:val="1"/>
                <w:color w:val="auto"/>
              </w:rPr>
            </w:pPr>
          </w:p>
        </w:tc>
      </w:tr>
      <w:tr>
        <w:trPr>
          <w:trHeight w:val="264"/>
        </w:trPr>
        <w:tc>
          <w:tcPr>
            <w:tcW w:w="3660" w:type="dxa"/>
            <w:vAlign w:val="bottom"/>
            <w:gridSpan w:val="8"/>
          </w:tcPr>
          <w:p>
            <w:pPr>
              <w:ind w:left="40"/>
              <w:spacing w:after="0"/>
              <w:rPr>
                <w:sz w:val="20"/>
                <w:szCs w:val="20"/>
                <w:color w:val="auto"/>
              </w:rPr>
            </w:pPr>
            <w:r>
              <w:rPr>
                <w:rFonts w:ascii="Arial" w:cs="Arial" w:eastAsia="Arial" w:hAnsi="Arial"/>
                <w:sz w:val="14"/>
                <w:szCs w:val="14"/>
                <w:color w:val="auto"/>
              </w:rPr>
              <w:t>Preferred shares, Series A-3</w:t>
            </w:r>
          </w:p>
        </w:tc>
        <w:tc>
          <w:tcPr>
            <w:tcW w:w="2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1,561,625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2,005,730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1,885,644</w:t>
            </w:r>
          </w:p>
        </w:tc>
        <w:tc>
          <w:tcPr>
            <w:tcW w:w="1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0.92%</w:t>
            </w:r>
          </w:p>
        </w:tc>
        <w:tc>
          <w:tcPr>
            <w:tcW w:w="0" w:type="dxa"/>
            <w:vAlign w:val="bottom"/>
          </w:tcPr>
          <w:p>
            <w:pPr>
              <w:spacing w:after="0"/>
              <w:rPr>
                <w:sz w:val="1"/>
                <w:szCs w:val="1"/>
                <w:color w:val="auto"/>
              </w:rPr>
            </w:pPr>
          </w:p>
        </w:tc>
      </w:tr>
      <w:tr>
        <w:trPr>
          <w:trHeight w:val="276"/>
        </w:trPr>
        <w:tc>
          <w:tcPr>
            <w:tcW w:w="3660" w:type="dxa"/>
            <w:vAlign w:val="bottom"/>
            <w:gridSpan w:val="8"/>
            <w:shd w:val="clear" w:color="auto" w:fill="CCEEFF"/>
          </w:tcPr>
          <w:p>
            <w:pPr>
              <w:ind w:left="40"/>
              <w:spacing w:after="0"/>
              <w:rPr>
                <w:sz w:val="20"/>
                <w:szCs w:val="20"/>
                <w:color w:val="auto"/>
              </w:rPr>
            </w:pPr>
            <w:r>
              <w:rPr>
                <w:rFonts w:ascii="Arial" w:cs="Arial" w:eastAsia="Arial" w:hAnsi="Arial"/>
                <w:sz w:val="14"/>
                <w:szCs w:val="14"/>
                <w:color w:val="auto"/>
              </w:rPr>
              <w:t>Preferred shares, Series A-2</w:t>
            </w:r>
          </w:p>
        </w:tc>
        <w:tc>
          <w:tcPr>
            <w:tcW w:w="27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450,001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605,500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326,022</w:t>
            </w:r>
          </w:p>
        </w:tc>
        <w:tc>
          <w:tcPr>
            <w:tcW w:w="12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0.16%</w:t>
            </w:r>
          </w:p>
        </w:tc>
        <w:tc>
          <w:tcPr>
            <w:tcW w:w="0" w:type="dxa"/>
            <w:vAlign w:val="bottom"/>
          </w:tcPr>
          <w:p>
            <w:pPr>
              <w:spacing w:after="0"/>
              <w:rPr>
                <w:sz w:val="1"/>
                <w:szCs w:val="1"/>
                <w:color w:val="auto"/>
              </w:rPr>
            </w:pPr>
          </w:p>
        </w:tc>
      </w:tr>
      <w:tr>
        <w:trPr>
          <w:trHeight w:val="264"/>
        </w:trPr>
        <w:tc>
          <w:tcPr>
            <w:tcW w:w="3660" w:type="dxa"/>
            <w:vAlign w:val="bottom"/>
            <w:gridSpan w:val="8"/>
          </w:tcPr>
          <w:p>
            <w:pPr>
              <w:ind w:left="40"/>
              <w:spacing w:after="0"/>
              <w:rPr>
                <w:sz w:val="20"/>
                <w:szCs w:val="20"/>
                <w:color w:val="auto"/>
              </w:rPr>
            </w:pPr>
            <w:r>
              <w:rPr>
                <w:rFonts w:ascii="Arial" w:cs="Arial" w:eastAsia="Arial" w:hAnsi="Arial"/>
                <w:sz w:val="14"/>
                <w:szCs w:val="14"/>
                <w:color w:val="auto"/>
              </w:rPr>
              <w:t>Preferred shares, Series A-1</w:t>
            </w:r>
          </w:p>
        </w:tc>
        <w:tc>
          <w:tcPr>
            <w:tcW w:w="2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1,000,000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1,021,778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543,370</w:t>
            </w:r>
          </w:p>
        </w:tc>
        <w:tc>
          <w:tcPr>
            <w:tcW w:w="1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0.27%</w:t>
            </w:r>
          </w:p>
        </w:tc>
        <w:tc>
          <w:tcPr>
            <w:tcW w:w="0" w:type="dxa"/>
            <w:vAlign w:val="bottom"/>
          </w:tcPr>
          <w:p>
            <w:pPr>
              <w:spacing w:after="0"/>
              <w:rPr>
                <w:sz w:val="1"/>
                <w:szCs w:val="1"/>
                <w:color w:val="auto"/>
              </w:rPr>
            </w:pPr>
          </w:p>
        </w:tc>
      </w:tr>
      <w:tr>
        <w:trPr>
          <w:trHeight w:val="276"/>
        </w:trPr>
        <w:tc>
          <w:tcPr>
            <w:tcW w:w="3660" w:type="dxa"/>
            <w:vAlign w:val="bottom"/>
            <w:gridSpan w:val="8"/>
            <w:shd w:val="clear" w:color="auto" w:fill="CCEEFF"/>
          </w:tcPr>
          <w:p>
            <w:pPr>
              <w:ind w:left="40"/>
              <w:spacing w:after="0"/>
              <w:rPr>
                <w:sz w:val="20"/>
                <w:szCs w:val="20"/>
                <w:color w:val="auto"/>
              </w:rPr>
            </w:pPr>
            <w:r>
              <w:rPr>
                <w:rFonts w:ascii="Arial" w:cs="Arial" w:eastAsia="Arial" w:hAnsi="Arial"/>
                <w:sz w:val="14"/>
                <w:szCs w:val="14"/>
                <w:color w:val="auto"/>
              </w:rPr>
              <w:t>Common shares</w:t>
            </w:r>
          </w:p>
        </w:tc>
        <w:tc>
          <w:tcPr>
            <w:tcW w:w="27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200,000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3660" w:type="dxa"/>
            <w:vAlign w:val="bottom"/>
            <w:gridSpan w:val="8"/>
          </w:tcPr>
          <w:p>
            <w:pPr>
              <w:ind w:left="40"/>
              <w:spacing w:after="0" w:line="157" w:lineRule="exact"/>
              <w:rPr>
                <w:sz w:val="20"/>
                <w:szCs w:val="20"/>
                <w:color w:val="auto"/>
              </w:rPr>
            </w:pPr>
            <w:r>
              <w:rPr>
                <w:rFonts w:ascii="Arial" w:cs="Arial" w:eastAsia="Arial" w:hAnsi="Arial"/>
                <w:sz w:val="14"/>
                <w:szCs w:val="14"/>
                <w:color w:val="auto"/>
              </w:rPr>
              <w:t>Preferred Warrants Series A-3–Strike Price $1.33–</w:t>
            </w:r>
          </w:p>
        </w:tc>
        <w:tc>
          <w:tcPr>
            <w:tcW w:w="2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3620" w:type="dxa"/>
            <w:vAlign w:val="bottom"/>
            <w:gridSpan w:val="7"/>
          </w:tcPr>
          <w:p>
            <w:pPr>
              <w:ind w:left="160"/>
              <w:spacing w:after="0"/>
              <w:rPr>
                <w:sz w:val="20"/>
                <w:szCs w:val="20"/>
                <w:color w:val="auto"/>
              </w:rPr>
            </w:pPr>
            <w:r>
              <w:rPr>
                <w:rFonts w:ascii="Arial" w:cs="Arial" w:eastAsia="Arial" w:hAnsi="Arial"/>
                <w:sz w:val="14"/>
                <w:szCs w:val="14"/>
                <w:color w:val="auto"/>
              </w:rPr>
              <w:t>Expiration Date 4/4/2019</w:t>
            </w:r>
          </w:p>
        </w:tc>
        <w:tc>
          <w:tcPr>
            <w:tcW w:w="2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187,500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1,875</w:t>
            </w: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163"/>
        </w:trPr>
        <w:tc>
          <w:tcPr>
            <w:tcW w:w="3660" w:type="dxa"/>
            <w:vAlign w:val="bottom"/>
            <w:gridSpan w:val="8"/>
            <w:shd w:val="clear" w:color="auto" w:fill="CCEEFF"/>
          </w:tcPr>
          <w:p>
            <w:pPr>
              <w:ind w:left="40"/>
              <w:spacing w:after="0"/>
              <w:rPr>
                <w:sz w:val="20"/>
                <w:szCs w:val="20"/>
                <w:color w:val="auto"/>
              </w:rPr>
            </w:pPr>
            <w:r>
              <w:rPr>
                <w:rFonts w:ascii="Arial" w:cs="Arial" w:eastAsia="Arial" w:hAnsi="Arial"/>
                <w:sz w:val="14"/>
                <w:szCs w:val="14"/>
                <w:color w:val="auto"/>
              </w:rPr>
              <w:t>Preferred Warrants Series A-4–Strike Price $1.33–</w:t>
            </w:r>
          </w:p>
        </w:tc>
        <w:tc>
          <w:tcPr>
            <w:tcW w:w="2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0" w:type="dxa"/>
            <w:vAlign w:val="bottom"/>
            <w:shd w:val="clear" w:color="auto" w:fill="CCEEFF"/>
          </w:tcPr>
          <w:p>
            <w:pPr>
              <w:spacing w:after="0"/>
              <w:rPr>
                <w:sz w:val="16"/>
                <w:szCs w:val="16"/>
                <w:color w:val="auto"/>
              </w:rPr>
            </w:pPr>
          </w:p>
        </w:tc>
        <w:tc>
          <w:tcPr>
            <w:tcW w:w="3620" w:type="dxa"/>
            <w:vAlign w:val="bottom"/>
            <w:gridSpan w:val="7"/>
            <w:shd w:val="clear" w:color="auto" w:fill="CCEEFF"/>
          </w:tcPr>
          <w:p>
            <w:pPr>
              <w:ind w:left="160"/>
              <w:spacing w:after="0"/>
              <w:rPr>
                <w:sz w:val="20"/>
                <w:szCs w:val="20"/>
                <w:color w:val="auto"/>
              </w:rPr>
            </w:pPr>
            <w:r>
              <w:rPr>
                <w:rFonts w:ascii="Arial" w:cs="Arial" w:eastAsia="Arial" w:hAnsi="Arial"/>
                <w:sz w:val="14"/>
                <w:szCs w:val="14"/>
                <w:color w:val="auto"/>
              </w:rPr>
              <w:t>Expiration Date 10/6/2019</w:t>
            </w:r>
          </w:p>
        </w:tc>
        <w:tc>
          <w:tcPr>
            <w:tcW w:w="2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500,000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160,000</w:t>
            </w: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0.08%</w:t>
            </w:r>
          </w:p>
        </w:tc>
        <w:tc>
          <w:tcPr>
            <w:tcW w:w="0" w:type="dxa"/>
            <w:vAlign w:val="bottom"/>
          </w:tcPr>
          <w:p>
            <w:pPr>
              <w:spacing w:after="0"/>
              <w:rPr>
                <w:sz w:val="1"/>
                <w:szCs w:val="1"/>
                <w:color w:val="auto"/>
              </w:rPr>
            </w:pPr>
          </w:p>
        </w:tc>
      </w:tr>
      <w:tr>
        <w:trPr>
          <w:trHeight w:val="157"/>
        </w:trPr>
        <w:tc>
          <w:tcPr>
            <w:tcW w:w="3660" w:type="dxa"/>
            <w:vAlign w:val="bottom"/>
            <w:gridSpan w:val="8"/>
          </w:tcPr>
          <w:p>
            <w:pPr>
              <w:ind w:left="40"/>
              <w:spacing w:after="0" w:line="157" w:lineRule="exact"/>
              <w:rPr>
                <w:sz w:val="20"/>
                <w:szCs w:val="20"/>
                <w:color w:val="auto"/>
              </w:rPr>
            </w:pPr>
            <w:r>
              <w:rPr>
                <w:rFonts w:ascii="Arial" w:cs="Arial" w:eastAsia="Arial" w:hAnsi="Arial"/>
                <w:sz w:val="14"/>
                <w:szCs w:val="14"/>
                <w:color w:val="auto"/>
              </w:rPr>
              <w:t>Preferred Warrants Series A-4–Strike Price $1.33–</w:t>
            </w:r>
          </w:p>
        </w:tc>
        <w:tc>
          <w:tcPr>
            <w:tcW w:w="2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3620" w:type="dxa"/>
            <w:vAlign w:val="bottom"/>
            <w:gridSpan w:val="7"/>
          </w:tcPr>
          <w:p>
            <w:pPr>
              <w:ind w:left="160"/>
              <w:spacing w:after="0"/>
              <w:rPr>
                <w:sz w:val="20"/>
                <w:szCs w:val="20"/>
                <w:color w:val="auto"/>
              </w:rPr>
            </w:pPr>
            <w:r>
              <w:rPr>
                <w:rFonts w:ascii="Arial" w:cs="Arial" w:eastAsia="Arial" w:hAnsi="Arial"/>
                <w:sz w:val="14"/>
                <w:szCs w:val="14"/>
                <w:color w:val="auto"/>
              </w:rPr>
              <w:t>Expiration Date 7/18/2021</w:t>
            </w:r>
          </w:p>
        </w:tc>
        <w:tc>
          <w:tcPr>
            <w:tcW w:w="2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250,000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74,380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102,500</w:t>
            </w: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0.05%</w:t>
            </w:r>
          </w:p>
        </w:tc>
        <w:tc>
          <w:tcPr>
            <w:tcW w:w="0" w:type="dxa"/>
            <w:vAlign w:val="bottom"/>
          </w:tcPr>
          <w:p>
            <w:pPr>
              <w:spacing w:after="0"/>
              <w:rPr>
                <w:sz w:val="1"/>
                <w:szCs w:val="1"/>
                <w:color w:val="auto"/>
              </w:rPr>
            </w:pPr>
          </w:p>
        </w:tc>
      </w:tr>
      <w:tr>
        <w:trPr>
          <w:trHeight w:val="163"/>
        </w:trPr>
        <w:tc>
          <w:tcPr>
            <w:tcW w:w="3660" w:type="dxa"/>
            <w:vAlign w:val="bottom"/>
            <w:gridSpan w:val="8"/>
            <w:shd w:val="clear" w:color="auto" w:fill="CCEEFF"/>
          </w:tcPr>
          <w:p>
            <w:pPr>
              <w:ind w:left="40"/>
              <w:spacing w:after="0"/>
              <w:rPr>
                <w:sz w:val="20"/>
                <w:szCs w:val="20"/>
                <w:color w:val="auto"/>
              </w:rPr>
            </w:pPr>
            <w:r>
              <w:rPr>
                <w:rFonts w:ascii="Arial" w:cs="Arial" w:eastAsia="Arial" w:hAnsi="Arial"/>
                <w:sz w:val="14"/>
                <w:szCs w:val="14"/>
                <w:color w:val="auto"/>
                <w:w w:val="98"/>
              </w:rPr>
              <w:t>Preferred Warrants Series B–Strike Price $2.31–Expiration</w:t>
            </w:r>
          </w:p>
        </w:tc>
        <w:tc>
          <w:tcPr>
            <w:tcW w:w="2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0" w:type="dxa"/>
            <w:vAlign w:val="bottom"/>
            <w:shd w:val="clear" w:color="auto" w:fill="CCEEFF"/>
          </w:tcPr>
          <w:p>
            <w:pPr>
              <w:spacing w:after="0"/>
              <w:rPr>
                <w:sz w:val="16"/>
                <w:szCs w:val="16"/>
                <w:color w:val="auto"/>
              </w:rPr>
            </w:pPr>
          </w:p>
        </w:tc>
        <w:tc>
          <w:tcPr>
            <w:tcW w:w="3620" w:type="dxa"/>
            <w:vAlign w:val="bottom"/>
            <w:gridSpan w:val="7"/>
            <w:shd w:val="clear" w:color="auto" w:fill="CCEEFF"/>
          </w:tcPr>
          <w:p>
            <w:pPr>
              <w:ind w:left="160"/>
              <w:spacing w:after="0"/>
              <w:rPr>
                <w:sz w:val="20"/>
                <w:szCs w:val="20"/>
                <w:color w:val="auto"/>
              </w:rPr>
            </w:pPr>
            <w:r>
              <w:rPr>
                <w:rFonts w:ascii="Arial" w:cs="Arial" w:eastAsia="Arial" w:hAnsi="Arial"/>
                <w:sz w:val="14"/>
                <w:szCs w:val="14"/>
                <w:color w:val="auto"/>
              </w:rPr>
              <w:t>Date 11/29/2021</w:t>
            </w:r>
            <w:r>
              <w:rPr>
                <w:rFonts w:ascii="Arial" w:cs="Arial" w:eastAsia="Arial" w:hAnsi="Arial"/>
                <w:sz w:val="8"/>
                <w:szCs w:val="8"/>
                <w:color w:val="auto"/>
              </w:rPr>
              <w:t>(13)</w:t>
            </w:r>
          </w:p>
        </w:tc>
        <w:tc>
          <w:tcPr>
            <w:tcW w:w="2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100,000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29,275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41,000</w:t>
            </w: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0.02%</w:t>
            </w:r>
          </w:p>
        </w:tc>
        <w:tc>
          <w:tcPr>
            <w:tcW w:w="0" w:type="dxa"/>
            <w:vAlign w:val="bottom"/>
          </w:tcPr>
          <w:p>
            <w:pPr>
              <w:spacing w:after="0"/>
              <w:rPr>
                <w:sz w:val="1"/>
                <w:szCs w:val="1"/>
                <w:color w:val="auto"/>
              </w:rPr>
            </w:pPr>
          </w:p>
        </w:tc>
      </w:tr>
      <w:tr>
        <w:trPr>
          <w:trHeight w:val="157"/>
        </w:trPr>
        <w:tc>
          <w:tcPr>
            <w:tcW w:w="3660" w:type="dxa"/>
            <w:vAlign w:val="bottom"/>
            <w:gridSpan w:val="8"/>
          </w:tcPr>
          <w:p>
            <w:pPr>
              <w:ind w:left="40"/>
              <w:spacing w:after="0" w:line="157" w:lineRule="exact"/>
              <w:rPr>
                <w:sz w:val="20"/>
                <w:szCs w:val="20"/>
                <w:color w:val="auto"/>
              </w:rPr>
            </w:pPr>
            <w:r>
              <w:rPr>
                <w:rFonts w:ascii="Arial" w:cs="Arial" w:eastAsia="Arial" w:hAnsi="Arial"/>
                <w:sz w:val="14"/>
                <w:szCs w:val="14"/>
                <w:color w:val="auto"/>
              </w:rPr>
              <w:t>Preferred Warrant Series B–Strike Price $2.31, Expiration</w:t>
            </w:r>
          </w:p>
        </w:tc>
        <w:tc>
          <w:tcPr>
            <w:tcW w:w="2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0" w:type="dxa"/>
            <w:vAlign w:val="bottom"/>
            <w:tcBorders>
              <w:bottom w:val="single" w:sz="8" w:color="CCEEFF"/>
            </w:tcBorders>
          </w:tcPr>
          <w:p>
            <w:pPr>
              <w:spacing w:after="0"/>
              <w:rPr>
                <w:sz w:val="16"/>
                <w:szCs w:val="16"/>
                <w:color w:val="auto"/>
              </w:rPr>
            </w:pPr>
          </w:p>
        </w:tc>
        <w:tc>
          <w:tcPr>
            <w:tcW w:w="3620" w:type="dxa"/>
            <w:vAlign w:val="bottom"/>
            <w:tcBorders>
              <w:bottom w:val="single" w:sz="8" w:color="CCEEFF"/>
            </w:tcBorders>
            <w:gridSpan w:val="7"/>
          </w:tcPr>
          <w:p>
            <w:pPr>
              <w:ind w:left="160"/>
              <w:spacing w:after="0"/>
              <w:rPr>
                <w:sz w:val="20"/>
                <w:szCs w:val="20"/>
                <w:color w:val="auto"/>
              </w:rPr>
            </w:pPr>
            <w:r>
              <w:rPr>
                <w:rFonts w:ascii="Arial" w:cs="Arial" w:eastAsia="Arial" w:hAnsi="Arial"/>
                <w:sz w:val="14"/>
                <w:szCs w:val="14"/>
                <w:color w:val="auto"/>
              </w:rPr>
              <w:t>Date 5/29/2022</w:t>
            </w:r>
            <w:r>
              <w:rPr>
                <w:rFonts w:ascii="Arial" w:cs="Arial" w:eastAsia="Arial" w:hAnsi="Arial"/>
                <w:sz w:val="8"/>
                <w:szCs w:val="8"/>
                <w:color w:val="auto"/>
              </w:rPr>
              <w:t>(8)</w:t>
            </w:r>
          </w:p>
        </w:tc>
        <w:tc>
          <w:tcPr>
            <w:tcW w:w="274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940" w:type="dxa"/>
            <w:vAlign w:val="bottom"/>
            <w:tcBorders>
              <w:bottom w:val="single" w:sz="8" w:color="CCEEFF"/>
            </w:tcBorders>
          </w:tcPr>
          <w:p>
            <w:pPr>
              <w:jc w:val="right"/>
              <w:ind w:right="48"/>
              <w:spacing w:after="0"/>
              <w:rPr>
                <w:sz w:val="20"/>
                <w:szCs w:val="20"/>
                <w:color w:val="auto"/>
              </w:rPr>
            </w:pPr>
            <w:r>
              <w:rPr>
                <w:rFonts w:ascii="Arial" w:cs="Arial" w:eastAsia="Arial" w:hAnsi="Arial"/>
                <w:sz w:val="14"/>
                <w:szCs w:val="14"/>
                <w:color w:val="auto"/>
              </w:rPr>
              <w:t>125,000</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70,379</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80,000</w:t>
            </w: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0.04%</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3500" w:type="dxa"/>
            <w:vAlign w:val="bottom"/>
            <w:tcBorders>
              <w:bottom w:val="single" w:sz="8" w:color="CCEEFF"/>
            </w:tcBorders>
            <w:gridSpan w:val="6"/>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120" w:type="dxa"/>
            <w:vAlign w:val="bottom"/>
            <w:shd w:val="clear" w:color="auto" w:fill="CCEEFF"/>
          </w:tcPr>
          <w:p>
            <w:pPr>
              <w:spacing w:after="0"/>
              <w:rPr>
                <w:sz w:val="22"/>
                <w:szCs w:val="22"/>
                <w:color w:val="auto"/>
              </w:rPr>
            </w:pPr>
          </w:p>
        </w:tc>
        <w:tc>
          <w:tcPr>
            <w:tcW w:w="2740" w:type="dxa"/>
            <w:vAlign w:val="bottom"/>
            <w:tcBorders>
              <w:bottom w:val="single" w:sz="8" w:color="CCEEFF"/>
            </w:tcBorders>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9,869,428</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9,683,581</w:t>
            </w:r>
          </w:p>
        </w:tc>
        <w:tc>
          <w:tcPr>
            <w:tcW w:w="120" w:type="dxa"/>
            <w:vAlign w:val="bottom"/>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4.73%</w:t>
            </w:r>
          </w:p>
        </w:tc>
        <w:tc>
          <w:tcPr>
            <w:tcW w:w="0" w:type="dxa"/>
            <w:vAlign w:val="bottom"/>
          </w:tcPr>
          <w:p>
            <w:pPr>
              <w:spacing w:after="0"/>
              <w:rPr>
                <w:sz w:val="1"/>
                <w:szCs w:val="1"/>
                <w:color w:val="auto"/>
              </w:rPr>
            </w:pPr>
          </w:p>
        </w:tc>
      </w:tr>
      <w:tr>
        <w:trPr>
          <w:trHeight w:val="229"/>
        </w:trPr>
        <w:tc>
          <w:tcPr>
            <w:tcW w:w="3660" w:type="dxa"/>
            <w:vAlign w:val="bottom"/>
            <w:gridSpan w:val="8"/>
          </w:tcPr>
          <w:p>
            <w:pPr>
              <w:ind w:left="40"/>
              <w:spacing w:after="0"/>
              <w:rPr>
                <w:sz w:val="20"/>
                <w:szCs w:val="20"/>
                <w:color w:val="auto"/>
              </w:rPr>
            </w:pPr>
            <w:r>
              <w:rPr>
                <w:rFonts w:ascii="Arial" w:cs="Arial" w:eastAsia="Arial" w:hAnsi="Arial"/>
                <w:sz w:val="14"/>
                <w:szCs w:val="14"/>
                <w:b w:val="1"/>
                <w:bCs w:val="1"/>
                <w:color w:val="auto"/>
              </w:rPr>
              <w:t>SPBRX, INC. (f/k/a GSV Sustainability Partners, Inc.)</w:t>
            </w:r>
          </w:p>
        </w:tc>
        <w:tc>
          <w:tcPr>
            <w:tcW w:w="288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Woodside, CA</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gridSpan w:val="8"/>
            <w:shd w:val="clear" w:color="auto" w:fill="CCEEFF"/>
          </w:tcPr>
          <w:p>
            <w:pPr>
              <w:ind w:left="40"/>
              <w:spacing w:after="0"/>
              <w:rPr>
                <w:sz w:val="20"/>
                <w:szCs w:val="20"/>
                <w:color w:val="auto"/>
              </w:rPr>
            </w:pPr>
            <w:r>
              <w:rPr>
                <w:rFonts w:ascii="Arial" w:cs="Arial" w:eastAsia="Arial" w:hAnsi="Arial"/>
                <w:sz w:val="14"/>
                <w:szCs w:val="14"/>
                <w:color w:val="auto"/>
              </w:rPr>
              <w:t>Preferred shares, Class A***</w:t>
            </w:r>
          </w:p>
        </w:tc>
        <w:tc>
          <w:tcPr>
            <w:tcW w:w="28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2"/>
              </w:rPr>
              <w:t>Clean Technology</w:t>
            </w: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14,300,000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7,151,412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1,069,862</w:t>
            </w:r>
          </w:p>
        </w:tc>
        <w:tc>
          <w:tcPr>
            <w:tcW w:w="12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0.52%</w:t>
            </w:r>
          </w:p>
        </w:tc>
        <w:tc>
          <w:tcPr>
            <w:tcW w:w="0" w:type="dxa"/>
            <w:vAlign w:val="bottom"/>
          </w:tcPr>
          <w:p>
            <w:pPr>
              <w:spacing w:after="0"/>
              <w:rPr>
                <w:sz w:val="1"/>
                <w:szCs w:val="1"/>
                <w:color w:val="auto"/>
              </w:rPr>
            </w:pPr>
          </w:p>
        </w:tc>
      </w:tr>
      <w:tr>
        <w:trPr>
          <w:trHeight w:val="264"/>
        </w:trPr>
        <w:tc>
          <w:tcPr>
            <w:tcW w:w="3660" w:type="dxa"/>
            <w:vAlign w:val="bottom"/>
            <w:gridSpan w:val="8"/>
          </w:tcPr>
          <w:p>
            <w:pPr>
              <w:ind w:left="40"/>
              <w:spacing w:after="0"/>
              <w:rPr>
                <w:sz w:val="20"/>
                <w:szCs w:val="20"/>
                <w:color w:val="auto"/>
              </w:rPr>
            </w:pPr>
            <w:r>
              <w:rPr>
                <w:rFonts w:ascii="Arial" w:cs="Arial" w:eastAsia="Arial" w:hAnsi="Arial"/>
                <w:sz w:val="14"/>
                <w:szCs w:val="14"/>
                <w:color w:val="auto"/>
              </w:rPr>
              <w:t>Common shares</w:t>
            </w:r>
          </w:p>
        </w:tc>
        <w:tc>
          <w:tcPr>
            <w:tcW w:w="2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100,000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10,000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0" w:type="dxa"/>
            <w:vAlign w:val="bottom"/>
            <w:tcBorders>
              <w:top w:val="single" w:sz="8" w:color="CCEEFF"/>
              <w:bottom w:val="single" w:sz="8" w:color="CCEEFF"/>
            </w:tcBorders>
            <w:shd w:val="clear" w:color="auto" w:fill="CCEEFF"/>
          </w:tcPr>
          <w:p>
            <w:pPr>
              <w:spacing w:after="0"/>
              <w:rPr>
                <w:sz w:val="22"/>
                <w:szCs w:val="22"/>
                <w:color w:val="auto"/>
              </w:rPr>
            </w:pPr>
          </w:p>
        </w:tc>
        <w:tc>
          <w:tcPr>
            <w:tcW w:w="3500" w:type="dxa"/>
            <w:vAlign w:val="bottom"/>
            <w:tcBorders>
              <w:top w:val="single" w:sz="8" w:color="CCEEFF"/>
              <w:bottom w:val="single" w:sz="8" w:color="CCEEFF"/>
            </w:tcBorders>
            <w:gridSpan w:val="6"/>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120" w:type="dxa"/>
            <w:vAlign w:val="bottom"/>
            <w:tcBorders>
              <w:top w:val="single" w:sz="8" w:color="CCEEFF"/>
            </w:tcBorders>
            <w:shd w:val="clear" w:color="auto" w:fill="CCEEFF"/>
          </w:tcPr>
          <w:p>
            <w:pPr>
              <w:spacing w:after="0"/>
              <w:rPr>
                <w:sz w:val="22"/>
                <w:szCs w:val="22"/>
                <w:color w:val="auto"/>
              </w:rPr>
            </w:pPr>
          </w:p>
        </w:tc>
        <w:tc>
          <w:tcPr>
            <w:tcW w:w="274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CCEEFF"/>
              <w:bottom w:val="single" w:sz="8" w:color="CCEEFF"/>
            </w:tcBorders>
            <w:shd w:val="clear" w:color="auto" w:fill="CCEEFF"/>
          </w:tcPr>
          <w:p>
            <w:pPr>
              <w:spacing w:after="0"/>
              <w:rPr>
                <w:sz w:val="22"/>
                <w:szCs w:val="22"/>
                <w:color w:val="auto"/>
              </w:rPr>
            </w:pPr>
          </w:p>
        </w:tc>
        <w:tc>
          <w:tcPr>
            <w:tcW w:w="94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9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7,161,412</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9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1,069,862</w:t>
            </w:r>
          </w:p>
        </w:tc>
        <w:tc>
          <w:tcPr>
            <w:tcW w:w="120" w:type="dxa"/>
            <w:vAlign w:val="bottom"/>
            <w:tcBorders>
              <w:top w:val="single" w:sz="8" w:color="CCEEFF"/>
            </w:tcBorders>
            <w:shd w:val="clear" w:color="auto" w:fill="CCEEFF"/>
          </w:tcPr>
          <w:p>
            <w:pPr>
              <w:spacing w:after="0"/>
              <w:rPr>
                <w:sz w:val="22"/>
                <w:szCs w:val="22"/>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0.52%</w:t>
            </w:r>
          </w:p>
        </w:tc>
        <w:tc>
          <w:tcPr>
            <w:tcW w:w="0" w:type="dxa"/>
            <w:vAlign w:val="bottom"/>
          </w:tcPr>
          <w:p>
            <w:pPr>
              <w:spacing w:after="0"/>
              <w:rPr>
                <w:sz w:val="1"/>
                <w:szCs w:val="1"/>
                <w:color w:val="auto"/>
              </w:rPr>
            </w:pPr>
          </w:p>
        </w:tc>
      </w:tr>
      <w:tr>
        <w:trPr>
          <w:trHeight w:val="264"/>
        </w:trPr>
        <w:tc>
          <w:tcPr>
            <w:tcW w:w="3660" w:type="dxa"/>
            <w:vAlign w:val="bottom"/>
            <w:tcBorders>
              <w:bottom w:val="single" w:sz="8" w:color="CCEEFF"/>
            </w:tcBorders>
            <w:gridSpan w:val="8"/>
          </w:tcPr>
          <w:p>
            <w:pPr>
              <w:ind w:left="40"/>
              <w:spacing w:after="0"/>
              <w:rPr>
                <w:sz w:val="20"/>
                <w:szCs w:val="20"/>
                <w:color w:val="auto"/>
              </w:rPr>
            </w:pPr>
            <w:r>
              <w:rPr>
                <w:rFonts w:ascii="Arial" w:cs="Arial" w:eastAsia="Arial" w:hAnsi="Arial"/>
                <w:sz w:val="14"/>
                <w:szCs w:val="14"/>
                <w:b w:val="1"/>
                <w:bCs w:val="1"/>
                <w:color w:val="auto"/>
              </w:rPr>
              <w:t>Total Controlled</w:t>
            </w:r>
          </w:p>
        </w:tc>
        <w:tc>
          <w:tcPr>
            <w:tcW w:w="274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9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23,161,314</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24,207,161</w:t>
            </w:r>
          </w:p>
        </w:tc>
        <w:tc>
          <w:tcPr>
            <w:tcW w:w="12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11.82%</w:t>
            </w:r>
          </w:p>
        </w:tc>
        <w:tc>
          <w:tcPr>
            <w:tcW w:w="0" w:type="dxa"/>
            <w:vAlign w:val="bottom"/>
          </w:tcPr>
          <w:p>
            <w:pPr>
              <w:spacing w:after="0"/>
              <w:rPr>
                <w:sz w:val="1"/>
                <w:szCs w:val="1"/>
                <w:color w:val="auto"/>
              </w:rPr>
            </w:pPr>
          </w:p>
        </w:tc>
      </w:tr>
      <w:tr>
        <w:trPr>
          <w:trHeight w:val="270"/>
        </w:trPr>
        <w:tc>
          <w:tcPr>
            <w:tcW w:w="3660" w:type="dxa"/>
            <w:vAlign w:val="bottom"/>
            <w:gridSpan w:val="8"/>
            <w:shd w:val="clear" w:color="auto" w:fill="CCEEFF"/>
          </w:tcPr>
          <w:p>
            <w:pPr>
              <w:ind w:left="40"/>
              <w:spacing w:after="0"/>
              <w:rPr>
                <w:sz w:val="20"/>
                <w:szCs w:val="20"/>
                <w:color w:val="auto"/>
              </w:rPr>
            </w:pPr>
            <w:r>
              <w:rPr>
                <w:rFonts w:ascii="Arial" w:cs="Arial" w:eastAsia="Arial" w:hAnsi="Arial"/>
                <w:sz w:val="14"/>
                <w:szCs w:val="14"/>
                <w:b w:val="1"/>
                <w:bCs w:val="1"/>
                <w:color w:val="auto"/>
              </w:rPr>
              <w:t>Total Portfolio Investments</w:t>
            </w:r>
          </w:p>
        </w:tc>
        <w:tc>
          <w:tcPr>
            <w:tcW w:w="27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202,574,352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220,588,493</w:t>
            </w:r>
          </w:p>
        </w:tc>
        <w:tc>
          <w:tcPr>
            <w:tcW w:w="12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107.74%</w:t>
            </w:r>
          </w:p>
        </w:tc>
        <w:tc>
          <w:tcPr>
            <w:tcW w:w="0" w:type="dxa"/>
            <w:vAlign w:val="bottom"/>
          </w:tcPr>
          <w:p>
            <w:pPr>
              <w:spacing w:after="0"/>
              <w:rPr>
                <w:sz w:val="1"/>
                <w:szCs w:val="1"/>
                <w:color w:val="auto"/>
              </w:rPr>
            </w:pPr>
          </w:p>
        </w:tc>
      </w:tr>
      <w:tr>
        <w:trPr>
          <w:trHeight w:val="230"/>
        </w:trPr>
        <w:tc>
          <w:tcPr>
            <w:tcW w:w="3660" w:type="dxa"/>
            <w:vAlign w:val="bottom"/>
            <w:gridSpan w:val="8"/>
          </w:tcPr>
          <w:p>
            <w:pPr>
              <w:ind w:left="40"/>
              <w:spacing w:after="0"/>
              <w:rPr>
                <w:sz w:val="20"/>
                <w:szCs w:val="20"/>
                <w:color w:val="auto"/>
              </w:rPr>
            </w:pPr>
            <w:r>
              <w:rPr>
                <w:rFonts w:ascii="Arial" w:cs="Arial" w:eastAsia="Arial" w:hAnsi="Arial"/>
                <w:sz w:val="14"/>
                <w:szCs w:val="14"/>
                <w:b w:val="1"/>
                <w:bCs w:val="1"/>
                <w:color w:val="auto"/>
              </w:rPr>
              <w:t>U.S. Treasury</w:t>
            </w:r>
          </w:p>
        </w:tc>
        <w:tc>
          <w:tcPr>
            <w:tcW w:w="2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54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4"/>
                <w:szCs w:val="14"/>
                <w:color w:val="auto"/>
              </w:rPr>
              <w:t>U.S. Treasury bills, 0%, due 1/4/2018***</w:t>
            </w:r>
            <w:r>
              <w:rPr>
                <w:rFonts w:ascii="Arial" w:cs="Arial" w:eastAsia="Arial" w:hAnsi="Arial"/>
                <w:sz w:val="8"/>
                <w:szCs w:val="8"/>
                <w:color w:val="auto"/>
              </w:rPr>
              <w:t>(3)</w:t>
            </w:r>
          </w:p>
        </w:tc>
        <w:tc>
          <w:tcPr>
            <w:tcW w:w="120" w:type="dxa"/>
            <w:vAlign w:val="bottom"/>
            <w:shd w:val="clear" w:color="auto" w:fill="CCEEFF"/>
          </w:tcPr>
          <w:p>
            <w:pPr>
              <w:spacing w:after="0"/>
              <w:rPr>
                <w:sz w:val="22"/>
                <w:szCs w:val="22"/>
                <w:color w:val="auto"/>
              </w:rPr>
            </w:pPr>
          </w:p>
        </w:tc>
        <w:tc>
          <w:tcPr>
            <w:tcW w:w="2740" w:type="dxa"/>
            <w:vAlign w:val="bottom"/>
            <w:tcBorders>
              <w:bottom w:val="single" w:sz="8" w:color="CCEEFF"/>
            </w:tcBorders>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100,000,000</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99,985,833</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99,994,000</w:t>
            </w:r>
          </w:p>
        </w:tc>
        <w:tc>
          <w:tcPr>
            <w:tcW w:w="120" w:type="dxa"/>
            <w:vAlign w:val="bottom"/>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48.83%</w:t>
            </w:r>
          </w:p>
        </w:tc>
        <w:tc>
          <w:tcPr>
            <w:tcW w:w="0" w:type="dxa"/>
            <w:vAlign w:val="bottom"/>
          </w:tcPr>
          <w:p>
            <w:pPr>
              <w:spacing w:after="0"/>
              <w:rPr>
                <w:sz w:val="1"/>
                <w:szCs w:val="1"/>
                <w:color w:val="auto"/>
              </w:rPr>
            </w:pPr>
          </w:p>
        </w:tc>
      </w:tr>
      <w:tr>
        <w:trPr>
          <w:trHeight w:val="256"/>
        </w:trPr>
        <w:tc>
          <w:tcPr>
            <w:tcW w:w="3660" w:type="dxa"/>
            <w:vAlign w:val="bottom"/>
            <w:gridSpan w:val="8"/>
          </w:tcPr>
          <w:p>
            <w:pPr>
              <w:ind w:left="40"/>
              <w:spacing w:after="0"/>
              <w:rPr>
                <w:sz w:val="20"/>
                <w:szCs w:val="20"/>
                <w:color w:val="auto"/>
              </w:rPr>
            </w:pPr>
            <w:r>
              <w:rPr>
                <w:rFonts w:ascii="Arial" w:cs="Arial" w:eastAsia="Arial" w:hAnsi="Arial"/>
                <w:sz w:val="14"/>
                <w:szCs w:val="14"/>
                <w:b w:val="1"/>
                <w:bCs w:val="1"/>
                <w:color w:val="auto"/>
              </w:rPr>
              <w:t>TOTAL INVESTMENTS</w:t>
            </w:r>
          </w:p>
        </w:tc>
        <w:tc>
          <w:tcPr>
            <w:tcW w:w="2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302,560,185</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320,582,493</w:t>
            </w:r>
          </w:p>
        </w:tc>
        <w:tc>
          <w:tcPr>
            <w:tcW w:w="120" w:type="dxa"/>
            <w:vAlign w:val="bottom"/>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156.57%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-719455</wp:posOffset>
            </wp:positionV>
            <wp:extent cx="485394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8539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-1080135</wp:posOffset>
            </wp:positionV>
            <wp:extent cx="485394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8539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-1783080</wp:posOffset>
            </wp:positionV>
            <wp:extent cx="485394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8539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-4561840</wp:posOffset>
            </wp:positionV>
            <wp:extent cx="485394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8539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-5599430</wp:posOffset>
            </wp:positionV>
            <wp:extent cx="485394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85394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w:t>
      </w:r>
    </w:p>
    <w:p>
      <w:pPr>
        <w:spacing w:after="0" w:line="103" w:lineRule="exact"/>
        <w:rPr>
          <w:sz w:val="20"/>
          <w:szCs w:val="20"/>
          <w:color w:val="auto"/>
        </w:rPr>
      </w:pPr>
    </w:p>
    <w:p>
      <w:pPr>
        <w:ind w:left="500" w:right="20" w:hanging="492"/>
        <w:spacing w:after="0" w:line="255"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 portfolio investments are non-control/non-affiliated and non-income-producing, unless otherwise identified. Equity investments are subject to lock-up restrictions upon their initial public offering (“IPO”). The Company’s and GSV Asset Management’s officers and staff, as applicable, may serve on the board of directors of the Company’s portfolio investments. (Refer to “Note 3—Related-Party Arrangements”). All portfolio investments are considered Level 3 and valued using significant unobservable inputs, unless otherwise noted. (Refer to “Note 4—Investments at Fair Value”). All investments are restricted as to resale, unless otherwise noted, and were valued at fair value as determined in good faith by the Company’s board of directors.</w:t>
      </w:r>
    </w:p>
    <w:p>
      <w:pPr>
        <w:sectPr>
          <w:pgSz w:w="11900" w:h="16838" w:orient="portrait"/>
          <w:cols w:equalWidth="0" w:num="1">
            <w:col w:w="11420"/>
          </w:cols>
          <w:pgMar w:left="240" w:top="122" w:right="239" w:bottom="1440" w:gutter="0" w:footer="0" w:header="0"/>
        </w:sect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22" w:right="239" w:bottom="1440" w:gutter="0" w:footer="0" w:header="0"/>
          <w:type w:val="continuous"/>
        </w:sectPr>
      </w:pPr>
    </w:p>
    <w:bookmarkStart w:id="14" w:name="page15"/>
    <w:bookmarkEnd w:id="14"/>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4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SCHEDULE OF INVESTMENTS –continued</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2017</w:t>
      </w:r>
    </w:p>
    <w:p>
      <w:pPr>
        <w:spacing w:after="0" w:line="211" w:lineRule="exact"/>
        <w:rPr>
          <w:sz w:val="20"/>
          <w:szCs w:val="20"/>
          <w:color w:val="auto"/>
        </w:rPr>
      </w:pPr>
    </w:p>
    <w:p>
      <w:pPr>
        <w:ind w:left="500" w:right="60" w:hanging="492"/>
        <w:spacing w:after="0" w:line="342" w:lineRule="auto"/>
        <w:tabs>
          <w:tab w:leader="none" w:pos="5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Indicates assets that GSV Capital Corp. believes do not represent “qualifying assets” under Section 55(a) of the Investment Company Act of 1940, as amended (the “1940 Act”). Of GSV Capital Corp.’s total portfolio as of December 31, 2017, 12.13% of its total investments are non-qualifying assets.</w:t>
      </w:r>
    </w:p>
    <w:p>
      <w:pPr>
        <w:spacing w:after="0" w:line="164" w:lineRule="exact"/>
        <w:rPr>
          <w:rFonts w:ascii="Arial" w:cs="Arial" w:eastAsia="Arial" w:hAnsi="Arial"/>
          <w:sz w:val="16"/>
          <w:szCs w:val="16"/>
          <w:color w:val="auto"/>
        </w:rPr>
      </w:pPr>
    </w:p>
    <w:p>
      <w:pPr>
        <w:ind w:left="500" w:hanging="492"/>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Investment is income-producing.</w:t>
      </w:r>
    </w:p>
    <w:p>
      <w:pPr>
        <w:spacing w:after="0" w:line="266" w:lineRule="exact"/>
        <w:rPr>
          <w:sz w:val="20"/>
          <w:szCs w:val="20"/>
          <w:color w:val="auto"/>
        </w:rPr>
      </w:pPr>
    </w:p>
    <w:p>
      <w:pPr>
        <w:ind w:left="500" w:right="20" w:hanging="492"/>
        <w:spacing w:after="0" w:line="279" w:lineRule="auto"/>
        <w:tabs>
          <w:tab w:leader="none" w:pos="5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Denotes an Affiliate Investment. “Affiliate Investments” are investments in those companies that are “Affiliated Companies” of GSV Capital Corp., as defined in the 1940 Act. In general, a company is deemed to be an “Affiliate” of GSV Capital Corp. if GSV Capital Corp. owns 5% or more of the voting securities (</w:t>
      </w:r>
      <w:r>
        <w:rPr>
          <w:rFonts w:ascii="Arial" w:cs="Arial" w:eastAsia="Arial" w:hAnsi="Arial"/>
          <w:sz w:val="17"/>
          <w:szCs w:val="17"/>
          <w:i w:val="1"/>
          <w:iCs w:val="1"/>
          <w:color w:val="auto"/>
        </w:rPr>
        <w:t>i.e.</w:t>
      </w:r>
      <w:r>
        <w:rPr>
          <w:rFonts w:ascii="Arial" w:cs="Arial" w:eastAsia="Arial" w:hAnsi="Arial"/>
          <w:sz w:val="17"/>
          <w:szCs w:val="17"/>
          <w:color w:val="auto"/>
        </w:rPr>
        <w:t>, securities with the right to elect directors) of such company. For the Schedule of Investments In, and Advances To, Affiliates, as required by SEC Regulation S-X, Rule 12-14, refer to “Note 4—Investments at Fair Value”.</w:t>
      </w:r>
    </w:p>
    <w:p>
      <w:pPr>
        <w:spacing w:after="0" w:line="171" w:lineRule="exact"/>
        <w:rPr>
          <w:rFonts w:ascii="Arial" w:cs="Arial" w:eastAsia="Arial" w:hAnsi="Arial"/>
          <w:sz w:val="17"/>
          <w:szCs w:val="17"/>
          <w:color w:val="auto"/>
        </w:rPr>
      </w:pPr>
    </w:p>
    <w:p>
      <w:pPr>
        <w:ind w:left="500" w:right="60" w:hanging="492"/>
        <w:spacing w:after="0" w:line="257" w:lineRule="auto"/>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Denotes a Control Investment. “Control Investments” are investments in those companies that are “Controlled Companies” of GSV Capital Corp., as defined in the 1940 Act. In general, under the 1940 Act, the Company would “Control” a portfolio company if the Company owned more than 25% of its outstanding voting securities (</w:t>
      </w:r>
      <w:r>
        <w:rPr>
          <w:rFonts w:ascii="Arial" w:cs="Arial" w:eastAsia="Arial" w:hAnsi="Arial"/>
          <w:sz w:val="18"/>
          <w:szCs w:val="18"/>
          <w:i w:val="1"/>
          <w:iCs w:val="1"/>
          <w:color w:val="auto"/>
        </w:rPr>
        <w:t>i.e.</w:t>
      </w:r>
      <w:r>
        <w:rPr>
          <w:rFonts w:ascii="Arial" w:cs="Arial" w:eastAsia="Arial" w:hAnsi="Arial"/>
          <w:sz w:val="18"/>
          <w:szCs w:val="18"/>
          <w:color w:val="auto"/>
        </w:rPr>
        <w:t>, securities with the right to elect directors) and/or had the power to exercise control over the management or policies of such portfolio company. For the Schedule of Investments In, and Advances To, Affiliates, as required by SEC Regulation S-X, Rule 12-14, refer to “Note 4—Investments at Fair Value”.</w:t>
      </w:r>
    </w:p>
    <w:p>
      <w:pPr>
        <w:spacing w:after="0" w:line="188" w:lineRule="exact"/>
        <w:rPr>
          <w:rFonts w:ascii="Arial" w:cs="Arial" w:eastAsia="Arial" w:hAnsi="Arial"/>
          <w:sz w:val="18"/>
          <w:szCs w:val="18"/>
          <w:color w:val="auto"/>
        </w:rPr>
      </w:pPr>
    </w:p>
    <w:p>
      <w:pPr>
        <w:ind w:left="500" w:hanging="492"/>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Denotes an investment considered Level 1 valued using observable inputs.</w:t>
      </w:r>
    </w:p>
    <w:p>
      <w:pPr>
        <w:spacing w:after="0" w:line="225" w:lineRule="exact"/>
        <w:rPr>
          <w:rFonts w:ascii="Arial" w:cs="Arial" w:eastAsia="Arial" w:hAnsi="Arial"/>
          <w:sz w:val="18"/>
          <w:szCs w:val="18"/>
          <w:color w:val="auto"/>
        </w:rPr>
      </w:pPr>
    </w:p>
    <w:p>
      <w:pPr>
        <w:ind w:left="500" w:right="740" w:hanging="492"/>
        <w:spacing w:after="0" w:line="277" w:lineRule="auto"/>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GSV Capital Corp.’s investment in Avenues Global Holdings, LLC is held through its wholly owned subsidiary, GSVC AV Holdings, Inc. In January 2018, GSV Capital Corp. sold its entire position in Avenues Global Holdings, LLC.</w:t>
      </w:r>
    </w:p>
    <w:p>
      <w:pPr>
        <w:spacing w:after="0" w:line="170" w:lineRule="exact"/>
        <w:rPr>
          <w:rFonts w:ascii="Arial" w:cs="Arial" w:eastAsia="Arial" w:hAnsi="Arial"/>
          <w:sz w:val="18"/>
          <w:szCs w:val="18"/>
          <w:color w:val="auto"/>
        </w:rPr>
      </w:pPr>
    </w:p>
    <w:p>
      <w:pPr>
        <w:ind w:left="500" w:hanging="492"/>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GSV Capital Corp.’s investment in StormWind, LLC is held through its wholly owned subsidiary, GSVC SW Holdings, Inc.</w:t>
      </w:r>
    </w:p>
    <w:p>
      <w:pPr>
        <w:spacing w:after="0" w:line="225" w:lineRule="exact"/>
        <w:rPr>
          <w:rFonts w:ascii="Arial" w:cs="Arial" w:eastAsia="Arial" w:hAnsi="Arial"/>
          <w:sz w:val="18"/>
          <w:szCs w:val="18"/>
          <w:color w:val="auto"/>
        </w:rPr>
      </w:pPr>
    </w:p>
    <w:p>
      <w:pPr>
        <w:ind w:left="500" w:right="40" w:hanging="492"/>
        <w:spacing w:after="0" w:line="264" w:lineRule="auto"/>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Interest will accrue daily on the unpaid principal balance of the note. Interest began compounding annually on November 26, 2015. Accrued interest is not payable until the earlier of (a) the closing of a subsequent equity offering by CUX, Inc. (d/b/a CorpU), or (b) the maturity of the note (November 26, 2018).</w:t>
      </w:r>
    </w:p>
    <w:p>
      <w:pPr>
        <w:spacing w:after="0" w:line="181" w:lineRule="exact"/>
        <w:rPr>
          <w:rFonts w:ascii="Arial" w:cs="Arial" w:eastAsia="Arial" w:hAnsi="Arial"/>
          <w:sz w:val="18"/>
          <w:szCs w:val="18"/>
          <w:color w:val="auto"/>
        </w:rPr>
      </w:pPr>
    </w:p>
    <w:p>
      <w:pPr>
        <w:ind w:left="500" w:right="80" w:hanging="492"/>
        <w:spacing w:after="0" w:line="277" w:lineRule="auto"/>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 March 29, 2017, A Place for Rover, Inc. acquired DogVacay, Inc. and, pursuant to a plan of reorganization, the Company received common shares of A Place for Rover Inc. in exchange for the Company’s previously held Series B-1 preferred shares of DogVacay, Inc.</w:t>
      </w:r>
    </w:p>
    <w:p>
      <w:pPr>
        <w:spacing w:after="0" w:line="170" w:lineRule="exact"/>
        <w:rPr>
          <w:rFonts w:ascii="Arial" w:cs="Arial" w:eastAsia="Arial" w:hAnsi="Arial"/>
          <w:sz w:val="18"/>
          <w:szCs w:val="18"/>
          <w:color w:val="auto"/>
        </w:rPr>
      </w:pPr>
    </w:p>
    <w:p>
      <w:pPr>
        <w:ind w:left="500" w:right="40" w:hanging="492"/>
        <w:spacing w:after="0" w:line="276" w:lineRule="auto"/>
        <w:tabs>
          <w:tab w:leader="none" w:pos="5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On May 29, 2017, the maturity date of the unsecured promissory note to NestGSV, Inc. (d/b/a GSV Labs, Inc.) was extended to November 29, 2017 in exchange for 125,000 Series B warrants. For accounting purposes, the extension of the maturity date was treated as an extinguishment of the existing note and creation of a new note. Refer to “Note 4—Investments at Fair Value.” On November 29, 2017, the maturity date of the unsecured promissory note to NestGSV, Inc. (d/b/a GSV Labs, Inc.) was extended to January 15, 2018. In January 2018, upon its maturity, NestGSV, Inc. (d/b/a GSV Labs, Inc.) repaid the unsecured promissory note, with interest.</w:t>
      </w:r>
    </w:p>
    <w:p>
      <w:pPr>
        <w:spacing w:after="0" w:line="172" w:lineRule="exact"/>
        <w:rPr>
          <w:rFonts w:ascii="Arial" w:cs="Arial" w:eastAsia="Arial" w:hAnsi="Arial"/>
          <w:sz w:val="17"/>
          <w:szCs w:val="17"/>
          <w:color w:val="auto"/>
        </w:rPr>
      </w:pPr>
    </w:p>
    <w:p>
      <w:pPr>
        <w:ind w:left="500" w:hanging="492"/>
        <w:spacing w:after="0"/>
        <w:tabs>
          <w:tab w:leader="none" w:pos="5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On July 31, 2017, the maturity date of the convertible promissory note to NestGSV, Inc. (d/b/a GSV Labs, Inc.) was extended to July 31, 2018.</w:t>
      </w:r>
    </w:p>
    <w:p>
      <w:pPr>
        <w:spacing w:after="0" w:line="236" w:lineRule="exact"/>
        <w:rPr>
          <w:rFonts w:ascii="Arial" w:cs="Arial" w:eastAsia="Arial" w:hAnsi="Arial"/>
          <w:sz w:val="17"/>
          <w:szCs w:val="17"/>
          <w:color w:val="auto"/>
        </w:rPr>
      </w:pPr>
    </w:p>
    <w:p>
      <w:pPr>
        <w:ind w:left="500" w:hanging="492"/>
        <w:spacing w:after="0" w:line="259" w:lineRule="auto"/>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 July 1, 2017, the maturity date of the convertible promissory note to Declara, Inc. was extended to December 31, 2017. The convertible promissory note was further extended until January 31, 2018. The maturity date of the convertible promissory note to Declara, Inc. was then subsequently extended an additional three months to April 30, 2018. On January 31, 2018 the interest rate on the convertible promissory note increased to 12% per annum (including 365 days for the purposes of accrual).</w:t>
      </w:r>
    </w:p>
    <w:p>
      <w:pPr>
        <w:spacing w:after="0" w:line="186" w:lineRule="exact"/>
        <w:rPr>
          <w:rFonts w:ascii="Arial" w:cs="Arial" w:eastAsia="Arial" w:hAnsi="Arial"/>
          <w:sz w:val="18"/>
          <w:szCs w:val="18"/>
          <w:color w:val="auto"/>
        </w:rPr>
      </w:pPr>
    </w:p>
    <w:p>
      <w:pPr>
        <w:jc w:val="both"/>
        <w:ind w:left="500" w:right="80" w:hanging="492"/>
        <w:spacing w:after="0" w:line="264" w:lineRule="auto"/>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 November 12, 2013, Chegg, Inc. priced its IPO. The lock-up agreement for the Company’s Chegg, Inc. common shares expired on May 11, 2014. As a result, the Company’s Chegg, Inc. common shares are considered unrestricted. As of February 22, 2018, all remaining shares of Chegg, Inc. held by GSV Capital Corp. had been sold.</w:t>
      </w: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122" w:right="279" w:bottom="1440" w:gutter="0" w:footer="0" w:header="0"/>
        </w:sectPr>
      </w:pPr>
    </w:p>
    <w:bookmarkStart w:id="15" w:name="page16"/>
    <w:bookmarkEnd w:id="15"/>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CONSOLIDATED SCHEDULE OF INVESTMENTS –continued</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December 31, 2017</w:t>
      </w:r>
    </w:p>
    <w:p>
      <w:pPr>
        <w:spacing w:after="0" w:line="211" w:lineRule="exact"/>
        <w:rPr>
          <w:sz w:val="20"/>
          <w:szCs w:val="20"/>
          <w:color w:val="auto"/>
        </w:rPr>
      </w:pPr>
    </w:p>
    <w:p>
      <w:pPr>
        <w:ind w:left="500" w:hanging="492"/>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 of December 31, 2017, the investments noted had been placed on non-accrual status.</w:t>
      </w:r>
    </w:p>
    <w:p>
      <w:pPr>
        <w:spacing w:after="0" w:line="225"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the fourth quarter of 2017, NestGSV, Inc. (d/b/a GSV Labs, Inc.) met certain financing qualifications under the Company’s warrant agreement with NestGSV, Inc. (d/b/a GSV Labs, Inc.), and the Company’s Series A-4 warrants with a strike price of $1.33 converted to Series B warrants with a $2.31 strike price.</w:t>
      </w:r>
    </w:p>
    <w:p>
      <w:pPr>
        <w:spacing w:after="0" w:line="181"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Subsequent to period-end, Ozy Media, Inc.’s obligations under its financing arrangements with the Company became past due. The Company and Ozy Media are in the process of renegotiating the terms of the Company’s investment.</w:t>
      </w:r>
    </w:p>
    <w:p>
      <w:pPr>
        <w:spacing w:after="0" w:line="170" w:lineRule="exact"/>
        <w:rPr>
          <w:rFonts w:ascii="Arial" w:cs="Arial" w:eastAsia="Arial" w:hAnsi="Arial"/>
          <w:sz w:val="18"/>
          <w:szCs w:val="18"/>
          <w:color w:val="auto"/>
        </w:rPr>
      </w:pPr>
    </w:p>
    <w:p>
      <w:pPr>
        <w:ind w:left="500" w:hanging="492"/>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 February 23, 2018, CUX, Inc. (d/b/a CorpU) agreed to extend the maturity of the Company’s Series D warrants until August 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40"/>
          </w:cols>
          <w:pgMar w:left="240" w:top="122" w:right="31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2018</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1—NATURE OF OPERATIONS</w:t>
      </w:r>
    </w:p>
    <w:p>
      <w:pPr>
        <w:spacing w:after="0" w:line="229" w:lineRule="exact"/>
        <w:rPr>
          <w:sz w:val="20"/>
          <w:szCs w:val="20"/>
          <w:color w:val="auto"/>
        </w:rPr>
      </w:pPr>
    </w:p>
    <w:p>
      <w:pPr>
        <w:ind w:right="40" w:firstLine="351"/>
        <w:spacing w:after="0" w:line="257" w:lineRule="auto"/>
        <w:rPr>
          <w:sz w:val="20"/>
          <w:szCs w:val="20"/>
          <w:color w:val="auto"/>
        </w:rPr>
      </w:pPr>
      <w:r>
        <w:rPr>
          <w:rFonts w:ascii="Arial" w:cs="Arial" w:eastAsia="Arial" w:hAnsi="Arial"/>
          <w:sz w:val="18"/>
          <w:szCs w:val="18"/>
          <w:color w:val="auto"/>
        </w:rPr>
        <w:t>GSV Capital Corp. (the “Company” or “GSV Capital”), formed in September 2010 as a Maryland corporation, is an externally managed, non-diversified closed-end management investment company. The Company has elected to be regulated as a business development company under the Investment Company Act of 1940, as amended (the “1940 Act”). The Company’s investment activities are managed by GSV Asset Management, LLC (“GSV Asset Management”), and GSV Capital Service Company, LLC (“GSV Capital Service Company”) provides the administrative services necessary for the Company to operate.</w:t>
      </w:r>
    </w:p>
    <w:p>
      <w:pPr>
        <w:spacing w:after="0" w:line="188" w:lineRule="exact"/>
        <w:rPr>
          <w:sz w:val="20"/>
          <w:szCs w:val="20"/>
          <w:color w:val="auto"/>
        </w:rPr>
      </w:pPr>
    </w:p>
    <w:p>
      <w:pPr>
        <w:ind w:right="20" w:firstLine="351"/>
        <w:spacing w:after="0" w:line="342" w:lineRule="auto"/>
        <w:rPr>
          <w:sz w:val="20"/>
          <w:szCs w:val="20"/>
          <w:color w:val="auto"/>
        </w:rPr>
      </w:pPr>
      <w:r>
        <w:rPr>
          <w:rFonts w:ascii="Arial" w:cs="Arial" w:eastAsia="Arial" w:hAnsi="Arial"/>
          <w:sz w:val="16"/>
          <w:szCs w:val="16"/>
          <w:color w:val="auto"/>
        </w:rPr>
        <w:t>The Company’s date of inception was January 6, 2011, which is the date it commenced its development stage activities. The Company’s common stock is currently listed on the Nasdaq Capital Market under the symbol “GSVC”. The Company began its investment operations during the second quarter of 2011.</w:t>
      </w:r>
    </w:p>
    <w:p>
      <w:pPr>
        <w:spacing w:after="0" w:line="124" w:lineRule="exact"/>
        <w:rPr>
          <w:sz w:val="20"/>
          <w:szCs w:val="20"/>
          <w:color w:val="auto"/>
        </w:rPr>
      </w:pPr>
    </w:p>
    <w:p>
      <w:pPr>
        <w:ind w:right="80" w:firstLine="351"/>
        <w:spacing w:after="0" w:line="276" w:lineRule="auto"/>
        <w:rPr>
          <w:sz w:val="20"/>
          <w:szCs w:val="20"/>
          <w:color w:val="auto"/>
        </w:rPr>
      </w:pPr>
      <w:r>
        <w:rPr>
          <w:rFonts w:ascii="Arial" w:cs="Arial" w:eastAsia="Arial" w:hAnsi="Arial"/>
          <w:sz w:val="17"/>
          <w:szCs w:val="17"/>
          <w:color w:val="auto"/>
        </w:rPr>
        <w:t>The table below displays all the Company’s subsidiaries as of September 30, 2018, which, other than GSV Capital Lending, LLC (“GCL”), are collectively referred to as the “GSVC Holdings.” The GSVC Holdings were formed to hold portfolio investments. The GSVC Holdings, including their associated portfolio investments, are consolidated with the Company for accounting purposes, but have elected to be treated as separate entities for U.S. federal income tax purposes. GCL was formed to originate portfolio loan investments within the state of California and is consolidated with the Company for accounting purposes. Refer to “Note 2—Significant Accounting Policies—</w:t>
      </w:r>
      <w:r>
        <w:rPr>
          <w:rFonts w:ascii="Arial" w:cs="Arial" w:eastAsia="Arial" w:hAnsi="Arial"/>
          <w:sz w:val="17"/>
          <w:szCs w:val="17"/>
          <w:i w:val="1"/>
          <w:iCs w:val="1"/>
          <w:color w:val="auto"/>
        </w:rPr>
        <w:t>Basis of Consolidation</w:t>
      </w:r>
      <w:r>
        <w:rPr>
          <w:rFonts w:ascii="Arial" w:cs="Arial" w:eastAsia="Arial" w:hAnsi="Arial"/>
          <w:sz w:val="17"/>
          <w:szCs w:val="17"/>
          <w:color w:val="auto"/>
        </w:rPr>
        <w:t>” below for further detail.</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Subsidiary</w:t>
            </w:r>
          </w:p>
        </w:tc>
        <w:tc>
          <w:tcPr>
            <w:tcW w:w="120" w:type="dxa"/>
            <w:vAlign w:val="bottom"/>
            <w:vMerge w:val="restart"/>
          </w:tcPr>
          <w:p>
            <w:pPr>
              <w:spacing w:after="0"/>
              <w:rPr>
                <w:sz w:val="14"/>
                <w:szCs w:val="14"/>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Jurisdiction of</w:t>
            </w:r>
          </w:p>
        </w:tc>
        <w:tc>
          <w:tcPr>
            <w:tcW w:w="2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Formation</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92"/>
        </w:trPr>
        <w:tc>
          <w:tcPr>
            <w:tcW w:w="62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Incorporation</w:t>
            </w:r>
          </w:p>
        </w:tc>
        <w:tc>
          <w:tcPr>
            <w:tcW w:w="120" w:type="dxa"/>
            <w:vAlign w:val="bottom"/>
            <w:tcBorders>
              <w:bottom w:val="single" w:sz="8" w:color="CCEEFF"/>
            </w:tcBorders>
          </w:tcPr>
          <w:p>
            <w:pPr>
              <w:spacing w:after="0"/>
              <w:rPr>
                <w:sz w:val="16"/>
                <w:szCs w:val="16"/>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Owned</w:t>
            </w: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GCL</w:t>
            </w:r>
          </w:p>
        </w:tc>
        <w:tc>
          <w:tcPr>
            <w:tcW w:w="16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Delaware</w:t>
            </w:r>
          </w:p>
        </w:tc>
        <w:tc>
          <w:tcPr>
            <w:tcW w:w="21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April 13, 2012</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37"/>
        </w:trPr>
        <w:tc>
          <w:tcPr>
            <w:tcW w:w="6400" w:type="dxa"/>
            <w:vAlign w:val="bottom"/>
            <w:gridSpan w:val="2"/>
          </w:tcPr>
          <w:p>
            <w:pPr>
              <w:ind w:left="40"/>
              <w:spacing w:after="0"/>
              <w:rPr>
                <w:sz w:val="20"/>
                <w:szCs w:val="20"/>
                <w:color w:val="auto"/>
              </w:rPr>
            </w:pPr>
            <w:r>
              <w:rPr>
                <w:rFonts w:ascii="Arial" w:cs="Arial" w:eastAsia="Arial" w:hAnsi="Arial"/>
                <w:sz w:val="16"/>
                <w:szCs w:val="16"/>
                <w:b w:val="1"/>
                <w:bCs w:val="1"/>
                <w:color w:val="auto"/>
              </w:rPr>
              <w:t>Subsidiaries below are referred to collectively, as the “GSVC Holdings”</w:t>
            </w: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GSVC AE Holdings, Inc. (“GAE”)</w:t>
            </w:r>
          </w:p>
        </w:tc>
        <w:tc>
          <w:tcPr>
            <w:tcW w:w="16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Delaware</w:t>
            </w:r>
          </w:p>
        </w:tc>
        <w:tc>
          <w:tcPr>
            <w:tcW w:w="21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November 28, 2012</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43"/>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GSVC AV Holdings, Inc. (“GAV”)</w:t>
            </w:r>
          </w:p>
        </w:tc>
        <w:tc>
          <w:tcPr>
            <w:tcW w:w="162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Delaware</w:t>
            </w:r>
          </w:p>
        </w:tc>
        <w:tc>
          <w:tcPr>
            <w:tcW w:w="21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November 28, 2012</w:t>
            </w: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GSVC NG Holdings, Inc. (“GNG”)</w:t>
            </w:r>
          </w:p>
        </w:tc>
        <w:tc>
          <w:tcPr>
            <w:tcW w:w="16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Delaware</w:t>
            </w:r>
          </w:p>
        </w:tc>
        <w:tc>
          <w:tcPr>
            <w:tcW w:w="21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November 28, 2012</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43"/>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GSVC SW Holdings, Inc. (“GSW”)</w:t>
            </w:r>
          </w:p>
        </w:tc>
        <w:tc>
          <w:tcPr>
            <w:tcW w:w="162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Delaware</w:t>
            </w:r>
          </w:p>
        </w:tc>
        <w:tc>
          <w:tcPr>
            <w:tcW w:w="21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November 28, 2012</w:t>
            </w: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GSVC WS Holdings, Inc. (“GWS”)</w:t>
            </w:r>
          </w:p>
        </w:tc>
        <w:tc>
          <w:tcPr>
            <w:tcW w:w="16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Delaware</w:t>
            </w:r>
          </w:p>
        </w:tc>
        <w:tc>
          <w:tcPr>
            <w:tcW w:w="21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November 28, 2012</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43"/>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GSVC SVDS Holdings, Inc. (“SVDS”)</w:t>
            </w:r>
          </w:p>
        </w:tc>
        <w:tc>
          <w:tcPr>
            <w:tcW w:w="162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Delaware</w:t>
            </w:r>
          </w:p>
        </w:tc>
        <w:tc>
          <w:tcPr>
            <w:tcW w:w="21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August 13, 2013</w:t>
            </w: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20" w:firstLine="351"/>
        <w:spacing w:after="0" w:line="297" w:lineRule="auto"/>
        <w:rPr>
          <w:sz w:val="20"/>
          <w:szCs w:val="20"/>
          <w:color w:val="auto"/>
        </w:rPr>
      </w:pPr>
      <w:r>
        <w:rPr>
          <w:rFonts w:ascii="Arial" w:cs="Arial" w:eastAsia="Arial" w:hAnsi="Arial"/>
          <w:sz w:val="16"/>
          <w:szCs w:val="16"/>
          <w:color w:val="auto"/>
        </w:rPr>
        <w:t>The Company’s investment objective is to maximize its portfolio’s total return, principally by seeking capital gains on its equity and equity-related investments. The Company invests principally in the equity securities of what it believes to be rapidly growing venture-capital-backed emerging companies. The Company may acquire its investments in these portfolio companies through: offerings of the prospective portfolio companies, transactions on secondary marketplaces for private companies, or negotiations with selling stockholders. The Company may also invest on an opportunistic basis in select publicly traded equity securities or certain non-U.S. companies that otherwise meet its investment criteria, subject to any applicable limitations under the 1940 Act.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right="200" w:firstLine="351"/>
        <w:spacing w:after="0" w:line="273" w:lineRule="auto"/>
        <w:rPr>
          <w:sz w:val="20"/>
          <w:szCs w:val="20"/>
          <w:color w:val="auto"/>
        </w:rPr>
      </w:pPr>
      <w:r>
        <w:rPr>
          <w:rFonts w:ascii="Arial" w:cs="Arial" w:eastAsia="Arial" w:hAnsi="Arial"/>
          <w:sz w:val="17"/>
          <w:szCs w:val="17"/>
          <w:color w:val="auto"/>
        </w:rPr>
        <w:t>The interim unaudited condensed consolidated financial statements of the Company are prepared on the accrual basis of accounting in conformity with U.S. generally accepted accounting principles (“GAAP”) and pursuant to the requirements for reporting on Form 10-Q and Regulation S-X under the Securities Exchange Act of 1934, as amended (the “Exchange Act”). The Company is an investment company following the specialized accounting and reporting guidance specified in the Financial Accounting Standards Board’s (“FASB”) Accounting Standards Codification (“ASC”) Topic 946, Financial Services—Investment Companies. In the opinion of management, all adjustments, all of which were of a normal recurring nature, considered necessary for the fair presentation of consolidated financial statements for the interim period have been included.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2018</w:t>
      </w:r>
    </w:p>
    <w:p>
      <w:pPr>
        <w:spacing w:after="0" w:line="23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results of operations for the current interim period are not necessarily indicative of results that ultimately may be achieved for any other interim period or for the year ending December 31, 2018. The interim unaudited condensed consolidated financial statements and notes hereto should be read in conjunction with the audited condensed consolidated financial statements and notes thereto contained in the Company’s annual report on Form 10-K for the year ended December 31, 2017.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Consolidation</w:t>
      </w:r>
    </w:p>
    <w:p>
      <w:pPr>
        <w:spacing w:after="0" w:line="229" w:lineRule="exact"/>
        <w:rPr>
          <w:sz w:val="20"/>
          <w:szCs w:val="20"/>
          <w:color w:val="auto"/>
        </w:rPr>
      </w:pPr>
    </w:p>
    <w:p>
      <w:pPr>
        <w:jc w:val="both"/>
        <w:ind w:right="120" w:firstLine="351"/>
        <w:spacing w:after="0" w:line="288" w:lineRule="auto"/>
        <w:rPr>
          <w:sz w:val="20"/>
          <w:szCs w:val="20"/>
          <w:color w:val="auto"/>
        </w:rPr>
      </w:pPr>
      <w:r>
        <w:rPr>
          <w:rFonts w:ascii="Arial" w:cs="Arial" w:eastAsia="Arial" w:hAnsi="Arial"/>
          <w:sz w:val="16"/>
          <w:szCs w:val="16"/>
          <w:color w:val="auto"/>
        </w:rPr>
        <w:t>Under Article 6 of Regulation S-X and the American Institute of Certified Public Accountants’ (“AICPA”) Audit and Accounting Guide for Investment Companies, the Company is precluded from consolidating any entity other than another investment company, a controlled operating company that provides substantially all of its services and benefits to the Company, and certain entities established for tax purposes where the Company holds a 100% interest.</w:t>
      </w:r>
    </w:p>
    <w:p>
      <w:pPr>
        <w:ind w:right="440"/>
        <w:spacing w:after="0" w:line="261" w:lineRule="auto"/>
        <w:rPr>
          <w:sz w:val="20"/>
          <w:szCs w:val="20"/>
          <w:color w:val="auto"/>
        </w:rPr>
      </w:pPr>
      <w:r>
        <w:rPr>
          <w:rFonts w:ascii="Arial" w:cs="Arial" w:eastAsia="Arial" w:hAnsi="Arial"/>
          <w:sz w:val="18"/>
          <w:szCs w:val="18"/>
          <w:color w:val="auto"/>
        </w:rPr>
        <w:t>Accordingly, the Company’s consolidated financial statements include its accounts and the accounts of the GSVC Holdings and GCL, its wholly-owned subsidiaries. All intercompany balances and transactions have been eliminated in consolidation.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ind w:right="160" w:firstLine="351"/>
        <w:spacing w:after="0" w:line="257" w:lineRule="auto"/>
        <w:rPr>
          <w:sz w:val="20"/>
          <w:szCs w:val="20"/>
          <w:color w:val="auto"/>
        </w:rPr>
      </w:pPr>
      <w:r>
        <w:rPr>
          <w:rFonts w:ascii="Arial" w:cs="Arial" w:eastAsia="Arial" w:hAnsi="Arial"/>
          <w:sz w:val="18"/>
          <w:szCs w:val="18"/>
          <w:color w:val="auto"/>
        </w:rPr>
        <w:t>The preparation of consolidated financial statements in accordance with GAAP requires the Company’s management to make a number of significant estimates. These include estimates of the fair value of certain assets and liabilities and other estimates that affect the reported amounts of certain assets and liabilities as of the date of the consolidated financial statements and the reported amounts of certain revenues and expenses during the reporting period. It is likely that changes in these estimates will occur in the near term. The Company’s estimates are inherently subjective in nature and actual results could differ materially from such estimates.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Uncertainties and Risk Factors</w:t>
      </w:r>
    </w:p>
    <w:p>
      <w:pPr>
        <w:spacing w:after="0" w:line="229" w:lineRule="exact"/>
        <w:rPr>
          <w:sz w:val="20"/>
          <w:szCs w:val="20"/>
          <w:color w:val="auto"/>
        </w:rPr>
      </w:pPr>
    </w:p>
    <w:p>
      <w:pPr>
        <w:ind w:right="20" w:firstLine="351"/>
        <w:spacing w:after="0" w:line="276" w:lineRule="auto"/>
        <w:rPr>
          <w:sz w:val="20"/>
          <w:szCs w:val="20"/>
          <w:color w:val="auto"/>
        </w:rPr>
      </w:pPr>
      <w:r>
        <w:rPr>
          <w:rFonts w:ascii="Arial" w:cs="Arial" w:eastAsia="Arial" w:hAnsi="Arial"/>
          <w:sz w:val="17"/>
          <w:szCs w:val="17"/>
          <w:color w:val="auto"/>
        </w:rPr>
        <w:t>The Company is subject to a number of risks and uncertainties in the nature of its operations, as well as vulnerability due to certain concentrations. Refer to “Management's Discussion and Analysis of Financial Condition and Results of Operations - Forward-Looking Statements" and "Risk Factors” in this quarterly report on Form 10-Q and "Risk Factors" in Part I, Item 1A of the Company's annual report on Form 10-K for the fiscal year ended December 31, 2017 for a detailed discussion of the risks and uncertainties inherent in the nature of the Company’s operations. Refer to “Note 4—Investments at Fair Value” for an overview of the Company’s industry and geographic concentrations.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at Fair Value</w:t>
      </w:r>
    </w:p>
    <w:p>
      <w:pPr>
        <w:spacing w:after="0" w:line="229" w:lineRule="exact"/>
        <w:rPr>
          <w:sz w:val="20"/>
          <w:szCs w:val="20"/>
          <w:color w:val="auto"/>
        </w:rPr>
      </w:pPr>
    </w:p>
    <w:p>
      <w:pPr>
        <w:ind w:right="260" w:firstLine="351"/>
        <w:spacing w:after="0" w:line="277" w:lineRule="auto"/>
        <w:rPr>
          <w:sz w:val="20"/>
          <w:szCs w:val="20"/>
          <w:color w:val="auto"/>
        </w:rPr>
      </w:pPr>
      <w:r>
        <w:rPr>
          <w:rFonts w:ascii="Arial" w:cs="Arial" w:eastAsia="Arial" w:hAnsi="Arial"/>
          <w:sz w:val="18"/>
          <w:szCs w:val="18"/>
          <w:color w:val="auto"/>
        </w:rPr>
        <w:t>The Company applies fair value accounting in accordance with GAAP and the AICPA’s Audit and Accounting Guide for Investment Companies. The Company values its assets on a quarterly basis, or more frequently if required under the 1940 Act.</w:t>
      </w:r>
    </w:p>
    <w:p>
      <w:pPr>
        <w:spacing w:after="0" w:line="170" w:lineRule="exact"/>
        <w:rPr>
          <w:sz w:val="20"/>
          <w:szCs w:val="20"/>
          <w:color w:val="auto"/>
        </w:rPr>
      </w:pPr>
    </w:p>
    <w:p>
      <w:pPr>
        <w:ind w:firstLine="351"/>
        <w:spacing w:after="0" w:line="257"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GAAP establishes a framework for measuring fair value that includes a hierarchy used to classify the inputs used in measuring fair value. The hierarchy prioritizes the inputs to valuation techniques used to measure fair value into three levels. The level in the fair value hierarchy within which the fair value measurement falls is determined based on the lowest level input that is significant to the fair value measurement. The levels of the fair value hierarchy are as follows:</w:t>
      </w:r>
    </w:p>
    <w:p>
      <w:pPr>
        <w:spacing w:after="0" w:line="184" w:lineRule="exact"/>
        <w:rPr>
          <w:sz w:val="20"/>
          <w:szCs w:val="20"/>
          <w:color w:val="auto"/>
        </w:rPr>
      </w:pPr>
    </w:p>
    <w:p>
      <w:pPr>
        <w:ind w:right="80" w:firstLine="351"/>
        <w:spacing w:after="0" w:line="282" w:lineRule="auto"/>
        <w:rPr>
          <w:sz w:val="20"/>
          <w:szCs w:val="20"/>
          <w:color w:val="auto"/>
        </w:rPr>
      </w:pPr>
      <w:r>
        <w:rPr>
          <w:rFonts w:ascii="Arial" w:cs="Arial" w:eastAsia="Arial" w:hAnsi="Arial"/>
          <w:sz w:val="18"/>
          <w:szCs w:val="18"/>
          <w:b w:val="1"/>
          <w:bCs w:val="1"/>
          <w:color w:val="auto"/>
        </w:rPr>
        <w:t>Level 1</w:t>
      </w:r>
      <w:r>
        <w:rPr>
          <w:rFonts w:ascii="Arial" w:cs="Arial" w:eastAsia="Arial" w:hAnsi="Arial"/>
          <w:sz w:val="18"/>
          <w:szCs w:val="18"/>
          <w:color w:val="auto"/>
        </w:rPr>
        <w:t>—Valuations based on unadjusted quoted prices for identical assets or liabilities in an active market that the Company has the ability to access at</w:t>
      </w:r>
      <w:r>
        <w:rPr>
          <w:rFonts w:ascii="Arial" w:cs="Arial" w:eastAsia="Arial" w:hAnsi="Arial"/>
          <w:sz w:val="18"/>
          <w:szCs w:val="18"/>
          <w:b w:val="1"/>
          <w:bCs w:val="1"/>
          <w:color w:val="auto"/>
        </w:rPr>
        <w:t xml:space="preserve"> </w:t>
      </w:r>
      <w:r>
        <w:rPr>
          <w:rFonts w:ascii="Arial" w:cs="Arial" w:eastAsia="Arial" w:hAnsi="Arial"/>
          <w:sz w:val="18"/>
          <w:szCs w:val="18"/>
          <w:color w:val="auto"/>
        </w:rPr>
        <w:t>the measurement date.</w:t>
      </w:r>
    </w:p>
    <w:p>
      <w:pPr>
        <w:spacing w:after="0" w:line="162" w:lineRule="exact"/>
        <w:rPr>
          <w:sz w:val="20"/>
          <w:szCs w:val="20"/>
          <w:color w:val="auto"/>
        </w:rPr>
      </w:pPr>
    </w:p>
    <w:p>
      <w:pPr>
        <w:jc w:val="both"/>
        <w:ind w:right="20" w:firstLine="351"/>
        <w:spacing w:after="0" w:line="266" w:lineRule="auto"/>
        <w:rPr>
          <w:sz w:val="20"/>
          <w:szCs w:val="20"/>
          <w:color w:val="auto"/>
        </w:rPr>
      </w:pPr>
      <w:r>
        <w:rPr>
          <w:rFonts w:ascii="Arial" w:cs="Arial" w:eastAsia="Arial" w:hAnsi="Arial"/>
          <w:sz w:val="18"/>
          <w:szCs w:val="18"/>
          <w:b w:val="1"/>
          <w:bCs w:val="1"/>
          <w:color w:val="auto"/>
        </w:rPr>
        <w:t>Level 2</w:t>
      </w:r>
      <w:r>
        <w:rPr>
          <w:rFonts w:ascii="Arial" w:cs="Arial" w:eastAsia="Arial" w:hAnsi="Arial"/>
          <w:sz w:val="18"/>
          <w:szCs w:val="18"/>
          <w:color w:val="auto"/>
        </w:rPr>
        <w:t>—Valuations based on observable inputs other than Level 1 prices, such as quoted prices for similar assets or liabilities; quoted prices in markets</w:t>
      </w:r>
      <w:r>
        <w:rPr>
          <w:rFonts w:ascii="Arial" w:cs="Arial" w:eastAsia="Arial" w:hAnsi="Arial"/>
          <w:sz w:val="18"/>
          <w:szCs w:val="18"/>
          <w:b w:val="1"/>
          <w:bCs w:val="1"/>
          <w:color w:val="auto"/>
        </w:rPr>
        <w:t xml:space="preserve"> </w:t>
      </w:r>
      <w:r>
        <w:rPr>
          <w:rFonts w:ascii="Arial" w:cs="Arial" w:eastAsia="Arial" w:hAnsi="Arial"/>
          <w:sz w:val="18"/>
          <w:szCs w:val="18"/>
          <w:color w:val="auto"/>
        </w:rPr>
        <w:t>that are not active; or other inputs that are observable or can be corroborated by observable market data at the measurement date for substantially the full term of the assets or liabilities.</w:t>
      </w:r>
    </w:p>
    <w:p>
      <w:pPr>
        <w:spacing w:after="0" w:line="176" w:lineRule="exact"/>
        <w:rPr>
          <w:sz w:val="20"/>
          <w:szCs w:val="20"/>
          <w:color w:val="auto"/>
        </w:rPr>
      </w:pPr>
    </w:p>
    <w:p>
      <w:pPr>
        <w:ind w:right="100" w:firstLine="351"/>
        <w:spacing w:after="0" w:line="282" w:lineRule="auto"/>
        <w:rPr>
          <w:sz w:val="20"/>
          <w:szCs w:val="20"/>
          <w:color w:val="auto"/>
        </w:rPr>
      </w:pPr>
      <w:r>
        <w:rPr>
          <w:rFonts w:ascii="Arial" w:cs="Arial" w:eastAsia="Arial" w:hAnsi="Arial"/>
          <w:sz w:val="18"/>
          <w:szCs w:val="18"/>
          <w:b w:val="1"/>
          <w:bCs w:val="1"/>
          <w:color w:val="auto"/>
        </w:rPr>
        <w:t>Level 3</w:t>
      </w:r>
      <w:r>
        <w:rPr>
          <w:rFonts w:ascii="Arial" w:cs="Arial" w:eastAsia="Arial" w:hAnsi="Arial"/>
          <w:sz w:val="18"/>
          <w:szCs w:val="18"/>
          <w:color w:val="auto"/>
        </w:rPr>
        <w:t>—Valuations based on unobservable inputs that reflect management’s best estimate of what market participants would use in pricing the asset or</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liability at the measurement date. Consideration is given to the risk inherent in the valuation</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22" w:right="25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2018</w:t>
      </w:r>
    </w:p>
    <w:p>
      <w:pPr>
        <w:spacing w:after="0" w:line="238"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technique and the risk inherent in the inputs to the model. The majority of the Company’s investments are Level 3 investments and are subject to a high degree of judgment and uncertainty in determining fair value.</w:t>
      </w:r>
    </w:p>
    <w:p>
      <w:pPr>
        <w:spacing w:after="0" w:line="170" w:lineRule="exact"/>
        <w:rPr>
          <w:sz w:val="20"/>
          <w:szCs w:val="20"/>
          <w:color w:val="auto"/>
        </w:rPr>
      </w:pPr>
    </w:p>
    <w:p>
      <w:pPr>
        <w:ind w:right="120" w:firstLine="351"/>
        <w:spacing w:after="0" w:line="257" w:lineRule="auto"/>
        <w:rPr>
          <w:sz w:val="20"/>
          <w:szCs w:val="20"/>
          <w:color w:val="auto"/>
        </w:rPr>
      </w:pPr>
      <w:r>
        <w:rPr>
          <w:rFonts w:ascii="Arial" w:cs="Arial" w:eastAsia="Arial" w:hAnsi="Arial"/>
          <w:sz w:val="18"/>
          <w:szCs w:val="18"/>
          <w:color w:val="auto"/>
        </w:rPr>
        <w:t>When the inputs used to measure fair value fall within different levels of the hierarchy, the level within which the fair value measurement is categorized is based on the lowest level input that is significant to the fair value measurement in its entirety. For example, a Level 3 fair value measurement may include inputs that are observable (Levels 1 and 2) and unobservable (Level 3). Therefore, gains and losses for such assets and liabilities categorized within the Level 3 table set forth in “Note 4—Investments at Fair Value” may include changes in fair value that are attributable to both observable inputs (Levels 1 and 2) and unobservable inputs (Level 3).</w:t>
      </w:r>
    </w:p>
    <w:p>
      <w:pPr>
        <w:spacing w:after="0" w:line="188" w:lineRule="exact"/>
        <w:rPr>
          <w:sz w:val="20"/>
          <w:szCs w:val="20"/>
          <w:color w:val="auto"/>
        </w:rPr>
      </w:pPr>
    </w:p>
    <w:p>
      <w:pPr>
        <w:ind w:right="220" w:firstLine="351"/>
        <w:spacing w:after="0" w:line="302" w:lineRule="auto"/>
        <w:rPr>
          <w:sz w:val="20"/>
          <w:szCs w:val="20"/>
          <w:color w:val="auto"/>
        </w:rPr>
      </w:pPr>
      <w:r>
        <w:rPr>
          <w:rFonts w:ascii="Arial" w:cs="Arial" w:eastAsia="Arial" w:hAnsi="Arial"/>
          <w:sz w:val="16"/>
          <w:szCs w:val="16"/>
          <w:color w:val="auto"/>
        </w:rPr>
        <w:t>A review of fair value hierarchy classifications is conducted on a quarterly basis. Changes in the observability of valuation inputs may result in a reclassification for certain financial assets or liabilities. Reclassifications impacting Level 3 of the fair value hierarchy are reported as transfers in/out of the Level 3 category as of the beginning of the measurement period in which the reclassifications occur. Refer to “Levelling Policy” below for a detailed discussion of the levelling of the Company’s financial assets or liabilities and events that may cause a reclassification within the fair value hierarchy.</w:t>
      </w:r>
    </w:p>
    <w:p>
      <w:pPr>
        <w:spacing w:after="0" w:line="154"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Securities for which market quotations are readily available on an exchange are valued at the most recently available closing price of such security as of the valuation date, unless there are legal or contractual restrictions on the sale or use of such security that under ASC 820-10-35 should be incorporated into the security’s fair value measurement as a characteristic of the security that would transfer to market participants who would buy the security. The Company may also obtain quotes with respect to certain of its investments from pricing services, brokers or dealers in order to value assets. When doing so, the Company determines whether the quote obtained is sufficient according to GAAP to determine the fair value of the security. If determined to be adequate, the Company uses the quote obtained.</w:t>
      </w:r>
    </w:p>
    <w:p>
      <w:pPr>
        <w:spacing w:after="0" w:line="193" w:lineRule="exact"/>
        <w:rPr>
          <w:sz w:val="20"/>
          <w:szCs w:val="20"/>
          <w:color w:val="auto"/>
        </w:rPr>
      </w:pPr>
    </w:p>
    <w:p>
      <w:pPr>
        <w:ind w:right="140" w:firstLine="351"/>
        <w:spacing w:after="0" w:line="286" w:lineRule="auto"/>
        <w:rPr>
          <w:sz w:val="20"/>
          <w:szCs w:val="20"/>
          <w:color w:val="auto"/>
        </w:rPr>
      </w:pPr>
      <w:r>
        <w:rPr>
          <w:rFonts w:ascii="Arial" w:cs="Arial" w:eastAsia="Arial" w:hAnsi="Arial"/>
          <w:sz w:val="17"/>
          <w:szCs w:val="17"/>
          <w:color w:val="auto"/>
        </w:rPr>
        <w:t>Securities for which reliable market quotations are not readily available or for which the pricing source does not provide a valuation or methodology, or provides a valuation or methodology that, in the judgment of GSV Asset Management, our board of directors or the valuation committee of the Company’s board of directors (the “Valuation Committee”), does not reliably represent fair value, shall each be valued as follows:</w:t>
      </w:r>
    </w:p>
    <w:p>
      <w:pPr>
        <w:spacing w:after="0" w:line="166" w:lineRule="exact"/>
        <w:rPr>
          <w:sz w:val="20"/>
          <w:szCs w:val="20"/>
          <w:color w:val="auto"/>
        </w:rPr>
      </w:pPr>
    </w:p>
    <w:p>
      <w:pPr>
        <w:ind w:left="660" w:right="34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quarterly valuation process begins with each portfolio company or investment being initially valued by the investment professionals of GSV Asset Management responsible for the portfolio investment;</w:t>
      </w:r>
    </w:p>
    <w:p>
      <w:pPr>
        <w:spacing w:after="0" w:line="21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GSV Asset Management senior management;</w:t>
      </w:r>
    </w:p>
    <w:p>
      <w:pPr>
        <w:spacing w:after="0" w:line="265" w:lineRule="exact"/>
        <w:rPr>
          <w:rFonts w:ascii="Arial" w:cs="Arial" w:eastAsia="Arial" w:hAnsi="Arial"/>
          <w:sz w:val="18"/>
          <w:szCs w:val="18"/>
          <w:color w:val="auto"/>
        </w:rPr>
      </w:pPr>
    </w:p>
    <w:p>
      <w:pPr>
        <w:ind w:left="660" w:right="100" w:hanging="328"/>
        <w:spacing w:after="0" w:line="26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independent third-party valuation firm is engaged by the Valuation Committee to conduct independent appraisals and review GSV Asset Management’s preliminary valuations and make its own independent assessment, for all investments for which there are no readily available market quotations;</w:t>
      </w:r>
    </w:p>
    <w:p>
      <w:pPr>
        <w:spacing w:after="0" w:line="221" w:lineRule="exact"/>
        <w:rPr>
          <w:rFonts w:ascii="Arial" w:cs="Arial" w:eastAsia="Arial" w:hAnsi="Arial"/>
          <w:sz w:val="18"/>
          <w:szCs w:val="18"/>
          <w:color w:val="auto"/>
        </w:rPr>
      </w:pPr>
    </w:p>
    <w:p>
      <w:pPr>
        <w:ind w:left="660" w:right="4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Valuation Committee discusses the valuations and recommends to the Company’s board of directors a fair value for each investment in the portfolio based on the input of GSV Asset Management and the independent third-party valuation firm; and</w:t>
      </w:r>
    </w:p>
    <w:p>
      <w:pPr>
        <w:spacing w:after="0" w:line="210" w:lineRule="exact"/>
        <w:rPr>
          <w:rFonts w:ascii="Arial" w:cs="Arial" w:eastAsia="Arial" w:hAnsi="Arial"/>
          <w:sz w:val="18"/>
          <w:szCs w:val="18"/>
          <w:color w:val="auto"/>
        </w:rPr>
      </w:pPr>
    </w:p>
    <w:p>
      <w:pPr>
        <w:ind w:left="660" w:right="38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Company’s board of directors then discusses the valuations recommended by the Valuation Committee and determines in good faith the fair value of each investment in the portfolio.</w:t>
      </w:r>
    </w:p>
    <w:p>
      <w:pPr>
        <w:spacing w:after="0" w:line="211" w:lineRule="exact"/>
        <w:rPr>
          <w:sz w:val="20"/>
          <w:szCs w:val="20"/>
          <w:color w:val="auto"/>
        </w:rPr>
      </w:pPr>
    </w:p>
    <w:p>
      <w:pPr>
        <w:jc w:val="both"/>
        <w:ind w:firstLine="351"/>
        <w:spacing w:after="0" w:line="302" w:lineRule="auto"/>
        <w:rPr>
          <w:sz w:val="20"/>
          <w:szCs w:val="20"/>
          <w:color w:val="auto"/>
        </w:rPr>
      </w:pPr>
      <w:r>
        <w:rPr>
          <w:rFonts w:ascii="Arial" w:cs="Arial" w:eastAsia="Arial" w:hAnsi="Arial"/>
          <w:sz w:val="16"/>
          <w:szCs w:val="16"/>
          <w:color w:val="auto"/>
        </w:rPr>
        <w:t>In making a good faith determination of the fair value of investments, the Company considers valuation methodologies consistent with industry practice. Valuation methods utilized include, but are not limited to the following: comparisons to prices from secondary market transactions; venture capital financings; public offerings; purchase or sales transactions; as well as analysis of financial ratios and valuation metrics of the portfolio companies that issued such private equity securities to peer companies that are public, analysis of the portfolio companies’ most recent financial statements and forecasts, and the markets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September 30, 2018</w:t>
      </w:r>
    </w:p>
    <w:p>
      <w:pPr>
        <w:spacing w:after="0" w:line="23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in which the portfolio company does business, and other relevant factors. The Company assigns a weighting based upon the relevance of each method to determine the fair value of each investment.</w:t>
      </w:r>
    </w:p>
    <w:p>
      <w:pPr>
        <w:spacing w:after="0" w:line="170" w:lineRule="exact"/>
        <w:rPr>
          <w:sz w:val="20"/>
          <w:szCs w:val="20"/>
          <w:color w:val="auto"/>
        </w:rPr>
      </w:pPr>
    </w:p>
    <w:p>
      <w:pPr>
        <w:ind w:right="100" w:firstLine="351"/>
        <w:spacing w:after="0" w:line="279" w:lineRule="auto"/>
        <w:rPr>
          <w:sz w:val="20"/>
          <w:szCs w:val="20"/>
          <w:color w:val="auto"/>
        </w:rPr>
      </w:pPr>
      <w:r>
        <w:rPr>
          <w:rFonts w:ascii="Arial" w:cs="Arial" w:eastAsia="Arial" w:hAnsi="Arial"/>
          <w:sz w:val="17"/>
          <w:szCs w:val="17"/>
          <w:color w:val="auto"/>
        </w:rPr>
        <w:t>For investments that are not publicly traded or that do not have readily available market quotations, the Valuation Committee generally engages an independent valuation firm to provide an independent valuation, which the Company’s board of directors considers, among other factors, in making its fair value determinations for these investments. For the current and prior fiscal year, the Valuation Committee engaged an independent valuation firm to perform valuations of 100% of the Company’s investments for which there were no readily available market quotations.</w:t>
      </w:r>
    </w:p>
    <w:p>
      <w:pPr>
        <w:spacing w:after="0" w:line="171"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Due to the inherent uncertainty of determining the fair value of investments that do not have a readily available market value, the fair value of the Company’s investments may fluctuate from period to period. Because of the inherent uncertainty of valuation, these estimated values may differ significantly from the values that would have been reported had a ready market for the investments existed, and it is reasonably possible that the difference could be material.</w:t>
      </w:r>
    </w:p>
    <w:p>
      <w:pPr>
        <w:spacing w:after="0" w:line="187" w:lineRule="exact"/>
        <w:rPr>
          <w:sz w:val="20"/>
          <w:szCs w:val="20"/>
          <w:color w:val="auto"/>
        </w:rPr>
      </w:pPr>
    </w:p>
    <w:p>
      <w:pPr>
        <w:ind w:firstLine="351"/>
        <w:spacing w:after="0" w:line="342" w:lineRule="auto"/>
        <w:rPr>
          <w:sz w:val="20"/>
          <w:szCs w:val="20"/>
          <w:color w:val="auto"/>
        </w:rPr>
      </w:pPr>
      <w:r>
        <w:rPr>
          <w:rFonts w:ascii="Arial" w:cs="Arial" w:eastAsia="Arial" w:hAnsi="Arial"/>
          <w:sz w:val="16"/>
          <w:szCs w:val="16"/>
          <w:color w:val="auto"/>
        </w:rPr>
        <w:t>In addition, changes in the market environment and other events that may occur over the life of the investments may cause the realized gains or losses on investments to be different from the net change in unrealized appreciation or depreciation currently reflected in the consolidated financial statements.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Investments</w:t>
      </w:r>
    </w:p>
    <w:p>
      <w:pPr>
        <w:spacing w:after="0" w:line="225" w:lineRule="exact"/>
        <w:rPr>
          <w:sz w:val="20"/>
          <w:szCs w:val="20"/>
          <w:color w:val="auto"/>
        </w:rPr>
      </w:pPr>
    </w:p>
    <w:p>
      <w:pPr>
        <w:ind w:right="140" w:firstLine="351"/>
        <w:spacing w:after="0" w:line="293" w:lineRule="auto"/>
        <w:rPr>
          <w:sz w:val="20"/>
          <w:szCs w:val="20"/>
          <w:color w:val="auto"/>
        </w:rPr>
      </w:pPr>
      <w:r>
        <w:rPr>
          <w:rFonts w:ascii="Arial" w:cs="Arial" w:eastAsia="Arial" w:hAnsi="Arial"/>
          <w:sz w:val="16"/>
          <w:szCs w:val="16"/>
          <w:color w:val="auto"/>
        </w:rPr>
        <w:t>Equity investments for which market quotations are readily available in an active market are generally valued at the most recently available closing market prices and are classified as Level 1 assets. Equity investments with readily available market quotations that are subject to sales restrictions due to an initial public offering (“IPO”) by the portfolio company will be classified as Level 1. Any other equity investments with readily available market quotations that are subject to sales restrictions that would transfer to market participants who would buy the security may be valued at a discount for a lack of marketability (“DLOM”), to the most recently available closing market prices depending upon the nature of the sales restriction. These investments are generally classified as Level 2 assets. The DLOM used is generally based upon the market value of publicly traded put options with similar terms.</w:t>
      </w:r>
    </w:p>
    <w:p>
      <w:pPr>
        <w:spacing w:after="0" w:line="165"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The fair values of the Company’s equity investments for which market quotations are not readily available are determined based on various factors and are classified as Level 3 assets. To determine the fair value of a portfolio company for which market quotations are not readily available, the Company may analyze the relevant portfolio company’s most recently available historical and projected financial results, public market comparables, and other factors. The Company may also consider other events, including the transaction in which the Company acquired its securities, subsequent equity sales by the portfolio company, and mergers or acquisitions affecting the portfolio company. In addition, the Company may consider the trends of the portfolio company’s basic financial metrics from the time of its original investment until the measurement date, with material improvement of these metrics indicating a possible increase in fair value, while material deterioration of these metrics may indicate a possible reduction in fair value.</w:t>
      </w:r>
    </w:p>
    <w:p>
      <w:pPr>
        <w:spacing w:after="0" w:line="167"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color w:val="auto"/>
        </w:rPr>
        <w:t>In determining the value of equity or equity-linked securities (including warrants to purchase common or preferred stock) in a portfolio company, the Company considers the rights, preferences and limitations of such securities. In cases where a portfolio company’s capital structure includes multiple classes of preferred and common stock and equity-linked securities with different rights and preferences, the Company may use an option pricing model to allocate value to each equity-linked security, unless it believes a liquidity event such as an acquisition or a dissolution is imminent, or the portfolio company is unlikely to continue as a going concern. When equity-linked securities expire worthless, any cost associated with these positions is recognized as a realized loss on investments in the Condensed Consolidated Statements of Operations and Condensed Consolidated Statements of Cash Flows. In the event these securities are exercised into common or preferred stock, the cost associated with these securities is reassigned to the cost basis of the new common or preferred stock. These conversions are noted as non-cash operating items on the Condensed Consolidated Statements of Cash Flows.</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121" w:right="27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2018</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Investments</w:t>
      </w:r>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Given the nature of the Company’s current debt investments (excluding U.S. Treasuries), principally convertible and promissory notes issued by venture-capital-backed portfolio companies, these investments are classified as Level 3 assets because there is no known or accessible market or market indexes for these investment securities to be traded or exchanged. The Company’s debt investments are valued at estimated fair value as determined by the Company’s board of directors.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225"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The Company’s board of directors will ascribe value to warrants based on fair value analyses that can include discounted cash flow analyses, option pricing models, comparable analyses and other techniques as deemed appropriate. These investments are classified as Level 3 assets because there is no known or accessible market or market indexes for these investment securities to be traded or exchanged. The Company’s warrants are valued at estimated fair value as determined by the Company’s board of directors.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Company Investment Classification</w:t>
      </w:r>
    </w:p>
    <w:p>
      <w:pPr>
        <w:spacing w:after="0" w:line="225"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The Company is a non-diversified company within the meaning of the 1940 Act. The Company classifies its investments by level of control. As defined in the 1940 Act, control investments are those where there is the power to exercise a controlling influence over the management or policies of a company. Control is generally deemed to exist when a company or individual directly or indirectly owns beneficially more than 25% of the voting securities of an investee company. Affiliated investments and affiliated companies are defined by a lesser degree of influence and are deemed to exist when a company or individual directly or indirectly owns, controls or holds the power to vote 5% or more of the outstanding voting securities of a portfolio company. Refer to the Condensed Consolidated Schedules of Investments as of September 30, 2018 and December 31, 2017, for details regarding the nature and composition of the Company’s investment portfolio.</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Levelling Policy</w:t>
      </w:r>
    </w:p>
    <w:p>
      <w:pPr>
        <w:spacing w:after="0" w:line="225"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color w:val="auto"/>
        </w:rPr>
        <w:t>The portfolio companies in which the Company invests may offer their shares in IPOs. The Company’s shares in such portfolio companies are typically subject to lock-up agreements for 180 days following the IPO. Upon the IPO date, the Company transfers its investment from Level 3 to Level 1 due to the presence of an active market, limited by the lock-up agreement. The Company prices the investment at the closing price on a public exchange as of the measurement date. In situations where there are lock-up restrictions, as well as legal or contractual restrictions on the sale or use of such security that under ASC 820-10-35 should be incorporated into the security’s fair value measurement as a characteristic of the security that would transfer to market participants who would buy the security, the Company will classify the investment as Level 2 subject to an appropriate DLOM to reflect the restrictions upon sale. The Company transfers investments between levels based on the fair value at the beginning of the measurement period in accordance with FASB ASC 820. For investments transferred out of Level 3 due to an IPO, the Company transfers these investments based on their fair value at the IPO date.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Transactions</w:t>
      </w:r>
    </w:p>
    <w:p>
      <w:pPr>
        <w:spacing w:after="0" w:line="229"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Securities transactions are accounted for on the date the transaction for the purchase or sale of the securities is entered into by the Company (</w:t>
      </w:r>
      <w:r>
        <w:rPr>
          <w:rFonts w:ascii="Arial" w:cs="Arial" w:eastAsia="Arial" w:hAnsi="Arial"/>
          <w:sz w:val="18"/>
          <w:szCs w:val="18"/>
          <w:i w:val="1"/>
          <w:iCs w:val="1"/>
          <w:color w:val="auto"/>
        </w:rPr>
        <w:t>i.e.</w:t>
      </w:r>
      <w:r>
        <w:rPr>
          <w:rFonts w:ascii="Arial" w:cs="Arial" w:eastAsia="Arial" w:hAnsi="Arial"/>
          <w:sz w:val="18"/>
          <w:szCs w:val="18"/>
          <w:color w:val="auto"/>
        </w:rPr>
        <w:t>, trade date). Securities transactions outside conventional channels, such as private transactions, are recorded as of the date the Company obtains the right to demand the securities purchased or to collect the proceeds from a sale and incurs an obligation to pay for securities purchased or to deliver securities sold,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of Other Financial Instruments</w:t>
      </w:r>
    </w:p>
    <w:p>
      <w:pPr>
        <w:spacing w:after="0" w:line="229" w:lineRule="exact"/>
        <w:rPr>
          <w:sz w:val="20"/>
          <w:szCs w:val="20"/>
          <w:color w:val="auto"/>
        </w:rPr>
      </w:pPr>
    </w:p>
    <w:p>
      <w:pPr>
        <w:ind w:right="400" w:firstLine="351"/>
        <w:spacing w:after="0" w:line="277" w:lineRule="auto"/>
        <w:rPr>
          <w:sz w:val="20"/>
          <w:szCs w:val="20"/>
          <w:color w:val="auto"/>
        </w:rPr>
      </w:pPr>
      <w:r>
        <w:rPr>
          <w:rFonts w:ascii="Arial" w:cs="Arial" w:eastAsia="Arial" w:hAnsi="Arial"/>
          <w:sz w:val="18"/>
          <w:szCs w:val="18"/>
          <w:color w:val="auto"/>
        </w:rPr>
        <w:t>The carrying amounts of the Company’s other, non-investment financial instruments, consisting of cash, receivables, accounts payable, and accrued expenses, approximate fair value due to their short-term nature.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21" w:right="25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2018</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w:t>
      </w:r>
    </w:p>
    <w:p>
      <w:pPr>
        <w:spacing w:after="0" w:line="225" w:lineRule="exact"/>
        <w:rPr>
          <w:sz w:val="20"/>
          <w:szCs w:val="20"/>
          <w:color w:val="auto"/>
        </w:rPr>
      </w:pPr>
    </w:p>
    <w:p>
      <w:pPr>
        <w:jc w:val="both"/>
        <w:ind w:right="220" w:firstLine="351"/>
        <w:spacing w:after="0" w:line="312" w:lineRule="auto"/>
        <w:rPr>
          <w:sz w:val="20"/>
          <w:szCs w:val="20"/>
          <w:color w:val="auto"/>
        </w:rPr>
      </w:pPr>
      <w:r>
        <w:rPr>
          <w:rFonts w:ascii="Arial" w:cs="Arial" w:eastAsia="Arial" w:hAnsi="Arial"/>
          <w:sz w:val="16"/>
          <w:szCs w:val="16"/>
          <w:color w:val="auto"/>
        </w:rPr>
        <w:t>The Company places its cash with U.S. Bank, N.A., Bridge Bank (a subsidiary of Western Alliance Bank), and Silicon Valley Bank, and at times, cash held in these accounts may exceed the Federal Deposit Insurance Corporation insured limit. The Company believes that U.S. Bank, N.A., Western Alliance Bank, and Silicon Valley Bank are high-quality financial institutions and that the risk of loss associated with any uninsured balance is remote.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Escrow Proceeds Receivable</w:t>
      </w:r>
    </w:p>
    <w:p>
      <w:pPr>
        <w:spacing w:after="0" w:line="225" w:lineRule="exact"/>
        <w:rPr>
          <w:sz w:val="20"/>
          <w:szCs w:val="20"/>
          <w:color w:val="auto"/>
        </w:rPr>
      </w:pPr>
    </w:p>
    <w:p>
      <w:pPr>
        <w:ind w:firstLine="351"/>
        <w:spacing w:after="0" w:line="270" w:lineRule="auto"/>
        <w:rPr>
          <w:sz w:val="20"/>
          <w:szCs w:val="20"/>
          <w:color w:val="auto"/>
        </w:rPr>
      </w:pPr>
      <w:r>
        <w:rPr>
          <w:rFonts w:ascii="Arial" w:cs="Arial" w:eastAsia="Arial" w:hAnsi="Arial"/>
          <w:sz w:val="17"/>
          <w:szCs w:val="17"/>
          <w:color w:val="auto"/>
        </w:rPr>
        <w:t>During 2017, the Company completed the sale of its investment in JAMF Holdings, Inc. During the nine months ended September 30, 2018, the Company completed the sale of its investments in General Assembly Space, Inc., Lytro, Inc., SugarCRM, Inc., and DreamBox Learning, Inc. A portion of the proceeds from the sale of these portfolio investments are held in escrow as a recourse for indemnity claims that may arise under the sale agreement. Amounts held in escrow are held at estimated realizable value and included in net realized gains (losses) on investments in the Condensed Consolidated Statements of Operations for the period in which they occurred. Any remaining escrow proceeds balances from these transactions reasonably expected to be received are reflected on the Condensed Consolidated Statement of Assets and Liabilities as escrow proceeds receivable. At September 30, 2018 and December 31, 2017, the Company had $2,642,281 and $603,456, respectively, in escrow proceeds receivable. During the nine months ended September 30, 2018, the Company received the remainder of escrow proceeds receivable from the sale of Strategic Data Command, LLC in 2017 and a portion of the escrow proceeds receivable from the sale of JAMF Holdings, Inc.</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Financing Costs</w:t>
      </w:r>
    </w:p>
    <w:p>
      <w:pPr>
        <w:spacing w:after="0" w:line="225" w:lineRule="exact"/>
        <w:rPr>
          <w:sz w:val="20"/>
          <w:szCs w:val="20"/>
          <w:color w:val="auto"/>
        </w:rPr>
      </w:pPr>
    </w:p>
    <w:p>
      <w:pPr>
        <w:ind w:right="20" w:firstLine="351"/>
        <w:spacing w:after="0" w:line="272" w:lineRule="auto"/>
        <w:rPr>
          <w:sz w:val="20"/>
          <w:szCs w:val="20"/>
          <w:color w:val="auto"/>
        </w:rPr>
      </w:pPr>
      <w:r>
        <w:rPr>
          <w:rFonts w:ascii="Arial" w:cs="Arial" w:eastAsia="Arial" w:hAnsi="Arial"/>
          <w:sz w:val="17"/>
          <w:szCs w:val="17"/>
          <w:color w:val="auto"/>
        </w:rPr>
        <w:t>The Company records origination costs related to lines of credit as deferred financing costs. These costs are deferred and amortized as part of interest expense using the straight-line method over the respective life of the line of credit. For modifications to a line of credit, any unamortized origination costs are expensed. Included within deferred financing costs are offering costs incurred relating to the Company’s shelf registration statement on Form N-2. The Company defers these offering costs until capital is raised pursuant to the shelf registration statement or the shelf registration statement has expired. For equity capital raised, the offering costs reduce paid-in capital resulting from the offering. For debt capital raised, the associated offering costs are amortized over the life of the debt instrument. As of September 30, 2018, and December 31, 2017, the Company had deferred financing costs of $215,048 and $413,023, respectively, on the Condensed Consolidated Statements of Assets and Liabilities.</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280" w:type="dxa"/>
            <w:vAlign w:val="bottom"/>
          </w:tcPr>
          <w:p>
            <w:pPr>
              <w:jc w:val="right"/>
              <w:ind w:right="257"/>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83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2017</w:t>
            </w: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credit facility costs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51,636</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Deferred offering costs</w:t>
            </w:r>
          </w:p>
        </w:tc>
        <w:tc>
          <w:tcPr>
            <w:tcW w:w="200" w:type="dxa"/>
            <w:vAlign w:val="bottom"/>
          </w:tcPr>
          <w:p>
            <w:pPr>
              <w:spacing w:after="0"/>
              <w:rPr>
                <w:sz w:val="21"/>
                <w:szCs w:val="21"/>
                <w:color w:val="auto"/>
              </w:rPr>
            </w:pPr>
          </w:p>
        </w:tc>
        <w:tc>
          <w:tcPr>
            <w:tcW w:w="1300" w:type="dxa"/>
            <w:vAlign w:val="bottom"/>
          </w:tcPr>
          <w:p>
            <w:pPr>
              <w:jc w:val="right"/>
              <w:ind w:right="37"/>
              <w:spacing w:after="0"/>
              <w:rPr>
                <w:sz w:val="20"/>
                <w:szCs w:val="20"/>
                <w:color w:val="auto"/>
              </w:rPr>
            </w:pPr>
            <w:r>
              <w:rPr>
                <w:rFonts w:ascii="Arial" w:cs="Arial" w:eastAsia="Arial" w:hAnsi="Arial"/>
                <w:sz w:val="18"/>
                <w:szCs w:val="18"/>
                <w:color w:val="auto"/>
              </w:rPr>
              <w:t>215,048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7"/>
              <w:spacing w:after="0"/>
              <w:rPr>
                <w:sz w:val="20"/>
                <w:szCs w:val="20"/>
                <w:color w:val="auto"/>
              </w:rPr>
            </w:pPr>
            <w:r>
              <w:rPr>
                <w:rFonts w:ascii="Arial" w:cs="Arial" w:eastAsia="Arial" w:hAnsi="Arial"/>
                <w:sz w:val="18"/>
                <w:szCs w:val="18"/>
                <w:color w:val="auto"/>
              </w:rPr>
              <w:t>361,387</w:t>
            </w:r>
          </w:p>
        </w:tc>
      </w:tr>
      <w:tr>
        <w:trPr>
          <w:trHeight w:val="27"/>
        </w:trPr>
        <w:tc>
          <w:tcPr>
            <w:tcW w:w="83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Deferred Financing Costs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215,048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413,023</w:t>
            </w:r>
          </w:p>
        </w:tc>
      </w:tr>
      <w:tr>
        <w:trPr>
          <w:trHeight w:val="20"/>
        </w:trPr>
        <w:tc>
          <w:tcPr>
            <w:tcW w:w="8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-205105</wp:posOffset>
            </wp:positionV>
            <wp:extent cx="528256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282565"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ind w:right="200" w:firstLine="351"/>
        <w:spacing w:after="0" w:line="342" w:lineRule="auto"/>
        <w:rPr>
          <w:sz w:val="20"/>
          <w:szCs w:val="20"/>
          <w:color w:val="auto"/>
        </w:rPr>
      </w:pPr>
      <w:r>
        <w:rPr>
          <w:rFonts w:ascii="Arial" w:cs="Arial" w:eastAsia="Arial" w:hAnsi="Arial"/>
          <w:sz w:val="16"/>
          <w:szCs w:val="16"/>
          <w:color w:val="auto"/>
        </w:rPr>
        <w:t>The Company recognizes gains or losses on the sale of investments using the specific identification method. The Company recognizes interest income, adjusted for amortization of premium and accretion of discount, on an accrual basis. The Company recognizes dividend income on the ex-dividend date.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Transaction Costs and Escrow Deposits</w:t>
      </w:r>
    </w:p>
    <w:p>
      <w:pPr>
        <w:spacing w:after="0" w:line="229" w:lineRule="exact"/>
        <w:rPr>
          <w:sz w:val="20"/>
          <w:szCs w:val="20"/>
          <w:color w:val="auto"/>
        </w:rPr>
      </w:pPr>
    </w:p>
    <w:p>
      <w:pPr>
        <w:ind w:right="20" w:firstLine="351"/>
        <w:spacing w:after="0" w:line="302" w:lineRule="auto"/>
        <w:rPr>
          <w:sz w:val="20"/>
          <w:szCs w:val="20"/>
          <w:color w:val="auto"/>
        </w:rPr>
      </w:pPr>
      <w:r>
        <w:rPr>
          <w:rFonts w:ascii="Arial" w:cs="Arial" w:eastAsia="Arial" w:hAnsi="Arial"/>
          <w:sz w:val="16"/>
          <w:szCs w:val="16"/>
          <w:color w:val="auto"/>
        </w:rPr>
        <w:t>Commissions and other costs associated with an investment transaction, including legal expenses not reimbursed by the portfolio company, are included in the cost basis of purchases and deducted from the proceeds of sales. The Company makes certain acquisitions on secondary markets, which may involve making deposits to escrow accounts until certain conditions are met, including the underlying private company’s right of first refusal. If the underlying private company does not exercise or assign its right of first refusal and all other conditions are met, then the funds in the escrow account are delivered to the seller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2018</w:t>
      </w:r>
    </w:p>
    <w:p>
      <w:pPr>
        <w:spacing w:after="0" w:line="23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and the account is closed. Such transactions would be reflected on the Condensed Consolidated Statement of Assets and Liabilities as escrow deposits. At September 30, 2018 and December 31, 2017, the Company had no escrow deposits.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Unrealized Appreciation or Depreciation of Investments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Unrealized appreciation or depreciation is calculated as the difference between the fair value of the investment and the cost basis of such investment.</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and State Income Taxes</w:t>
      </w:r>
    </w:p>
    <w:p>
      <w:pPr>
        <w:spacing w:after="0" w:line="229"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The Company elected to be treated as a regulated investment company (a “RIC”) under Subchapter M of the Internal Revenue Code of 1986, as amended (the “Code”), beginning with its taxable year ended December 31, 2014, has qualified to be treated as a RIC for subsequent taxable years and intends to continue to operate in a manner so as to qualify for the tax treatment applicable to RICs. To qualify for tax treatment as a RIC, among other things, the Company is required to meet certain source of income and asset diversification requirements and timely distribute to its stockholders at least 90% of the sum of investment company taxable income (“ICTI”) including payment-in-kind interest income, as defined by the Code, and net tax-exempt interest income (which is the excess of its gross tax-exempt interest income over certain disallowed deductions) for each taxable year (the "Annual Distribution Requirement"). Depending on the level of ICTI earned in a tax year, the Company may choose to carry forward into the next tax year ICTI in excess of current year dividend distributions. Any such carryforward ICTI must be distributed on or before December 31 of the subsequent tax year to which it was carried forward.</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If the Company meets the Annual Distribution Requirement, but does not distribute (or is not deemed to have distributed) each calendar year a sum of</w:t>
      </w:r>
    </w:p>
    <w:p>
      <w:pPr>
        <w:spacing w:after="0" w:line="46" w:lineRule="exact"/>
        <w:rPr>
          <w:sz w:val="20"/>
          <w:szCs w:val="20"/>
          <w:color w:val="auto"/>
        </w:rPr>
      </w:pPr>
    </w:p>
    <w:p>
      <w:pPr>
        <w:ind w:right="40" w:firstLine="8"/>
        <w:spacing w:after="0" w:line="290" w:lineRule="auto"/>
        <w:tabs>
          <w:tab w:leader="none" w:pos="255" w:val="left"/>
        </w:tabs>
        <w:numPr>
          <w:ilvl w:val="0"/>
          <w:numId w:val="15"/>
        </w:numPr>
        <w:rPr>
          <w:rFonts w:ascii="Arial" w:cs="Arial" w:eastAsia="Arial" w:hAnsi="Arial"/>
          <w:sz w:val="16"/>
          <w:szCs w:val="16"/>
          <w:color w:val="auto"/>
        </w:rPr>
      </w:pPr>
      <w:r>
        <w:rPr>
          <w:rFonts w:ascii="Arial" w:cs="Arial" w:eastAsia="Arial" w:hAnsi="Arial"/>
          <w:sz w:val="16"/>
          <w:szCs w:val="16"/>
          <w:color w:val="auto"/>
        </w:rPr>
        <w:t>98% of its net ordinary income for each calendar year, (2) 98.2% of its capital gain net income for the one-year period ending October 31 in that calendar year and (3) any income recognized, but not distributed, in preceding years (the “Excise Tax Avoidance Requirement”), it generally will be required to pay an excise tax equal to 4% of the amount by which the Excise Tax Avoidance Requirement exceeds the distributions for the year. To the extent that the Company determines that its estimated current year annual taxable income will exceed estimated current year dividend distributions from such taxable income, the Company will accrue excise taxes, if any, on estimated excess taxable income as taxable income is earned using an annual effective excise tax rate. The annual effective excise tax rate is determined by dividing the estimated annual excise tax by the estimated annual taxable income.</w:t>
      </w:r>
    </w:p>
    <w:p>
      <w:pPr>
        <w:spacing w:after="0" w:line="164" w:lineRule="exact"/>
        <w:rPr>
          <w:sz w:val="20"/>
          <w:szCs w:val="20"/>
          <w:color w:val="auto"/>
        </w:rPr>
      </w:pPr>
    </w:p>
    <w:p>
      <w:pPr>
        <w:ind w:right="80" w:firstLine="351"/>
        <w:spacing w:after="0" w:line="293" w:lineRule="auto"/>
        <w:rPr>
          <w:sz w:val="20"/>
          <w:szCs w:val="20"/>
          <w:color w:val="auto"/>
        </w:rPr>
      </w:pPr>
      <w:r>
        <w:rPr>
          <w:rFonts w:ascii="Arial" w:cs="Arial" w:eastAsia="Arial" w:hAnsi="Arial"/>
          <w:sz w:val="16"/>
          <w:szCs w:val="16"/>
          <w:color w:val="auto"/>
        </w:rPr>
        <w:t>So long as the Company qualifies and maintains its tax treatment as a RIC, it generally will not pay corporate-level U.S. federal and state income taxes on any ordinary income or capital gains that it distributes at least annually to its stockholders as dividends. Rather, any tax liability related to income earned by the RIC will represent obligations of the Company’s investors and will not be reflected in the consolidated financial statements of the Company. Included in the Company’s consolidated financial statements, the GSVC Holdings are taxable subsidiaries, regardless of whether the Company is a RIC. These taxable subsidiaries are not consolidated for income tax purposes and may generate income tax expenses as a result of their ownership of the portfolio companies. Such income tax expenses and deferred taxes, if any, will be reflected in the Company’s consolidated financial statements.</w:t>
      </w:r>
    </w:p>
    <w:p>
      <w:pPr>
        <w:spacing w:after="0" w:line="165" w:lineRule="exact"/>
        <w:rPr>
          <w:sz w:val="20"/>
          <w:szCs w:val="20"/>
          <w:color w:val="auto"/>
        </w:rPr>
      </w:pPr>
    </w:p>
    <w:p>
      <w:pPr>
        <w:ind w:firstLine="351"/>
        <w:spacing w:after="0" w:line="269" w:lineRule="auto"/>
        <w:rPr>
          <w:sz w:val="20"/>
          <w:szCs w:val="20"/>
          <w:color w:val="auto"/>
        </w:rPr>
      </w:pPr>
      <w:r>
        <w:rPr>
          <w:rFonts w:ascii="Arial" w:cs="Arial" w:eastAsia="Arial" w:hAnsi="Arial"/>
          <w:sz w:val="17"/>
          <w:szCs w:val="17"/>
          <w:color w:val="auto"/>
        </w:rPr>
        <w:t>If it is not treated as a RIC, the Company will be taxed as a regular corporation (a “C corporation”) under subchapter C of the Code for such taxable year. If the Company has previously qualified as a RIC but is subsequently unable to qualify for treatment as a RIC, and certain amelioration provisions are not applicable, the Company would be subject to tax on all of its taxable income (including its net capital gains) at regular corporate rates. The Company would not be able to deduct distributions to stockholders, nor would it be required to make distributions. Distributions, including distributions of net long-term capital gain, would generally be taxable to its stockholders as ordinary dividend income to the extent of the Company’s current and accumulated earnings and profits. Subject to certain limitations under the Code, corporate stockholders would be eligible to claim a dividend received deduction with respect to such dividend; non-corporate stockholders would generally be able to treat such dividends as “qualified dividend income,” which is subject to reduced rates of U.S. federal income tax. Distributions in excess of the Company’s current and accumulated earnings and profits would be treated first as a return of capital to the extent of the stockholder’s tax basis, and any remaining distributions would be treated as a capital gain. In order to requalify as a RIC, in addition to the other requirements discussed above, the Company would be required to distribute all of its previously undistributed earnings attributable to the period it failed to qualify as a RIC by the end of the first year that it intends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September 30, 2018</w:t>
      </w:r>
    </w:p>
    <w:p>
      <w:pPr>
        <w:spacing w:after="0" w:line="23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to requalify for tax treatment as a RIC. If the Company fails to requalify for tax treatment as a RIC for a period greater than two taxable years, it may be subject to regular corporate tax on any net built-in gains with respect to certain of its assets (i.e., the excess of the aggregate gains, including items of income, over aggregate losses that would have been realized with respect to such assets if the Company had been liquidated) that it elects to recognize on requalification or when recognized over the next five years. The Company was taxed as a C Corporation for its 2012 and 2013 taxable years. Refer to “Note 9 —Income Taxes” for further details.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 Share Information</w:t>
      </w:r>
    </w:p>
    <w:p>
      <w:pPr>
        <w:spacing w:after="0" w:line="229" w:lineRule="exact"/>
        <w:rPr>
          <w:sz w:val="20"/>
          <w:szCs w:val="20"/>
          <w:color w:val="auto"/>
        </w:rPr>
      </w:pPr>
    </w:p>
    <w:p>
      <w:pPr>
        <w:ind w:right="140" w:firstLine="351"/>
        <w:spacing w:after="0" w:line="293" w:lineRule="auto"/>
        <w:rPr>
          <w:sz w:val="20"/>
          <w:szCs w:val="20"/>
          <w:color w:val="auto"/>
        </w:rPr>
      </w:pPr>
      <w:r>
        <w:rPr>
          <w:rFonts w:ascii="Arial" w:cs="Arial" w:eastAsia="Arial" w:hAnsi="Arial"/>
          <w:sz w:val="16"/>
          <w:szCs w:val="16"/>
          <w:color w:val="auto"/>
        </w:rPr>
        <w:t xml:space="preserve">Basic net increase/(decrease) in net assets resulting from operations per common share is computed using the weighted-average number of shares outstanding for the period presented. Diluted net increase/(decrease) in net assets resulting from operations per common share is computed by dividing net increase/(decrease) in net assets resulting from operations for the period adjusted to include the pre-tax effects of interest incurred on potentially dilutive securities, by the weighted-average number of common shares outstanding plus any potentially dilutive shares outstanding during the period. The Company used the if-converted method in accordance with </w:t>
      </w:r>
      <w:r>
        <w:rPr>
          <w:rFonts w:ascii="Arial" w:cs="Arial" w:eastAsia="Arial" w:hAnsi="Arial"/>
          <w:sz w:val="16"/>
          <w:szCs w:val="16"/>
          <w:i w:val="1"/>
          <w:iCs w:val="1"/>
          <w:color w:val="auto"/>
        </w:rPr>
        <w:t>FASB ASC 260, Earnings Per Share</w:t>
      </w:r>
      <w:r>
        <w:rPr>
          <w:rFonts w:ascii="Arial" w:cs="Arial" w:eastAsia="Arial" w:hAnsi="Arial"/>
          <w:sz w:val="16"/>
          <w:szCs w:val="16"/>
          <w:color w:val="auto"/>
        </w:rPr>
        <w:t xml:space="preserve"> (“ASC 260”) to determine the number of potentially dilutive shares outstanding. Refer to “Note 6—Net Increase in Net Assets Resulting from Operations per Common Share—Basic and Diluted” for further detail.</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229"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 xml:space="preserve">In July 2017, the FASB issued ASU 2017-13 which addressed the application of ASU 2014-9,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as it relates to adoption period for entities not otherwise required to adopt the new revenue recognition standard, but whose financial statements or financial information are included in another entity’s filing with the Securities and Exchange Commission (the "SEC"). ASU 2014-9, issued by FASB in May 2014, and related amendments, provide comprehensive guidance for recognizing revenue from contracts with customers. Entities will be able to recognize revenue when the entity transfers promised goods or services to customers in an amount that reflects the consideration to which the entity expects to be entitled to in exchange for those goods or services. The guidance in ASU 2014-9, and the related amendments, is effective for the Company on January 1, 2018. The Company adopted the ASU on January 1, 2018, which did not have a material impact on the Company's condensed consolidated financial statements.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9"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 xml:space="preserve">In August 2018, the FASB issued ASU 2018-13, which changes the fair value measurement disclosure requirements of </w:t>
      </w:r>
      <w:r>
        <w:rPr>
          <w:rFonts w:ascii="Arial" w:cs="Arial" w:eastAsia="Arial" w:hAnsi="Arial"/>
          <w:sz w:val="17"/>
          <w:szCs w:val="17"/>
          <w:i w:val="1"/>
          <w:iCs w:val="1"/>
          <w:color w:val="auto"/>
        </w:rPr>
        <w:t>FASB ASC 820, Fair Value</w:t>
      </w:r>
      <w:r>
        <w:rPr>
          <w:rFonts w:ascii="Arial" w:cs="Arial" w:eastAsia="Arial" w:hAnsi="Arial"/>
          <w:sz w:val="17"/>
          <w:szCs w:val="17"/>
          <w:color w:val="auto"/>
        </w:rPr>
        <w:t xml:space="preserve"> </w:t>
      </w:r>
      <w:r>
        <w:rPr>
          <w:rFonts w:ascii="Arial" w:cs="Arial" w:eastAsia="Arial" w:hAnsi="Arial"/>
          <w:sz w:val="17"/>
          <w:szCs w:val="17"/>
          <w:i w:val="1"/>
          <w:iCs w:val="1"/>
          <w:color w:val="auto"/>
        </w:rPr>
        <w:t>Measurement</w:t>
      </w:r>
      <w:r>
        <w:rPr>
          <w:rFonts w:ascii="Arial" w:cs="Arial" w:eastAsia="Arial" w:hAnsi="Arial"/>
          <w:sz w:val="17"/>
          <w:szCs w:val="17"/>
          <w:color w:val="auto"/>
        </w:rPr>
        <w:t>. The guidance is effective for all entities for interim and annual periods beginning after December 15, 2019. Early adoption is permitted for any</w:t>
      </w:r>
      <w:r>
        <w:rPr>
          <w:rFonts w:ascii="Arial" w:cs="Arial" w:eastAsia="Arial" w:hAnsi="Arial"/>
          <w:sz w:val="17"/>
          <w:szCs w:val="17"/>
          <w:i w:val="1"/>
          <w:iCs w:val="1"/>
          <w:color w:val="auto"/>
        </w:rPr>
        <w:t xml:space="preserve"> </w:t>
      </w:r>
      <w:r>
        <w:rPr>
          <w:rFonts w:ascii="Arial" w:cs="Arial" w:eastAsia="Arial" w:hAnsi="Arial"/>
          <w:sz w:val="17"/>
          <w:szCs w:val="17"/>
          <w:color w:val="auto"/>
        </w:rPr>
        <w:t>eliminated or modified disclosure requirements upon issuance of the guidance. The Company did not early adopt the eliminated and modified disclosure requirements during the three month period ended September 30, 2018, and will adopt the guidance upon its effective date.</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3—RELATED-PARTY ARRANGEMENTS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Advisory Agreement</w:t>
      </w:r>
    </w:p>
    <w:p>
      <w:pPr>
        <w:spacing w:after="0" w:line="229" w:lineRule="exact"/>
        <w:rPr>
          <w:sz w:val="20"/>
          <w:szCs w:val="20"/>
          <w:color w:val="auto"/>
        </w:rPr>
      </w:pPr>
    </w:p>
    <w:p>
      <w:pPr>
        <w:ind w:right="120" w:firstLine="351"/>
        <w:spacing w:after="0" w:line="271" w:lineRule="auto"/>
        <w:rPr>
          <w:sz w:val="20"/>
          <w:szCs w:val="20"/>
          <w:color w:val="auto"/>
        </w:rPr>
      </w:pPr>
      <w:r>
        <w:rPr>
          <w:rFonts w:ascii="Arial" w:cs="Arial" w:eastAsia="Arial" w:hAnsi="Arial"/>
          <w:sz w:val="17"/>
          <w:szCs w:val="17"/>
          <w:color w:val="auto"/>
        </w:rPr>
        <w:t>The Company has entered into an investment advisory agreement with GSV Asset Management (the “Investment Advisory Agreement”). Under the terms of the Investment Advisory Agreement, GSV Asset Management is paid a quarterly management fee and an annual incentive fee. GSV Asset Management is controlled by Michael Moe, the Chairman of the Company’s board of directors. Mr. Moe, through his ownership interest in GSV Asset Management, is entitled to a portion of any profits earned by GSV Asset Management in performing its services under the Investment Advisory Agreement. Mr. Moe serves as the principal of GSV Asset Management and manages the business and internal affairs of GSV Asset Management. Mark Klein, the Company’s President and Chief Executive Officer and a member of the Company’s board of directors, or entities with which he is affiliated, receives consulting fees from GSV Asset Management equal to a percentage of each of the base management fee and the incentive fee paid by the Company to GSV Asset Management pursuant to a consulting agreement with GSV Asset Management.</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121" w:right="27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September 30, 2018</w:t>
      </w:r>
    </w:p>
    <w:p>
      <w:pPr>
        <w:spacing w:after="0" w:line="200" w:lineRule="exact"/>
        <w:rPr>
          <w:sz w:val="20"/>
          <w:szCs w:val="20"/>
          <w:color w:val="auto"/>
        </w:rPr>
      </w:pPr>
    </w:p>
    <w:p>
      <w:pPr>
        <w:spacing w:after="0" w:line="254"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Under the Investment Advisory Agreement, there are no restrictions on the right of any manager, partner, officer or employee of GSV Asset Management to engage in any other business or to devote his or her time and attention in part to any other business, whether of a similar or dissimilar nature, or to receive any fees or compensation in connection therewith (including fees for serving as a director of, or providing consulting services to, one or more of the Company’s portfolio companies). GSV Asset Management has, however, adopted an internal policy whereby any fees or compensation received by a manager, partner, officer or employee of GSV Asset Management in exchange for serving as a director of, or providing consulting services to, any of the Company’s portfolio companies will be transferred to the Company, net of any personal taxes incurred, upon such receipt for the benefit of the Company and its stockholders.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Fees</w:t>
      </w:r>
    </w:p>
    <w:p>
      <w:pPr>
        <w:spacing w:after="0" w:line="225"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Under the terms of the Investment Advisory Agreement, GSV Asset Management is paid a base management fee of 2.00% of gross assets, which is the Company’s total assets reflected on its Condensed Consolidated Statements of Assets and Liabilities (with no deduction for liabilities) reduced by any non-portfolio investments. During the month of January 2018, pursuant to a voluntary waiver by GSV Asset Management, the Company paid GSV Asset Management a base management fee of 1.75%, a 0.25% reduction from the 2.00% base management fee payable under the Investment Advisory Agreement. On February 2, 2018 GSV Asset Management voluntarily agreed to reduce fees payable under the Investment Advisory Agreement (the “Waiver Agreement”). Pursuant to the Waiver Agreement, effective February 1, 2018, the base management fee is reduced to 1.75% of the Company’s gross assets, as further described below. The waiver of a portion of the base management fee is not subject to recourse against or reimbursement by the Company.</w:t>
      </w:r>
    </w:p>
    <w:p>
      <w:pPr>
        <w:spacing w:after="0" w:line="167" w:lineRule="exact"/>
        <w:rPr>
          <w:sz w:val="20"/>
          <w:szCs w:val="20"/>
          <w:color w:val="auto"/>
        </w:rPr>
      </w:pPr>
    </w:p>
    <w:p>
      <w:pPr>
        <w:ind w:right="80" w:firstLine="351"/>
        <w:spacing w:after="0" w:line="279" w:lineRule="auto"/>
        <w:rPr>
          <w:sz w:val="20"/>
          <w:szCs w:val="20"/>
          <w:color w:val="auto"/>
        </w:rPr>
      </w:pPr>
      <w:r>
        <w:rPr>
          <w:rFonts w:ascii="Arial" w:cs="Arial" w:eastAsia="Arial" w:hAnsi="Arial"/>
          <w:sz w:val="17"/>
          <w:szCs w:val="17"/>
          <w:color w:val="auto"/>
        </w:rPr>
        <w:t>GSV Asset Management earned $1,345,090 and $3,954,732 in management fees for the three and nine months ended September 30, 2018, respectively, and waived $402,074 and $892,421 in management fees for the three and nine months ended September 30, 2018, respectively. GSV Asset Management earned $1,397,332 and $4,210,932 in management fees for the three and nine months ended September 30, 2017, respectively, and waived $174,666 and $526,366 in management fees for the three and nine months ended September 30, 2017,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Incentive Fees</w:t>
      </w:r>
    </w:p>
    <w:p>
      <w:pPr>
        <w:spacing w:after="0" w:line="225" w:lineRule="exact"/>
        <w:rPr>
          <w:sz w:val="20"/>
          <w:szCs w:val="20"/>
          <w:color w:val="auto"/>
        </w:rPr>
      </w:pPr>
    </w:p>
    <w:p>
      <w:pPr>
        <w:ind w:right="80" w:firstLine="351"/>
        <w:spacing w:after="0" w:line="273" w:lineRule="auto"/>
        <w:rPr>
          <w:sz w:val="20"/>
          <w:szCs w:val="20"/>
          <w:color w:val="auto"/>
        </w:rPr>
      </w:pPr>
      <w:r>
        <w:rPr>
          <w:rFonts w:ascii="Arial" w:cs="Arial" w:eastAsia="Arial" w:hAnsi="Arial"/>
          <w:sz w:val="17"/>
          <w:szCs w:val="17"/>
          <w:color w:val="auto"/>
        </w:rPr>
        <w:t>Under the terms of the Investment Advisory Agreement, GSV Asset Management is paid an annual incentive fee equal to the lesser of (i) 20% of the Company’s realized capital gains during each calendar year, if any, calculated on an investment-by-investment basis, subject to a non-compounded preferred return, or “hurdle,” and a “catch-up” feature, and (ii) 20% of the Company’s realized capital gains, if any, on a cumulative basis from inception through the end of each calendar year, computed net of all realized capital losses and unrealized capital depreciation on a cumulative basis, less the aggregate amount of any previously paid incentive fees. Effective February 1, 2018, the incentive fee paid by the Company to GSV Asset Management under the Investment Advisory Agreement is modified pursuant to the terms of the Waiver Agreement, as further described below.</w:t>
      </w:r>
    </w:p>
    <w:p>
      <w:pPr>
        <w:spacing w:after="0" w:line="178"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The Company is required to accrue incentive fees for all periods as if the Company had fully liquidated its entire investment portfolio at the fair value stated on the Condensed Consolidated Statements of Assets and Liabilities as of September 30, 2018 and December 31, 2017. This accrual considers both the hypothetical liquidation of the Company’s portfolio described previously, as well as the Company’s actual cumulative realized gains and losses since inception, as well any previously paid incentive fees.</w:t>
      </w:r>
    </w:p>
    <w:p>
      <w:pPr>
        <w:spacing w:after="0" w:line="187" w:lineRule="exact"/>
        <w:rPr>
          <w:sz w:val="20"/>
          <w:szCs w:val="20"/>
          <w:color w:val="auto"/>
        </w:rPr>
      </w:pPr>
    </w:p>
    <w:p>
      <w:pPr>
        <w:ind w:firstLine="351"/>
        <w:spacing w:after="0" w:line="302" w:lineRule="auto"/>
        <w:rPr>
          <w:sz w:val="20"/>
          <w:szCs w:val="20"/>
          <w:color w:val="auto"/>
        </w:rPr>
      </w:pPr>
      <w:r>
        <w:rPr>
          <w:rFonts w:ascii="Arial" w:cs="Arial" w:eastAsia="Arial" w:hAnsi="Arial"/>
          <w:sz w:val="16"/>
          <w:szCs w:val="16"/>
          <w:color w:val="auto"/>
        </w:rPr>
        <w:t>For the three and nine months ended September 30, 2018, the Company accrued incentive fees of $804,520 and $4,863,939, respectively. Pursuant to the Waiver Agreement, on February 2, 2018, GSV Asset Management forfeited $5.0 million of the then accrued incentive fees. For the three and nine months ended September 30, 2017, the Company accrued incentive fees of $3,334,052 and $7,482,185, respectively. As of three months ended September 30, 2018, the Company's accrued incentive fee balance due GSV Asset Management was $9,142,024, net of the Waiver Agreement.</w:t>
      </w: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60"/>
          </w:cols>
          <w:pgMar w:left="240" w:top="121" w:right="29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2018</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and Incentive Fee Waiver Agreement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On February 2, 2018, GSV Asset Management voluntarily agreed to reduce the fees payable under the Investment Advisory Agreement pursuant to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Waiver Agreement. The Waiver Agreement is effective February 1, 2018 and changes the fee structure set forth in the Investment Advisory Agreement by:</w:t>
      </w:r>
    </w:p>
    <w:p>
      <w:pPr>
        <w:spacing w:after="0" w:line="32" w:lineRule="exact"/>
        <w:rPr>
          <w:sz w:val="20"/>
          <w:szCs w:val="20"/>
          <w:color w:val="auto"/>
        </w:rPr>
      </w:pPr>
    </w:p>
    <w:p>
      <w:pPr>
        <w:jc w:val="both"/>
        <w:ind w:right="120" w:firstLine="8"/>
        <w:spacing w:after="0" w:line="255" w:lineRule="auto"/>
        <w:tabs>
          <w:tab w:leader="none" w:pos="215"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reducing the Company’s base management fee from 2.00% to 1.75%; and (ii) creating certain high-water marks that must be reached before any incentive fee is paid to GSV Asset Management. In addition to the foregoing changes to the fee structure, GSV Asset Management also agreed to a one-time forfeiture of $5.0 million of previously accrued but unpaid incentive fees.</w:t>
      </w:r>
    </w:p>
    <w:p>
      <w:pPr>
        <w:spacing w:after="0" w:line="190" w:lineRule="exact"/>
        <w:rPr>
          <w:sz w:val="20"/>
          <w:szCs w:val="20"/>
          <w:color w:val="auto"/>
        </w:rPr>
      </w:pPr>
    </w:p>
    <w:p>
      <w:pPr>
        <w:ind w:right="100" w:firstLine="351"/>
        <w:spacing w:after="0" w:line="289" w:lineRule="auto"/>
        <w:rPr>
          <w:sz w:val="20"/>
          <w:szCs w:val="20"/>
          <w:color w:val="auto"/>
        </w:rPr>
      </w:pPr>
      <w:r>
        <w:rPr>
          <w:rFonts w:ascii="Arial" w:cs="Arial" w:eastAsia="Arial" w:hAnsi="Arial"/>
          <w:sz w:val="16"/>
          <w:szCs w:val="16"/>
          <w:color w:val="auto"/>
        </w:rPr>
        <w:t>Pursuant to the Waiver Agreement, effective February 1, 2018, the base management fee is reduced to 1.75% of the Company’s gross assets. The base management fee is calculated based on the average value of the Company’s gross assets at the end of the two most recently completed calendar quarters, and appropriately adjusted for any equity or debt capital raises, repurchases or redemptions during the current calendar quarter. The base management fee for any partial month or quarter will be appropriately prorated. In addition, because the Company's 5.25% Convertible Senior Notes matured on September 15, 2018 (the "5.25% Convertible Senior Notes due 2018"), the Company was previously carrying a larger cash balance than it would in the ordinary course of its business. As a result, under the Waiver Agreement, GSV Asset Management agreed to waive its base management fee on any cash balances effective as of February 1, 2018 until the 5.25% Convertible Senior Notes due 2018 matured on September 15, 2018, at which time the Company repaid the remaining outstanding aggregate principal amount of the 5.25% Convertible Senior Notes due 2018, including accrued but unpaid interest. As a result, as of and after September 15, 2018, the Company pays GSV Asset Management a 1.75% base management fee on its cash balances.</w:t>
      </w:r>
    </w:p>
    <w:p>
      <w:pPr>
        <w:spacing w:after="0" w:line="167"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color w:val="auto"/>
        </w:rPr>
        <w:t>Pursuant to the Waiver Agreement, in addition to the “hurdle” feature in the incentive fee, GSV Asset Management has agreed to additional conditions on its ability to receive an incentive fee. Specifically, the Waiver Agreement provides that an incentive fee earned by GSV Asset Management under the Investment Advisory Agreement will be payable to GSV Asset Management only if, at the time that such incentive fee becomes payable under the Investment Advisory Agreement, both the Company’s stock price and its last reported net asset value per share are equal to or greater than $12.55 (the “High-Water Mark”). The High-Water Mark is based upon the volume weighted average price (VWAP) of all the Company’s equity offerings since its initial public offering, less the dollar amount of all dividends paid by the Company since inception. Upon such time that the High-Water Mark is achieved, and GSV Asset Management is paid an incentive fee, a new High-Water Mark will be established. Each new High-Water Mark will be equal to the most recent High-Water Mark, plus 10%. Any High-Water Mark then in effect will be adjusted to reflect any dividends paid by the Company or any stock split effected by the Company.</w:t>
      </w:r>
    </w:p>
    <w:p>
      <w:pPr>
        <w:spacing w:after="0" w:line="197" w:lineRule="exact"/>
        <w:rPr>
          <w:sz w:val="20"/>
          <w:szCs w:val="20"/>
          <w:color w:val="auto"/>
        </w:rPr>
      </w:pPr>
    </w:p>
    <w:p>
      <w:pPr>
        <w:ind w:right="360" w:firstLine="351"/>
        <w:spacing w:after="0" w:line="342" w:lineRule="auto"/>
        <w:rPr>
          <w:sz w:val="20"/>
          <w:szCs w:val="20"/>
          <w:color w:val="auto"/>
        </w:rPr>
      </w:pPr>
      <w:r>
        <w:rPr>
          <w:rFonts w:ascii="Arial" w:cs="Arial" w:eastAsia="Arial" w:hAnsi="Arial"/>
          <w:sz w:val="16"/>
          <w:szCs w:val="16"/>
          <w:color w:val="auto"/>
        </w:rPr>
        <w:t>For the avoidance of doubt, after the effective date of the Waiver Agreement, under no circumstances will the aggregate fees earned by GSV Asset Management in any quarterly period be higher than those aggregate fees that would have been earned prior to the effectiveness of the Waiver Agreement.</w:t>
      </w:r>
    </w:p>
    <w:p>
      <w:pPr>
        <w:spacing w:after="0" w:line="12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As of each of September 30, 2018 and December 31, 2017, there were no receivables owed to the Company by GSV Asset Management.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 Agreement</w:t>
      </w:r>
    </w:p>
    <w:p>
      <w:pPr>
        <w:spacing w:after="0" w:line="229" w:lineRule="exact"/>
        <w:rPr>
          <w:sz w:val="20"/>
          <w:szCs w:val="20"/>
          <w:color w:val="auto"/>
        </w:rPr>
      </w:pPr>
    </w:p>
    <w:p>
      <w:pPr>
        <w:ind w:firstLine="351"/>
        <w:spacing w:after="0" w:line="270" w:lineRule="auto"/>
        <w:rPr>
          <w:sz w:val="20"/>
          <w:szCs w:val="20"/>
          <w:color w:val="auto"/>
        </w:rPr>
      </w:pPr>
      <w:r>
        <w:rPr>
          <w:rFonts w:ascii="Arial" w:cs="Arial" w:eastAsia="Arial" w:hAnsi="Arial"/>
          <w:sz w:val="17"/>
          <w:szCs w:val="17"/>
          <w:color w:val="auto"/>
        </w:rPr>
        <w:t>The Company has entered into an administration agreement with GSV Capital Service Company (the “Administration Agreement”) to provide administrative services, including furnishing the Company with office facilities, equipment, clerical, bookkeeping, record keeping services, and other administrative services. The Company reimburses GSV Capital Service Company an allocable portion of overhead and other expenses in performing its obligations under the Administration Agreement, including a portion of the rent and the compensation of the Company’s President, Principal Financial Officer, Chief Compliance Officer and other staff providing administrative services. While there is no limit on the total amount of expenses the Company may be required to reimburse to GSV Capital Service Company, GSV Capital Service Company will only charge the Company for the actual expenses GSV Capital Service Company incurs on the Company’s behalf, or the Company’s allocable portion thereof, without any profit to GSV Capital Service Company. There were $355,599 and $1,176,857 in such costs incurred under the Administration Agreement for the three and nine months ended September 30, 2018, respectively. There were $472,413 and $1,453,007 in such costs incurred under the Administration Agreement for the three and nine months ended September 30, 2017, respectively.</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2018</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Due to GSV Asset Management</w:t>
      </w:r>
    </w:p>
    <w:p>
      <w:pPr>
        <w:spacing w:after="0" w:line="225" w:lineRule="exact"/>
        <w:rPr>
          <w:sz w:val="20"/>
          <w:szCs w:val="20"/>
          <w:color w:val="auto"/>
        </w:rPr>
      </w:pPr>
    </w:p>
    <w:p>
      <w:pPr>
        <w:ind w:right="380" w:firstLine="351"/>
        <w:spacing w:after="0" w:line="259" w:lineRule="auto"/>
        <w:rPr>
          <w:sz w:val="20"/>
          <w:szCs w:val="20"/>
          <w:color w:val="auto"/>
        </w:rPr>
      </w:pPr>
      <w:r>
        <w:rPr>
          <w:rFonts w:ascii="Arial" w:cs="Arial" w:eastAsia="Arial" w:hAnsi="Arial"/>
          <w:sz w:val="18"/>
          <w:szCs w:val="18"/>
          <w:color w:val="auto"/>
        </w:rPr>
        <w:t>GSV Asset Management wholly owns and controls GSV Capital Service Company, which is a disregarded entity for tax purposes. As of each of September 30, 2018 and December 31, 2017, the Company owed GSV Asset Management, via the Administration Agreement with GSV Capital Service Company, $87 and $231,697, respectively, primarily for the reimbursement of overhead allocation expenses and travel expenses, pursuant to the Administration Agreement.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w:t>
      </w:r>
    </w:p>
    <w:p>
      <w:pPr>
        <w:spacing w:after="0" w:line="229"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The Company entered into a license agreement with GSV Asset Management pursuant to which GSV Asset Management has agreed to grant the Company a non-exclusive, royalty-free license to use the name “GSV.” Under this agreement, the Company has the right to use the GSV name for so long as the Investment Advisory Agreement with GSV Asset Management is in effect. Other than with respect to this limited license, the Company has no legal right to the “GSV” name.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Arrangements</w:t>
      </w:r>
    </w:p>
    <w:p>
      <w:pPr>
        <w:spacing w:after="0" w:line="229" w:lineRule="exact"/>
        <w:rPr>
          <w:sz w:val="20"/>
          <w:szCs w:val="20"/>
          <w:color w:val="auto"/>
        </w:rPr>
      </w:pPr>
    </w:p>
    <w:p>
      <w:pPr>
        <w:ind w:right="180" w:firstLine="351"/>
        <w:spacing w:after="0" w:line="255" w:lineRule="auto"/>
        <w:rPr>
          <w:sz w:val="20"/>
          <w:szCs w:val="20"/>
          <w:color w:val="auto"/>
        </w:rPr>
      </w:pPr>
      <w:r>
        <w:rPr>
          <w:rFonts w:ascii="Arial" w:cs="Arial" w:eastAsia="Arial" w:hAnsi="Arial"/>
          <w:sz w:val="18"/>
          <w:szCs w:val="18"/>
          <w:color w:val="auto"/>
        </w:rPr>
        <w:t>Mark Moe, who is the brother of Michael Moe, the Chairman of the Company’s board of directors, serves as Vice President of Business Development, Global Expansion for NestGSV, Inc. (d/b/a GSV Labs, Inc.), one of the Company’s portfolio companies. Diane Flynn, who is the spouse of the Company’s former President, Mark Flynn, served as Chief Marketing Officer of NestGSV, Inc. until her resignation in January 2017. Ron Johnson, the Chief Executive Officer of Enjoy Technology, Inc., one of the Company’s portfolio companies, is the brother-in-law of the Company’s former President, Mark Flynn. As of September 30, 2018, the fair values of the Company’s investments in NestGSV, Inc. and Enjoy Technology, Inc. were $14,192,083 and $6,091,436, respectively.</w:t>
      </w:r>
    </w:p>
    <w:p>
      <w:pPr>
        <w:spacing w:after="0" w:line="193" w:lineRule="exact"/>
        <w:rPr>
          <w:sz w:val="20"/>
          <w:szCs w:val="20"/>
          <w:color w:val="auto"/>
        </w:rPr>
      </w:pPr>
    </w:p>
    <w:p>
      <w:pPr>
        <w:ind w:right="100" w:firstLine="351"/>
        <w:spacing w:after="0" w:line="270" w:lineRule="auto"/>
        <w:rPr>
          <w:sz w:val="20"/>
          <w:szCs w:val="20"/>
          <w:color w:val="auto"/>
        </w:rPr>
      </w:pPr>
      <w:r>
        <w:rPr>
          <w:rFonts w:ascii="Arial" w:cs="Arial" w:eastAsia="Arial" w:hAnsi="Arial"/>
          <w:sz w:val="17"/>
          <w:szCs w:val="17"/>
          <w:color w:val="auto"/>
        </w:rPr>
        <w:t>In addition, the Company’s executive officers and directors, and the principals of the Company’s investment adviser, GSV Asset Management, serve or may serve as officers, directors or managers of entities that operate in a line of business similar to the Company’s, including new entities that may be formed in the future. Accordingly, they may have obligations to investors in those entities, the fulfillment of which might not be in the best interests of the Company or the Company’s stockholders. For example, as of November 7, 2018, GSV Asset Management also manages GSV@CS, LP, Coursera@GSV Fund, LP and Coursera@GSV-EDBI Fund, LP, special purpose vehicles each comprised of an underlying investment in the capital stock of Coursera, Inc. (the “Coursera Funds”), GSV@SP, LLC, a special purpose vehicle comprised of an underlying investment in the capital stock of Spotify Technology S.A. (the “GSV@SP Fund”), and GSV@LT, LLC, a special purpose vehicle comprised of an underlying investment in the capital stock of Lyft, Inc. (the “GSV@LT Fund”). GSV Asset Management will likely manage one or more private funds, or series within such private funds, in the future. The Company has no ownership interests in the Coursera Funds, the GSV@SP Fund or the GSV@LT Fund.</w:t>
      </w:r>
    </w:p>
    <w:p>
      <w:pPr>
        <w:spacing w:after="0" w:line="182"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The 1940 Act prohibits the Company from partcipating in certain negotiated co-investments with certain affiliates unless it receives an order from the SEC permitting it to do so. To the extent that the Company competes with entities managed by GSV Asset Management or any of its affiliates for one or more investment or disposition opportunities, GSV Asset Management will allocate any such opportunity across the entities for which the opportunity is appropriate, consistent with (1) its internal conflict-resolution and allocation policies, (2) the requirements of the Investment Advisers Act of 1940, and</w:t>
      </w:r>
    </w:p>
    <w:p>
      <w:pPr>
        <w:spacing w:after="0" w:line="2" w:lineRule="exact"/>
        <w:rPr>
          <w:sz w:val="20"/>
          <w:szCs w:val="20"/>
          <w:color w:val="auto"/>
        </w:rPr>
      </w:pPr>
    </w:p>
    <w:p>
      <w:pPr>
        <w:ind w:right="20" w:firstLine="8"/>
        <w:spacing w:after="0" w:line="288" w:lineRule="auto"/>
        <w:tabs>
          <w:tab w:leader="none" w:pos="255" w:val="left"/>
        </w:tabs>
        <w:numPr>
          <w:ilvl w:val="0"/>
          <w:numId w:val="17"/>
        </w:numPr>
        <w:rPr>
          <w:rFonts w:ascii="Arial" w:cs="Arial" w:eastAsia="Arial" w:hAnsi="Arial"/>
          <w:sz w:val="16"/>
          <w:szCs w:val="16"/>
          <w:color w:val="auto"/>
        </w:rPr>
      </w:pPr>
      <w:r>
        <w:rPr>
          <w:rFonts w:ascii="Arial" w:cs="Arial" w:eastAsia="Arial" w:hAnsi="Arial"/>
          <w:sz w:val="16"/>
          <w:szCs w:val="16"/>
          <w:color w:val="auto"/>
        </w:rPr>
        <w:t>certain restrictions under the 1940 Act regarding co-investments with affiliates. Where co-investment is permissible under the 1940 Act, for example where the only term of a transaction negotiated is price, and where a particular investment or disposition opportunity is appropriate for both the Company and another entity managed by GSV Asset Management, GSV Asset Management will first offer any such opportunity in its entirety to the Company. In the event that the size of such investment or disposition opportunity exceeds the Company’s capacity, other funds managed by GSV Asset Management may be offered the opportunity, but only to the extent that the Company and its board of directors have confirmed that any such investment or disposition by an affiliated entity is permissible under the 1940 Act and otherwise in the Company’s best interests. The Company’s Chief Compliance Officer and board of directors will monitor on a quarterly basis any such allocation of investment or disposition opportunities between the Company and any such other funds.</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121" w:right="25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2018</w:t>
      </w:r>
    </w:p>
    <w:p>
      <w:pPr>
        <w:spacing w:after="0" w:line="238" w:lineRule="exact"/>
        <w:rPr>
          <w:sz w:val="20"/>
          <w:szCs w:val="20"/>
          <w:color w:val="auto"/>
        </w:rPr>
      </w:pPr>
    </w:p>
    <w:p>
      <w:pPr>
        <w:ind w:right="80" w:firstLine="405"/>
        <w:spacing w:after="0" w:line="271" w:lineRule="auto"/>
        <w:rPr>
          <w:sz w:val="20"/>
          <w:szCs w:val="20"/>
          <w:color w:val="auto"/>
        </w:rPr>
      </w:pPr>
      <w:r>
        <w:rPr>
          <w:rFonts w:ascii="Arial" w:cs="Arial" w:eastAsia="Arial" w:hAnsi="Arial"/>
          <w:sz w:val="17"/>
          <w:szCs w:val="17"/>
          <w:color w:val="auto"/>
        </w:rPr>
        <w:t>The Company, GSV Asset Management and certain of their affiliates have submitted an exemptive relief application to the SEC to permit the Company to co-invest with other funds managed by GSV Asset Management or its affiliates in a manner consistent with the Company’s investment objectives and the conditions to the application. There can be no assurance that this exemptive order will be granted. If such relief is granted, then the Company will be permitted to participate in co-investment transactions with certain of its affiliates if a “required majority” (as defined in Section 57(o) of the 1940 Act) of the Company’s independent directors makes certain conclusions in connection with each transaction, including that (1) the terms of the transaction, including the consideration to be paid, are reasonable and fair to the Company and its stockholders and do not involve overreaching in respect of the Company or its stockholders on the part of any person concerned and (2) the transaction is consistent with the interests of the Company’s stockholders and is consistent with the Company’s investment objective and strategies.</w:t>
      </w:r>
    </w:p>
    <w:p>
      <w:pPr>
        <w:spacing w:after="0" w:line="179" w:lineRule="exact"/>
        <w:rPr>
          <w:sz w:val="20"/>
          <w:szCs w:val="20"/>
          <w:color w:val="auto"/>
        </w:rPr>
      </w:pPr>
    </w:p>
    <w:p>
      <w:pPr>
        <w:ind w:right="100" w:firstLine="351"/>
        <w:spacing w:after="0" w:line="302" w:lineRule="auto"/>
        <w:rPr>
          <w:sz w:val="20"/>
          <w:szCs w:val="20"/>
          <w:color w:val="auto"/>
        </w:rPr>
      </w:pPr>
      <w:r>
        <w:rPr>
          <w:rFonts w:ascii="Arial" w:cs="Arial" w:eastAsia="Arial" w:hAnsi="Arial"/>
          <w:sz w:val="16"/>
          <w:szCs w:val="16"/>
          <w:color w:val="auto"/>
        </w:rPr>
        <w:t>In the ordinary course of business, the Company may enter into transactions with portfolio companies that may be considered related-party transactions. To ensure that the Company does not engage in any prohibited transactions with any persons affiliated with the Company, the Company has implemented certain written policies and procedures whereby the Company’s executive officers screen each of the Company’s transactions for any possible affiliations between the proposed portfolio investment, the Company, companies controlled by the Company and the Company’s executive officers and directors.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4—INVESTMENTS AT FAIR VALUE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Portfolio Composition</w:t>
      </w:r>
    </w:p>
    <w:p>
      <w:pPr>
        <w:spacing w:after="0" w:line="229" w:lineRule="exact"/>
        <w:rPr>
          <w:sz w:val="20"/>
          <w:szCs w:val="20"/>
          <w:color w:val="auto"/>
        </w:rPr>
      </w:pPr>
    </w:p>
    <w:p>
      <w:pPr>
        <w:ind w:right="160" w:firstLine="351"/>
        <w:spacing w:after="0" w:line="302" w:lineRule="auto"/>
        <w:rPr>
          <w:sz w:val="20"/>
          <w:szCs w:val="20"/>
          <w:color w:val="auto"/>
        </w:rPr>
      </w:pPr>
      <w:r>
        <w:rPr>
          <w:rFonts w:ascii="Arial" w:cs="Arial" w:eastAsia="Arial" w:hAnsi="Arial"/>
          <w:sz w:val="16"/>
          <w:szCs w:val="16"/>
          <w:color w:val="auto"/>
        </w:rPr>
        <w:t>The Company’s investments in portfolio companies consist primarily of equity securities (such as common stock, preferred stock and warrants to purchase common and preferred stock) and to a lesser extent, debt securities, issued by private and publicly traded companies. The Company may also from time to time, invest in U.S. Treasury securities. Non-portfolio investments represent investments in U.S. Treasury securities. At September 30, 2018, the Company had 54 positions in 26 portfolio companies. As of December 31, 2017, the Company had 63 positions in 31 portfolio companies.</w:t>
      </w:r>
    </w:p>
    <w:p>
      <w:pPr>
        <w:spacing w:after="0" w:line="154" w:lineRule="exact"/>
        <w:rPr>
          <w:sz w:val="20"/>
          <w:szCs w:val="20"/>
          <w:color w:val="auto"/>
        </w:rPr>
      </w:pPr>
    </w:p>
    <w:p>
      <w:pPr>
        <w:ind w:right="80" w:firstLine="351"/>
        <w:spacing w:after="0" w:line="277" w:lineRule="auto"/>
        <w:rPr>
          <w:sz w:val="20"/>
          <w:szCs w:val="20"/>
          <w:color w:val="auto"/>
        </w:rPr>
      </w:pPr>
      <w:r>
        <w:rPr>
          <w:rFonts w:ascii="Arial" w:cs="Arial" w:eastAsia="Arial" w:hAnsi="Arial"/>
          <w:sz w:val="18"/>
          <w:szCs w:val="18"/>
          <w:color w:val="auto"/>
        </w:rPr>
        <w:t>The following tables summarize the composition of the Company’s investment portfolio by security type at cost and fair value as of September 30, 2018 and December 31, 2017:</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9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September 30, 2018</w:t>
            </w:r>
          </w:p>
        </w:tc>
        <w:tc>
          <w:tcPr>
            <w:tcW w:w="1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December 31, 2017</w:t>
            </w:r>
          </w:p>
        </w:tc>
        <w:tc>
          <w:tcPr>
            <w:tcW w:w="1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3"/>
                <w:szCs w:val="13"/>
                <w:color w:val="auto"/>
              </w:rPr>
            </w:pPr>
          </w:p>
        </w:tc>
        <w:tc>
          <w:tcPr>
            <w:tcW w:w="144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Fair Value</w:t>
            </w:r>
          </w:p>
        </w:tc>
        <w:tc>
          <w:tcPr>
            <w:tcW w:w="16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88"/>
              </w:rPr>
              <w:t>Percentage of</w:t>
            </w:r>
          </w:p>
        </w:tc>
        <w:tc>
          <w:tcPr>
            <w:tcW w:w="300" w:type="dxa"/>
            <w:vAlign w:val="bottom"/>
          </w:tcPr>
          <w:p>
            <w:pPr>
              <w:spacing w:after="0"/>
              <w:rPr>
                <w:sz w:val="13"/>
                <w:szCs w:val="13"/>
                <w:color w:val="auto"/>
              </w:rPr>
            </w:pPr>
          </w:p>
        </w:tc>
        <w:tc>
          <w:tcPr>
            <w:tcW w:w="128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3"/>
                <w:szCs w:val="13"/>
                <w:color w:val="auto"/>
              </w:rPr>
            </w:pPr>
          </w:p>
        </w:tc>
        <w:tc>
          <w:tcPr>
            <w:tcW w:w="140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Fair Value</w:t>
            </w:r>
          </w:p>
        </w:tc>
        <w:tc>
          <w:tcPr>
            <w:tcW w:w="1560" w:type="dxa"/>
            <w:vAlign w:val="bottom"/>
          </w:tcPr>
          <w:p>
            <w:pPr>
              <w:jc w:val="right"/>
              <w:ind w:right="273"/>
              <w:spacing w:after="0" w:line="153" w:lineRule="exact"/>
              <w:rPr>
                <w:sz w:val="20"/>
                <w:szCs w:val="20"/>
                <w:color w:val="auto"/>
              </w:rPr>
            </w:pPr>
            <w:r>
              <w:rPr>
                <w:rFonts w:ascii="Arial" w:cs="Arial" w:eastAsia="Arial" w:hAnsi="Arial"/>
                <w:sz w:val="14"/>
                <w:szCs w:val="14"/>
                <w:b w:val="1"/>
                <w:bCs w:val="1"/>
                <w:color w:val="auto"/>
              </w:rPr>
              <w:t>Percentage of</w:t>
            </w:r>
          </w:p>
        </w:tc>
        <w:tc>
          <w:tcPr>
            <w:tcW w:w="0" w:type="dxa"/>
            <w:vAlign w:val="bottom"/>
          </w:tcPr>
          <w:p>
            <w:pPr>
              <w:spacing w:after="0"/>
              <w:rPr>
                <w:sz w:val="1"/>
                <w:szCs w:val="1"/>
                <w:color w:val="auto"/>
              </w:rPr>
            </w:pPr>
          </w:p>
        </w:tc>
      </w:tr>
      <w:tr>
        <w:trPr>
          <w:trHeight w:val="192"/>
        </w:trPr>
        <w:tc>
          <w:tcPr>
            <w:tcW w:w="1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Net Assets</w:t>
            </w:r>
          </w:p>
        </w:tc>
        <w:tc>
          <w:tcPr>
            <w:tcW w:w="3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560" w:type="dxa"/>
            <w:vAlign w:val="bottom"/>
          </w:tcPr>
          <w:p>
            <w:pPr>
              <w:jc w:val="right"/>
              <w:ind w:right="373"/>
              <w:spacing w:after="0"/>
              <w:rPr>
                <w:sz w:val="20"/>
                <w:szCs w:val="20"/>
                <w:color w:val="auto"/>
              </w:rPr>
            </w:pPr>
            <w:r>
              <w:rPr>
                <w:rFonts w:ascii="Arial" w:cs="Arial" w:eastAsia="Arial" w:hAnsi="Arial"/>
                <w:sz w:val="14"/>
                <w:szCs w:val="14"/>
                <w:b w:val="1"/>
                <w:bCs w:val="1"/>
                <w:color w:val="auto"/>
              </w:rPr>
              <w:t>Net Assets</w:t>
            </w:r>
          </w:p>
        </w:tc>
        <w:tc>
          <w:tcPr>
            <w:tcW w:w="0" w:type="dxa"/>
            <w:vAlign w:val="bottom"/>
          </w:tcPr>
          <w:p>
            <w:pPr>
              <w:spacing w:after="0"/>
              <w:rPr>
                <w:sz w:val="1"/>
                <w:szCs w:val="1"/>
                <w:color w:val="auto"/>
              </w:rPr>
            </w:pPr>
          </w:p>
        </w:tc>
      </w:tr>
      <w:tr>
        <w:trPr>
          <w:trHeight w:val="211"/>
        </w:trPr>
        <w:tc>
          <w:tcPr>
            <w:tcW w:w="19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Private Portfolio</w:t>
            </w:r>
          </w:p>
        </w:tc>
        <w:tc>
          <w:tcPr>
            <w:tcW w:w="2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Companies</w:t>
            </w: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900" w:type="dxa"/>
            <w:vAlign w:val="bottom"/>
          </w:tcPr>
          <w:p>
            <w:pPr>
              <w:ind w:left="180"/>
              <w:spacing w:after="0"/>
              <w:rPr>
                <w:sz w:val="20"/>
                <w:szCs w:val="20"/>
                <w:color w:val="auto"/>
              </w:rPr>
            </w:pPr>
            <w:r>
              <w:rPr>
                <w:rFonts w:ascii="Arial" w:cs="Arial" w:eastAsia="Arial" w:hAnsi="Arial"/>
                <w:sz w:val="18"/>
                <w:szCs w:val="18"/>
                <w:color w:val="auto"/>
              </w:rPr>
              <w:t>Common Stock</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44,747,171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46,633,246</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53,413,686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86,824,096</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7"/>
        </w:trPr>
        <w:tc>
          <w:tcPr>
            <w:tcW w:w="1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Preferred Stock</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89,715,085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98,531,464</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134,145,680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120,253,822</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43"/>
        </w:trPr>
        <w:tc>
          <w:tcPr>
            <w:tcW w:w="1900" w:type="dxa"/>
            <w:vAlign w:val="bottom"/>
          </w:tcPr>
          <w:p>
            <w:pPr>
              <w:ind w:left="180"/>
              <w:spacing w:after="0"/>
              <w:rPr>
                <w:sz w:val="20"/>
                <w:szCs w:val="20"/>
                <w:color w:val="auto"/>
              </w:rPr>
            </w:pPr>
            <w:r>
              <w:rPr>
                <w:rFonts w:ascii="Arial" w:cs="Arial" w:eastAsia="Arial" w:hAnsi="Arial"/>
                <w:sz w:val="18"/>
                <w:szCs w:val="18"/>
                <w:color w:val="auto"/>
              </w:rPr>
              <w:t>Debt Investments</w:t>
            </w:r>
          </w:p>
        </w:tc>
        <w:tc>
          <w:tcPr>
            <w:tcW w:w="28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8,709,596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5,092,767</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8,809,356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4,916,578</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1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Warrants</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204,681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897,562</w:t>
            </w:r>
          </w:p>
        </w:tc>
        <w:tc>
          <w:tcPr>
            <w:tcW w:w="1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197,162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433,997</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5"/>
        </w:trPr>
        <w:tc>
          <w:tcPr>
            <w:tcW w:w="1900" w:type="dxa"/>
            <w:vAlign w:val="bottom"/>
          </w:tcPr>
          <w:p>
            <w:pPr>
              <w:ind w:left="40"/>
              <w:spacing w:after="0" w:line="205" w:lineRule="exact"/>
              <w:rPr>
                <w:sz w:val="20"/>
                <w:szCs w:val="20"/>
                <w:color w:val="auto"/>
              </w:rPr>
            </w:pPr>
            <w:r>
              <w:rPr>
                <w:rFonts w:ascii="Arial" w:cs="Arial" w:eastAsia="Arial" w:hAnsi="Arial"/>
                <w:sz w:val="18"/>
                <w:szCs w:val="18"/>
                <w:b w:val="1"/>
                <w:bCs w:val="1"/>
                <w:color w:val="auto"/>
              </w:rPr>
              <w:t>Private Portfolio</w:t>
            </w:r>
          </w:p>
        </w:tc>
        <w:tc>
          <w:tcPr>
            <w:tcW w:w="2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00" w:type="dxa"/>
            <w:vAlign w:val="bottom"/>
          </w:tcPr>
          <w:p>
            <w:pPr>
              <w:ind w:left="200"/>
              <w:spacing w:after="0"/>
              <w:rPr>
                <w:sz w:val="20"/>
                <w:szCs w:val="20"/>
                <w:color w:val="auto"/>
              </w:rPr>
            </w:pPr>
            <w:r>
              <w:rPr>
                <w:rFonts w:ascii="Arial" w:cs="Arial" w:eastAsia="Arial" w:hAnsi="Arial"/>
                <w:sz w:val="18"/>
                <w:szCs w:val="18"/>
                <w:b w:val="1"/>
                <w:bCs w:val="1"/>
                <w:color w:val="auto"/>
              </w:rPr>
              <w:t>Companies</w:t>
            </w:r>
          </w:p>
        </w:tc>
        <w:tc>
          <w:tcPr>
            <w:tcW w:w="280" w:type="dxa"/>
            <w:vAlign w:val="bottom"/>
          </w:tcPr>
          <w:p>
            <w:pPr>
              <w:spacing w:after="0"/>
              <w:rPr>
                <w:sz w:val="20"/>
                <w:szCs w:val="20"/>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143,376,533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151,155,039</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70.9%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196,565,884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212,428,493</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103.7%</w:t>
            </w:r>
          </w:p>
        </w:tc>
        <w:tc>
          <w:tcPr>
            <w:tcW w:w="0" w:type="dxa"/>
            <w:vAlign w:val="bottom"/>
          </w:tcPr>
          <w:p>
            <w:pPr>
              <w:spacing w:after="0"/>
              <w:rPr>
                <w:sz w:val="1"/>
                <w:szCs w:val="1"/>
                <w:color w:val="auto"/>
              </w:rPr>
            </w:pPr>
          </w:p>
        </w:tc>
      </w:tr>
      <w:tr>
        <w:trPr>
          <w:trHeight w:val="27"/>
        </w:trPr>
        <w:tc>
          <w:tcPr>
            <w:tcW w:w="1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190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rPr>
              <w:t>Publicly Traded</w:t>
            </w: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1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w w:val="95"/>
              </w:rPr>
              <w:t>Portfolio Companies</w:t>
            </w: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900" w:type="dxa"/>
            <w:vAlign w:val="bottom"/>
          </w:tcPr>
          <w:p>
            <w:pPr>
              <w:ind w:left="180"/>
              <w:spacing w:after="0"/>
              <w:rPr>
                <w:sz w:val="20"/>
                <w:szCs w:val="20"/>
                <w:color w:val="auto"/>
              </w:rPr>
            </w:pPr>
            <w:r>
              <w:rPr>
                <w:rFonts w:ascii="Arial" w:cs="Arial" w:eastAsia="Arial" w:hAnsi="Arial"/>
                <w:sz w:val="18"/>
                <w:szCs w:val="18"/>
                <w:color w:val="auto"/>
              </w:rPr>
              <w:t>Common Stock</w:t>
            </w:r>
          </w:p>
        </w:tc>
        <w:tc>
          <w:tcPr>
            <w:tcW w:w="28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23,659,010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66,036,131</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6,008,468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8,160,000</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1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190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rPr>
              <w:t>Total Portfolio</w:t>
            </w: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1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Investments</w:t>
            </w: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167,035,543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217,191,170</w:t>
            </w: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202,574,352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220,588,493</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107.7%</w:t>
            </w:r>
          </w:p>
        </w:tc>
        <w:tc>
          <w:tcPr>
            <w:tcW w:w="0" w:type="dxa"/>
            <w:vAlign w:val="bottom"/>
          </w:tcPr>
          <w:p>
            <w:pPr>
              <w:spacing w:after="0"/>
              <w:rPr>
                <w:sz w:val="1"/>
                <w:szCs w:val="1"/>
                <w:color w:val="auto"/>
              </w:rPr>
            </w:pPr>
          </w:p>
        </w:tc>
      </w:tr>
      <w:tr>
        <w:trPr>
          <w:trHeight w:val="205"/>
        </w:trPr>
        <w:tc>
          <w:tcPr>
            <w:tcW w:w="1900" w:type="dxa"/>
            <w:vAlign w:val="bottom"/>
          </w:tcPr>
          <w:p>
            <w:pPr>
              <w:ind w:left="40"/>
              <w:spacing w:after="0" w:line="205" w:lineRule="exact"/>
              <w:rPr>
                <w:sz w:val="20"/>
                <w:szCs w:val="20"/>
                <w:color w:val="auto"/>
              </w:rPr>
            </w:pPr>
            <w:r>
              <w:rPr>
                <w:rFonts w:ascii="Arial" w:cs="Arial" w:eastAsia="Arial" w:hAnsi="Arial"/>
                <w:sz w:val="18"/>
                <w:szCs w:val="18"/>
                <w:b w:val="1"/>
                <w:bCs w:val="1"/>
                <w:color w:val="auto"/>
              </w:rPr>
              <w:t>Non-Portfolio</w:t>
            </w:r>
          </w:p>
        </w:tc>
        <w:tc>
          <w:tcPr>
            <w:tcW w:w="2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00" w:type="dxa"/>
            <w:vAlign w:val="bottom"/>
          </w:tcPr>
          <w:p>
            <w:pPr>
              <w:ind w:left="200"/>
              <w:spacing w:after="0"/>
              <w:rPr>
                <w:sz w:val="20"/>
                <w:szCs w:val="20"/>
                <w:color w:val="auto"/>
              </w:rPr>
            </w:pPr>
            <w:r>
              <w:rPr>
                <w:rFonts w:ascii="Arial" w:cs="Arial" w:eastAsia="Arial" w:hAnsi="Arial"/>
                <w:sz w:val="18"/>
                <w:szCs w:val="18"/>
                <w:b w:val="1"/>
                <w:bCs w:val="1"/>
                <w:color w:val="auto"/>
              </w:rPr>
              <w:t>Investments</w:t>
            </w: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 Treasury bill</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99,967,958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99,983,000</w:t>
            </w:r>
          </w:p>
        </w:tc>
        <w:tc>
          <w:tcPr>
            <w:tcW w:w="1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99,985,833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99,994,000</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57"/>
        </w:trPr>
        <w:tc>
          <w:tcPr>
            <w:tcW w:w="1900" w:type="dxa"/>
            <w:vAlign w:val="bottom"/>
          </w:tcPr>
          <w:p>
            <w:pPr>
              <w:ind w:left="40"/>
              <w:spacing w:after="0"/>
              <w:rPr>
                <w:sz w:val="20"/>
                <w:szCs w:val="20"/>
                <w:color w:val="auto"/>
              </w:rPr>
            </w:pPr>
            <w:r>
              <w:rPr>
                <w:rFonts w:ascii="Arial" w:cs="Arial" w:eastAsia="Arial" w:hAnsi="Arial"/>
                <w:sz w:val="18"/>
                <w:szCs w:val="18"/>
                <w:b w:val="1"/>
                <w:bCs w:val="1"/>
                <w:color w:val="auto"/>
              </w:rPr>
              <w:t>Total Investments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267,003,501</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317,174,170</w:t>
            </w:r>
          </w:p>
        </w:tc>
        <w:tc>
          <w:tcPr>
            <w:tcW w:w="100" w:type="dxa"/>
            <w:vAlign w:val="bottom"/>
          </w:tcPr>
          <w:p>
            <w:pPr>
              <w:spacing w:after="0"/>
              <w:rPr>
                <w:sz w:val="22"/>
                <w:szCs w:val="22"/>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148.6%</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302,560,185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320,582,493</w:t>
            </w:r>
          </w:p>
        </w:tc>
        <w:tc>
          <w:tcPr>
            <w:tcW w:w="100" w:type="dxa"/>
            <w:vAlign w:val="bottom"/>
          </w:tcPr>
          <w:p>
            <w:pPr>
              <w:spacing w:after="0"/>
              <w:rPr>
                <w:sz w:val="22"/>
                <w:szCs w:val="22"/>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156.5%</w:t>
            </w: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1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jc w:val="right"/>
              <w:ind w:right="713"/>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2018</w:t>
      </w:r>
    </w:p>
    <w:p>
      <w:pPr>
        <w:spacing w:after="0" w:line="23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industrial and geographic compositions of the Company’s portfolio at fair value as of September 30, 2018 and December 31, 2017 were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3"/>
              </w:rPr>
              <w:t>As of September 30, 2018</w:t>
            </w:r>
          </w:p>
        </w:tc>
        <w:tc>
          <w:tcPr>
            <w:tcW w:w="15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4"/>
              </w:rPr>
              <w:t>As of December 31, 2017</w:t>
            </w:r>
          </w:p>
        </w:tc>
        <w:tc>
          <w:tcPr>
            <w:tcW w:w="1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rPr>
              <w:t>Fair Value</w:t>
            </w:r>
          </w:p>
        </w:tc>
        <w:tc>
          <w:tcPr>
            <w:tcW w:w="16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Percentage of</w:t>
            </w:r>
          </w:p>
        </w:tc>
        <w:tc>
          <w:tcPr>
            <w:tcW w:w="16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0"/>
              </w:rPr>
              <w:t>Percentage of</w:t>
            </w:r>
          </w:p>
        </w:tc>
        <w:tc>
          <w:tcPr>
            <w:tcW w:w="260" w:type="dxa"/>
            <w:vAlign w:val="bottom"/>
          </w:tcPr>
          <w:p>
            <w:pPr>
              <w:spacing w:after="0"/>
              <w:rPr>
                <w:sz w:val="13"/>
                <w:szCs w:val="13"/>
                <w:color w:val="auto"/>
              </w:rPr>
            </w:pPr>
          </w:p>
        </w:tc>
        <w:tc>
          <w:tcPr>
            <w:tcW w:w="13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Fair Value</w:t>
            </w:r>
          </w:p>
        </w:tc>
        <w:tc>
          <w:tcPr>
            <w:tcW w:w="16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0"/>
              </w:rPr>
              <w:t>Percentage of</w:t>
            </w:r>
          </w:p>
        </w:tc>
        <w:tc>
          <w:tcPr>
            <w:tcW w:w="15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92"/>
        </w:trPr>
        <w:tc>
          <w:tcPr>
            <w:tcW w:w="1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gridSpan w:val="4"/>
            <w:vMerge w:val="continue"/>
          </w:tcPr>
          <w:p>
            <w:pPr>
              <w:spacing w:after="0"/>
              <w:rPr>
                <w:sz w:val="16"/>
                <w:szCs w:val="16"/>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Portfolio</w:t>
            </w:r>
          </w:p>
        </w:tc>
        <w:tc>
          <w:tcPr>
            <w:tcW w:w="1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Net Assets</w:t>
            </w:r>
          </w:p>
        </w:tc>
        <w:tc>
          <w:tcPr>
            <w:tcW w:w="26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Portfolio</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88"/>
              </w:rPr>
              <w:t>Net Assets</w:t>
            </w:r>
          </w:p>
        </w:tc>
        <w:tc>
          <w:tcPr>
            <w:tcW w:w="0" w:type="dxa"/>
            <w:vAlign w:val="bottom"/>
          </w:tcPr>
          <w:p>
            <w:pPr>
              <w:spacing w:after="0"/>
              <w:rPr>
                <w:sz w:val="1"/>
                <w:szCs w:val="1"/>
                <w:color w:val="auto"/>
              </w:rPr>
            </w:pPr>
          </w:p>
        </w:tc>
      </w:tr>
      <w:tr>
        <w:trPr>
          <w:trHeight w:val="250"/>
        </w:trPr>
        <w:tc>
          <w:tcPr>
            <w:tcW w:w="188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Industry</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80" w:type="dxa"/>
            <w:vAlign w:val="bottom"/>
            <w:gridSpan w:val="2"/>
          </w:tcPr>
          <w:p>
            <w:pPr>
              <w:ind w:left="40"/>
              <w:spacing w:after="0"/>
              <w:rPr>
                <w:sz w:val="20"/>
                <w:szCs w:val="20"/>
                <w:color w:val="auto"/>
              </w:rPr>
            </w:pPr>
            <w:r>
              <w:rPr>
                <w:rFonts w:ascii="Arial" w:cs="Arial" w:eastAsia="Arial" w:hAnsi="Arial"/>
                <w:sz w:val="18"/>
                <w:szCs w:val="18"/>
                <w:color w:val="auto"/>
              </w:rPr>
              <w:t>Education Technology</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62,551,140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29.3%</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90,658,640</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41.1%</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7"/>
        </w:trPr>
        <w:tc>
          <w:tcPr>
            <w:tcW w:w="18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Big Data/Cloud</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58,492,951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57,678,330</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43"/>
        </w:trPr>
        <w:tc>
          <w:tcPr>
            <w:tcW w:w="1880" w:type="dxa"/>
            <w:vAlign w:val="bottom"/>
            <w:gridSpan w:val="2"/>
          </w:tcPr>
          <w:p>
            <w:pPr>
              <w:ind w:left="40"/>
              <w:spacing w:after="0"/>
              <w:rPr>
                <w:sz w:val="20"/>
                <w:szCs w:val="20"/>
                <w:color w:val="auto"/>
              </w:rPr>
            </w:pPr>
            <w:r>
              <w:rPr>
                <w:rFonts w:ascii="Arial" w:cs="Arial" w:eastAsia="Arial" w:hAnsi="Arial"/>
                <w:sz w:val="18"/>
                <w:szCs w:val="18"/>
                <w:color w:val="auto"/>
              </w:rPr>
              <w:t>Social/Mobile</w:t>
            </w:r>
          </w:p>
        </w:tc>
        <w:tc>
          <w:tcPr>
            <w:tcW w:w="24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52,580,211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24.6%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38,528,143</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7"/>
        </w:trPr>
        <w:tc>
          <w:tcPr>
            <w:tcW w:w="18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Marketplaces</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42,607,676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32,653,518</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43"/>
        </w:trPr>
        <w:tc>
          <w:tcPr>
            <w:tcW w:w="1880" w:type="dxa"/>
            <w:vAlign w:val="bottom"/>
            <w:gridSpan w:val="2"/>
          </w:tcPr>
          <w:p>
            <w:pPr>
              <w:ind w:left="40"/>
              <w:spacing w:after="0"/>
              <w:rPr>
                <w:sz w:val="20"/>
                <w:szCs w:val="20"/>
                <w:color w:val="auto"/>
              </w:rPr>
            </w:pPr>
            <w:r>
              <w:rPr>
                <w:rFonts w:ascii="Arial" w:cs="Arial" w:eastAsia="Arial" w:hAnsi="Arial"/>
                <w:sz w:val="18"/>
                <w:szCs w:val="18"/>
                <w:color w:val="auto"/>
              </w:rPr>
              <w:t>Sustainability</w:t>
            </w:r>
          </w:p>
        </w:tc>
        <w:tc>
          <w:tcPr>
            <w:tcW w:w="24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959,192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1,069,862</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18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217,191,170</w:t>
            </w:r>
          </w:p>
        </w:tc>
        <w:tc>
          <w:tcPr>
            <w:tcW w:w="20" w:type="dxa"/>
            <w:vAlign w:val="bottom"/>
            <w:tcBorders>
              <w:bottom w:val="single" w:sz="8" w:color="auto"/>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220,588,493</w:t>
            </w:r>
          </w:p>
        </w:tc>
        <w:tc>
          <w:tcPr>
            <w:tcW w:w="1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107.7%</w:t>
            </w: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18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3"/>
              </w:rPr>
              <w:t>As of September 30, 2018</w:t>
            </w:r>
          </w:p>
        </w:tc>
        <w:tc>
          <w:tcPr>
            <w:tcW w:w="15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4"/>
              </w:rPr>
              <w:t>As of December 31, 2017</w:t>
            </w:r>
          </w:p>
        </w:tc>
        <w:tc>
          <w:tcPr>
            <w:tcW w:w="1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Fair Value</w:t>
            </w:r>
          </w:p>
        </w:tc>
        <w:tc>
          <w:tcPr>
            <w:tcW w:w="100" w:type="dxa"/>
            <w:vAlign w:val="bottom"/>
            <w:gridSpan w:val="2"/>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16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88"/>
              </w:rPr>
              <w:t>Percentage of</w:t>
            </w:r>
          </w:p>
        </w:tc>
        <w:tc>
          <w:tcPr>
            <w:tcW w:w="16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0"/>
              </w:rPr>
              <w:t>Percentage of</w:t>
            </w:r>
          </w:p>
        </w:tc>
        <w:tc>
          <w:tcPr>
            <w:tcW w:w="260" w:type="dxa"/>
            <w:vAlign w:val="bottom"/>
          </w:tcPr>
          <w:p>
            <w:pPr>
              <w:spacing w:after="0"/>
              <w:rPr>
                <w:sz w:val="13"/>
                <w:szCs w:val="13"/>
                <w:color w:val="auto"/>
              </w:rPr>
            </w:pPr>
          </w:p>
        </w:tc>
        <w:tc>
          <w:tcPr>
            <w:tcW w:w="120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restart"/>
          </w:tcPr>
          <w:p>
            <w:pPr>
              <w:spacing w:after="0"/>
              <w:rPr>
                <w:sz w:val="13"/>
                <w:szCs w:val="13"/>
                <w:color w:val="auto"/>
              </w:rPr>
            </w:pPr>
          </w:p>
        </w:tc>
        <w:tc>
          <w:tcPr>
            <w:tcW w:w="16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0"/>
              </w:rPr>
              <w:t>Percentage of</w:t>
            </w:r>
          </w:p>
        </w:tc>
        <w:tc>
          <w:tcPr>
            <w:tcW w:w="15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92"/>
        </w:trPr>
        <w:tc>
          <w:tcPr>
            <w:tcW w:w="186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gridSpan w:val="2"/>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Portfolio</w:t>
            </w:r>
          </w:p>
        </w:tc>
        <w:tc>
          <w:tcPr>
            <w:tcW w:w="1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Net Assets</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Portfolio</w:t>
            </w:r>
          </w:p>
        </w:tc>
        <w:tc>
          <w:tcPr>
            <w:tcW w:w="12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Net Assets</w:t>
            </w:r>
          </w:p>
        </w:tc>
        <w:tc>
          <w:tcPr>
            <w:tcW w:w="0" w:type="dxa"/>
            <w:vAlign w:val="bottom"/>
          </w:tcPr>
          <w:p>
            <w:pPr>
              <w:spacing w:after="0"/>
              <w:rPr>
                <w:sz w:val="1"/>
                <w:szCs w:val="1"/>
                <w:color w:val="auto"/>
              </w:rPr>
            </w:pPr>
          </w:p>
        </w:tc>
      </w:tr>
      <w:tr>
        <w:trPr>
          <w:trHeight w:val="250"/>
        </w:trPr>
        <w:tc>
          <w:tcPr>
            <w:tcW w:w="1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Geographic Region</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80" w:type="dxa"/>
            <w:vAlign w:val="bottom"/>
            <w:gridSpan w:val="2"/>
          </w:tcPr>
          <w:p>
            <w:pPr>
              <w:ind w:left="40"/>
              <w:spacing w:after="0"/>
              <w:rPr>
                <w:sz w:val="20"/>
                <w:szCs w:val="20"/>
                <w:color w:val="auto"/>
              </w:rPr>
            </w:pPr>
            <w:r>
              <w:rPr>
                <w:rFonts w:ascii="Arial" w:cs="Arial" w:eastAsia="Arial" w:hAnsi="Arial"/>
                <w:sz w:val="18"/>
                <w:szCs w:val="18"/>
                <w:color w:val="auto"/>
              </w:rPr>
              <w:t>West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169,063,416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77.8%</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79.2%</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165,871,083</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75.2%</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27"/>
        </w:trPr>
        <w:tc>
          <w:tcPr>
            <w:tcW w:w="18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Mid-west</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537,273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593,702</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1880" w:type="dxa"/>
            <w:vAlign w:val="bottom"/>
            <w:gridSpan w:val="2"/>
          </w:tcPr>
          <w:p>
            <w:pPr>
              <w:ind w:left="40"/>
              <w:spacing w:after="0"/>
              <w:rPr>
                <w:sz w:val="20"/>
                <w:szCs w:val="20"/>
                <w:color w:val="auto"/>
              </w:rPr>
            </w:pPr>
            <w:r>
              <w:rPr>
                <w:rFonts w:ascii="Arial" w:cs="Arial" w:eastAsia="Arial" w:hAnsi="Arial"/>
                <w:sz w:val="18"/>
                <w:szCs w:val="18"/>
                <w:color w:val="auto"/>
              </w:rPr>
              <w:t>Northeast</w:t>
            </w:r>
          </w:p>
        </w:tc>
        <w:tc>
          <w:tcPr>
            <w:tcW w:w="24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5,030,332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23,394,640</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7"/>
        </w:trPr>
        <w:tc>
          <w:tcPr>
            <w:tcW w:w="18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International</w:t>
            </w: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42,560,149</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30,729,068</w:t>
            </w:r>
          </w:p>
        </w:tc>
        <w:tc>
          <w:tcPr>
            <w:tcW w:w="1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57"/>
        </w:trPr>
        <w:tc>
          <w:tcPr>
            <w:tcW w:w="186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2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217,191,170</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2"/>
                <w:szCs w:val="22"/>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101.8%</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220,588,493</w:t>
            </w:r>
          </w:p>
        </w:tc>
        <w:tc>
          <w:tcPr>
            <w:tcW w:w="100" w:type="dxa"/>
            <w:vAlign w:val="bottom"/>
          </w:tcPr>
          <w:p>
            <w:pPr>
              <w:spacing w:after="0"/>
              <w:rPr>
                <w:sz w:val="22"/>
                <w:szCs w:val="22"/>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2"/>
                <w:szCs w:val="22"/>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107.7%</w:t>
            </w: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1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jc w:val="right"/>
              <w:ind w:right="694"/>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4181475</wp:posOffset>
            </wp:positionH>
            <wp:positionV relativeFrom="paragraph">
              <wp:posOffset>-2331720</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2018</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details the composition of the Company’s industrial themes presented above: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Industry Theme</w:t>
            </w:r>
          </w:p>
        </w:tc>
        <w:tc>
          <w:tcPr>
            <w:tcW w:w="120" w:type="dxa"/>
            <w:vAlign w:val="bottom"/>
          </w:tcPr>
          <w:p>
            <w:pPr>
              <w:spacing w:after="0"/>
              <w:rPr>
                <w:sz w:val="16"/>
                <w:szCs w:val="16"/>
                <w:color w:val="auto"/>
              </w:rPr>
            </w:pPr>
          </w:p>
        </w:tc>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Industry</w:t>
            </w: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Education Technology</w:t>
            </w:r>
          </w:p>
        </w:tc>
        <w:tc>
          <w:tcPr>
            <w:tcW w:w="7640" w:type="dxa"/>
            <w:vAlign w:val="bottom"/>
          </w:tcPr>
          <w:p>
            <w:pPr>
              <w:ind w:left="20"/>
              <w:spacing w:after="0"/>
              <w:rPr>
                <w:sz w:val="20"/>
                <w:szCs w:val="20"/>
                <w:color w:val="auto"/>
              </w:rPr>
            </w:pPr>
            <w:r>
              <w:rPr>
                <w:rFonts w:ascii="Arial" w:cs="Arial" w:eastAsia="Arial" w:hAnsi="Arial"/>
                <w:sz w:val="18"/>
                <w:szCs w:val="18"/>
                <w:color w:val="auto"/>
              </w:rPr>
              <w:t>Business Education</w:t>
            </w:r>
          </w:p>
        </w:tc>
      </w:tr>
      <w:tr>
        <w:trPr>
          <w:trHeight w:val="270"/>
        </w:trPr>
        <w:tc>
          <w:tcPr>
            <w:tcW w:w="3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Computer Software</w:t>
            </w:r>
          </w:p>
        </w:tc>
      </w:tr>
      <w:tr>
        <w:trPr>
          <w:trHeight w:val="270"/>
        </w:trPr>
        <w:tc>
          <w:tcPr>
            <w:tcW w:w="3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Corporate Education</w:t>
            </w:r>
          </w:p>
        </w:tc>
      </w:tr>
      <w:tr>
        <w:trPr>
          <w:trHeight w:val="270"/>
        </w:trPr>
        <w:tc>
          <w:tcPr>
            <w:tcW w:w="3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Education Media Platform</w:t>
            </w:r>
          </w:p>
        </w:tc>
      </w:tr>
      <w:tr>
        <w:trPr>
          <w:trHeight w:val="270"/>
        </w:trPr>
        <w:tc>
          <w:tcPr>
            <w:tcW w:w="3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Education Software</w:t>
            </w:r>
          </w:p>
        </w:tc>
      </w:tr>
      <w:tr>
        <w:trPr>
          <w:trHeight w:val="270"/>
        </w:trPr>
        <w:tc>
          <w:tcPr>
            <w:tcW w:w="3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Education Technology</w:t>
            </w:r>
          </w:p>
        </w:tc>
      </w:tr>
      <w:tr>
        <w:trPr>
          <w:trHeight w:val="270"/>
        </w:trPr>
        <w:tc>
          <w:tcPr>
            <w:tcW w:w="3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E-Transcript Exchange</w:t>
            </w:r>
          </w:p>
        </w:tc>
      </w:tr>
      <w:tr>
        <w:trPr>
          <w:trHeight w:val="270"/>
        </w:trPr>
        <w:tc>
          <w:tcPr>
            <w:tcW w:w="3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Globally-Focused Private School</w:t>
            </w:r>
          </w:p>
        </w:tc>
      </w:tr>
      <w:tr>
        <w:trPr>
          <w:trHeight w:val="270"/>
        </w:trPr>
        <w:tc>
          <w:tcPr>
            <w:tcW w:w="3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Interactive Learning</w:t>
            </w:r>
          </w:p>
        </w:tc>
      </w:tr>
      <w:tr>
        <w:trPr>
          <w:trHeight w:val="270"/>
        </w:trPr>
        <w:tc>
          <w:tcPr>
            <w:tcW w:w="3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Online Education</w:t>
            </w:r>
          </w:p>
        </w:tc>
      </w:tr>
      <w:tr>
        <w:trPr>
          <w:trHeight w:val="270"/>
        </w:trPr>
        <w:tc>
          <w:tcPr>
            <w:tcW w:w="3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Online Education Services</w:t>
            </w:r>
          </w:p>
        </w:tc>
      </w:tr>
      <w:tr>
        <w:trPr>
          <w:trHeight w:val="27"/>
        </w:trPr>
        <w:tc>
          <w:tcPr>
            <w:tcW w:w="3780" w:type="dxa"/>
            <w:vAlign w:val="bottom"/>
            <w:tcBorders>
              <w:bottom w:val="single" w:sz="8" w:color="auto"/>
            </w:tcBorders>
            <w:gridSpan w:val="2"/>
          </w:tcPr>
          <w:p>
            <w:pPr>
              <w:spacing w:after="0"/>
              <w:rPr>
                <w:sz w:val="2"/>
                <w:szCs w:val="2"/>
                <w:color w:val="auto"/>
              </w:rPr>
            </w:pPr>
          </w:p>
        </w:tc>
        <w:tc>
          <w:tcPr>
            <w:tcW w:w="7640" w:type="dxa"/>
            <w:vAlign w:val="bottom"/>
            <w:tcBorders>
              <w:bottom w:val="single" w:sz="8" w:color="auto"/>
            </w:tcBorders>
          </w:tcPr>
          <w:p>
            <w:pPr>
              <w:spacing w:after="0"/>
              <w:rPr>
                <w:sz w:val="2"/>
                <w:szCs w:val="2"/>
                <w:color w:val="auto"/>
              </w:rPr>
            </w:pPr>
          </w:p>
        </w:tc>
      </w:tr>
      <w:tr>
        <w:trPr>
          <w:trHeight w:val="237"/>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Big Data/Cloud</w:t>
            </w:r>
          </w:p>
        </w:tc>
        <w:tc>
          <w:tcPr>
            <w:tcW w:w="7640" w:type="dxa"/>
            <w:vAlign w:val="bottom"/>
          </w:tcPr>
          <w:p>
            <w:pPr>
              <w:ind w:left="20"/>
              <w:spacing w:after="0"/>
              <w:rPr>
                <w:sz w:val="20"/>
                <w:szCs w:val="20"/>
                <w:color w:val="auto"/>
              </w:rPr>
            </w:pPr>
            <w:r>
              <w:rPr>
                <w:rFonts w:ascii="Arial" w:cs="Arial" w:eastAsia="Arial" w:hAnsi="Arial"/>
                <w:sz w:val="18"/>
                <w:szCs w:val="18"/>
                <w:color w:val="auto"/>
              </w:rPr>
              <w:t>Cloud Computing Services</w:t>
            </w:r>
          </w:p>
        </w:tc>
      </w:tr>
      <w:tr>
        <w:trPr>
          <w:trHeight w:val="270"/>
        </w:trPr>
        <w:tc>
          <w:tcPr>
            <w:tcW w:w="3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Customer Relationship Manager</w:t>
            </w:r>
          </w:p>
        </w:tc>
      </w:tr>
      <w:tr>
        <w:trPr>
          <w:trHeight w:val="270"/>
        </w:trPr>
        <w:tc>
          <w:tcPr>
            <w:tcW w:w="3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Data Analysis</w:t>
            </w:r>
          </w:p>
        </w:tc>
      </w:tr>
      <w:tr>
        <w:trPr>
          <w:trHeight w:val="270"/>
        </w:trPr>
        <w:tc>
          <w:tcPr>
            <w:tcW w:w="3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Social Cognitive Learning</w:t>
            </w:r>
          </w:p>
        </w:tc>
      </w:tr>
      <w:tr>
        <w:trPr>
          <w:trHeight w:val="27"/>
        </w:trPr>
        <w:tc>
          <w:tcPr>
            <w:tcW w:w="3780" w:type="dxa"/>
            <w:vAlign w:val="bottom"/>
            <w:tcBorders>
              <w:bottom w:val="single" w:sz="8" w:color="auto"/>
            </w:tcBorders>
            <w:gridSpan w:val="2"/>
          </w:tcPr>
          <w:p>
            <w:pPr>
              <w:spacing w:after="0"/>
              <w:rPr>
                <w:sz w:val="2"/>
                <w:szCs w:val="2"/>
                <w:color w:val="auto"/>
              </w:rPr>
            </w:pPr>
          </w:p>
        </w:tc>
        <w:tc>
          <w:tcPr>
            <w:tcW w:w="7640" w:type="dxa"/>
            <w:vAlign w:val="bottom"/>
            <w:tcBorders>
              <w:bottom w:val="single" w:sz="8" w:color="auto"/>
            </w:tcBorders>
          </w:tcPr>
          <w:p>
            <w:pPr>
              <w:spacing w:after="0"/>
              <w:rPr>
                <w:sz w:val="2"/>
                <w:szCs w:val="2"/>
                <w:color w:val="auto"/>
              </w:rPr>
            </w:pPr>
          </w:p>
        </w:tc>
      </w:tr>
      <w:tr>
        <w:trPr>
          <w:trHeight w:val="237"/>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Marketplaces</w:t>
            </w:r>
          </w:p>
        </w:tc>
        <w:tc>
          <w:tcPr>
            <w:tcW w:w="7640" w:type="dxa"/>
            <w:vAlign w:val="bottom"/>
          </w:tcPr>
          <w:p>
            <w:pPr>
              <w:ind w:left="20"/>
              <w:spacing w:after="0"/>
              <w:rPr>
                <w:sz w:val="20"/>
                <w:szCs w:val="20"/>
                <w:color w:val="auto"/>
              </w:rPr>
            </w:pPr>
            <w:r>
              <w:rPr>
                <w:rFonts w:ascii="Arial" w:cs="Arial" w:eastAsia="Arial" w:hAnsi="Arial"/>
                <w:sz w:val="18"/>
                <w:szCs w:val="18"/>
                <w:color w:val="auto"/>
              </w:rPr>
              <w:t>Financial Services</w:t>
            </w:r>
          </w:p>
        </w:tc>
      </w:tr>
      <w:tr>
        <w:trPr>
          <w:trHeight w:val="270"/>
        </w:trPr>
        <w:tc>
          <w:tcPr>
            <w:tcW w:w="3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Global Innovation Platform</w:t>
            </w:r>
          </w:p>
        </w:tc>
      </w:tr>
      <w:tr>
        <w:trPr>
          <w:trHeight w:val="270"/>
        </w:trPr>
        <w:tc>
          <w:tcPr>
            <w:tcW w:w="3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Knowledge Networks</w:t>
            </w:r>
          </w:p>
        </w:tc>
      </w:tr>
      <w:tr>
        <w:trPr>
          <w:trHeight w:val="270"/>
        </w:trPr>
        <w:tc>
          <w:tcPr>
            <w:tcW w:w="3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On-Demand Commerce</w:t>
            </w:r>
          </w:p>
        </w:tc>
      </w:tr>
      <w:tr>
        <w:trPr>
          <w:trHeight w:val="270"/>
        </w:trPr>
        <w:tc>
          <w:tcPr>
            <w:tcW w:w="3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On-Demand Transportation Services</w:t>
            </w:r>
          </w:p>
        </w:tc>
      </w:tr>
      <w:tr>
        <w:trPr>
          <w:trHeight w:val="270"/>
        </w:trPr>
        <w:tc>
          <w:tcPr>
            <w:tcW w:w="3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Online Marketplace Finance</w:t>
            </w:r>
          </w:p>
        </w:tc>
      </w:tr>
      <w:tr>
        <w:trPr>
          <w:trHeight w:val="270"/>
        </w:trPr>
        <w:tc>
          <w:tcPr>
            <w:tcW w:w="3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Peer-to-Peer Pet Services</w:t>
            </w:r>
          </w:p>
        </w:tc>
      </w:tr>
      <w:tr>
        <w:trPr>
          <w:trHeight w:val="27"/>
        </w:trPr>
        <w:tc>
          <w:tcPr>
            <w:tcW w:w="3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640" w:type="dxa"/>
            <w:vAlign w:val="bottom"/>
            <w:tcBorders>
              <w:bottom w:val="single" w:sz="8" w:color="auto"/>
            </w:tcBorders>
          </w:tcPr>
          <w:p>
            <w:pPr>
              <w:spacing w:after="0"/>
              <w:rPr>
                <w:sz w:val="2"/>
                <w:szCs w:val="2"/>
                <w:color w:val="auto"/>
              </w:rPr>
            </w:pPr>
          </w:p>
        </w:tc>
      </w:tr>
      <w:tr>
        <w:trPr>
          <w:trHeight w:val="237"/>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Social/Mobile</w:t>
            </w:r>
          </w:p>
        </w:tc>
        <w:tc>
          <w:tcPr>
            <w:tcW w:w="7640" w:type="dxa"/>
            <w:vAlign w:val="bottom"/>
          </w:tcPr>
          <w:p>
            <w:pPr>
              <w:ind w:left="20"/>
              <w:spacing w:after="0"/>
              <w:rPr>
                <w:sz w:val="20"/>
                <w:szCs w:val="20"/>
                <w:color w:val="auto"/>
              </w:rPr>
            </w:pPr>
            <w:r>
              <w:rPr>
                <w:rFonts w:ascii="Arial" w:cs="Arial" w:eastAsia="Arial" w:hAnsi="Arial"/>
                <w:sz w:val="18"/>
                <w:szCs w:val="18"/>
                <w:color w:val="auto"/>
              </w:rPr>
              <w:t>Digital Media Platform</w:t>
            </w:r>
          </w:p>
        </w:tc>
      </w:tr>
      <w:tr>
        <w:trPr>
          <w:trHeight w:val="270"/>
        </w:trPr>
        <w:tc>
          <w:tcPr>
            <w:tcW w:w="3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Light Field Imaging Platform</w:t>
            </w:r>
          </w:p>
        </w:tc>
      </w:tr>
      <w:tr>
        <w:trPr>
          <w:trHeight w:val="270"/>
        </w:trPr>
        <w:tc>
          <w:tcPr>
            <w:tcW w:w="3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On-Demand Music Streaming</w:t>
            </w:r>
          </w:p>
        </w:tc>
      </w:tr>
      <w:tr>
        <w:trPr>
          <w:trHeight w:val="270"/>
        </w:trPr>
        <w:tc>
          <w:tcPr>
            <w:tcW w:w="3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Social Data Platform</w:t>
            </w:r>
          </w:p>
        </w:tc>
      </w:tr>
      <w:tr>
        <w:trPr>
          <w:trHeight w:val="27"/>
        </w:trPr>
        <w:tc>
          <w:tcPr>
            <w:tcW w:w="3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40" w:type="dxa"/>
            <w:vAlign w:val="bottom"/>
            <w:tcBorders>
              <w:bottom w:val="single" w:sz="8" w:color="auto"/>
            </w:tcBorders>
          </w:tcPr>
          <w:p>
            <w:pPr>
              <w:spacing w:after="0"/>
              <w:rPr>
                <w:sz w:val="2"/>
                <w:szCs w:val="2"/>
                <w:color w:val="auto"/>
              </w:rPr>
            </w:pPr>
          </w:p>
        </w:tc>
      </w:tr>
      <w:tr>
        <w:trPr>
          <w:trHeight w:val="237"/>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Sustainability</w:t>
            </w:r>
          </w:p>
        </w:tc>
        <w:tc>
          <w:tcPr>
            <w:tcW w:w="7640" w:type="dxa"/>
            <w:vAlign w:val="bottom"/>
          </w:tcPr>
          <w:p>
            <w:pPr>
              <w:ind w:left="20"/>
              <w:spacing w:after="0"/>
              <w:rPr>
                <w:sz w:val="20"/>
                <w:szCs w:val="20"/>
                <w:color w:val="auto"/>
              </w:rPr>
            </w:pPr>
            <w:r>
              <w:rPr>
                <w:rFonts w:ascii="Arial" w:cs="Arial" w:eastAsia="Arial" w:hAnsi="Arial"/>
                <w:sz w:val="18"/>
                <w:szCs w:val="18"/>
                <w:color w:val="auto"/>
              </w:rPr>
              <w:t>Clean Technology</w:t>
            </w:r>
          </w:p>
        </w:tc>
      </w:tr>
      <w:tr>
        <w:trPr>
          <w:trHeight w:val="702"/>
        </w:trPr>
        <w:tc>
          <w:tcPr>
            <w:tcW w:w="3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40" w:type="dxa"/>
            <w:vAlign w:val="bottom"/>
          </w:tcPr>
          <w:p>
            <w:pPr>
              <w:ind w:left="1840"/>
              <w:spacing w:after="0"/>
              <w:rPr>
                <w:sz w:val="20"/>
                <w:szCs w:val="20"/>
                <w:color w:val="auto"/>
              </w:rPr>
            </w:pPr>
            <w:r>
              <w:rPr>
                <w:rFonts w:ascii="Arial" w:cs="Arial" w:eastAsia="Arial" w:hAnsi="Arial"/>
                <w:sz w:val="18"/>
                <w:szCs w:val="18"/>
                <w:color w:val="auto"/>
              </w:rPr>
              <w:t>28</w:t>
            </w:r>
          </w:p>
        </w:tc>
      </w:tr>
    </w:tbl>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2018</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Valuation Inputs</w:t>
      </w:r>
    </w:p>
    <w:p>
      <w:pPr>
        <w:spacing w:after="0" w:line="229" w:lineRule="exact"/>
        <w:rPr>
          <w:sz w:val="20"/>
          <w:szCs w:val="20"/>
          <w:color w:val="auto"/>
        </w:rPr>
      </w:pPr>
    </w:p>
    <w:p>
      <w:pPr>
        <w:ind w:right="300" w:firstLine="351"/>
        <w:spacing w:after="0" w:line="277" w:lineRule="auto"/>
        <w:rPr>
          <w:sz w:val="20"/>
          <w:szCs w:val="20"/>
          <w:color w:val="auto"/>
        </w:rPr>
      </w:pPr>
      <w:r>
        <w:rPr>
          <w:rFonts w:ascii="Arial" w:cs="Arial" w:eastAsia="Arial" w:hAnsi="Arial"/>
          <w:sz w:val="18"/>
          <w:szCs w:val="18"/>
          <w:color w:val="auto"/>
        </w:rPr>
        <w:t>The fair values of the Company’s investments disaggregated into the three levels of the fair value hierarchy based upon the lowest level of significant input used in the valuation as of September 30, 2018 and December 31, 2017 are as follows: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400" w:type="dxa"/>
            <w:vAlign w:val="bottom"/>
            <w:tcBorders>
              <w:bottom w:val="single" w:sz="8" w:color="auto"/>
            </w:tcBorders>
            <w:gridSpan w:val="5"/>
          </w:tcPr>
          <w:p>
            <w:pPr>
              <w:ind w:left="740"/>
              <w:spacing w:after="0"/>
              <w:rPr>
                <w:sz w:val="20"/>
                <w:szCs w:val="20"/>
                <w:color w:val="auto"/>
              </w:rPr>
            </w:pPr>
            <w:r>
              <w:rPr>
                <w:rFonts w:ascii="Arial" w:cs="Arial" w:eastAsia="Arial" w:hAnsi="Arial"/>
                <w:sz w:val="14"/>
                <w:szCs w:val="14"/>
                <w:b w:val="1"/>
                <w:bCs w:val="1"/>
                <w:color w:val="auto"/>
              </w:rPr>
              <w:t>As of September 30, 2018</w:t>
            </w: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1"/>
              </w:rPr>
              <w:t>Quoted Prices in</w:t>
            </w:r>
          </w:p>
        </w:tc>
        <w:tc>
          <w:tcPr>
            <w:tcW w:w="220" w:type="dxa"/>
            <w:vAlign w:val="bottom"/>
          </w:tcPr>
          <w:p>
            <w:pPr>
              <w:spacing w:after="0"/>
              <w:rPr>
                <w:sz w:val="13"/>
                <w:szCs w:val="13"/>
                <w:color w:val="auto"/>
              </w:rPr>
            </w:pPr>
          </w:p>
        </w:tc>
        <w:tc>
          <w:tcPr>
            <w:tcW w:w="158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3"/>
              </w:rPr>
              <w:t>Significant Other</w:t>
            </w:r>
          </w:p>
        </w:tc>
        <w:tc>
          <w:tcPr>
            <w:tcW w:w="280" w:type="dxa"/>
            <w:vAlign w:val="bottom"/>
          </w:tcPr>
          <w:p>
            <w:pPr>
              <w:spacing w:after="0"/>
              <w:rPr>
                <w:sz w:val="13"/>
                <w:szCs w:val="13"/>
                <w:color w:val="auto"/>
              </w:rPr>
            </w:pPr>
          </w:p>
        </w:tc>
        <w:tc>
          <w:tcPr>
            <w:tcW w:w="154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4"/>
              </w:rPr>
              <w:t>Significant</w:t>
            </w:r>
          </w:p>
        </w:tc>
        <w:tc>
          <w:tcPr>
            <w:tcW w:w="4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220" w:type="dxa"/>
            <w:vAlign w:val="bottom"/>
          </w:tcPr>
          <w:p>
            <w:pPr>
              <w:spacing w:after="0"/>
              <w:rPr>
                <w:sz w:val="12"/>
                <w:szCs w:val="12"/>
                <w:color w:val="auto"/>
              </w:rPr>
            </w:pPr>
          </w:p>
        </w:tc>
        <w:tc>
          <w:tcPr>
            <w:tcW w:w="15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Observable</w:t>
            </w:r>
          </w:p>
        </w:tc>
        <w:tc>
          <w:tcPr>
            <w:tcW w:w="280" w:type="dxa"/>
            <w:vAlign w:val="bottom"/>
          </w:tcPr>
          <w:p>
            <w:pPr>
              <w:spacing w:after="0"/>
              <w:rPr>
                <w:sz w:val="12"/>
                <w:szCs w:val="12"/>
                <w:color w:val="auto"/>
              </w:rPr>
            </w:pPr>
          </w:p>
        </w:tc>
        <w:tc>
          <w:tcPr>
            <w:tcW w:w="15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4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Identical Securities</w:t>
            </w:r>
          </w:p>
        </w:tc>
        <w:tc>
          <w:tcPr>
            <w:tcW w:w="220" w:type="dxa"/>
            <w:vAlign w:val="bottom"/>
          </w:tcPr>
          <w:p>
            <w:pPr>
              <w:spacing w:after="0"/>
              <w:rPr>
                <w:sz w:val="12"/>
                <w:szCs w:val="12"/>
                <w:color w:val="auto"/>
              </w:rPr>
            </w:pPr>
          </w:p>
        </w:tc>
        <w:tc>
          <w:tcPr>
            <w:tcW w:w="15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Inputs</w:t>
            </w:r>
          </w:p>
        </w:tc>
        <w:tc>
          <w:tcPr>
            <w:tcW w:w="280" w:type="dxa"/>
            <w:vAlign w:val="bottom"/>
          </w:tcPr>
          <w:p>
            <w:pPr>
              <w:spacing w:after="0"/>
              <w:rPr>
                <w:sz w:val="12"/>
                <w:szCs w:val="12"/>
                <w:color w:val="auto"/>
              </w:rPr>
            </w:pPr>
          </w:p>
        </w:tc>
        <w:tc>
          <w:tcPr>
            <w:tcW w:w="15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Inputs</w:t>
            </w:r>
          </w:p>
        </w:tc>
        <w:tc>
          <w:tcPr>
            <w:tcW w:w="400" w:type="dxa"/>
            <w:vAlign w:val="bottom"/>
          </w:tcPr>
          <w:p>
            <w:pPr>
              <w:spacing w:after="0"/>
              <w:rPr>
                <w:sz w:val="12"/>
                <w:szCs w:val="12"/>
                <w:color w:val="auto"/>
              </w:rPr>
            </w:pPr>
          </w:p>
        </w:tc>
        <w:tc>
          <w:tcPr>
            <w:tcW w:w="1300" w:type="dxa"/>
            <w:vAlign w:val="bottom"/>
            <w:vMerge w:val="restart"/>
          </w:tcPr>
          <w:p>
            <w:pPr>
              <w:jc w:val="right"/>
              <w:ind w:right="6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1)</w:t>
            </w:r>
          </w:p>
        </w:tc>
        <w:tc>
          <w:tcPr>
            <w:tcW w:w="220" w:type="dxa"/>
            <w:vAlign w:val="bottom"/>
          </w:tcPr>
          <w:p>
            <w:pPr>
              <w:spacing w:after="0"/>
              <w:rPr>
                <w:sz w:val="16"/>
                <w:szCs w:val="16"/>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2)</w:t>
            </w:r>
          </w:p>
        </w:tc>
        <w:tc>
          <w:tcPr>
            <w:tcW w:w="280" w:type="dxa"/>
            <w:vAlign w:val="bottom"/>
          </w:tcPr>
          <w:p>
            <w:pPr>
              <w:spacing w:after="0"/>
              <w:rPr>
                <w:sz w:val="16"/>
                <w:szCs w:val="16"/>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(Level 3)</w:t>
            </w:r>
          </w:p>
        </w:tc>
        <w:tc>
          <w:tcPr>
            <w:tcW w:w="40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Investments at Fair Value</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b w:val="1"/>
                <w:bCs w:val="1"/>
                <w:color w:val="auto"/>
              </w:rPr>
              <w:t>Private Portfolio Companies</w:t>
            </w:r>
          </w:p>
        </w:tc>
        <w:tc>
          <w:tcPr>
            <w:tcW w:w="2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Common Stock</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46,633,246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46,633,246</w:t>
            </w:r>
          </w:p>
        </w:tc>
        <w:tc>
          <w:tcPr>
            <w:tcW w:w="0" w:type="dxa"/>
            <w:vAlign w:val="bottom"/>
          </w:tcPr>
          <w:p>
            <w:pPr>
              <w:spacing w:after="0"/>
              <w:rPr>
                <w:sz w:val="1"/>
                <w:szCs w:val="1"/>
                <w:color w:val="auto"/>
              </w:rPr>
            </w:pPr>
          </w:p>
        </w:tc>
      </w:tr>
      <w:tr>
        <w:trPr>
          <w:trHeight w:val="243"/>
        </w:trPr>
        <w:tc>
          <w:tcPr>
            <w:tcW w:w="4240" w:type="dxa"/>
            <w:vAlign w:val="bottom"/>
          </w:tcPr>
          <w:p>
            <w:pPr>
              <w:ind w:left="180"/>
              <w:spacing w:after="0"/>
              <w:rPr>
                <w:sz w:val="20"/>
                <w:szCs w:val="20"/>
                <w:color w:val="auto"/>
              </w:rPr>
            </w:pPr>
            <w:r>
              <w:rPr>
                <w:rFonts w:ascii="Arial" w:cs="Arial" w:eastAsia="Arial" w:hAnsi="Arial"/>
                <w:sz w:val="18"/>
                <w:szCs w:val="18"/>
                <w:color w:val="auto"/>
              </w:rPr>
              <w:t>Preferred Stock</w:t>
            </w:r>
          </w:p>
        </w:tc>
        <w:tc>
          <w:tcPr>
            <w:tcW w:w="200" w:type="dxa"/>
            <w:vAlign w:val="bottom"/>
          </w:tcPr>
          <w:p>
            <w:pPr>
              <w:spacing w:after="0"/>
              <w:rPr>
                <w:sz w:val="21"/>
                <w:szCs w:val="21"/>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58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40" w:type="dxa"/>
            <w:vAlign w:val="bottom"/>
          </w:tcPr>
          <w:p>
            <w:pPr>
              <w:jc w:val="right"/>
              <w:ind w:right="36"/>
              <w:spacing w:after="0"/>
              <w:rPr>
                <w:sz w:val="20"/>
                <w:szCs w:val="20"/>
                <w:color w:val="auto"/>
              </w:rPr>
            </w:pPr>
            <w:r>
              <w:rPr>
                <w:rFonts w:ascii="Arial" w:cs="Arial" w:eastAsia="Arial" w:hAnsi="Arial"/>
                <w:sz w:val="18"/>
                <w:szCs w:val="18"/>
                <w:color w:val="auto"/>
              </w:rPr>
              <w:t>98,531,464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98,531,464</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Debt Investments</w:t>
            </w:r>
          </w:p>
        </w:tc>
        <w:tc>
          <w:tcPr>
            <w:tcW w:w="2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5,092,767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5,092,767</w:t>
            </w:r>
          </w:p>
        </w:tc>
        <w:tc>
          <w:tcPr>
            <w:tcW w:w="0" w:type="dxa"/>
            <w:vAlign w:val="bottom"/>
          </w:tcPr>
          <w:p>
            <w:pPr>
              <w:spacing w:after="0"/>
              <w:rPr>
                <w:sz w:val="1"/>
                <w:szCs w:val="1"/>
                <w:color w:val="auto"/>
              </w:rPr>
            </w:pPr>
          </w:p>
        </w:tc>
      </w:tr>
      <w:tr>
        <w:trPr>
          <w:trHeight w:val="243"/>
        </w:trPr>
        <w:tc>
          <w:tcPr>
            <w:tcW w:w="4240" w:type="dxa"/>
            <w:vAlign w:val="bottom"/>
          </w:tcPr>
          <w:p>
            <w:pPr>
              <w:ind w:left="180"/>
              <w:spacing w:after="0"/>
              <w:rPr>
                <w:sz w:val="20"/>
                <w:szCs w:val="20"/>
                <w:color w:val="auto"/>
              </w:rPr>
            </w:pPr>
            <w:r>
              <w:rPr>
                <w:rFonts w:ascii="Arial" w:cs="Arial" w:eastAsia="Arial" w:hAnsi="Arial"/>
                <w:sz w:val="18"/>
                <w:szCs w:val="18"/>
                <w:color w:val="auto"/>
              </w:rPr>
              <w:t>Warrants</w:t>
            </w:r>
          </w:p>
        </w:tc>
        <w:tc>
          <w:tcPr>
            <w:tcW w:w="200" w:type="dxa"/>
            <w:vAlign w:val="bottom"/>
          </w:tcPr>
          <w:p>
            <w:pPr>
              <w:spacing w:after="0"/>
              <w:rPr>
                <w:sz w:val="21"/>
                <w:szCs w:val="21"/>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58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40" w:type="dxa"/>
            <w:vAlign w:val="bottom"/>
          </w:tcPr>
          <w:p>
            <w:pPr>
              <w:jc w:val="right"/>
              <w:ind w:right="36"/>
              <w:spacing w:after="0"/>
              <w:rPr>
                <w:sz w:val="20"/>
                <w:szCs w:val="20"/>
                <w:color w:val="auto"/>
              </w:rPr>
            </w:pPr>
            <w:r>
              <w:rPr>
                <w:rFonts w:ascii="Arial" w:cs="Arial" w:eastAsia="Arial" w:hAnsi="Arial"/>
                <w:sz w:val="18"/>
                <w:szCs w:val="18"/>
                <w:color w:val="auto"/>
              </w:rPr>
              <w:t>897,562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897,562</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Private Portfolio Companies</w:t>
            </w:r>
          </w:p>
        </w:tc>
        <w:tc>
          <w:tcPr>
            <w:tcW w:w="20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151,155,039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151,155,039</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b w:val="1"/>
                <w:bCs w:val="1"/>
                <w:color w:val="auto"/>
              </w:rPr>
              <w:t>Publicly Traded Portfolio Companies</w:t>
            </w:r>
          </w:p>
        </w:tc>
        <w:tc>
          <w:tcPr>
            <w:tcW w:w="20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Common Stock</w:t>
            </w:r>
          </w:p>
        </w:tc>
        <w:tc>
          <w:tcPr>
            <w:tcW w:w="2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66,036,131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66,036,131</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b w:val="1"/>
                <w:bCs w:val="1"/>
                <w:color w:val="auto"/>
              </w:rPr>
              <w:t>Total Portfolio Investments</w:t>
            </w:r>
          </w:p>
        </w:tc>
        <w:tc>
          <w:tcPr>
            <w:tcW w:w="20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66,036,131</w:t>
            </w:r>
          </w:p>
        </w:tc>
        <w:tc>
          <w:tcPr>
            <w:tcW w:w="120" w:type="dxa"/>
            <w:vAlign w:val="bottom"/>
            <w:tcBorders>
              <w:top w:val="single" w:sz="8" w:color="CCEEFF"/>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ind w:left="12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151,155,039</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217,191,170</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Non-Portfolio Investments</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U.S. Treasury bills</w:t>
            </w:r>
          </w:p>
        </w:tc>
        <w:tc>
          <w:tcPr>
            <w:tcW w:w="200" w:type="dxa"/>
            <w:vAlign w:val="bottom"/>
          </w:tcPr>
          <w:p>
            <w:pPr>
              <w:spacing w:after="0"/>
              <w:rPr>
                <w:sz w:val="21"/>
                <w:szCs w:val="21"/>
                <w:color w:val="auto"/>
              </w:rPr>
            </w:pPr>
          </w:p>
        </w:tc>
        <w:tc>
          <w:tcPr>
            <w:tcW w:w="1540" w:type="dxa"/>
            <w:vAlign w:val="bottom"/>
          </w:tcPr>
          <w:p>
            <w:pPr>
              <w:jc w:val="right"/>
              <w:ind w:right="35"/>
              <w:spacing w:after="0"/>
              <w:rPr>
                <w:sz w:val="20"/>
                <w:szCs w:val="20"/>
                <w:color w:val="auto"/>
              </w:rPr>
            </w:pPr>
            <w:r>
              <w:rPr>
                <w:rFonts w:ascii="Arial" w:cs="Arial" w:eastAsia="Arial" w:hAnsi="Arial"/>
                <w:sz w:val="18"/>
                <w:szCs w:val="18"/>
                <w:color w:val="auto"/>
              </w:rPr>
              <w:t>99,983,000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99,983,000</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Investments at Fair Value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166,019,131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151,155,039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317,174,170</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1"/>
        </w:trPr>
        <w:tc>
          <w:tcPr>
            <w:tcW w:w="42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gridSpan w:val="5"/>
          </w:tcPr>
          <w:p>
            <w:pPr>
              <w:ind w:left="760"/>
              <w:spacing w:after="0"/>
              <w:rPr>
                <w:sz w:val="20"/>
                <w:szCs w:val="20"/>
                <w:color w:val="auto"/>
              </w:rPr>
            </w:pPr>
            <w:r>
              <w:rPr>
                <w:rFonts w:ascii="Arial" w:cs="Arial" w:eastAsia="Arial" w:hAnsi="Arial"/>
                <w:sz w:val="14"/>
                <w:szCs w:val="14"/>
                <w:b w:val="1"/>
                <w:bCs w:val="1"/>
                <w:color w:val="auto"/>
              </w:rPr>
              <w:t>As of December 31, 2017</w:t>
            </w:r>
          </w:p>
        </w:tc>
        <w:tc>
          <w:tcPr>
            <w:tcW w:w="4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1"/>
              </w:rPr>
              <w:t>Quoted Prices in</w:t>
            </w:r>
          </w:p>
        </w:tc>
        <w:tc>
          <w:tcPr>
            <w:tcW w:w="220" w:type="dxa"/>
            <w:vAlign w:val="bottom"/>
          </w:tcPr>
          <w:p>
            <w:pPr>
              <w:spacing w:after="0"/>
              <w:rPr>
                <w:sz w:val="13"/>
                <w:szCs w:val="13"/>
                <w:color w:val="auto"/>
              </w:rPr>
            </w:pPr>
          </w:p>
        </w:tc>
        <w:tc>
          <w:tcPr>
            <w:tcW w:w="158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3"/>
              </w:rPr>
              <w:t>Significant Other</w:t>
            </w:r>
          </w:p>
        </w:tc>
        <w:tc>
          <w:tcPr>
            <w:tcW w:w="280" w:type="dxa"/>
            <w:vAlign w:val="bottom"/>
          </w:tcPr>
          <w:p>
            <w:pPr>
              <w:spacing w:after="0"/>
              <w:rPr>
                <w:sz w:val="13"/>
                <w:szCs w:val="13"/>
                <w:color w:val="auto"/>
              </w:rPr>
            </w:pPr>
          </w:p>
        </w:tc>
        <w:tc>
          <w:tcPr>
            <w:tcW w:w="154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4"/>
              </w:rPr>
              <w:t>Significant</w:t>
            </w:r>
          </w:p>
        </w:tc>
        <w:tc>
          <w:tcPr>
            <w:tcW w:w="4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220" w:type="dxa"/>
            <w:vAlign w:val="bottom"/>
          </w:tcPr>
          <w:p>
            <w:pPr>
              <w:spacing w:after="0"/>
              <w:rPr>
                <w:sz w:val="12"/>
                <w:szCs w:val="12"/>
                <w:color w:val="auto"/>
              </w:rPr>
            </w:pPr>
          </w:p>
        </w:tc>
        <w:tc>
          <w:tcPr>
            <w:tcW w:w="15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Observable</w:t>
            </w:r>
          </w:p>
        </w:tc>
        <w:tc>
          <w:tcPr>
            <w:tcW w:w="280" w:type="dxa"/>
            <w:vAlign w:val="bottom"/>
          </w:tcPr>
          <w:p>
            <w:pPr>
              <w:spacing w:after="0"/>
              <w:rPr>
                <w:sz w:val="12"/>
                <w:szCs w:val="12"/>
                <w:color w:val="auto"/>
              </w:rPr>
            </w:pPr>
          </w:p>
        </w:tc>
        <w:tc>
          <w:tcPr>
            <w:tcW w:w="15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4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Identical Securities</w:t>
            </w:r>
          </w:p>
        </w:tc>
        <w:tc>
          <w:tcPr>
            <w:tcW w:w="220" w:type="dxa"/>
            <w:vAlign w:val="bottom"/>
          </w:tcPr>
          <w:p>
            <w:pPr>
              <w:spacing w:after="0"/>
              <w:rPr>
                <w:sz w:val="12"/>
                <w:szCs w:val="12"/>
                <w:color w:val="auto"/>
              </w:rPr>
            </w:pPr>
          </w:p>
        </w:tc>
        <w:tc>
          <w:tcPr>
            <w:tcW w:w="15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Inputs</w:t>
            </w:r>
          </w:p>
        </w:tc>
        <w:tc>
          <w:tcPr>
            <w:tcW w:w="280" w:type="dxa"/>
            <w:vAlign w:val="bottom"/>
          </w:tcPr>
          <w:p>
            <w:pPr>
              <w:spacing w:after="0"/>
              <w:rPr>
                <w:sz w:val="12"/>
                <w:szCs w:val="12"/>
                <w:color w:val="auto"/>
              </w:rPr>
            </w:pPr>
          </w:p>
        </w:tc>
        <w:tc>
          <w:tcPr>
            <w:tcW w:w="15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Inputs</w:t>
            </w:r>
          </w:p>
        </w:tc>
        <w:tc>
          <w:tcPr>
            <w:tcW w:w="400" w:type="dxa"/>
            <w:vAlign w:val="bottom"/>
          </w:tcPr>
          <w:p>
            <w:pPr>
              <w:spacing w:after="0"/>
              <w:rPr>
                <w:sz w:val="12"/>
                <w:szCs w:val="12"/>
                <w:color w:val="auto"/>
              </w:rPr>
            </w:pPr>
          </w:p>
        </w:tc>
        <w:tc>
          <w:tcPr>
            <w:tcW w:w="1300" w:type="dxa"/>
            <w:vAlign w:val="bottom"/>
            <w:vMerge w:val="restart"/>
          </w:tcPr>
          <w:p>
            <w:pPr>
              <w:jc w:val="right"/>
              <w:ind w:right="6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1)</w:t>
            </w:r>
          </w:p>
        </w:tc>
        <w:tc>
          <w:tcPr>
            <w:tcW w:w="220" w:type="dxa"/>
            <w:vAlign w:val="bottom"/>
          </w:tcPr>
          <w:p>
            <w:pPr>
              <w:spacing w:after="0"/>
              <w:rPr>
                <w:sz w:val="16"/>
                <w:szCs w:val="16"/>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2)</w:t>
            </w:r>
          </w:p>
        </w:tc>
        <w:tc>
          <w:tcPr>
            <w:tcW w:w="280" w:type="dxa"/>
            <w:vAlign w:val="bottom"/>
          </w:tcPr>
          <w:p>
            <w:pPr>
              <w:spacing w:after="0"/>
              <w:rPr>
                <w:sz w:val="16"/>
                <w:szCs w:val="16"/>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(Level 3)</w:t>
            </w:r>
          </w:p>
        </w:tc>
        <w:tc>
          <w:tcPr>
            <w:tcW w:w="40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Investments at Fair Value</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b w:val="1"/>
                <w:bCs w:val="1"/>
                <w:color w:val="auto"/>
              </w:rPr>
              <w:t>Private Portfolio Companies</w:t>
            </w:r>
          </w:p>
        </w:tc>
        <w:tc>
          <w:tcPr>
            <w:tcW w:w="2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Common Stock</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86,824,096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86,824,096</w:t>
            </w:r>
          </w:p>
        </w:tc>
        <w:tc>
          <w:tcPr>
            <w:tcW w:w="0" w:type="dxa"/>
            <w:vAlign w:val="bottom"/>
          </w:tcPr>
          <w:p>
            <w:pPr>
              <w:spacing w:after="0"/>
              <w:rPr>
                <w:sz w:val="1"/>
                <w:szCs w:val="1"/>
                <w:color w:val="auto"/>
              </w:rPr>
            </w:pPr>
          </w:p>
        </w:tc>
      </w:tr>
      <w:tr>
        <w:trPr>
          <w:trHeight w:val="243"/>
        </w:trPr>
        <w:tc>
          <w:tcPr>
            <w:tcW w:w="4240" w:type="dxa"/>
            <w:vAlign w:val="bottom"/>
          </w:tcPr>
          <w:p>
            <w:pPr>
              <w:ind w:left="180"/>
              <w:spacing w:after="0"/>
              <w:rPr>
                <w:sz w:val="20"/>
                <w:szCs w:val="20"/>
                <w:color w:val="auto"/>
              </w:rPr>
            </w:pPr>
            <w:r>
              <w:rPr>
                <w:rFonts w:ascii="Arial" w:cs="Arial" w:eastAsia="Arial" w:hAnsi="Arial"/>
                <w:sz w:val="18"/>
                <w:szCs w:val="18"/>
                <w:color w:val="auto"/>
              </w:rPr>
              <w:t>Preferred Stock</w:t>
            </w:r>
          </w:p>
        </w:tc>
        <w:tc>
          <w:tcPr>
            <w:tcW w:w="200" w:type="dxa"/>
            <w:vAlign w:val="bottom"/>
          </w:tcPr>
          <w:p>
            <w:pPr>
              <w:spacing w:after="0"/>
              <w:rPr>
                <w:sz w:val="21"/>
                <w:szCs w:val="21"/>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58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40" w:type="dxa"/>
            <w:vAlign w:val="bottom"/>
          </w:tcPr>
          <w:p>
            <w:pPr>
              <w:jc w:val="right"/>
              <w:ind w:right="36"/>
              <w:spacing w:after="0"/>
              <w:rPr>
                <w:sz w:val="20"/>
                <w:szCs w:val="20"/>
                <w:color w:val="auto"/>
              </w:rPr>
            </w:pPr>
            <w:r>
              <w:rPr>
                <w:rFonts w:ascii="Arial" w:cs="Arial" w:eastAsia="Arial" w:hAnsi="Arial"/>
                <w:sz w:val="18"/>
                <w:szCs w:val="18"/>
                <w:color w:val="auto"/>
              </w:rPr>
              <w:t>120,253,822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120,253,822</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Debt Investments</w:t>
            </w:r>
          </w:p>
        </w:tc>
        <w:tc>
          <w:tcPr>
            <w:tcW w:w="2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4,916,578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4,916,578</w:t>
            </w:r>
          </w:p>
        </w:tc>
        <w:tc>
          <w:tcPr>
            <w:tcW w:w="0" w:type="dxa"/>
            <w:vAlign w:val="bottom"/>
          </w:tcPr>
          <w:p>
            <w:pPr>
              <w:spacing w:after="0"/>
              <w:rPr>
                <w:sz w:val="1"/>
                <w:szCs w:val="1"/>
                <w:color w:val="auto"/>
              </w:rPr>
            </w:pPr>
          </w:p>
        </w:tc>
      </w:tr>
      <w:tr>
        <w:trPr>
          <w:trHeight w:val="243"/>
        </w:trPr>
        <w:tc>
          <w:tcPr>
            <w:tcW w:w="4240" w:type="dxa"/>
            <w:vAlign w:val="bottom"/>
          </w:tcPr>
          <w:p>
            <w:pPr>
              <w:ind w:left="180"/>
              <w:spacing w:after="0"/>
              <w:rPr>
                <w:sz w:val="20"/>
                <w:szCs w:val="20"/>
                <w:color w:val="auto"/>
              </w:rPr>
            </w:pPr>
            <w:r>
              <w:rPr>
                <w:rFonts w:ascii="Arial" w:cs="Arial" w:eastAsia="Arial" w:hAnsi="Arial"/>
                <w:sz w:val="18"/>
                <w:szCs w:val="18"/>
                <w:color w:val="auto"/>
              </w:rPr>
              <w:t>Warrants</w:t>
            </w:r>
          </w:p>
        </w:tc>
        <w:tc>
          <w:tcPr>
            <w:tcW w:w="200" w:type="dxa"/>
            <w:vAlign w:val="bottom"/>
          </w:tcPr>
          <w:p>
            <w:pPr>
              <w:spacing w:after="0"/>
              <w:rPr>
                <w:sz w:val="21"/>
                <w:szCs w:val="21"/>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58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40" w:type="dxa"/>
            <w:vAlign w:val="bottom"/>
          </w:tcPr>
          <w:p>
            <w:pPr>
              <w:jc w:val="right"/>
              <w:ind w:right="36"/>
              <w:spacing w:after="0"/>
              <w:rPr>
                <w:sz w:val="20"/>
                <w:szCs w:val="20"/>
                <w:color w:val="auto"/>
              </w:rPr>
            </w:pPr>
            <w:r>
              <w:rPr>
                <w:rFonts w:ascii="Arial" w:cs="Arial" w:eastAsia="Arial" w:hAnsi="Arial"/>
                <w:sz w:val="18"/>
                <w:szCs w:val="18"/>
                <w:color w:val="auto"/>
              </w:rPr>
              <w:t>433,997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433,997</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Private Portfolio Companies</w:t>
            </w:r>
          </w:p>
        </w:tc>
        <w:tc>
          <w:tcPr>
            <w:tcW w:w="20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212,428,493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212,428,493</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b w:val="1"/>
                <w:bCs w:val="1"/>
                <w:color w:val="auto"/>
              </w:rPr>
              <w:t>Publicly Traded Portfolio Companies</w:t>
            </w:r>
          </w:p>
        </w:tc>
        <w:tc>
          <w:tcPr>
            <w:tcW w:w="20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Common Stock</w:t>
            </w:r>
          </w:p>
        </w:tc>
        <w:tc>
          <w:tcPr>
            <w:tcW w:w="2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8,160,000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8,160,000</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b w:val="1"/>
                <w:bCs w:val="1"/>
                <w:color w:val="auto"/>
              </w:rPr>
              <w:t>Total Portfolio Investments</w:t>
            </w:r>
          </w:p>
        </w:tc>
        <w:tc>
          <w:tcPr>
            <w:tcW w:w="20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8,160,000</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ind w:left="1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212,428,493</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220,588,493</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Non-Portfolio Investments</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U.S. Treasury bills</w:t>
            </w:r>
          </w:p>
        </w:tc>
        <w:tc>
          <w:tcPr>
            <w:tcW w:w="200" w:type="dxa"/>
            <w:vAlign w:val="bottom"/>
          </w:tcPr>
          <w:p>
            <w:pPr>
              <w:spacing w:after="0"/>
              <w:rPr>
                <w:sz w:val="21"/>
                <w:szCs w:val="21"/>
                <w:color w:val="auto"/>
              </w:rPr>
            </w:pPr>
          </w:p>
        </w:tc>
        <w:tc>
          <w:tcPr>
            <w:tcW w:w="1540" w:type="dxa"/>
            <w:vAlign w:val="bottom"/>
          </w:tcPr>
          <w:p>
            <w:pPr>
              <w:jc w:val="right"/>
              <w:ind w:right="35"/>
              <w:spacing w:after="0"/>
              <w:rPr>
                <w:sz w:val="20"/>
                <w:szCs w:val="20"/>
                <w:color w:val="auto"/>
              </w:rPr>
            </w:pPr>
            <w:r>
              <w:rPr>
                <w:rFonts w:ascii="Arial" w:cs="Arial" w:eastAsia="Arial" w:hAnsi="Arial"/>
                <w:sz w:val="18"/>
                <w:szCs w:val="18"/>
                <w:color w:val="auto"/>
              </w:rPr>
              <w:t>99,994,000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99,994,000</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 Investments at Fair Value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108,154,000</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212,428,493</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320,582,493</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jc w:val="right"/>
              <w:ind w:right="95"/>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4953635</wp:posOffset>
            </wp:positionH>
            <wp:positionV relativeFrom="paragraph">
              <wp:posOffset>-3712845</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3795395</wp:posOffset>
            </wp:positionH>
            <wp:positionV relativeFrom="paragraph">
              <wp:posOffset>-3712845</wp:posOffset>
            </wp:positionV>
            <wp:extent cx="7747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4953635</wp:posOffset>
            </wp:positionH>
            <wp:positionV relativeFrom="paragraph">
              <wp:posOffset>-4064000</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3795395</wp:posOffset>
            </wp:positionH>
            <wp:positionV relativeFrom="paragraph">
              <wp:posOffset>-4064000</wp:posOffset>
            </wp:positionV>
            <wp:extent cx="7747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4953635</wp:posOffset>
            </wp:positionH>
            <wp:positionV relativeFrom="paragraph">
              <wp:posOffset>-4775835</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3795395</wp:posOffset>
            </wp:positionH>
            <wp:positionV relativeFrom="paragraph">
              <wp:posOffset>-4775835</wp:posOffset>
            </wp:positionV>
            <wp:extent cx="7747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2018</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Unobservable Inputs for Level 3 Assets and Liabilities</w:t>
      </w:r>
    </w:p>
    <w:p>
      <w:pPr>
        <w:spacing w:after="0" w:line="225" w:lineRule="exact"/>
        <w:rPr>
          <w:sz w:val="20"/>
          <w:szCs w:val="20"/>
          <w:color w:val="auto"/>
        </w:rPr>
      </w:pPr>
    </w:p>
    <w:p>
      <w:pPr>
        <w:ind w:firstLine="351"/>
        <w:spacing w:after="0" w:line="271" w:lineRule="auto"/>
        <w:rPr>
          <w:sz w:val="20"/>
          <w:szCs w:val="20"/>
          <w:color w:val="auto"/>
        </w:rPr>
      </w:pPr>
      <w:r>
        <w:rPr>
          <w:rFonts w:ascii="Arial" w:cs="Arial" w:eastAsia="Arial" w:hAnsi="Arial"/>
          <w:sz w:val="17"/>
          <w:szCs w:val="17"/>
          <w:color w:val="auto"/>
        </w:rPr>
        <w:t xml:space="preserve">In accordance with FASB ASC 820, the tables below provide quantitative information about the Company’s fair value measurements of its Level 3 assets as of September 30, 2018 and December 31, 2017. In addition to the techniques and inputs noted in the tables below, according to the Company’s valuation policy, the Company may also use other valuation techniques and methodologies when determining the Company’s fair value measurements. The tables below are not intended to be all-inclusive, but rather provide information on the significant Level 3 inputs as they relate to the Company’s fair value measurements. To the extent an unobservable input is not reflected in the tables below, such input is deemed insignificant with respect to the Company’s Level 3 fair value measurements as of September 30, 2018 and December 31, 2017. Significant changes in the inputs in isolation would result in a significant change in the fair value measurement, depending on the input and the materiality of the investment. Refer to “Note 2—Significant Accounting Policies— </w:t>
      </w:r>
      <w:r>
        <w:rPr>
          <w:rFonts w:ascii="Arial" w:cs="Arial" w:eastAsia="Arial" w:hAnsi="Arial"/>
          <w:sz w:val="17"/>
          <w:szCs w:val="17"/>
          <w:i w:val="1"/>
          <w:iCs w:val="1"/>
          <w:color w:val="auto"/>
        </w:rPr>
        <w:t>Investments at Fair Value</w:t>
      </w:r>
      <w:r>
        <w:rPr>
          <w:rFonts w:ascii="Arial" w:cs="Arial" w:eastAsia="Arial" w:hAnsi="Arial"/>
          <w:sz w:val="17"/>
          <w:szCs w:val="17"/>
          <w:color w:val="auto"/>
        </w:rPr>
        <w:t>” for more detail.</w:t>
      </w:r>
    </w:p>
    <w:p>
      <w:pPr>
        <w:spacing w:after="0" w:line="36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As of September 30, 2018</w:t>
      </w:r>
    </w:p>
    <w:p>
      <w:pPr>
        <w:spacing w:after="0" w:line="61" w:lineRule="exact"/>
        <w:rPr>
          <w:sz w:val="20"/>
          <w:szCs w:val="20"/>
          <w:color w:val="auto"/>
        </w:rPr>
      </w:pPr>
    </w:p>
    <w:tbl>
      <w:tblPr>
        <w:tblLayout w:type="fixed"/>
        <w:tblInd w:w="390" w:type="dxa"/>
        <w:tblCellMar>
          <w:top w:w="0" w:type="dxa"/>
          <w:left w:w="0" w:type="dxa"/>
          <w:bottom w:w="0" w:type="dxa"/>
          <w:right w:w="0" w:type="dxa"/>
        </w:tblCellMar>
      </w:tblPr>
      <w:tr>
        <w:trPr>
          <w:trHeight w:val="166"/>
        </w:trPr>
        <w:tc>
          <w:tcPr>
            <w:tcW w:w="3020" w:type="dxa"/>
            <w:vAlign w:val="bottom"/>
            <w:tcBorders>
              <w:top w:val="single" w:sz="8" w:color="auto"/>
              <w:left w:val="single" w:sz="8" w:color="auto"/>
              <w:right w:val="single" w:sz="8" w:color="auto"/>
            </w:tcBorders>
          </w:tcPr>
          <w:p>
            <w:pPr>
              <w:spacing w:after="0"/>
              <w:rPr>
                <w:sz w:val="14"/>
                <w:szCs w:val="14"/>
                <w:color w:val="auto"/>
              </w:rPr>
            </w:pPr>
          </w:p>
        </w:tc>
        <w:tc>
          <w:tcPr>
            <w:tcW w:w="1920" w:type="dxa"/>
            <w:vAlign w:val="bottom"/>
            <w:tcBorders>
              <w:top w:val="single" w:sz="8" w:color="auto"/>
              <w:right w:val="single" w:sz="8" w:color="auto"/>
            </w:tcBorders>
          </w:tcPr>
          <w:p>
            <w:pPr>
              <w:spacing w:after="0"/>
              <w:rPr>
                <w:sz w:val="14"/>
                <w:szCs w:val="14"/>
                <w:color w:val="auto"/>
              </w:rPr>
            </w:pPr>
          </w:p>
        </w:tc>
        <w:tc>
          <w:tcPr>
            <w:tcW w:w="1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Valuation</w:t>
            </w:r>
          </w:p>
        </w:tc>
        <w:tc>
          <w:tcPr>
            <w:tcW w:w="1920" w:type="dxa"/>
            <w:vAlign w:val="bottom"/>
            <w:tcBorders>
              <w:top w:val="single" w:sz="8" w:color="auto"/>
              <w:right w:val="single" w:sz="8" w:color="auto"/>
            </w:tcBorders>
          </w:tcPr>
          <w:p>
            <w:pPr>
              <w:spacing w:after="0"/>
              <w:rPr>
                <w:sz w:val="14"/>
                <w:szCs w:val="14"/>
                <w:color w:val="auto"/>
              </w:rPr>
            </w:pPr>
          </w:p>
        </w:tc>
        <w:tc>
          <w:tcPr>
            <w:tcW w:w="19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3"/>
              </w:rPr>
              <w:t>Range</w:t>
            </w:r>
          </w:p>
        </w:tc>
        <w:tc>
          <w:tcPr>
            <w:tcW w:w="0" w:type="dxa"/>
            <w:vAlign w:val="bottom"/>
          </w:tcPr>
          <w:p>
            <w:pPr>
              <w:spacing w:after="0"/>
              <w:rPr>
                <w:sz w:val="1"/>
                <w:szCs w:val="1"/>
                <w:color w:val="auto"/>
              </w:rPr>
            </w:pPr>
          </w:p>
        </w:tc>
      </w:tr>
      <w:tr>
        <w:trPr>
          <w:trHeight w:val="68"/>
        </w:trPr>
        <w:tc>
          <w:tcPr>
            <w:tcW w:w="3020" w:type="dxa"/>
            <w:vAlign w:val="bottom"/>
            <w:tcBorders>
              <w:left w:val="single" w:sz="8" w:color="auto"/>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b w:val="1"/>
                <w:bCs w:val="1"/>
                <w:color w:val="auto"/>
                <w:w w:val="83"/>
              </w:rPr>
              <w:t>Asset</w:t>
            </w:r>
          </w:p>
        </w:tc>
        <w:tc>
          <w:tcPr>
            <w:tcW w:w="1920" w:type="dxa"/>
            <w:vAlign w:val="bottom"/>
            <w:tcBorders>
              <w:right w:val="single" w:sz="8" w:color="auto"/>
            </w:tcBorders>
            <w:vMerge w:val="restart"/>
          </w:tcPr>
          <w:p>
            <w:pPr>
              <w:ind w:left="620"/>
              <w:spacing w:after="0" w:line="149" w:lineRule="exact"/>
              <w:rPr>
                <w:sz w:val="20"/>
                <w:szCs w:val="20"/>
                <w:color w:val="auto"/>
              </w:rPr>
            </w:pPr>
            <w:r>
              <w:rPr>
                <w:rFonts w:ascii="Arial" w:cs="Arial" w:eastAsia="Arial" w:hAnsi="Arial"/>
                <w:sz w:val="14"/>
                <w:szCs w:val="14"/>
                <w:b w:val="1"/>
                <w:bCs w:val="1"/>
                <w:color w:val="auto"/>
              </w:rPr>
              <w:t>Fair Value</w:t>
            </w:r>
          </w:p>
        </w:tc>
        <w:tc>
          <w:tcPr>
            <w:tcW w:w="192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b w:val="1"/>
                <w:bCs w:val="1"/>
                <w:color w:val="auto"/>
                <w:w w:val="92"/>
              </w:rPr>
              <w:t>Approach/</w:t>
            </w:r>
          </w:p>
        </w:tc>
        <w:tc>
          <w:tcPr>
            <w:tcW w:w="192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b w:val="1"/>
                <w:bCs w:val="1"/>
                <w:color w:val="auto"/>
                <w:w w:val="94"/>
              </w:rPr>
              <w:t>Unobservable Inputs</w:t>
            </w:r>
            <w:r>
              <w:rPr>
                <w:rFonts w:ascii="Arial" w:cs="Arial" w:eastAsia="Arial" w:hAnsi="Arial"/>
                <w:sz w:val="8"/>
                <w:szCs w:val="8"/>
                <w:b w:val="1"/>
                <w:bCs w:val="1"/>
                <w:color w:val="auto"/>
                <w:w w:val="94"/>
              </w:rPr>
              <w:t>(2)</w:t>
            </w:r>
          </w:p>
        </w:tc>
        <w:tc>
          <w:tcPr>
            <w:tcW w:w="19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3020" w:type="dxa"/>
            <w:vAlign w:val="bottom"/>
            <w:tcBorders>
              <w:left w:val="single" w:sz="8" w:color="auto"/>
              <w:right w:val="single" w:sz="8" w:color="auto"/>
            </w:tcBorders>
            <w:vMerge w:val="continue"/>
          </w:tcPr>
          <w:p>
            <w:pPr>
              <w:spacing w:after="0"/>
              <w:rPr>
                <w:sz w:val="7"/>
                <w:szCs w:val="7"/>
                <w:color w:val="auto"/>
              </w:rPr>
            </w:pPr>
          </w:p>
        </w:tc>
        <w:tc>
          <w:tcPr>
            <w:tcW w:w="1920" w:type="dxa"/>
            <w:vAlign w:val="bottom"/>
            <w:tcBorders>
              <w:right w:val="single" w:sz="8" w:color="auto"/>
            </w:tcBorders>
            <w:vMerge w:val="continue"/>
          </w:tcPr>
          <w:p>
            <w:pPr>
              <w:spacing w:after="0"/>
              <w:rPr>
                <w:sz w:val="7"/>
                <w:szCs w:val="7"/>
                <w:color w:val="auto"/>
              </w:rPr>
            </w:pPr>
          </w:p>
        </w:tc>
        <w:tc>
          <w:tcPr>
            <w:tcW w:w="1920" w:type="dxa"/>
            <w:vAlign w:val="bottom"/>
            <w:tcBorders>
              <w:right w:val="single" w:sz="8" w:color="auto"/>
            </w:tcBorders>
            <w:vMerge w:val="continue"/>
          </w:tcPr>
          <w:p>
            <w:pPr>
              <w:spacing w:after="0"/>
              <w:rPr>
                <w:sz w:val="7"/>
                <w:szCs w:val="7"/>
                <w:color w:val="auto"/>
              </w:rPr>
            </w:pPr>
          </w:p>
        </w:tc>
        <w:tc>
          <w:tcPr>
            <w:tcW w:w="1920" w:type="dxa"/>
            <w:vAlign w:val="bottom"/>
            <w:tcBorders>
              <w:right w:val="single" w:sz="8" w:color="auto"/>
            </w:tcBorders>
            <w:vMerge w:val="continue"/>
          </w:tcPr>
          <w:p>
            <w:pPr>
              <w:spacing w:after="0"/>
              <w:rPr>
                <w:sz w:val="7"/>
                <w:szCs w:val="7"/>
                <w:color w:val="auto"/>
              </w:rPr>
            </w:pP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(Weighted Average)</w:t>
            </w:r>
          </w:p>
        </w:tc>
        <w:tc>
          <w:tcPr>
            <w:tcW w:w="0" w:type="dxa"/>
            <w:vAlign w:val="bottom"/>
          </w:tcPr>
          <w:p>
            <w:pPr>
              <w:spacing w:after="0"/>
              <w:rPr>
                <w:sz w:val="1"/>
                <w:szCs w:val="1"/>
                <w:color w:val="auto"/>
              </w:rPr>
            </w:pPr>
          </w:p>
        </w:tc>
      </w:tr>
      <w:tr>
        <w:trPr>
          <w:trHeight w:val="105"/>
        </w:trPr>
        <w:tc>
          <w:tcPr>
            <w:tcW w:w="3020" w:type="dxa"/>
            <w:vAlign w:val="bottom"/>
            <w:tcBorders>
              <w:left w:val="single" w:sz="8" w:color="auto"/>
              <w:right w:val="single" w:sz="8" w:color="auto"/>
            </w:tcBorders>
          </w:tcPr>
          <w:p>
            <w:pPr>
              <w:spacing w:after="0"/>
              <w:rPr>
                <w:sz w:val="9"/>
                <w:szCs w:val="9"/>
                <w:color w:val="auto"/>
              </w:rPr>
            </w:pPr>
          </w:p>
        </w:tc>
        <w:tc>
          <w:tcPr>
            <w:tcW w:w="1920" w:type="dxa"/>
            <w:vAlign w:val="bottom"/>
            <w:tcBorders>
              <w:right w:val="single" w:sz="8" w:color="auto"/>
            </w:tcBorders>
          </w:tcPr>
          <w:p>
            <w:pPr>
              <w:spacing w:after="0"/>
              <w:rPr>
                <w:sz w:val="9"/>
                <w:szCs w:val="9"/>
                <w:color w:val="auto"/>
              </w:rPr>
            </w:pP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Technique</w:t>
            </w:r>
            <w:r>
              <w:rPr>
                <w:rFonts w:ascii="Arial" w:cs="Arial" w:eastAsia="Arial" w:hAnsi="Arial"/>
                <w:sz w:val="8"/>
                <w:szCs w:val="8"/>
                <w:b w:val="1"/>
                <w:bCs w:val="1"/>
                <w:color w:val="auto"/>
                <w:w w:val="92"/>
              </w:rPr>
              <w:t>(1)</w:t>
            </w:r>
          </w:p>
        </w:tc>
        <w:tc>
          <w:tcPr>
            <w:tcW w:w="1920" w:type="dxa"/>
            <w:vAlign w:val="bottom"/>
            <w:tcBorders>
              <w:right w:val="single" w:sz="8" w:color="auto"/>
            </w:tcBorders>
          </w:tcPr>
          <w:p>
            <w:pPr>
              <w:spacing w:after="0"/>
              <w:rPr>
                <w:sz w:val="9"/>
                <w:szCs w:val="9"/>
                <w:color w:val="auto"/>
              </w:rPr>
            </w:pPr>
          </w:p>
        </w:tc>
        <w:tc>
          <w:tcPr>
            <w:tcW w:w="19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3020" w:type="dxa"/>
            <w:vAlign w:val="bottom"/>
            <w:tcBorders>
              <w:left w:val="single" w:sz="8" w:color="auto"/>
              <w:bottom w:val="single" w:sz="8" w:color="auto"/>
              <w:right w:val="single" w:sz="8" w:color="auto"/>
            </w:tcBorders>
          </w:tcPr>
          <w:p>
            <w:pPr>
              <w:spacing w:after="0"/>
              <w:rPr>
                <w:sz w:val="7"/>
                <w:szCs w:val="7"/>
                <w:color w:val="auto"/>
              </w:rPr>
            </w:pPr>
          </w:p>
        </w:tc>
        <w:tc>
          <w:tcPr>
            <w:tcW w:w="1920" w:type="dxa"/>
            <w:vAlign w:val="bottom"/>
            <w:tcBorders>
              <w:bottom w:val="single" w:sz="8" w:color="auto"/>
              <w:right w:val="single" w:sz="8" w:color="auto"/>
            </w:tcBorders>
          </w:tcPr>
          <w:p>
            <w:pPr>
              <w:spacing w:after="0"/>
              <w:rPr>
                <w:sz w:val="7"/>
                <w:szCs w:val="7"/>
                <w:color w:val="auto"/>
              </w:rPr>
            </w:pPr>
          </w:p>
        </w:tc>
        <w:tc>
          <w:tcPr>
            <w:tcW w:w="1920" w:type="dxa"/>
            <w:vAlign w:val="bottom"/>
            <w:tcBorders>
              <w:bottom w:val="single" w:sz="8" w:color="auto"/>
              <w:right w:val="single" w:sz="8" w:color="auto"/>
            </w:tcBorders>
            <w:vMerge w:val="continue"/>
          </w:tcPr>
          <w:p>
            <w:pPr>
              <w:spacing w:after="0"/>
              <w:rPr>
                <w:sz w:val="7"/>
                <w:szCs w:val="7"/>
                <w:color w:val="auto"/>
              </w:rPr>
            </w:pPr>
          </w:p>
        </w:tc>
        <w:tc>
          <w:tcPr>
            <w:tcW w:w="1920" w:type="dxa"/>
            <w:vAlign w:val="bottom"/>
            <w:tcBorders>
              <w:bottom w:val="single" w:sz="8" w:color="auto"/>
              <w:right w:val="single" w:sz="8" w:color="auto"/>
            </w:tcBorders>
          </w:tcPr>
          <w:p>
            <w:pPr>
              <w:spacing w:after="0"/>
              <w:rPr>
                <w:sz w:val="7"/>
                <w:szCs w:val="7"/>
                <w:color w:val="auto"/>
              </w:rPr>
            </w:pPr>
          </w:p>
        </w:tc>
        <w:tc>
          <w:tcPr>
            <w:tcW w:w="19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30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Common stock in</w:t>
            </w:r>
          </w:p>
        </w:tc>
        <w:tc>
          <w:tcPr>
            <w:tcW w:w="1920" w:type="dxa"/>
            <w:vAlign w:val="bottom"/>
            <w:tcBorders>
              <w:right w:val="single" w:sz="8" w:color="auto"/>
            </w:tcBorders>
          </w:tcPr>
          <w:p>
            <w:pPr>
              <w:spacing w:after="0"/>
              <w:rPr>
                <w:sz w:val="21"/>
                <w:szCs w:val="21"/>
                <w:color w:val="auto"/>
              </w:rPr>
            </w:pP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Market approach</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Revenue multiples</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1.93x - 3.92x (3.41x)</w:t>
            </w:r>
          </w:p>
        </w:tc>
        <w:tc>
          <w:tcPr>
            <w:tcW w:w="0" w:type="dxa"/>
            <w:vAlign w:val="bottom"/>
          </w:tcPr>
          <w:p>
            <w:pPr>
              <w:spacing w:after="0"/>
              <w:rPr>
                <w:sz w:val="1"/>
                <w:szCs w:val="1"/>
                <w:color w:val="auto"/>
              </w:rPr>
            </w:pPr>
          </w:p>
        </w:tc>
      </w:tr>
      <w:tr>
        <w:trPr>
          <w:trHeight w:val="27"/>
        </w:trPr>
        <w:tc>
          <w:tcPr>
            <w:tcW w:w="3020" w:type="dxa"/>
            <w:vAlign w:val="bottom"/>
            <w:tcBorders>
              <w:left w:val="single" w:sz="8" w:color="auto"/>
              <w:right w:val="single" w:sz="8" w:color="auto"/>
            </w:tcBorders>
            <w:vMerge w:val="continue"/>
          </w:tcPr>
          <w:p>
            <w:pPr>
              <w:spacing w:after="0"/>
              <w:rPr>
                <w:sz w:val="2"/>
                <w:szCs w:val="2"/>
                <w:color w:val="auto"/>
              </w:rPr>
            </w:pPr>
          </w:p>
        </w:tc>
        <w:tc>
          <w:tcPr>
            <w:tcW w:w="1920" w:type="dxa"/>
            <w:vAlign w:val="bottom"/>
            <w:tcBorders>
              <w:right w:val="single" w:sz="8" w:color="auto"/>
            </w:tcBorders>
          </w:tcPr>
          <w:p>
            <w:pPr>
              <w:spacing w:after="0"/>
              <w:rPr>
                <w:sz w:val="2"/>
                <w:szCs w:val="2"/>
                <w:color w:val="auto"/>
              </w:rPr>
            </w:pPr>
          </w:p>
        </w:tc>
        <w:tc>
          <w:tcPr>
            <w:tcW w:w="1920" w:type="dxa"/>
            <w:vAlign w:val="bottom"/>
            <w:tcBorders>
              <w:right w:val="single" w:sz="8" w:color="auto"/>
            </w:tcBorders>
            <w:vMerge w:val="continue"/>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4"/>
        </w:trPr>
        <w:tc>
          <w:tcPr>
            <w:tcW w:w="3020" w:type="dxa"/>
            <w:vAlign w:val="bottom"/>
            <w:tcBorders>
              <w:left w:val="single" w:sz="8" w:color="auto"/>
              <w:right w:val="single" w:sz="8" w:color="auto"/>
            </w:tcBorders>
            <w:vMerge w:val="continue"/>
          </w:tcPr>
          <w:p>
            <w:pPr>
              <w:spacing w:after="0"/>
              <w:rPr>
                <w:sz w:val="9"/>
                <w:szCs w:val="9"/>
                <w:color w:val="auto"/>
              </w:rPr>
            </w:pP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$46,633,246</w:t>
            </w:r>
          </w:p>
        </w:tc>
        <w:tc>
          <w:tcPr>
            <w:tcW w:w="1920" w:type="dxa"/>
            <w:vAlign w:val="bottom"/>
            <w:tcBorders>
              <w:right w:val="single" w:sz="8" w:color="auto"/>
            </w:tcBorders>
            <w:vMerge w:val="continue"/>
          </w:tcPr>
          <w:p>
            <w:pPr>
              <w:spacing w:after="0"/>
              <w:rPr>
                <w:sz w:val="9"/>
                <w:szCs w:val="9"/>
                <w:color w:val="auto"/>
              </w:rPr>
            </w:pP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Liquidation value</w:t>
            </w: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22"/>
        </w:trPr>
        <w:tc>
          <w:tcPr>
            <w:tcW w:w="30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private companies</w:t>
            </w:r>
          </w:p>
        </w:tc>
        <w:tc>
          <w:tcPr>
            <w:tcW w:w="1920" w:type="dxa"/>
            <w:vAlign w:val="bottom"/>
            <w:tcBorders>
              <w:right w:val="single" w:sz="8" w:color="auto"/>
            </w:tcBorders>
            <w:vMerge w:val="continue"/>
          </w:tcPr>
          <w:p>
            <w:pPr>
              <w:spacing w:after="0"/>
              <w:rPr>
                <w:sz w:val="10"/>
                <w:szCs w:val="10"/>
                <w:color w:val="auto"/>
              </w:rPr>
            </w:pPr>
          </w:p>
        </w:tc>
        <w:tc>
          <w:tcPr>
            <w:tcW w:w="1920" w:type="dxa"/>
            <w:vAlign w:val="bottom"/>
            <w:tcBorders>
              <w:right w:val="single" w:sz="8" w:color="auto"/>
            </w:tcBorders>
          </w:tcPr>
          <w:p>
            <w:pPr>
              <w:spacing w:after="0"/>
              <w:rPr>
                <w:sz w:val="10"/>
                <w:szCs w:val="10"/>
                <w:color w:val="auto"/>
              </w:rPr>
            </w:pPr>
          </w:p>
        </w:tc>
        <w:tc>
          <w:tcPr>
            <w:tcW w:w="1920" w:type="dxa"/>
            <w:vAlign w:val="bottom"/>
            <w:tcBorders>
              <w:right w:val="single" w:sz="8" w:color="auto"/>
            </w:tcBorders>
            <w:vMerge w:val="continue"/>
          </w:tcPr>
          <w:p>
            <w:pPr>
              <w:spacing w:after="0"/>
              <w:rPr>
                <w:sz w:val="10"/>
                <w:szCs w:val="10"/>
                <w:color w:val="auto"/>
              </w:rPr>
            </w:pPr>
          </w:p>
        </w:tc>
        <w:tc>
          <w:tcPr>
            <w:tcW w:w="19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3020" w:type="dxa"/>
            <w:vAlign w:val="bottom"/>
            <w:tcBorders>
              <w:left w:val="single" w:sz="8" w:color="auto"/>
              <w:right w:val="single" w:sz="8" w:color="auto"/>
            </w:tcBorders>
            <w:vMerge w:val="continue"/>
          </w:tcPr>
          <w:p>
            <w:pPr>
              <w:spacing w:after="0"/>
              <w:rPr>
                <w:sz w:val="2"/>
                <w:szCs w:val="2"/>
                <w:color w:val="auto"/>
              </w:rPr>
            </w:pPr>
          </w:p>
        </w:tc>
        <w:tc>
          <w:tcPr>
            <w:tcW w:w="1920" w:type="dxa"/>
            <w:vAlign w:val="bottom"/>
            <w:tcBorders>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1"/>
        </w:trPr>
        <w:tc>
          <w:tcPr>
            <w:tcW w:w="3020" w:type="dxa"/>
            <w:vAlign w:val="bottom"/>
            <w:tcBorders>
              <w:left w:val="single" w:sz="8" w:color="auto"/>
              <w:right w:val="single" w:sz="8" w:color="auto"/>
            </w:tcBorders>
            <w:vMerge w:val="continue"/>
          </w:tcPr>
          <w:p>
            <w:pPr>
              <w:spacing w:after="0"/>
              <w:rPr>
                <w:sz w:val="5"/>
                <w:szCs w:val="5"/>
                <w:color w:val="auto"/>
              </w:rPr>
            </w:pPr>
          </w:p>
        </w:tc>
        <w:tc>
          <w:tcPr>
            <w:tcW w:w="1920" w:type="dxa"/>
            <w:vAlign w:val="bottom"/>
            <w:tcBorders>
              <w:right w:val="single" w:sz="8" w:color="auto"/>
            </w:tcBorders>
          </w:tcPr>
          <w:p>
            <w:pPr>
              <w:spacing w:after="0"/>
              <w:rPr>
                <w:sz w:val="5"/>
                <w:szCs w:val="5"/>
                <w:color w:val="auto"/>
              </w:rPr>
            </w:pPr>
          </w:p>
        </w:tc>
        <w:tc>
          <w:tcPr>
            <w:tcW w:w="1920" w:type="dxa"/>
            <w:vAlign w:val="bottom"/>
            <w:tcBorders>
              <w:right w:val="single" w:sz="8" w:color="auto"/>
            </w:tcBorders>
            <w:vMerge w:val="restart"/>
          </w:tcPr>
          <w:p>
            <w:pPr>
              <w:jc w:val="center"/>
              <w:spacing w:after="0" w:line="264" w:lineRule="exact"/>
              <w:rPr>
                <w:sz w:val="20"/>
                <w:szCs w:val="20"/>
                <w:color w:val="auto"/>
              </w:rPr>
            </w:pPr>
            <w:r>
              <w:rPr>
                <w:rFonts w:ascii="Arial" w:cs="Arial" w:eastAsia="Arial" w:hAnsi="Arial"/>
                <w:sz w:val="18"/>
                <w:szCs w:val="18"/>
                <w:color w:val="auto"/>
                <w:w w:val="89"/>
              </w:rPr>
              <w:t>Discounted cash flow</w:t>
            </w:r>
            <w:r>
              <w:rPr>
                <w:rFonts w:ascii="Arial" w:cs="Arial" w:eastAsia="Arial" w:hAnsi="Arial"/>
                <w:sz w:val="25"/>
                <w:szCs w:val="25"/>
                <w:color w:val="auto"/>
                <w:w w:val="89"/>
                <w:vertAlign w:val="superscript"/>
              </w:rPr>
              <w:t>(2)</w:t>
            </w: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Discount rate</w:t>
            </w: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12.0% (12.0%)</w:t>
            </w:r>
          </w:p>
        </w:tc>
        <w:tc>
          <w:tcPr>
            <w:tcW w:w="0" w:type="dxa"/>
            <w:vAlign w:val="bottom"/>
          </w:tcPr>
          <w:p>
            <w:pPr>
              <w:spacing w:after="0"/>
              <w:rPr>
                <w:sz w:val="1"/>
                <w:szCs w:val="1"/>
                <w:color w:val="auto"/>
              </w:rPr>
            </w:pPr>
          </w:p>
        </w:tc>
      </w:tr>
      <w:tr>
        <w:trPr>
          <w:trHeight w:val="203"/>
        </w:trPr>
        <w:tc>
          <w:tcPr>
            <w:tcW w:w="3020" w:type="dxa"/>
            <w:vAlign w:val="bottom"/>
            <w:tcBorders>
              <w:left w:val="single" w:sz="8" w:color="auto"/>
              <w:bottom w:val="single" w:sz="8" w:color="auto"/>
              <w:right w:val="single" w:sz="8" w:color="auto"/>
            </w:tcBorders>
          </w:tcPr>
          <w:p>
            <w:pPr>
              <w:spacing w:after="0"/>
              <w:rPr>
                <w:sz w:val="17"/>
                <w:szCs w:val="17"/>
                <w:color w:val="auto"/>
              </w:rPr>
            </w:pPr>
          </w:p>
        </w:tc>
        <w:tc>
          <w:tcPr>
            <w:tcW w:w="1920" w:type="dxa"/>
            <w:vAlign w:val="bottom"/>
            <w:tcBorders>
              <w:bottom w:val="single" w:sz="8" w:color="auto"/>
              <w:right w:val="single" w:sz="8" w:color="auto"/>
            </w:tcBorders>
          </w:tcPr>
          <w:p>
            <w:pPr>
              <w:spacing w:after="0"/>
              <w:rPr>
                <w:sz w:val="17"/>
                <w:szCs w:val="17"/>
                <w:color w:val="auto"/>
              </w:rPr>
            </w:pPr>
          </w:p>
        </w:tc>
        <w:tc>
          <w:tcPr>
            <w:tcW w:w="1920" w:type="dxa"/>
            <w:vAlign w:val="bottom"/>
            <w:tcBorders>
              <w:bottom w:val="single" w:sz="8" w:color="auto"/>
              <w:right w:val="single" w:sz="8" w:color="auto"/>
            </w:tcBorders>
            <w:vMerge w:val="continue"/>
          </w:tcPr>
          <w:p>
            <w:pPr>
              <w:spacing w:after="0"/>
              <w:rPr>
                <w:sz w:val="17"/>
                <w:szCs w:val="17"/>
                <w:color w:val="auto"/>
              </w:rPr>
            </w:pPr>
          </w:p>
        </w:tc>
        <w:tc>
          <w:tcPr>
            <w:tcW w:w="1920" w:type="dxa"/>
            <w:vAlign w:val="bottom"/>
            <w:tcBorders>
              <w:bottom w:val="single" w:sz="8" w:color="auto"/>
              <w:right w:val="single" w:sz="8" w:color="auto"/>
            </w:tcBorders>
            <w:vMerge w:val="continue"/>
          </w:tcPr>
          <w:p>
            <w:pPr>
              <w:spacing w:after="0"/>
              <w:rPr>
                <w:sz w:val="17"/>
                <w:szCs w:val="17"/>
                <w:color w:val="auto"/>
              </w:rPr>
            </w:pPr>
          </w:p>
        </w:tc>
        <w:tc>
          <w:tcPr>
            <w:tcW w:w="1920" w:type="dxa"/>
            <w:vAlign w:val="bottom"/>
            <w:tcBorders>
              <w:bottom w:val="single" w:sz="8" w:color="auto"/>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020" w:type="dxa"/>
            <w:vAlign w:val="bottom"/>
            <w:tcBorders>
              <w:left w:val="single" w:sz="8" w:color="auto"/>
              <w:right w:val="single" w:sz="8" w:color="auto"/>
            </w:tcBorders>
          </w:tcPr>
          <w:p>
            <w:pPr>
              <w:spacing w:after="0"/>
              <w:rPr>
                <w:sz w:val="19"/>
                <w:szCs w:val="19"/>
                <w:color w:val="auto"/>
              </w:rPr>
            </w:pPr>
          </w:p>
        </w:tc>
        <w:tc>
          <w:tcPr>
            <w:tcW w:w="1920" w:type="dxa"/>
            <w:vAlign w:val="bottom"/>
            <w:tcBorders>
              <w:right w:val="single" w:sz="8" w:color="auto"/>
            </w:tcBorders>
          </w:tcPr>
          <w:p>
            <w:pPr>
              <w:spacing w:after="0"/>
              <w:rPr>
                <w:sz w:val="19"/>
                <w:szCs w:val="19"/>
                <w:color w:val="auto"/>
              </w:rPr>
            </w:pPr>
          </w:p>
        </w:tc>
        <w:tc>
          <w:tcPr>
            <w:tcW w:w="1920" w:type="dxa"/>
            <w:vAlign w:val="bottom"/>
            <w:tcBorders>
              <w:right w:val="single" w:sz="8" w:color="auto"/>
            </w:tcBorders>
          </w:tcPr>
          <w:p>
            <w:pPr>
              <w:spacing w:after="0"/>
              <w:rPr>
                <w:sz w:val="19"/>
                <w:szCs w:val="19"/>
                <w:color w:val="auto"/>
              </w:rPr>
            </w:pP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Precedent</w:t>
            </w: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2.60x - 3.07x (2.68x)</w:t>
            </w:r>
          </w:p>
        </w:tc>
        <w:tc>
          <w:tcPr>
            <w:tcW w:w="0" w:type="dxa"/>
            <w:vAlign w:val="bottom"/>
          </w:tcPr>
          <w:p>
            <w:pPr>
              <w:spacing w:after="0"/>
              <w:rPr>
                <w:sz w:val="1"/>
                <w:szCs w:val="1"/>
                <w:color w:val="auto"/>
              </w:rPr>
            </w:pPr>
          </w:p>
        </w:tc>
      </w:tr>
      <w:tr>
        <w:trPr>
          <w:trHeight w:val="122"/>
        </w:trPr>
        <w:tc>
          <w:tcPr>
            <w:tcW w:w="3020" w:type="dxa"/>
            <w:vAlign w:val="bottom"/>
            <w:tcBorders>
              <w:left w:val="single" w:sz="8" w:color="auto"/>
              <w:right w:val="single" w:sz="8" w:color="auto"/>
            </w:tcBorders>
          </w:tcPr>
          <w:p>
            <w:pPr>
              <w:spacing w:after="0"/>
              <w:rPr>
                <w:sz w:val="10"/>
                <w:szCs w:val="10"/>
                <w:color w:val="auto"/>
              </w:rPr>
            </w:pPr>
          </w:p>
        </w:tc>
        <w:tc>
          <w:tcPr>
            <w:tcW w:w="1920" w:type="dxa"/>
            <w:vAlign w:val="bottom"/>
            <w:tcBorders>
              <w:right w:val="single" w:sz="8" w:color="auto"/>
            </w:tcBorders>
          </w:tcPr>
          <w:p>
            <w:pPr>
              <w:spacing w:after="0"/>
              <w:rPr>
                <w:sz w:val="10"/>
                <w:szCs w:val="10"/>
                <w:color w:val="auto"/>
              </w:rPr>
            </w:pP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Market approach</w:t>
            </w: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transactions</w:t>
            </w:r>
          </w:p>
        </w:tc>
        <w:tc>
          <w:tcPr>
            <w:tcW w:w="19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0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Preferred stock in</w:t>
            </w:r>
          </w:p>
        </w:tc>
        <w:tc>
          <w:tcPr>
            <w:tcW w:w="1920" w:type="dxa"/>
            <w:vAlign w:val="bottom"/>
            <w:tcBorders>
              <w:right w:val="single" w:sz="8" w:color="auto"/>
            </w:tcBorders>
          </w:tcPr>
          <w:p>
            <w:pPr>
              <w:spacing w:after="0"/>
              <w:rPr>
                <w:sz w:val="11"/>
                <w:szCs w:val="11"/>
                <w:color w:val="auto"/>
              </w:rPr>
            </w:pPr>
          </w:p>
        </w:tc>
        <w:tc>
          <w:tcPr>
            <w:tcW w:w="1920" w:type="dxa"/>
            <w:vAlign w:val="bottom"/>
            <w:tcBorders>
              <w:right w:val="single" w:sz="8" w:color="auto"/>
            </w:tcBorders>
            <w:vMerge w:val="continue"/>
          </w:tcPr>
          <w:p>
            <w:pPr>
              <w:spacing w:after="0"/>
              <w:rPr>
                <w:sz w:val="11"/>
                <w:szCs w:val="11"/>
                <w:color w:val="auto"/>
              </w:rPr>
            </w:pPr>
          </w:p>
        </w:tc>
        <w:tc>
          <w:tcPr>
            <w:tcW w:w="1920" w:type="dxa"/>
            <w:vAlign w:val="bottom"/>
            <w:tcBorders>
              <w:bottom w:val="single" w:sz="8" w:color="auto"/>
              <w:right w:val="single" w:sz="8" w:color="auto"/>
            </w:tcBorders>
            <w:vMerge w:val="continue"/>
          </w:tcPr>
          <w:p>
            <w:pPr>
              <w:spacing w:after="0"/>
              <w:rPr>
                <w:sz w:val="11"/>
                <w:szCs w:val="11"/>
                <w:color w:val="auto"/>
              </w:rPr>
            </w:pPr>
          </w:p>
        </w:tc>
        <w:tc>
          <w:tcPr>
            <w:tcW w:w="19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3020" w:type="dxa"/>
            <w:vAlign w:val="bottom"/>
            <w:tcBorders>
              <w:left w:val="single" w:sz="8" w:color="auto"/>
              <w:right w:val="single" w:sz="8" w:color="auto"/>
            </w:tcBorders>
            <w:vMerge w:val="continue"/>
          </w:tcPr>
          <w:p>
            <w:pPr>
              <w:spacing w:after="0"/>
              <w:rPr>
                <w:sz w:val="12"/>
                <w:szCs w:val="12"/>
                <w:color w:val="auto"/>
              </w:rPr>
            </w:pP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$98,531,464</w:t>
            </w:r>
          </w:p>
        </w:tc>
        <w:tc>
          <w:tcPr>
            <w:tcW w:w="1920" w:type="dxa"/>
            <w:vAlign w:val="bottom"/>
            <w:tcBorders>
              <w:right w:val="single" w:sz="8" w:color="auto"/>
            </w:tcBorders>
          </w:tcPr>
          <w:p>
            <w:pPr>
              <w:spacing w:after="0"/>
              <w:rPr>
                <w:sz w:val="12"/>
                <w:szCs w:val="12"/>
                <w:color w:val="auto"/>
              </w:rPr>
            </w:pP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Revenue multiples</w:t>
            </w: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1.87x - 4.38x (3.42x)</w:t>
            </w:r>
          </w:p>
        </w:tc>
        <w:tc>
          <w:tcPr>
            <w:tcW w:w="0" w:type="dxa"/>
            <w:vAlign w:val="bottom"/>
          </w:tcPr>
          <w:p>
            <w:pPr>
              <w:spacing w:after="0"/>
              <w:rPr>
                <w:sz w:val="1"/>
                <w:szCs w:val="1"/>
                <w:color w:val="auto"/>
              </w:rPr>
            </w:pPr>
          </w:p>
        </w:tc>
      </w:tr>
      <w:tr>
        <w:trPr>
          <w:trHeight w:val="122"/>
        </w:trPr>
        <w:tc>
          <w:tcPr>
            <w:tcW w:w="30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private companies</w:t>
            </w:r>
          </w:p>
        </w:tc>
        <w:tc>
          <w:tcPr>
            <w:tcW w:w="1920" w:type="dxa"/>
            <w:vAlign w:val="bottom"/>
            <w:tcBorders>
              <w:right w:val="single" w:sz="8" w:color="auto"/>
            </w:tcBorders>
            <w:vMerge w:val="continue"/>
          </w:tcPr>
          <w:p>
            <w:pPr>
              <w:spacing w:after="0"/>
              <w:rPr>
                <w:sz w:val="10"/>
                <w:szCs w:val="10"/>
                <w:color w:val="auto"/>
              </w:rPr>
            </w:pPr>
          </w:p>
        </w:tc>
        <w:tc>
          <w:tcPr>
            <w:tcW w:w="1920" w:type="dxa"/>
            <w:vAlign w:val="bottom"/>
            <w:tcBorders>
              <w:bottom w:val="single" w:sz="8" w:color="auto"/>
              <w:right w:val="single" w:sz="8" w:color="auto"/>
            </w:tcBorders>
          </w:tcPr>
          <w:p>
            <w:pPr>
              <w:spacing w:after="0"/>
              <w:rPr>
                <w:sz w:val="10"/>
                <w:szCs w:val="10"/>
                <w:color w:val="auto"/>
              </w:rPr>
            </w:pPr>
          </w:p>
        </w:tc>
        <w:tc>
          <w:tcPr>
            <w:tcW w:w="1920" w:type="dxa"/>
            <w:vAlign w:val="bottom"/>
            <w:tcBorders>
              <w:bottom w:val="single" w:sz="8" w:color="auto"/>
              <w:right w:val="single" w:sz="8" w:color="auto"/>
            </w:tcBorders>
            <w:vMerge w:val="continue"/>
          </w:tcPr>
          <w:p>
            <w:pPr>
              <w:spacing w:after="0"/>
              <w:rPr>
                <w:sz w:val="10"/>
                <w:szCs w:val="10"/>
                <w:color w:val="auto"/>
              </w:rPr>
            </w:pPr>
          </w:p>
        </w:tc>
        <w:tc>
          <w:tcPr>
            <w:tcW w:w="192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3020" w:type="dxa"/>
            <w:vAlign w:val="bottom"/>
            <w:tcBorders>
              <w:left w:val="single" w:sz="8" w:color="auto"/>
              <w:right w:val="single" w:sz="8" w:color="auto"/>
            </w:tcBorders>
            <w:vMerge w:val="continue"/>
          </w:tcPr>
          <w:p>
            <w:pPr>
              <w:spacing w:after="0"/>
              <w:rPr>
                <w:sz w:val="7"/>
                <w:szCs w:val="7"/>
                <w:color w:val="auto"/>
              </w:rPr>
            </w:pPr>
          </w:p>
        </w:tc>
        <w:tc>
          <w:tcPr>
            <w:tcW w:w="1920" w:type="dxa"/>
            <w:vAlign w:val="bottom"/>
            <w:tcBorders>
              <w:right w:val="single" w:sz="8" w:color="auto"/>
            </w:tcBorders>
          </w:tcPr>
          <w:p>
            <w:pPr>
              <w:spacing w:after="0"/>
              <w:rPr>
                <w:sz w:val="7"/>
                <w:szCs w:val="7"/>
                <w:color w:val="auto"/>
              </w:rPr>
            </w:pPr>
          </w:p>
        </w:tc>
        <w:tc>
          <w:tcPr>
            <w:tcW w:w="1920" w:type="dxa"/>
            <w:vAlign w:val="bottom"/>
            <w:tcBorders>
              <w:right w:val="single" w:sz="8" w:color="auto"/>
            </w:tcBorders>
            <w:vMerge w:val="restart"/>
          </w:tcPr>
          <w:p>
            <w:pPr>
              <w:jc w:val="center"/>
              <w:spacing w:after="0" w:line="264" w:lineRule="exact"/>
              <w:rPr>
                <w:sz w:val="20"/>
                <w:szCs w:val="20"/>
                <w:color w:val="auto"/>
              </w:rPr>
            </w:pPr>
            <w:r>
              <w:rPr>
                <w:rFonts w:ascii="Arial" w:cs="Arial" w:eastAsia="Arial" w:hAnsi="Arial"/>
                <w:sz w:val="18"/>
                <w:szCs w:val="18"/>
                <w:color w:val="auto"/>
                <w:w w:val="90"/>
              </w:rPr>
              <w:t>Discounted cash flow</w:t>
            </w:r>
            <w:r>
              <w:rPr>
                <w:rFonts w:ascii="Arial" w:cs="Arial" w:eastAsia="Arial" w:hAnsi="Arial"/>
                <w:sz w:val="25"/>
                <w:szCs w:val="25"/>
                <w:color w:val="auto"/>
                <w:w w:val="90"/>
                <w:vertAlign w:val="superscript"/>
              </w:rPr>
              <w:t>(2)</w:t>
            </w: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Discount rate</w:t>
            </w: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12.0% (12.0%)</w:t>
            </w:r>
          </w:p>
        </w:tc>
        <w:tc>
          <w:tcPr>
            <w:tcW w:w="0" w:type="dxa"/>
            <w:vAlign w:val="bottom"/>
          </w:tcPr>
          <w:p>
            <w:pPr>
              <w:spacing w:after="0"/>
              <w:rPr>
                <w:sz w:val="1"/>
                <w:szCs w:val="1"/>
                <w:color w:val="auto"/>
              </w:rPr>
            </w:pPr>
          </w:p>
        </w:tc>
      </w:tr>
      <w:tr>
        <w:trPr>
          <w:trHeight w:val="181"/>
        </w:trPr>
        <w:tc>
          <w:tcPr>
            <w:tcW w:w="3020" w:type="dxa"/>
            <w:vAlign w:val="bottom"/>
            <w:tcBorders>
              <w:left w:val="single" w:sz="8" w:color="auto"/>
              <w:right w:val="single" w:sz="8" w:color="auto"/>
            </w:tcBorders>
          </w:tcPr>
          <w:p>
            <w:pPr>
              <w:spacing w:after="0"/>
              <w:rPr>
                <w:sz w:val="15"/>
                <w:szCs w:val="15"/>
                <w:color w:val="auto"/>
              </w:rPr>
            </w:pPr>
          </w:p>
        </w:tc>
        <w:tc>
          <w:tcPr>
            <w:tcW w:w="1920" w:type="dxa"/>
            <w:vAlign w:val="bottom"/>
            <w:tcBorders>
              <w:right w:val="single" w:sz="8" w:color="auto"/>
            </w:tcBorders>
          </w:tcPr>
          <w:p>
            <w:pPr>
              <w:spacing w:after="0"/>
              <w:rPr>
                <w:sz w:val="15"/>
                <w:szCs w:val="15"/>
                <w:color w:val="auto"/>
              </w:rPr>
            </w:pPr>
          </w:p>
        </w:tc>
        <w:tc>
          <w:tcPr>
            <w:tcW w:w="1920" w:type="dxa"/>
            <w:vAlign w:val="bottom"/>
            <w:tcBorders>
              <w:bottom w:val="single" w:sz="8" w:color="auto"/>
              <w:right w:val="single" w:sz="8" w:color="auto"/>
            </w:tcBorders>
            <w:vMerge w:val="continue"/>
          </w:tcPr>
          <w:p>
            <w:pPr>
              <w:spacing w:after="0"/>
              <w:rPr>
                <w:sz w:val="15"/>
                <w:szCs w:val="15"/>
                <w:color w:val="auto"/>
              </w:rPr>
            </w:pPr>
          </w:p>
        </w:tc>
        <w:tc>
          <w:tcPr>
            <w:tcW w:w="1920" w:type="dxa"/>
            <w:vAlign w:val="bottom"/>
            <w:tcBorders>
              <w:bottom w:val="single" w:sz="8" w:color="auto"/>
              <w:right w:val="single" w:sz="8" w:color="auto"/>
            </w:tcBorders>
            <w:vMerge w:val="continue"/>
          </w:tcPr>
          <w:p>
            <w:pPr>
              <w:spacing w:after="0"/>
              <w:rPr>
                <w:sz w:val="15"/>
                <w:szCs w:val="15"/>
                <w:color w:val="auto"/>
              </w:rPr>
            </w:pPr>
          </w:p>
        </w:tc>
        <w:tc>
          <w:tcPr>
            <w:tcW w:w="192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020" w:type="dxa"/>
            <w:vAlign w:val="bottom"/>
            <w:tcBorders>
              <w:left w:val="single" w:sz="8" w:color="auto"/>
              <w:right w:val="single" w:sz="8" w:color="auto"/>
            </w:tcBorders>
          </w:tcPr>
          <w:p>
            <w:pPr>
              <w:spacing w:after="0"/>
              <w:rPr>
                <w:sz w:val="20"/>
                <w:szCs w:val="20"/>
                <w:color w:val="auto"/>
              </w:rPr>
            </w:pPr>
          </w:p>
        </w:tc>
        <w:tc>
          <w:tcPr>
            <w:tcW w:w="1920" w:type="dxa"/>
            <w:vAlign w:val="bottom"/>
            <w:tcBorders>
              <w:right w:val="single" w:sz="8" w:color="auto"/>
            </w:tcBorders>
          </w:tcPr>
          <w:p>
            <w:pPr>
              <w:spacing w:after="0"/>
              <w:rPr>
                <w:sz w:val="20"/>
                <w:szCs w:val="20"/>
                <w:color w:val="auto"/>
              </w:rPr>
            </w:pP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PWERM</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Revenue multiples</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1.88x - 6.59x (2.77x)</w:t>
            </w:r>
          </w:p>
        </w:tc>
        <w:tc>
          <w:tcPr>
            <w:tcW w:w="0" w:type="dxa"/>
            <w:vAlign w:val="bottom"/>
          </w:tcPr>
          <w:p>
            <w:pPr>
              <w:spacing w:after="0"/>
              <w:rPr>
                <w:sz w:val="1"/>
                <w:szCs w:val="1"/>
                <w:color w:val="auto"/>
              </w:rPr>
            </w:pPr>
          </w:p>
        </w:tc>
      </w:tr>
      <w:tr>
        <w:trPr>
          <w:trHeight w:val="27"/>
        </w:trPr>
        <w:tc>
          <w:tcPr>
            <w:tcW w:w="3020" w:type="dxa"/>
            <w:vAlign w:val="bottom"/>
            <w:tcBorders>
              <w:left w:val="single" w:sz="8" w:color="auto"/>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020" w:type="dxa"/>
            <w:vAlign w:val="bottom"/>
            <w:tcBorders>
              <w:left w:val="single" w:sz="8" w:color="auto"/>
              <w:right w:val="single" w:sz="8" w:color="auto"/>
            </w:tcBorders>
          </w:tcPr>
          <w:p>
            <w:pPr>
              <w:spacing w:after="0"/>
              <w:rPr>
                <w:sz w:val="20"/>
                <w:szCs w:val="20"/>
                <w:color w:val="auto"/>
              </w:rPr>
            </w:pPr>
          </w:p>
        </w:tc>
        <w:tc>
          <w:tcPr>
            <w:tcW w:w="1920" w:type="dxa"/>
            <w:vAlign w:val="bottom"/>
            <w:tcBorders>
              <w:right w:val="single" w:sz="8" w:color="auto"/>
            </w:tcBorders>
          </w:tcPr>
          <w:p>
            <w:pPr>
              <w:spacing w:after="0"/>
              <w:rPr>
                <w:sz w:val="20"/>
                <w:szCs w:val="20"/>
                <w:color w:val="auto"/>
              </w:rPr>
            </w:pP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Market approach</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Revenue multiples</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1.87x - 3.81x (2.04x)</w:t>
            </w:r>
          </w:p>
        </w:tc>
        <w:tc>
          <w:tcPr>
            <w:tcW w:w="0" w:type="dxa"/>
            <w:vAlign w:val="bottom"/>
          </w:tcPr>
          <w:p>
            <w:pPr>
              <w:spacing w:after="0"/>
              <w:rPr>
                <w:sz w:val="1"/>
                <w:szCs w:val="1"/>
                <w:color w:val="auto"/>
              </w:rPr>
            </w:pPr>
          </w:p>
        </w:tc>
      </w:tr>
      <w:tr>
        <w:trPr>
          <w:trHeight w:val="27"/>
        </w:trPr>
        <w:tc>
          <w:tcPr>
            <w:tcW w:w="3020" w:type="dxa"/>
            <w:vAlign w:val="bottom"/>
            <w:tcBorders>
              <w:left w:val="single" w:sz="8" w:color="auto"/>
              <w:right w:val="single" w:sz="8" w:color="auto"/>
            </w:tcBorders>
          </w:tcPr>
          <w:p>
            <w:pPr>
              <w:spacing w:after="0"/>
              <w:rPr>
                <w:sz w:val="2"/>
                <w:szCs w:val="2"/>
                <w:color w:val="auto"/>
              </w:rPr>
            </w:pPr>
          </w:p>
        </w:tc>
        <w:tc>
          <w:tcPr>
            <w:tcW w:w="1920" w:type="dxa"/>
            <w:vAlign w:val="bottom"/>
            <w:tcBorders>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0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Debt investments</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$5,092,767</w:t>
            </w: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PWERM</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Revenue multiples</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1.95x - 6.59x (3.83x)</w:t>
            </w:r>
          </w:p>
        </w:tc>
        <w:tc>
          <w:tcPr>
            <w:tcW w:w="0" w:type="dxa"/>
            <w:vAlign w:val="bottom"/>
          </w:tcPr>
          <w:p>
            <w:pPr>
              <w:spacing w:after="0"/>
              <w:rPr>
                <w:sz w:val="1"/>
                <w:szCs w:val="1"/>
                <w:color w:val="auto"/>
              </w:rPr>
            </w:pPr>
          </w:p>
        </w:tc>
      </w:tr>
      <w:tr>
        <w:trPr>
          <w:trHeight w:val="27"/>
        </w:trPr>
        <w:tc>
          <w:tcPr>
            <w:tcW w:w="3020" w:type="dxa"/>
            <w:vAlign w:val="bottom"/>
            <w:tcBorders>
              <w:left w:val="single" w:sz="8" w:color="auto"/>
              <w:right w:val="single" w:sz="8" w:color="auto"/>
            </w:tcBorders>
          </w:tcPr>
          <w:p>
            <w:pPr>
              <w:spacing w:after="0"/>
              <w:rPr>
                <w:sz w:val="2"/>
                <w:szCs w:val="2"/>
                <w:color w:val="auto"/>
              </w:rPr>
            </w:pPr>
          </w:p>
        </w:tc>
        <w:tc>
          <w:tcPr>
            <w:tcW w:w="1920" w:type="dxa"/>
            <w:vAlign w:val="bottom"/>
            <w:tcBorders>
              <w:right w:val="single" w:sz="8" w:color="auto"/>
            </w:tcBorders>
          </w:tcPr>
          <w:p>
            <w:pPr>
              <w:spacing w:after="0"/>
              <w:rPr>
                <w:sz w:val="2"/>
                <w:szCs w:val="2"/>
                <w:color w:val="auto"/>
              </w:rPr>
            </w:pPr>
          </w:p>
        </w:tc>
        <w:tc>
          <w:tcPr>
            <w:tcW w:w="1920" w:type="dxa"/>
            <w:vAlign w:val="bottom"/>
            <w:tcBorders>
              <w:right w:val="single" w:sz="8" w:color="auto"/>
            </w:tcBorders>
            <w:vMerge w:val="continue"/>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3020" w:type="dxa"/>
            <w:vAlign w:val="bottom"/>
            <w:tcBorders>
              <w:left w:val="single" w:sz="8" w:color="auto"/>
              <w:right w:val="single" w:sz="8" w:color="auto"/>
            </w:tcBorders>
          </w:tcPr>
          <w:p>
            <w:pPr>
              <w:spacing w:after="0"/>
              <w:rPr>
                <w:sz w:val="7"/>
                <w:szCs w:val="7"/>
                <w:color w:val="auto"/>
              </w:rPr>
            </w:pPr>
          </w:p>
        </w:tc>
        <w:tc>
          <w:tcPr>
            <w:tcW w:w="1920" w:type="dxa"/>
            <w:vAlign w:val="bottom"/>
            <w:tcBorders>
              <w:right w:val="single" w:sz="8" w:color="auto"/>
            </w:tcBorders>
          </w:tcPr>
          <w:p>
            <w:pPr>
              <w:spacing w:after="0"/>
              <w:rPr>
                <w:sz w:val="7"/>
                <w:szCs w:val="7"/>
                <w:color w:val="auto"/>
              </w:rPr>
            </w:pPr>
          </w:p>
        </w:tc>
        <w:tc>
          <w:tcPr>
            <w:tcW w:w="1920" w:type="dxa"/>
            <w:vAlign w:val="bottom"/>
            <w:tcBorders>
              <w:right w:val="single" w:sz="8" w:color="auto"/>
            </w:tcBorders>
            <w:vMerge w:val="continue"/>
          </w:tcPr>
          <w:p>
            <w:pPr>
              <w:spacing w:after="0"/>
              <w:rPr>
                <w:sz w:val="7"/>
                <w:szCs w:val="7"/>
                <w:color w:val="auto"/>
              </w:rPr>
            </w:pP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Liquidation value</w:t>
            </w: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49"/>
        </w:trPr>
        <w:tc>
          <w:tcPr>
            <w:tcW w:w="3020" w:type="dxa"/>
            <w:vAlign w:val="bottom"/>
            <w:tcBorders>
              <w:left w:val="single" w:sz="8" w:color="auto"/>
              <w:right w:val="single" w:sz="8" w:color="auto"/>
            </w:tcBorders>
          </w:tcPr>
          <w:p>
            <w:pPr>
              <w:spacing w:after="0"/>
              <w:rPr>
                <w:sz w:val="12"/>
                <w:szCs w:val="12"/>
                <w:color w:val="auto"/>
              </w:rPr>
            </w:pPr>
          </w:p>
        </w:tc>
        <w:tc>
          <w:tcPr>
            <w:tcW w:w="1920" w:type="dxa"/>
            <w:vAlign w:val="bottom"/>
            <w:tcBorders>
              <w:right w:val="single" w:sz="8" w:color="auto"/>
            </w:tcBorders>
          </w:tcPr>
          <w:p>
            <w:pPr>
              <w:spacing w:after="0"/>
              <w:rPr>
                <w:sz w:val="12"/>
                <w:szCs w:val="12"/>
                <w:color w:val="auto"/>
              </w:rPr>
            </w:pPr>
          </w:p>
        </w:tc>
        <w:tc>
          <w:tcPr>
            <w:tcW w:w="1920" w:type="dxa"/>
            <w:vAlign w:val="bottom"/>
            <w:tcBorders>
              <w:right w:val="single" w:sz="8" w:color="auto"/>
            </w:tcBorders>
          </w:tcPr>
          <w:p>
            <w:pPr>
              <w:spacing w:after="0"/>
              <w:rPr>
                <w:sz w:val="12"/>
                <w:szCs w:val="12"/>
                <w:color w:val="auto"/>
              </w:rPr>
            </w:pPr>
          </w:p>
        </w:tc>
        <w:tc>
          <w:tcPr>
            <w:tcW w:w="1920" w:type="dxa"/>
            <w:vAlign w:val="bottom"/>
            <w:tcBorders>
              <w:right w:val="single" w:sz="8" w:color="auto"/>
            </w:tcBorders>
            <w:vMerge w:val="continue"/>
          </w:tcPr>
          <w:p>
            <w:pPr>
              <w:spacing w:after="0"/>
              <w:rPr>
                <w:sz w:val="12"/>
                <w:szCs w:val="12"/>
                <w:color w:val="auto"/>
              </w:rPr>
            </w:pPr>
          </w:p>
        </w:tc>
        <w:tc>
          <w:tcPr>
            <w:tcW w:w="19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3020" w:type="dxa"/>
            <w:vAlign w:val="bottom"/>
            <w:tcBorders>
              <w:left w:val="single" w:sz="8" w:color="auto"/>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020" w:type="dxa"/>
            <w:vAlign w:val="bottom"/>
            <w:tcBorders>
              <w:left w:val="single" w:sz="8" w:color="auto"/>
              <w:right w:val="single" w:sz="8" w:color="auto"/>
            </w:tcBorders>
          </w:tcPr>
          <w:p>
            <w:pPr>
              <w:spacing w:after="0"/>
              <w:rPr>
                <w:sz w:val="19"/>
                <w:szCs w:val="19"/>
                <w:color w:val="auto"/>
              </w:rPr>
            </w:pPr>
          </w:p>
        </w:tc>
        <w:tc>
          <w:tcPr>
            <w:tcW w:w="1920" w:type="dxa"/>
            <w:vAlign w:val="bottom"/>
            <w:tcBorders>
              <w:right w:val="single" w:sz="8" w:color="auto"/>
            </w:tcBorders>
          </w:tcPr>
          <w:p>
            <w:pPr>
              <w:spacing w:after="0"/>
              <w:rPr>
                <w:sz w:val="19"/>
                <w:szCs w:val="19"/>
                <w:color w:val="auto"/>
              </w:rPr>
            </w:pPr>
          </w:p>
        </w:tc>
        <w:tc>
          <w:tcPr>
            <w:tcW w:w="1920" w:type="dxa"/>
            <w:vAlign w:val="bottom"/>
            <w:tcBorders>
              <w:right w:val="single" w:sz="8" w:color="auto"/>
            </w:tcBorders>
          </w:tcPr>
          <w:p>
            <w:pPr>
              <w:spacing w:after="0"/>
              <w:rPr>
                <w:sz w:val="19"/>
                <w:szCs w:val="19"/>
                <w:color w:val="auto"/>
              </w:rPr>
            </w:pP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Term to expiration</w:t>
            </w: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0.2-3.0 (1.9)</w:t>
            </w:r>
          </w:p>
        </w:tc>
        <w:tc>
          <w:tcPr>
            <w:tcW w:w="0" w:type="dxa"/>
            <w:vAlign w:val="bottom"/>
          </w:tcPr>
          <w:p>
            <w:pPr>
              <w:spacing w:after="0"/>
              <w:rPr>
                <w:sz w:val="1"/>
                <w:szCs w:val="1"/>
                <w:color w:val="auto"/>
              </w:rPr>
            </w:pPr>
          </w:p>
        </w:tc>
      </w:tr>
      <w:tr>
        <w:trPr>
          <w:trHeight w:val="122"/>
        </w:trPr>
        <w:tc>
          <w:tcPr>
            <w:tcW w:w="30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7"/>
              </w:rPr>
              <w:t>Warrants</w:t>
            </w: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$897,562</w:t>
            </w: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Option pricing model</w:t>
            </w: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(Years)</w:t>
            </w:r>
          </w:p>
        </w:tc>
        <w:tc>
          <w:tcPr>
            <w:tcW w:w="19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020" w:type="dxa"/>
            <w:vAlign w:val="bottom"/>
            <w:tcBorders>
              <w:left w:val="single" w:sz="8" w:color="auto"/>
              <w:right w:val="single" w:sz="8" w:color="auto"/>
            </w:tcBorders>
            <w:vMerge w:val="continue"/>
          </w:tcPr>
          <w:p>
            <w:pPr>
              <w:spacing w:after="0"/>
              <w:rPr>
                <w:sz w:val="11"/>
                <w:szCs w:val="11"/>
                <w:color w:val="auto"/>
              </w:rPr>
            </w:pPr>
          </w:p>
        </w:tc>
        <w:tc>
          <w:tcPr>
            <w:tcW w:w="1920" w:type="dxa"/>
            <w:vAlign w:val="bottom"/>
            <w:tcBorders>
              <w:right w:val="single" w:sz="8" w:color="auto"/>
            </w:tcBorders>
            <w:vMerge w:val="continue"/>
          </w:tcPr>
          <w:p>
            <w:pPr>
              <w:spacing w:after="0"/>
              <w:rPr>
                <w:sz w:val="11"/>
                <w:szCs w:val="11"/>
                <w:color w:val="auto"/>
              </w:rPr>
            </w:pPr>
          </w:p>
        </w:tc>
        <w:tc>
          <w:tcPr>
            <w:tcW w:w="1920" w:type="dxa"/>
            <w:vAlign w:val="bottom"/>
            <w:tcBorders>
              <w:right w:val="single" w:sz="8" w:color="auto"/>
            </w:tcBorders>
            <w:vMerge w:val="continue"/>
          </w:tcPr>
          <w:p>
            <w:pPr>
              <w:spacing w:after="0"/>
              <w:rPr>
                <w:sz w:val="11"/>
                <w:szCs w:val="11"/>
                <w:color w:val="auto"/>
              </w:rPr>
            </w:pPr>
          </w:p>
        </w:tc>
        <w:tc>
          <w:tcPr>
            <w:tcW w:w="1920" w:type="dxa"/>
            <w:vAlign w:val="bottom"/>
            <w:tcBorders>
              <w:bottom w:val="single" w:sz="8" w:color="auto"/>
              <w:right w:val="single" w:sz="8" w:color="auto"/>
            </w:tcBorders>
            <w:vMerge w:val="continue"/>
          </w:tcPr>
          <w:p>
            <w:pPr>
              <w:spacing w:after="0"/>
              <w:rPr>
                <w:sz w:val="11"/>
                <w:szCs w:val="11"/>
                <w:color w:val="auto"/>
              </w:rPr>
            </w:pPr>
          </w:p>
        </w:tc>
        <w:tc>
          <w:tcPr>
            <w:tcW w:w="19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3020" w:type="dxa"/>
            <w:vAlign w:val="bottom"/>
            <w:tcBorders>
              <w:left w:val="single" w:sz="8" w:color="auto"/>
              <w:right w:val="single" w:sz="8" w:color="auto"/>
            </w:tcBorders>
          </w:tcPr>
          <w:p>
            <w:pPr>
              <w:spacing w:after="0"/>
              <w:rPr>
                <w:sz w:val="20"/>
                <w:szCs w:val="20"/>
                <w:color w:val="auto"/>
              </w:rPr>
            </w:pPr>
          </w:p>
        </w:tc>
        <w:tc>
          <w:tcPr>
            <w:tcW w:w="1920" w:type="dxa"/>
            <w:vAlign w:val="bottom"/>
            <w:tcBorders>
              <w:right w:val="single" w:sz="8" w:color="auto"/>
            </w:tcBorders>
          </w:tcPr>
          <w:p>
            <w:pPr>
              <w:spacing w:after="0"/>
              <w:rPr>
                <w:sz w:val="20"/>
                <w:szCs w:val="20"/>
                <w:color w:val="auto"/>
              </w:rPr>
            </w:pPr>
          </w:p>
        </w:tc>
        <w:tc>
          <w:tcPr>
            <w:tcW w:w="1920" w:type="dxa"/>
            <w:vAlign w:val="bottom"/>
            <w:tcBorders>
              <w:right w:val="single" w:sz="8" w:color="auto"/>
            </w:tcBorders>
          </w:tcPr>
          <w:p>
            <w:pPr>
              <w:spacing w:after="0"/>
              <w:rPr>
                <w:sz w:val="20"/>
                <w:szCs w:val="20"/>
                <w:color w:val="auto"/>
              </w:rPr>
            </w:pP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Volatility</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26.3%-36.0% (33.2%)</w:t>
            </w:r>
          </w:p>
        </w:tc>
        <w:tc>
          <w:tcPr>
            <w:tcW w:w="0" w:type="dxa"/>
            <w:vAlign w:val="bottom"/>
          </w:tcPr>
          <w:p>
            <w:pPr>
              <w:spacing w:after="0"/>
              <w:rPr>
                <w:sz w:val="1"/>
                <w:szCs w:val="1"/>
                <w:color w:val="auto"/>
              </w:rPr>
            </w:pPr>
          </w:p>
        </w:tc>
      </w:tr>
      <w:tr>
        <w:trPr>
          <w:trHeight w:val="27"/>
        </w:trPr>
        <w:tc>
          <w:tcPr>
            <w:tcW w:w="3020" w:type="dxa"/>
            <w:vAlign w:val="bottom"/>
            <w:tcBorders>
              <w:left w:val="single" w:sz="8" w:color="auto"/>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________________________</w:t>
      </w:r>
    </w:p>
    <w:p>
      <w:pPr>
        <w:spacing w:after="0" w:line="116" w:lineRule="exact"/>
        <w:rPr>
          <w:sz w:val="20"/>
          <w:szCs w:val="20"/>
          <w:color w:val="auto"/>
        </w:rPr>
      </w:pPr>
    </w:p>
    <w:p>
      <w:pPr>
        <w:ind w:left="660" w:right="40" w:hanging="652"/>
        <w:spacing w:after="0" w:line="276"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As of September 30, 2018, the Company used a hybrid market and income approach to value certain common and preferred stock investments as the Company felt this approach better reflected the fair value of these investments. By considering multiple valuation approaches (and consequently, multiple valuation techniques), the valuation approaches and techniques are not likely to change from one period of measurement to the next; however, the weighting of each in determining the final fair value of a Level 3 investment may change based on recent events or transactions. Refer to “Note 2—Significant Accounting Policies—</w:t>
      </w:r>
      <w:r>
        <w:rPr>
          <w:rFonts w:ascii="Arial" w:cs="Arial" w:eastAsia="Arial" w:hAnsi="Arial"/>
          <w:sz w:val="17"/>
          <w:szCs w:val="17"/>
          <w:i w:val="1"/>
          <w:iCs w:val="1"/>
          <w:color w:val="auto"/>
        </w:rPr>
        <w:t>Investments at Fair Value</w:t>
      </w:r>
      <w:r>
        <w:rPr>
          <w:rFonts w:ascii="Arial" w:cs="Arial" w:eastAsia="Arial" w:hAnsi="Arial"/>
          <w:sz w:val="17"/>
          <w:szCs w:val="17"/>
          <w:color w:val="auto"/>
        </w:rPr>
        <w:t>” for more detail.</w:t>
      </w:r>
    </w:p>
    <w:p>
      <w:pPr>
        <w:spacing w:after="0" w:line="64" w:lineRule="exact"/>
        <w:rPr>
          <w:rFonts w:ascii="Arial" w:cs="Arial" w:eastAsia="Arial" w:hAnsi="Arial"/>
          <w:sz w:val="17"/>
          <w:szCs w:val="17"/>
          <w:color w:val="auto"/>
        </w:rPr>
      </w:pPr>
    </w:p>
    <w:p>
      <w:pPr>
        <w:ind w:left="660" w:right="20" w:hanging="652"/>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Company considers all relevant information that can reasonably be obtained when determining the fair value of Level 3 investments. Due to any given portfolio company’s information rights, changes in capital structure, recent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121" w:right="25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September 30, 2018</w:t>
      </w:r>
    </w:p>
    <w:p>
      <w:pPr>
        <w:spacing w:after="0" w:line="373" w:lineRule="exact"/>
        <w:rPr>
          <w:sz w:val="20"/>
          <w:szCs w:val="20"/>
          <w:color w:val="auto"/>
        </w:rPr>
      </w:pPr>
    </w:p>
    <w:p>
      <w:pPr>
        <w:ind w:left="660" w:right="180"/>
        <w:spacing w:after="0" w:line="320" w:lineRule="auto"/>
        <w:rPr>
          <w:sz w:val="20"/>
          <w:szCs w:val="20"/>
          <w:color w:val="auto"/>
        </w:rPr>
      </w:pPr>
      <w:r>
        <w:rPr>
          <w:rFonts w:ascii="Arial" w:cs="Arial" w:eastAsia="Arial" w:hAnsi="Arial"/>
          <w:sz w:val="17"/>
          <w:szCs w:val="17"/>
          <w:color w:val="auto"/>
        </w:rPr>
        <w:t>events, transactions, or liquidity events, the type and availability of unobservable inputs may change. Increases (decreases) in revenue multiples, earnings before interest and taxes (“EBIT”) multiples, time to expiration, and stock price/strike price would result in higher (lower) fair values all else equal. Decreases (increases) in discount rates, volatility, and annual risk rates, would result in higher (lower) fair values all else equal. The market approach utilizes market value (revenue and EBIT) multiples of publicly traded comparable companies and available precedent sales transactions of comparable companies. The Company carefully considers numerous factors when selecting the appropriate companies whose multiples are used to value its portfolio companies. These factors include, but are not limited to, the type of organization, similarity to the business being valued, relevant risk factors, as well as size, profitability and growth expectations. In general, precedent transactions include recent rounds of financing, recent purchases made by the Company, and tender offers. Refer to “Note 2—Significant Accounting Policies—</w:t>
      </w:r>
      <w:r>
        <w:rPr>
          <w:rFonts w:ascii="Arial" w:cs="Arial" w:eastAsia="Arial" w:hAnsi="Arial"/>
          <w:sz w:val="17"/>
          <w:szCs w:val="17"/>
          <w:i w:val="1"/>
          <w:iCs w:val="1"/>
          <w:color w:val="auto"/>
        </w:rPr>
        <w:t>Investments at Fair</w:t>
      </w:r>
      <w:r>
        <w:rPr>
          <w:rFonts w:ascii="Arial" w:cs="Arial" w:eastAsia="Arial" w:hAnsi="Arial"/>
          <w:sz w:val="17"/>
          <w:szCs w:val="17"/>
          <w:color w:val="auto"/>
        </w:rPr>
        <w:t xml:space="preserve"> </w:t>
      </w:r>
      <w:r>
        <w:rPr>
          <w:rFonts w:ascii="Arial" w:cs="Arial" w:eastAsia="Arial" w:hAnsi="Arial"/>
          <w:sz w:val="17"/>
          <w:szCs w:val="17"/>
          <w:i w:val="1"/>
          <w:iCs w:val="1"/>
          <w:color w:val="auto"/>
        </w:rPr>
        <w:t>Value</w:t>
      </w:r>
      <w:r>
        <w:rPr>
          <w:rFonts w:ascii="Arial" w:cs="Arial" w:eastAsia="Arial" w:hAnsi="Arial"/>
          <w:sz w:val="17"/>
          <w:szCs w:val="17"/>
          <w:color w:val="auto"/>
        </w:rPr>
        <w:t>” for more detail.</w:t>
      </w:r>
    </w:p>
    <w:p>
      <w:pPr>
        <w:spacing w:after="0" w:line="200" w:lineRule="exact"/>
        <w:rPr>
          <w:sz w:val="20"/>
          <w:szCs w:val="20"/>
          <w:color w:val="auto"/>
        </w:rPr>
      </w:pPr>
    </w:p>
    <w:p>
      <w:pPr>
        <w:spacing w:after="0" w:line="23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As of December 31, 2017</w:t>
      </w:r>
    </w:p>
    <w:p>
      <w:pPr>
        <w:spacing w:after="0" w:line="34" w:lineRule="exact"/>
        <w:rPr>
          <w:sz w:val="20"/>
          <w:szCs w:val="20"/>
          <w:color w:val="auto"/>
        </w:rPr>
      </w:pPr>
    </w:p>
    <w:tbl>
      <w:tblPr>
        <w:tblLayout w:type="fixed"/>
        <w:tblInd w:w="10" w:type="dxa"/>
        <w:tblCellMar>
          <w:top w:w="0" w:type="dxa"/>
          <w:left w:w="0" w:type="dxa"/>
          <w:bottom w:w="0" w:type="dxa"/>
          <w:right w:w="0" w:type="dxa"/>
        </w:tblCellMar>
      </w:tblPr>
      <w:tr>
        <w:trPr>
          <w:trHeight w:val="166"/>
        </w:trPr>
        <w:tc>
          <w:tcPr>
            <w:tcW w:w="2900" w:type="dxa"/>
            <w:vAlign w:val="bottom"/>
            <w:tcBorders>
              <w:top w:val="single" w:sz="8" w:color="auto"/>
              <w:left w:val="single" w:sz="8" w:color="auto"/>
              <w:right w:val="single" w:sz="8" w:color="auto"/>
            </w:tcBorders>
          </w:tcPr>
          <w:p>
            <w:pPr>
              <w:spacing w:after="0"/>
              <w:rPr>
                <w:sz w:val="14"/>
                <w:szCs w:val="14"/>
                <w:color w:val="auto"/>
              </w:rPr>
            </w:pPr>
          </w:p>
        </w:tc>
        <w:tc>
          <w:tcPr>
            <w:tcW w:w="1820" w:type="dxa"/>
            <w:vAlign w:val="bottom"/>
            <w:tcBorders>
              <w:top w:val="single" w:sz="8" w:color="auto"/>
              <w:right w:val="single" w:sz="8" w:color="auto"/>
            </w:tcBorders>
          </w:tcPr>
          <w:p>
            <w:pPr>
              <w:spacing w:after="0"/>
              <w:rPr>
                <w:sz w:val="14"/>
                <w:szCs w:val="14"/>
                <w:color w:val="auto"/>
              </w:rPr>
            </w:pPr>
          </w:p>
        </w:tc>
        <w:tc>
          <w:tcPr>
            <w:tcW w:w="20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Valuation</w:t>
            </w:r>
          </w:p>
        </w:tc>
        <w:tc>
          <w:tcPr>
            <w:tcW w:w="2500" w:type="dxa"/>
            <w:vAlign w:val="bottom"/>
            <w:tcBorders>
              <w:top w:val="single" w:sz="8" w:color="auto"/>
              <w:right w:val="single" w:sz="8" w:color="auto"/>
            </w:tcBorders>
          </w:tcPr>
          <w:p>
            <w:pPr>
              <w:spacing w:after="0"/>
              <w:rPr>
                <w:sz w:val="14"/>
                <w:szCs w:val="14"/>
                <w:color w:val="auto"/>
              </w:rPr>
            </w:pPr>
          </w:p>
        </w:tc>
        <w:tc>
          <w:tcPr>
            <w:tcW w:w="21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8"/>
              </w:rPr>
              <w:t>Range</w:t>
            </w:r>
          </w:p>
        </w:tc>
        <w:tc>
          <w:tcPr>
            <w:tcW w:w="0" w:type="dxa"/>
            <w:vAlign w:val="bottom"/>
          </w:tcPr>
          <w:p>
            <w:pPr>
              <w:spacing w:after="0"/>
              <w:rPr>
                <w:sz w:val="1"/>
                <w:szCs w:val="1"/>
                <w:color w:val="auto"/>
              </w:rPr>
            </w:pPr>
          </w:p>
        </w:tc>
      </w:tr>
      <w:tr>
        <w:trPr>
          <w:trHeight w:val="68"/>
        </w:trPr>
        <w:tc>
          <w:tcPr>
            <w:tcW w:w="2900" w:type="dxa"/>
            <w:vAlign w:val="bottom"/>
            <w:tcBorders>
              <w:left w:val="single" w:sz="8" w:color="auto"/>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b w:val="1"/>
                <w:bCs w:val="1"/>
                <w:color w:val="auto"/>
                <w:w w:val="89"/>
              </w:rPr>
              <w:t>Asset</w:t>
            </w:r>
          </w:p>
        </w:tc>
        <w:tc>
          <w:tcPr>
            <w:tcW w:w="1820" w:type="dxa"/>
            <w:vAlign w:val="bottom"/>
            <w:tcBorders>
              <w:right w:val="single" w:sz="8" w:color="auto"/>
            </w:tcBorders>
            <w:vMerge w:val="restart"/>
          </w:tcPr>
          <w:p>
            <w:pPr>
              <w:ind w:left="580"/>
              <w:spacing w:after="0" w:line="149" w:lineRule="exact"/>
              <w:rPr>
                <w:sz w:val="20"/>
                <w:szCs w:val="20"/>
                <w:color w:val="auto"/>
              </w:rPr>
            </w:pPr>
            <w:r>
              <w:rPr>
                <w:rFonts w:ascii="Arial" w:cs="Arial" w:eastAsia="Arial" w:hAnsi="Arial"/>
                <w:sz w:val="14"/>
                <w:szCs w:val="14"/>
                <w:b w:val="1"/>
                <w:bCs w:val="1"/>
                <w:color w:val="auto"/>
              </w:rPr>
              <w:t>Fair Value</w:t>
            </w:r>
          </w:p>
        </w:tc>
        <w:tc>
          <w:tcPr>
            <w:tcW w:w="206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b w:val="1"/>
                <w:bCs w:val="1"/>
                <w:color w:val="auto"/>
                <w:w w:val="92"/>
              </w:rPr>
              <w:t>Approach/</w:t>
            </w:r>
          </w:p>
        </w:tc>
        <w:tc>
          <w:tcPr>
            <w:tcW w:w="250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b w:val="1"/>
                <w:bCs w:val="1"/>
                <w:color w:val="auto"/>
                <w:w w:val="94"/>
              </w:rPr>
              <w:t>Unobservable Inputs</w:t>
            </w:r>
            <w:r>
              <w:rPr>
                <w:rFonts w:ascii="Arial" w:cs="Arial" w:eastAsia="Arial" w:hAnsi="Arial"/>
                <w:sz w:val="8"/>
                <w:szCs w:val="8"/>
                <w:b w:val="1"/>
                <w:bCs w:val="1"/>
                <w:color w:val="auto"/>
                <w:w w:val="94"/>
              </w:rPr>
              <w:t>(2)</w:t>
            </w:r>
          </w:p>
        </w:tc>
        <w:tc>
          <w:tcPr>
            <w:tcW w:w="216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900" w:type="dxa"/>
            <w:vAlign w:val="bottom"/>
            <w:tcBorders>
              <w:left w:val="single" w:sz="8" w:color="auto"/>
              <w:right w:val="single" w:sz="8" w:color="auto"/>
            </w:tcBorders>
            <w:vMerge w:val="continue"/>
          </w:tcPr>
          <w:p>
            <w:pPr>
              <w:spacing w:after="0"/>
              <w:rPr>
                <w:sz w:val="7"/>
                <w:szCs w:val="7"/>
                <w:color w:val="auto"/>
              </w:rPr>
            </w:pPr>
          </w:p>
        </w:tc>
        <w:tc>
          <w:tcPr>
            <w:tcW w:w="1820" w:type="dxa"/>
            <w:vAlign w:val="bottom"/>
            <w:tcBorders>
              <w:right w:val="single" w:sz="8" w:color="auto"/>
            </w:tcBorders>
            <w:vMerge w:val="continue"/>
          </w:tcPr>
          <w:p>
            <w:pPr>
              <w:spacing w:after="0"/>
              <w:rPr>
                <w:sz w:val="7"/>
                <w:szCs w:val="7"/>
                <w:color w:val="auto"/>
              </w:rPr>
            </w:pPr>
          </w:p>
        </w:tc>
        <w:tc>
          <w:tcPr>
            <w:tcW w:w="2060" w:type="dxa"/>
            <w:vAlign w:val="bottom"/>
            <w:tcBorders>
              <w:right w:val="single" w:sz="8" w:color="auto"/>
            </w:tcBorders>
            <w:vMerge w:val="continue"/>
          </w:tcPr>
          <w:p>
            <w:pPr>
              <w:spacing w:after="0"/>
              <w:rPr>
                <w:sz w:val="7"/>
                <w:szCs w:val="7"/>
                <w:color w:val="auto"/>
              </w:rPr>
            </w:pPr>
          </w:p>
        </w:tc>
        <w:tc>
          <w:tcPr>
            <w:tcW w:w="2500" w:type="dxa"/>
            <w:vAlign w:val="bottom"/>
            <w:tcBorders>
              <w:right w:val="single" w:sz="8" w:color="auto"/>
            </w:tcBorders>
            <w:vMerge w:val="continue"/>
          </w:tcPr>
          <w:p>
            <w:pPr>
              <w:spacing w:after="0"/>
              <w:rPr>
                <w:sz w:val="7"/>
                <w:szCs w:val="7"/>
                <w:color w:val="auto"/>
              </w:rPr>
            </w:pPr>
          </w:p>
        </w:tc>
        <w:tc>
          <w:tcPr>
            <w:tcW w:w="2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(Weighted Average)</w:t>
            </w:r>
          </w:p>
        </w:tc>
        <w:tc>
          <w:tcPr>
            <w:tcW w:w="0" w:type="dxa"/>
            <w:vAlign w:val="bottom"/>
          </w:tcPr>
          <w:p>
            <w:pPr>
              <w:spacing w:after="0"/>
              <w:rPr>
                <w:sz w:val="1"/>
                <w:szCs w:val="1"/>
                <w:color w:val="auto"/>
              </w:rPr>
            </w:pPr>
          </w:p>
        </w:tc>
      </w:tr>
      <w:tr>
        <w:trPr>
          <w:trHeight w:val="105"/>
        </w:trPr>
        <w:tc>
          <w:tcPr>
            <w:tcW w:w="2900" w:type="dxa"/>
            <w:vAlign w:val="bottom"/>
            <w:tcBorders>
              <w:left w:val="single" w:sz="8" w:color="auto"/>
              <w:right w:val="single" w:sz="8" w:color="auto"/>
            </w:tcBorders>
          </w:tcPr>
          <w:p>
            <w:pPr>
              <w:spacing w:after="0"/>
              <w:rPr>
                <w:sz w:val="9"/>
                <w:szCs w:val="9"/>
                <w:color w:val="auto"/>
              </w:rPr>
            </w:pPr>
          </w:p>
        </w:tc>
        <w:tc>
          <w:tcPr>
            <w:tcW w:w="1820" w:type="dxa"/>
            <w:vAlign w:val="bottom"/>
            <w:tcBorders>
              <w:right w:val="single" w:sz="8" w:color="auto"/>
            </w:tcBorders>
          </w:tcPr>
          <w:p>
            <w:pPr>
              <w:spacing w:after="0"/>
              <w:rPr>
                <w:sz w:val="9"/>
                <w:szCs w:val="9"/>
                <w:color w:val="auto"/>
              </w:rPr>
            </w:pPr>
          </w:p>
        </w:tc>
        <w:tc>
          <w:tcPr>
            <w:tcW w:w="2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Technique</w:t>
            </w:r>
            <w:r>
              <w:rPr>
                <w:rFonts w:ascii="Arial" w:cs="Arial" w:eastAsia="Arial" w:hAnsi="Arial"/>
                <w:sz w:val="8"/>
                <w:szCs w:val="8"/>
                <w:b w:val="1"/>
                <w:bCs w:val="1"/>
                <w:color w:val="auto"/>
                <w:w w:val="92"/>
              </w:rPr>
              <w:t>(1)</w:t>
            </w:r>
          </w:p>
        </w:tc>
        <w:tc>
          <w:tcPr>
            <w:tcW w:w="2500" w:type="dxa"/>
            <w:vAlign w:val="bottom"/>
            <w:tcBorders>
              <w:right w:val="single" w:sz="8" w:color="auto"/>
            </w:tcBorders>
          </w:tcPr>
          <w:p>
            <w:pPr>
              <w:spacing w:after="0"/>
              <w:rPr>
                <w:sz w:val="9"/>
                <w:szCs w:val="9"/>
                <w:color w:val="auto"/>
              </w:rPr>
            </w:pPr>
          </w:p>
        </w:tc>
        <w:tc>
          <w:tcPr>
            <w:tcW w:w="21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2900" w:type="dxa"/>
            <w:vAlign w:val="bottom"/>
            <w:tcBorders>
              <w:left w:val="single" w:sz="8" w:color="auto"/>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2060" w:type="dxa"/>
            <w:vAlign w:val="bottom"/>
            <w:tcBorders>
              <w:bottom w:val="single" w:sz="8" w:color="auto"/>
              <w:right w:val="single" w:sz="8" w:color="auto"/>
            </w:tcBorders>
            <w:vMerge w:val="continue"/>
          </w:tcPr>
          <w:p>
            <w:pPr>
              <w:spacing w:after="0"/>
              <w:rPr>
                <w:sz w:val="7"/>
                <w:szCs w:val="7"/>
                <w:color w:val="auto"/>
              </w:rPr>
            </w:pPr>
          </w:p>
        </w:tc>
        <w:tc>
          <w:tcPr>
            <w:tcW w:w="2500" w:type="dxa"/>
            <w:vAlign w:val="bottom"/>
            <w:tcBorders>
              <w:bottom w:val="single" w:sz="8" w:color="auto"/>
              <w:right w:val="single" w:sz="8" w:color="auto"/>
            </w:tcBorders>
          </w:tcPr>
          <w:p>
            <w:pPr>
              <w:spacing w:after="0"/>
              <w:rPr>
                <w:sz w:val="7"/>
                <w:szCs w:val="7"/>
                <w:color w:val="auto"/>
              </w:rPr>
            </w:pPr>
          </w:p>
        </w:tc>
        <w:tc>
          <w:tcPr>
            <w:tcW w:w="21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900" w:type="dxa"/>
            <w:vAlign w:val="bottom"/>
            <w:tcBorders>
              <w:left w:val="single" w:sz="8" w:color="auto"/>
              <w:right w:val="single" w:sz="8" w:color="auto"/>
            </w:tcBorders>
          </w:tcPr>
          <w:p>
            <w:pPr>
              <w:spacing w:after="0"/>
              <w:rPr>
                <w:sz w:val="21"/>
                <w:szCs w:val="21"/>
                <w:color w:val="auto"/>
              </w:rPr>
            </w:pPr>
          </w:p>
        </w:tc>
        <w:tc>
          <w:tcPr>
            <w:tcW w:w="1820" w:type="dxa"/>
            <w:vAlign w:val="bottom"/>
            <w:tcBorders>
              <w:right w:val="single" w:sz="8" w:color="auto"/>
            </w:tcBorders>
          </w:tcPr>
          <w:p>
            <w:pPr>
              <w:spacing w:after="0"/>
              <w:rPr>
                <w:sz w:val="21"/>
                <w:szCs w:val="21"/>
                <w:color w:val="auto"/>
              </w:rPr>
            </w:pPr>
          </w:p>
        </w:tc>
        <w:tc>
          <w:tcPr>
            <w:tcW w:w="2060" w:type="dxa"/>
            <w:vAlign w:val="bottom"/>
            <w:tcBorders>
              <w:right w:val="single" w:sz="8" w:color="auto"/>
            </w:tcBorders>
          </w:tcPr>
          <w:p>
            <w:pPr>
              <w:spacing w:after="0"/>
              <w:rPr>
                <w:sz w:val="21"/>
                <w:szCs w:val="21"/>
                <w:color w:val="auto"/>
              </w:rPr>
            </w:pP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Precedent transactions</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7"/>
        </w:trPr>
        <w:tc>
          <w:tcPr>
            <w:tcW w:w="2900" w:type="dxa"/>
            <w:vAlign w:val="bottom"/>
            <w:tcBorders>
              <w:left w:val="single" w:sz="8" w:color="auto"/>
              <w:right w:val="single" w:sz="8" w:color="auto"/>
            </w:tcBorders>
          </w:tcPr>
          <w:p>
            <w:pPr>
              <w:spacing w:after="0"/>
              <w:rPr>
                <w:sz w:val="2"/>
                <w:szCs w:val="2"/>
                <w:color w:val="auto"/>
              </w:rPr>
            </w:pPr>
          </w:p>
        </w:tc>
        <w:tc>
          <w:tcPr>
            <w:tcW w:w="1820" w:type="dxa"/>
            <w:vAlign w:val="bottom"/>
            <w:tcBorders>
              <w:right w:val="single" w:sz="8" w:color="auto"/>
            </w:tcBorders>
          </w:tcPr>
          <w:p>
            <w:pPr>
              <w:spacing w:after="0"/>
              <w:rPr>
                <w:sz w:val="2"/>
                <w:szCs w:val="2"/>
                <w:color w:val="auto"/>
              </w:rPr>
            </w:pPr>
          </w:p>
        </w:tc>
        <w:tc>
          <w:tcPr>
            <w:tcW w:w="2060" w:type="dxa"/>
            <w:vAlign w:val="bottom"/>
            <w:tcBorders>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900" w:type="dxa"/>
            <w:vAlign w:val="bottom"/>
            <w:tcBorders>
              <w:left w:val="single" w:sz="8" w:color="auto"/>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Market approach</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Revenue multiples</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2.03x–7.08x (5.70x)</w:t>
            </w:r>
          </w:p>
        </w:tc>
        <w:tc>
          <w:tcPr>
            <w:tcW w:w="0" w:type="dxa"/>
            <w:vAlign w:val="bottom"/>
          </w:tcPr>
          <w:p>
            <w:pPr>
              <w:spacing w:after="0"/>
              <w:rPr>
                <w:sz w:val="1"/>
                <w:szCs w:val="1"/>
                <w:color w:val="auto"/>
              </w:rPr>
            </w:pPr>
          </w:p>
        </w:tc>
      </w:tr>
      <w:tr>
        <w:trPr>
          <w:trHeight w:val="27"/>
        </w:trPr>
        <w:tc>
          <w:tcPr>
            <w:tcW w:w="2900" w:type="dxa"/>
            <w:vAlign w:val="bottom"/>
            <w:tcBorders>
              <w:left w:val="single" w:sz="8" w:color="auto"/>
              <w:right w:val="single" w:sz="8" w:color="auto"/>
            </w:tcBorders>
          </w:tcPr>
          <w:p>
            <w:pPr>
              <w:spacing w:after="0"/>
              <w:rPr>
                <w:sz w:val="2"/>
                <w:szCs w:val="2"/>
                <w:color w:val="auto"/>
              </w:rPr>
            </w:pPr>
          </w:p>
        </w:tc>
        <w:tc>
          <w:tcPr>
            <w:tcW w:w="1820" w:type="dxa"/>
            <w:vAlign w:val="bottom"/>
            <w:tcBorders>
              <w:right w:val="single" w:sz="8" w:color="auto"/>
            </w:tcBorders>
          </w:tcPr>
          <w:p>
            <w:pPr>
              <w:spacing w:after="0"/>
              <w:rPr>
                <w:sz w:val="2"/>
                <w:szCs w:val="2"/>
                <w:color w:val="auto"/>
              </w:rPr>
            </w:pPr>
          </w:p>
        </w:tc>
        <w:tc>
          <w:tcPr>
            <w:tcW w:w="2060" w:type="dxa"/>
            <w:vAlign w:val="bottom"/>
            <w:tcBorders>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9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Common stock in</w:t>
            </w: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$86,824,096</w:t>
            </w:r>
          </w:p>
        </w:tc>
        <w:tc>
          <w:tcPr>
            <w:tcW w:w="2060" w:type="dxa"/>
            <w:vAlign w:val="bottom"/>
            <w:tcBorders>
              <w:right w:val="single" w:sz="8" w:color="auto"/>
            </w:tcBorders>
          </w:tcPr>
          <w:p>
            <w:pPr>
              <w:spacing w:after="0"/>
              <w:rPr>
                <w:sz w:val="19"/>
                <w:szCs w:val="19"/>
                <w:color w:val="auto"/>
              </w:rPr>
            </w:pP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Liquidation value</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41"/>
        </w:trPr>
        <w:tc>
          <w:tcPr>
            <w:tcW w:w="29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private companies</w:t>
            </w:r>
          </w:p>
        </w:tc>
        <w:tc>
          <w:tcPr>
            <w:tcW w:w="1820" w:type="dxa"/>
            <w:vAlign w:val="bottom"/>
            <w:tcBorders>
              <w:right w:val="single" w:sz="8" w:color="auto"/>
            </w:tcBorders>
            <w:vMerge w:val="continue"/>
          </w:tcPr>
          <w:p>
            <w:pPr>
              <w:spacing w:after="0"/>
              <w:rPr>
                <w:sz w:val="3"/>
                <w:szCs w:val="3"/>
                <w:color w:val="auto"/>
              </w:rPr>
            </w:pPr>
          </w:p>
        </w:tc>
        <w:tc>
          <w:tcPr>
            <w:tcW w:w="2060" w:type="dxa"/>
            <w:vAlign w:val="bottom"/>
            <w:tcBorders>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1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61"/>
        </w:trPr>
        <w:tc>
          <w:tcPr>
            <w:tcW w:w="2900" w:type="dxa"/>
            <w:vAlign w:val="bottom"/>
            <w:tcBorders>
              <w:left w:val="single" w:sz="8" w:color="auto"/>
              <w:right w:val="single" w:sz="8" w:color="auto"/>
            </w:tcBorders>
            <w:vMerge w:val="continue"/>
          </w:tcPr>
          <w:p>
            <w:pPr>
              <w:spacing w:after="0"/>
              <w:rPr>
                <w:sz w:val="5"/>
                <w:szCs w:val="5"/>
                <w:color w:val="auto"/>
              </w:rPr>
            </w:pPr>
          </w:p>
        </w:tc>
        <w:tc>
          <w:tcPr>
            <w:tcW w:w="1820" w:type="dxa"/>
            <w:vAlign w:val="bottom"/>
            <w:tcBorders>
              <w:right w:val="single" w:sz="8" w:color="auto"/>
            </w:tcBorders>
            <w:vMerge w:val="continue"/>
          </w:tcPr>
          <w:p>
            <w:pPr>
              <w:spacing w:after="0"/>
              <w:rPr>
                <w:sz w:val="5"/>
                <w:szCs w:val="5"/>
                <w:color w:val="auto"/>
              </w:rPr>
            </w:pPr>
          </w:p>
        </w:tc>
        <w:tc>
          <w:tcPr>
            <w:tcW w:w="2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Discounted</w:t>
            </w:r>
          </w:p>
        </w:tc>
        <w:tc>
          <w:tcPr>
            <w:tcW w:w="2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Discount rate</w:t>
            </w:r>
          </w:p>
        </w:tc>
        <w:tc>
          <w:tcPr>
            <w:tcW w:w="2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12.0% (12.0)%</w:t>
            </w:r>
          </w:p>
        </w:tc>
        <w:tc>
          <w:tcPr>
            <w:tcW w:w="0" w:type="dxa"/>
            <w:vAlign w:val="bottom"/>
          </w:tcPr>
          <w:p>
            <w:pPr>
              <w:spacing w:after="0"/>
              <w:rPr>
                <w:sz w:val="1"/>
                <w:szCs w:val="1"/>
                <w:color w:val="auto"/>
              </w:rPr>
            </w:pPr>
          </w:p>
        </w:tc>
      </w:tr>
      <w:tr>
        <w:trPr>
          <w:trHeight w:val="108"/>
        </w:trPr>
        <w:tc>
          <w:tcPr>
            <w:tcW w:w="2900" w:type="dxa"/>
            <w:vAlign w:val="bottom"/>
            <w:tcBorders>
              <w:left w:val="single" w:sz="8" w:color="auto"/>
              <w:right w:val="single" w:sz="8" w:color="auto"/>
            </w:tcBorders>
            <w:vMerge w:val="continue"/>
          </w:tcPr>
          <w:p>
            <w:pPr>
              <w:spacing w:after="0"/>
              <w:rPr>
                <w:sz w:val="9"/>
                <w:szCs w:val="9"/>
                <w:color w:val="auto"/>
              </w:rPr>
            </w:pPr>
          </w:p>
        </w:tc>
        <w:tc>
          <w:tcPr>
            <w:tcW w:w="1820" w:type="dxa"/>
            <w:vAlign w:val="bottom"/>
            <w:tcBorders>
              <w:right w:val="single" w:sz="8" w:color="auto"/>
            </w:tcBorders>
          </w:tcPr>
          <w:p>
            <w:pPr>
              <w:spacing w:after="0"/>
              <w:rPr>
                <w:sz w:val="9"/>
                <w:szCs w:val="9"/>
                <w:color w:val="auto"/>
              </w:rPr>
            </w:pPr>
          </w:p>
        </w:tc>
        <w:tc>
          <w:tcPr>
            <w:tcW w:w="2060" w:type="dxa"/>
            <w:vAlign w:val="bottom"/>
            <w:tcBorders>
              <w:right w:val="single" w:sz="8" w:color="auto"/>
            </w:tcBorders>
            <w:vMerge w:val="continue"/>
          </w:tcPr>
          <w:p>
            <w:pPr>
              <w:spacing w:after="0"/>
              <w:rPr>
                <w:sz w:val="9"/>
                <w:szCs w:val="9"/>
                <w:color w:val="auto"/>
              </w:rPr>
            </w:pPr>
          </w:p>
        </w:tc>
        <w:tc>
          <w:tcPr>
            <w:tcW w:w="2500" w:type="dxa"/>
            <w:vAlign w:val="bottom"/>
            <w:tcBorders>
              <w:right w:val="single" w:sz="8" w:color="auto"/>
            </w:tcBorders>
            <w:vMerge w:val="continue"/>
          </w:tcPr>
          <w:p>
            <w:pPr>
              <w:spacing w:after="0"/>
              <w:rPr>
                <w:sz w:val="9"/>
                <w:szCs w:val="9"/>
                <w:color w:val="auto"/>
              </w:rPr>
            </w:pPr>
          </w:p>
        </w:tc>
        <w:tc>
          <w:tcPr>
            <w:tcW w:w="21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2900" w:type="dxa"/>
            <w:vAlign w:val="bottom"/>
            <w:tcBorders>
              <w:left w:val="single" w:sz="8" w:color="auto"/>
              <w:right w:val="single" w:sz="8" w:color="auto"/>
            </w:tcBorders>
          </w:tcPr>
          <w:p>
            <w:pPr>
              <w:spacing w:after="0"/>
              <w:rPr>
                <w:sz w:val="5"/>
                <w:szCs w:val="5"/>
                <w:color w:val="auto"/>
              </w:rPr>
            </w:pPr>
          </w:p>
        </w:tc>
        <w:tc>
          <w:tcPr>
            <w:tcW w:w="1820" w:type="dxa"/>
            <w:vAlign w:val="bottom"/>
            <w:tcBorders>
              <w:right w:val="single" w:sz="8" w:color="auto"/>
            </w:tcBorders>
          </w:tcPr>
          <w:p>
            <w:pPr>
              <w:spacing w:after="0"/>
              <w:rPr>
                <w:sz w:val="5"/>
                <w:szCs w:val="5"/>
                <w:color w:val="auto"/>
              </w:rPr>
            </w:pPr>
          </w:p>
        </w:tc>
        <w:tc>
          <w:tcPr>
            <w:tcW w:w="2060" w:type="dxa"/>
            <w:vAlign w:val="bottom"/>
            <w:tcBorders>
              <w:right w:val="single" w:sz="8" w:color="auto"/>
            </w:tcBorders>
            <w:vMerge w:val="continue"/>
          </w:tcPr>
          <w:p>
            <w:pPr>
              <w:spacing w:after="0"/>
              <w:rPr>
                <w:sz w:val="5"/>
                <w:szCs w:val="5"/>
                <w:color w:val="auto"/>
              </w:rPr>
            </w:pPr>
          </w:p>
        </w:tc>
        <w:tc>
          <w:tcPr>
            <w:tcW w:w="2500" w:type="dxa"/>
            <w:vAlign w:val="bottom"/>
            <w:tcBorders>
              <w:right w:val="single" w:sz="8" w:color="auto"/>
            </w:tcBorders>
            <w:vMerge w:val="continue"/>
          </w:tcPr>
          <w:p>
            <w:pPr>
              <w:spacing w:after="0"/>
              <w:rPr>
                <w:sz w:val="5"/>
                <w:szCs w:val="5"/>
                <w:color w:val="auto"/>
              </w:rPr>
            </w:pPr>
          </w:p>
        </w:tc>
        <w:tc>
          <w:tcPr>
            <w:tcW w:w="216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
        </w:trPr>
        <w:tc>
          <w:tcPr>
            <w:tcW w:w="2900" w:type="dxa"/>
            <w:vAlign w:val="bottom"/>
            <w:tcBorders>
              <w:left w:val="single" w:sz="8" w:color="auto"/>
              <w:right w:val="single" w:sz="8" w:color="auto"/>
            </w:tcBorders>
          </w:tcPr>
          <w:p>
            <w:pPr>
              <w:spacing w:after="0"/>
              <w:rPr>
                <w:sz w:val="2"/>
                <w:szCs w:val="2"/>
                <w:color w:val="auto"/>
              </w:rPr>
            </w:pPr>
          </w:p>
        </w:tc>
        <w:tc>
          <w:tcPr>
            <w:tcW w:w="1820" w:type="dxa"/>
            <w:vAlign w:val="bottom"/>
            <w:tcBorders>
              <w:right w:val="single" w:sz="8" w:color="auto"/>
            </w:tcBorders>
          </w:tcPr>
          <w:p>
            <w:pPr>
              <w:spacing w:after="0"/>
              <w:rPr>
                <w:sz w:val="2"/>
                <w:szCs w:val="2"/>
                <w:color w:val="auto"/>
              </w:rPr>
            </w:pPr>
          </w:p>
        </w:tc>
        <w:tc>
          <w:tcPr>
            <w:tcW w:w="2060" w:type="dxa"/>
            <w:vAlign w:val="bottom"/>
            <w:tcBorders>
              <w:right w:val="single" w:sz="8" w:color="auto"/>
            </w:tcBorders>
            <w:vMerge w:val="continue"/>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2900" w:type="dxa"/>
            <w:vAlign w:val="bottom"/>
            <w:tcBorders>
              <w:left w:val="single" w:sz="8" w:color="auto"/>
              <w:right w:val="single" w:sz="8" w:color="auto"/>
            </w:tcBorders>
          </w:tcPr>
          <w:p>
            <w:pPr>
              <w:spacing w:after="0"/>
              <w:rPr>
                <w:sz w:val="6"/>
                <w:szCs w:val="6"/>
                <w:color w:val="auto"/>
              </w:rPr>
            </w:pPr>
          </w:p>
        </w:tc>
        <w:tc>
          <w:tcPr>
            <w:tcW w:w="1820" w:type="dxa"/>
            <w:vAlign w:val="bottom"/>
            <w:tcBorders>
              <w:right w:val="single" w:sz="8" w:color="auto"/>
            </w:tcBorders>
          </w:tcPr>
          <w:p>
            <w:pPr>
              <w:spacing w:after="0"/>
              <w:rPr>
                <w:sz w:val="6"/>
                <w:szCs w:val="6"/>
                <w:color w:val="auto"/>
              </w:rPr>
            </w:pPr>
          </w:p>
        </w:tc>
        <w:tc>
          <w:tcPr>
            <w:tcW w:w="2060" w:type="dxa"/>
            <w:vAlign w:val="bottom"/>
            <w:tcBorders>
              <w:right w:val="single" w:sz="8" w:color="auto"/>
            </w:tcBorders>
            <w:vMerge w:val="continue"/>
          </w:tcPr>
          <w:p>
            <w:pPr>
              <w:spacing w:after="0"/>
              <w:rPr>
                <w:sz w:val="6"/>
                <w:szCs w:val="6"/>
                <w:color w:val="auto"/>
              </w:rPr>
            </w:pPr>
          </w:p>
        </w:tc>
        <w:tc>
          <w:tcPr>
            <w:tcW w:w="2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Long-term revenue</w:t>
            </w:r>
          </w:p>
        </w:tc>
        <w:tc>
          <w:tcPr>
            <w:tcW w:w="21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900" w:type="dxa"/>
            <w:vAlign w:val="bottom"/>
            <w:tcBorders>
              <w:left w:val="single" w:sz="8" w:color="auto"/>
              <w:right w:val="single" w:sz="8" w:color="auto"/>
            </w:tcBorders>
          </w:tcPr>
          <w:p>
            <w:pPr>
              <w:spacing w:after="0"/>
              <w:rPr>
                <w:sz w:val="18"/>
                <w:szCs w:val="18"/>
                <w:color w:val="auto"/>
              </w:rPr>
            </w:pPr>
          </w:p>
        </w:tc>
        <w:tc>
          <w:tcPr>
            <w:tcW w:w="1820" w:type="dxa"/>
            <w:vAlign w:val="bottom"/>
            <w:tcBorders>
              <w:right w:val="single" w:sz="8" w:color="auto"/>
            </w:tcBorders>
          </w:tcPr>
          <w:p>
            <w:pPr>
              <w:spacing w:after="0"/>
              <w:rPr>
                <w:sz w:val="18"/>
                <w:szCs w:val="18"/>
                <w:color w:val="auto"/>
              </w:rPr>
            </w:pPr>
          </w:p>
        </w:tc>
        <w:tc>
          <w:tcPr>
            <w:tcW w:w="2060" w:type="dxa"/>
            <w:vAlign w:val="bottom"/>
            <w:tcBorders>
              <w:right w:val="single" w:sz="8" w:color="auto"/>
            </w:tcBorders>
          </w:tcPr>
          <w:p>
            <w:pPr>
              <w:jc w:val="center"/>
              <w:spacing w:after="0" w:line="217" w:lineRule="exact"/>
              <w:rPr>
                <w:sz w:val="20"/>
                <w:szCs w:val="20"/>
                <w:color w:val="auto"/>
              </w:rPr>
            </w:pPr>
            <w:r>
              <w:rPr>
                <w:rFonts w:ascii="Arial" w:cs="Arial" w:eastAsia="Arial" w:hAnsi="Arial"/>
                <w:sz w:val="18"/>
                <w:szCs w:val="18"/>
                <w:color w:val="auto"/>
                <w:w w:val="87"/>
              </w:rPr>
              <w:t>Cash Flow</w:t>
            </w:r>
            <w:r>
              <w:rPr>
                <w:rFonts w:ascii="Arial" w:cs="Arial" w:eastAsia="Arial" w:hAnsi="Arial"/>
                <w:sz w:val="25"/>
                <w:szCs w:val="25"/>
                <w:color w:val="auto"/>
                <w:w w:val="87"/>
                <w:vertAlign w:val="superscript"/>
              </w:rPr>
              <w:t>(2)</w:t>
            </w:r>
          </w:p>
        </w:tc>
        <w:tc>
          <w:tcPr>
            <w:tcW w:w="2500" w:type="dxa"/>
            <w:vAlign w:val="bottom"/>
            <w:tcBorders>
              <w:right w:val="single" w:sz="8" w:color="auto"/>
            </w:tcBorders>
            <w:vMerge w:val="continue"/>
          </w:tcPr>
          <w:p>
            <w:pPr>
              <w:spacing w:after="0"/>
              <w:rPr>
                <w:sz w:val="18"/>
                <w:szCs w:val="18"/>
                <w:color w:val="auto"/>
              </w:rPr>
            </w:pP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0.0% (0.0)%</w:t>
            </w:r>
          </w:p>
        </w:tc>
        <w:tc>
          <w:tcPr>
            <w:tcW w:w="0" w:type="dxa"/>
            <w:vAlign w:val="bottom"/>
          </w:tcPr>
          <w:p>
            <w:pPr>
              <w:spacing w:after="0"/>
              <w:rPr>
                <w:sz w:val="1"/>
                <w:szCs w:val="1"/>
                <w:color w:val="auto"/>
              </w:rPr>
            </w:pPr>
          </w:p>
        </w:tc>
      </w:tr>
      <w:tr>
        <w:trPr>
          <w:trHeight w:val="189"/>
        </w:trPr>
        <w:tc>
          <w:tcPr>
            <w:tcW w:w="2900" w:type="dxa"/>
            <w:vAlign w:val="bottom"/>
            <w:tcBorders>
              <w:left w:val="single" w:sz="8" w:color="auto"/>
              <w:bottom w:val="single" w:sz="8" w:color="auto"/>
              <w:right w:val="single" w:sz="8" w:color="auto"/>
            </w:tcBorders>
          </w:tcPr>
          <w:p>
            <w:pPr>
              <w:spacing w:after="0"/>
              <w:rPr>
                <w:sz w:val="16"/>
                <w:szCs w:val="16"/>
                <w:color w:val="auto"/>
              </w:rPr>
            </w:pPr>
          </w:p>
        </w:tc>
        <w:tc>
          <w:tcPr>
            <w:tcW w:w="1820" w:type="dxa"/>
            <w:vAlign w:val="bottom"/>
            <w:tcBorders>
              <w:bottom w:val="single" w:sz="8" w:color="auto"/>
              <w:right w:val="single" w:sz="8" w:color="auto"/>
            </w:tcBorders>
          </w:tcPr>
          <w:p>
            <w:pPr>
              <w:spacing w:after="0"/>
              <w:rPr>
                <w:sz w:val="16"/>
                <w:szCs w:val="16"/>
                <w:color w:val="auto"/>
              </w:rPr>
            </w:pPr>
          </w:p>
        </w:tc>
        <w:tc>
          <w:tcPr>
            <w:tcW w:w="2060" w:type="dxa"/>
            <w:vAlign w:val="bottom"/>
            <w:tcBorders>
              <w:bottom w:val="single" w:sz="8" w:color="auto"/>
              <w:right w:val="single" w:sz="8" w:color="auto"/>
            </w:tcBorders>
          </w:tcPr>
          <w:p>
            <w:pPr>
              <w:spacing w:after="0"/>
              <w:rPr>
                <w:sz w:val="16"/>
                <w:szCs w:val="16"/>
                <w:color w:val="auto"/>
              </w:rPr>
            </w:pPr>
          </w:p>
        </w:tc>
        <w:tc>
          <w:tcPr>
            <w:tcW w:w="2500" w:type="dxa"/>
            <w:vAlign w:val="bottom"/>
            <w:tcBorders>
              <w:bottom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96"/>
              </w:rPr>
              <w:t>growth</w:t>
            </w:r>
          </w:p>
        </w:tc>
        <w:tc>
          <w:tcPr>
            <w:tcW w:w="21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900" w:type="dxa"/>
            <w:vAlign w:val="bottom"/>
            <w:tcBorders>
              <w:left w:val="single" w:sz="8" w:color="auto"/>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Precedent transactions</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7"/>
        </w:trPr>
        <w:tc>
          <w:tcPr>
            <w:tcW w:w="2900" w:type="dxa"/>
            <w:vAlign w:val="bottom"/>
            <w:tcBorders>
              <w:left w:val="single" w:sz="8" w:color="auto"/>
              <w:right w:val="single" w:sz="8" w:color="auto"/>
            </w:tcBorders>
          </w:tcPr>
          <w:p>
            <w:pPr>
              <w:spacing w:after="0"/>
              <w:rPr>
                <w:sz w:val="2"/>
                <w:szCs w:val="2"/>
                <w:color w:val="auto"/>
              </w:rPr>
            </w:pPr>
          </w:p>
        </w:tc>
        <w:tc>
          <w:tcPr>
            <w:tcW w:w="1820" w:type="dxa"/>
            <w:vAlign w:val="bottom"/>
            <w:tcBorders>
              <w:right w:val="single" w:sz="8" w:color="auto"/>
            </w:tcBorders>
          </w:tcPr>
          <w:p>
            <w:pPr>
              <w:spacing w:after="0"/>
              <w:rPr>
                <w:sz w:val="2"/>
                <w:szCs w:val="2"/>
                <w:color w:val="auto"/>
              </w:rPr>
            </w:pPr>
          </w:p>
        </w:tc>
        <w:tc>
          <w:tcPr>
            <w:tcW w:w="2060" w:type="dxa"/>
            <w:vAlign w:val="bottom"/>
            <w:tcBorders>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900" w:type="dxa"/>
            <w:vAlign w:val="bottom"/>
            <w:tcBorders>
              <w:left w:val="single" w:sz="8" w:color="auto"/>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Market approach</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Revenue multiples</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1.91x–7.08x (3.80x)</w:t>
            </w:r>
          </w:p>
        </w:tc>
        <w:tc>
          <w:tcPr>
            <w:tcW w:w="0" w:type="dxa"/>
            <w:vAlign w:val="bottom"/>
          </w:tcPr>
          <w:p>
            <w:pPr>
              <w:spacing w:after="0"/>
              <w:rPr>
                <w:sz w:val="1"/>
                <w:szCs w:val="1"/>
                <w:color w:val="auto"/>
              </w:rPr>
            </w:pPr>
          </w:p>
        </w:tc>
      </w:tr>
      <w:tr>
        <w:trPr>
          <w:trHeight w:val="27"/>
        </w:trPr>
        <w:tc>
          <w:tcPr>
            <w:tcW w:w="2900" w:type="dxa"/>
            <w:vAlign w:val="bottom"/>
            <w:tcBorders>
              <w:left w:val="single" w:sz="8" w:color="auto"/>
              <w:right w:val="single" w:sz="8" w:color="auto"/>
            </w:tcBorders>
          </w:tcPr>
          <w:p>
            <w:pPr>
              <w:spacing w:after="0"/>
              <w:rPr>
                <w:sz w:val="2"/>
                <w:szCs w:val="2"/>
                <w:color w:val="auto"/>
              </w:rPr>
            </w:pPr>
          </w:p>
        </w:tc>
        <w:tc>
          <w:tcPr>
            <w:tcW w:w="1820" w:type="dxa"/>
            <w:vAlign w:val="bottom"/>
            <w:tcBorders>
              <w:right w:val="single" w:sz="8" w:color="auto"/>
            </w:tcBorders>
          </w:tcPr>
          <w:p>
            <w:pPr>
              <w:spacing w:after="0"/>
              <w:rPr>
                <w:sz w:val="2"/>
                <w:szCs w:val="2"/>
                <w:color w:val="auto"/>
              </w:rPr>
            </w:pPr>
          </w:p>
        </w:tc>
        <w:tc>
          <w:tcPr>
            <w:tcW w:w="2060" w:type="dxa"/>
            <w:vAlign w:val="bottom"/>
            <w:tcBorders>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900" w:type="dxa"/>
            <w:vAlign w:val="bottom"/>
            <w:tcBorders>
              <w:left w:val="single" w:sz="8" w:color="auto"/>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EBIT multiples</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27.8x (27.8x)</w:t>
            </w:r>
          </w:p>
        </w:tc>
        <w:tc>
          <w:tcPr>
            <w:tcW w:w="0" w:type="dxa"/>
            <w:vAlign w:val="bottom"/>
          </w:tcPr>
          <w:p>
            <w:pPr>
              <w:spacing w:after="0"/>
              <w:rPr>
                <w:sz w:val="1"/>
                <w:szCs w:val="1"/>
                <w:color w:val="auto"/>
              </w:rPr>
            </w:pPr>
          </w:p>
        </w:tc>
      </w:tr>
      <w:tr>
        <w:trPr>
          <w:trHeight w:val="27"/>
        </w:trPr>
        <w:tc>
          <w:tcPr>
            <w:tcW w:w="2900" w:type="dxa"/>
            <w:vAlign w:val="bottom"/>
            <w:tcBorders>
              <w:left w:val="single" w:sz="8" w:color="auto"/>
              <w:right w:val="single" w:sz="8" w:color="auto"/>
            </w:tcBorders>
          </w:tcPr>
          <w:p>
            <w:pPr>
              <w:spacing w:after="0"/>
              <w:rPr>
                <w:sz w:val="2"/>
                <w:szCs w:val="2"/>
                <w:color w:val="auto"/>
              </w:rPr>
            </w:pPr>
          </w:p>
        </w:tc>
        <w:tc>
          <w:tcPr>
            <w:tcW w:w="1820" w:type="dxa"/>
            <w:vAlign w:val="bottom"/>
            <w:tcBorders>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9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Preferred stock in</w:t>
            </w: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$120,253,822</w:t>
            </w:r>
          </w:p>
        </w:tc>
        <w:tc>
          <w:tcPr>
            <w:tcW w:w="2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Discounted</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Discount rate</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12.0% (12.0)%</w:t>
            </w:r>
          </w:p>
        </w:tc>
        <w:tc>
          <w:tcPr>
            <w:tcW w:w="0" w:type="dxa"/>
            <w:vAlign w:val="bottom"/>
          </w:tcPr>
          <w:p>
            <w:pPr>
              <w:spacing w:after="0"/>
              <w:rPr>
                <w:sz w:val="1"/>
                <w:szCs w:val="1"/>
                <w:color w:val="auto"/>
              </w:rPr>
            </w:pPr>
          </w:p>
        </w:tc>
      </w:tr>
      <w:tr>
        <w:trPr>
          <w:trHeight w:val="41"/>
        </w:trPr>
        <w:tc>
          <w:tcPr>
            <w:tcW w:w="29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private companies</w:t>
            </w:r>
          </w:p>
        </w:tc>
        <w:tc>
          <w:tcPr>
            <w:tcW w:w="1820" w:type="dxa"/>
            <w:vAlign w:val="bottom"/>
            <w:tcBorders>
              <w:right w:val="single" w:sz="8" w:color="auto"/>
            </w:tcBorders>
            <w:vMerge w:val="continue"/>
          </w:tcPr>
          <w:p>
            <w:pPr>
              <w:spacing w:after="0"/>
              <w:rPr>
                <w:sz w:val="3"/>
                <w:szCs w:val="3"/>
                <w:color w:val="auto"/>
              </w:rPr>
            </w:pPr>
          </w:p>
        </w:tc>
        <w:tc>
          <w:tcPr>
            <w:tcW w:w="2060" w:type="dxa"/>
            <w:vAlign w:val="bottom"/>
            <w:tcBorders>
              <w:right w:val="single" w:sz="8" w:color="auto"/>
            </w:tcBorders>
            <w:vMerge w:val="continue"/>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1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74"/>
        </w:trPr>
        <w:tc>
          <w:tcPr>
            <w:tcW w:w="2900" w:type="dxa"/>
            <w:vAlign w:val="bottom"/>
            <w:tcBorders>
              <w:left w:val="single" w:sz="8" w:color="auto"/>
              <w:right w:val="single" w:sz="8" w:color="auto"/>
            </w:tcBorders>
            <w:vMerge w:val="continue"/>
          </w:tcPr>
          <w:p>
            <w:pPr>
              <w:spacing w:after="0"/>
              <w:rPr>
                <w:sz w:val="6"/>
                <w:szCs w:val="6"/>
                <w:color w:val="auto"/>
              </w:rPr>
            </w:pPr>
          </w:p>
        </w:tc>
        <w:tc>
          <w:tcPr>
            <w:tcW w:w="1820" w:type="dxa"/>
            <w:vAlign w:val="bottom"/>
            <w:tcBorders>
              <w:right w:val="single" w:sz="8" w:color="auto"/>
            </w:tcBorders>
            <w:vMerge w:val="continue"/>
          </w:tcPr>
          <w:p>
            <w:pPr>
              <w:spacing w:after="0"/>
              <w:rPr>
                <w:sz w:val="6"/>
                <w:szCs w:val="6"/>
                <w:color w:val="auto"/>
              </w:rPr>
            </w:pPr>
          </w:p>
        </w:tc>
        <w:tc>
          <w:tcPr>
            <w:tcW w:w="2060" w:type="dxa"/>
            <w:vAlign w:val="bottom"/>
            <w:tcBorders>
              <w:right w:val="single" w:sz="8" w:color="auto"/>
            </w:tcBorders>
            <w:vMerge w:val="continue"/>
          </w:tcPr>
          <w:p>
            <w:pPr>
              <w:spacing w:after="0"/>
              <w:rPr>
                <w:sz w:val="6"/>
                <w:szCs w:val="6"/>
                <w:color w:val="auto"/>
              </w:rPr>
            </w:pPr>
          </w:p>
        </w:tc>
        <w:tc>
          <w:tcPr>
            <w:tcW w:w="2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Long-term revenue</w:t>
            </w:r>
          </w:p>
        </w:tc>
        <w:tc>
          <w:tcPr>
            <w:tcW w:w="21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2900" w:type="dxa"/>
            <w:vAlign w:val="bottom"/>
            <w:tcBorders>
              <w:left w:val="single" w:sz="8" w:color="auto"/>
              <w:right w:val="single" w:sz="8" w:color="auto"/>
            </w:tcBorders>
            <w:vMerge w:val="continue"/>
          </w:tcPr>
          <w:p>
            <w:pPr>
              <w:spacing w:after="0"/>
              <w:rPr>
                <w:sz w:val="8"/>
                <w:szCs w:val="8"/>
                <w:color w:val="auto"/>
              </w:rPr>
            </w:pPr>
          </w:p>
        </w:tc>
        <w:tc>
          <w:tcPr>
            <w:tcW w:w="1820" w:type="dxa"/>
            <w:vAlign w:val="bottom"/>
            <w:tcBorders>
              <w:right w:val="single" w:sz="8" w:color="auto"/>
            </w:tcBorders>
          </w:tcPr>
          <w:p>
            <w:pPr>
              <w:spacing w:after="0"/>
              <w:rPr>
                <w:sz w:val="8"/>
                <w:szCs w:val="8"/>
                <w:color w:val="auto"/>
              </w:rPr>
            </w:pPr>
          </w:p>
        </w:tc>
        <w:tc>
          <w:tcPr>
            <w:tcW w:w="2060" w:type="dxa"/>
            <w:vAlign w:val="bottom"/>
            <w:tcBorders>
              <w:right w:val="single" w:sz="8" w:color="auto"/>
            </w:tcBorders>
            <w:vMerge w:val="restart"/>
          </w:tcPr>
          <w:p>
            <w:pPr>
              <w:jc w:val="center"/>
              <w:spacing w:after="0" w:line="217" w:lineRule="exact"/>
              <w:rPr>
                <w:sz w:val="20"/>
                <w:szCs w:val="20"/>
                <w:color w:val="auto"/>
              </w:rPr>
            </w:pPr>
            <w:r>
              <w:rPr>
                <w:rFonts w:ascii="Arial" w:cs="Arial" w:eastAsia="Arial" w:hAnsi="Arial"/>
                <w:sz w:val="18"/>
                <w:szCs w:val="18"/>
                <w:color w:val="auto"/>
                <w:w w:val="87"/>
              </w:rPr>
              <w:t>Cash Flow</w:t>
            </w:r>
            <w:r>
              <w:rPr>
                <w:rFonts w:ascii="Arial" w:cs="Arial" w:eastAsia="Arial" w:hAnsi="Arial"/>
                <w:sz w:val="25"/>
                <w:szCs w:val="25"/>
                <w:color w:val="auto"/>
                <w:w w:val="87"/>
                <w:vertAlign w:val="superscript"/>
              </w:rPr>
              <w:t>(2)</w:t>
            </w:r>
          </w:p>
        </w:tc>
        <w:tc>
          <w:tcPr>
            <w:tcW w:w="2500" w:type="dxa"/>
            <w:vAlign w:val="bottom"/>
            <w:tcBorders>
              <w:right w:val="single" w:sz="8" w:color="auto"/>
            </w:tcBorders>
            <w:vMerge w:val="continue"/>
          </w:tcPr>
          <w:p>
            <w:pPr>
              <w:spacing w:after="0"/>
              <w:rPr>
                <w:sz w:val="8"/>
                <w:szCs w:val="8"/>
                <w:color w:val="auto"/>
              </w:rPr>
            </w:pPr>
          </w:p>
        </w:tc>
        <w:tc>
          <w:tcPr>
            <w:tcW w:w="2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0.0% (0.0)%</w:t>
            </w:r>
          </w:p>
        </w:tc>
        <w:tc>
          <w:tcPr>
            <w:tcW w:w="0" w:type="dxa"/>
            <w:vAlign w:val="bottom"/>
          </w:tcPr>
          <w:p>
            <w:pPr>
              <w:spacing w:after="0"/>
              <w:rPr>
                <w:sz w:val="1"/>
                <w:szCs w:val="1"/>
                <w:color w:val="auto"/>
              </w:rPr>
            </w:pPr>
          </w:p>
        </w:tc>
      </w:tr>
      <w:tr>
        <w:trPr>
          <w:trHeight w:val="122"/>
        </w:trPr>
        <w:tc>
          <w:tcPr>
            <w:tcW w:w="2900" w:type="dxa"/>
            <w:vAlign w:val="bottom"/>
            <w:tcBorders>
              <w:left w:val="single" w:sz="8" w:color="auto"/>
              <w:right w:val="single" w:sz="8" w:color="auto"/>
            </w:tcBorders>
          </w:tcPr>
          <w:p>
            <w:pPr>
              <w:spacing w:after="0"/>
              <w:rPr>
                <w:sz w:val="10"/>
                <w:szCs w:val="10"/>
                <w:color w:val="auto"/>
              </w:rPr>
            </w:pPr>
          </w:p>
        </w:tc>
        <w:tc>
          <w:tcPr>
            <w:tcW w:w="1820" w:type="dxa"/>
            <w:vAlign w:val="bottom"/>
            <w:tcBorders>
              <w:right w:val="single" w:sz="8" w:color="auto"/>
            </w:tcBorders>
          </w:tcPr>
          <w:p>
            <w:pPr>
              <w:spacing w:after="0"/>
              <w:rPr>
                <w:sz w:val="10"/>
                <w:szCs w:val="10"/>
                <w:color w:val="auto"/>
              </w:rPr>
            </w:pPr>
          </w:p>
        </w:tc>
        <w:tc>
          <w:tcPr>
            <w:tcW w:w="2060" w:type="dxa"/>
            <w:vAlign w:val="bottom"/>
            <w:tcBorders>
              <w:right w:val="single" w:sz="8" w:color="auto"/>
            </w:tcBorders>
            <w:vMerge w:val="continue"/>
          </w:tcPr>
          <w:p>
            <w:pPr>
              <w:spacing w:after="0"/>
              <w:rPr>
                <w:sz w:val="10"/>
                <w:szCs w:val="10"/>
                <w:color w:val="auto"/>
              </w:rPr>
            </w:pPr>
          </w:p>
        </w:tc>
        <w:tc>
          <w:tcPr>
            <w:tcW w:w="2500" w:type="dxa"/>
            <w:vAlign w:val="bottom"/>
            <w:tcBorders>
              <w:right w:val="single" w:sz="8" w:color="auto"/>
            </w:tcBorders>
            <w:vMerge w:val="continue"/>
          </w:tcPr>
          <w:p>
            <w:pPr>
              <w:spacing w:after="0"/>
              <w:rPr>
                <w:sz w:val="10"/>
                <w:szCs w:val="10"/>
                <w:color w:val="auto"/>
              </w:rPr>
            </w:pPr>
          </w:p>
        </w:tc>
        <w:tc>
          <w:tcPr>
            <w:tcW w:w="21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900" w:type="dxa"/>
            <w:vAlign w:val="bottom"/>
            <w:tcBorders>
              <w:left w:val="single" w:sz="8" w:color="auto"/>
              <w:right w:val="single" w:sz="8" w:color="auto"/>
            </w:tcBorders>
          </w:tcPr>
          <w:p>
            <w:pPr>
              <w:spacing w:after="0"/>
              <w:rPr>
                <w:sz w:val="16"/>
                <w:szCs w:val="16"/>
                <w:color w:val="auto"/>
              </w:rPr>
            </w:pPr>
          </w:p>
        </w:tc>
        <w:tc>
          <w:tcPr>
            <w:tcW w:w="1820" w:type="dxa"/>
            <w:vAlign w:val="bottom"/>
            <w:tcBorders>
              <w:right w:val="single" w:sz="8" w:color="auto"/>
            </w:tcBorders>
          </w:tcPr>
          <w:p>
            <w:pPr>
              <w:spacing w:after="0"/>
              <w:rPr>
                <w:sz w:val="16"/>
                <w:szCs w:val="16"/>
                <w:color w:val="auto"/>
              </w:rPr>
            </w:pPr>
          </w:p>
        </w:tc>
        <w:tc>
          <w:tcPr>
            <w:tcW w:w="2060" w:type="dxa"/>
            <w:vAlign w:val="bottom"/>
            <w:tcBorders>
              <w:bottom w:val="single" w:sz="8" w:color="auto"/>
              <w:right w:val="single" w:sz="8" w:color="auto"/>
            </w:tcBorders>
          </w:tcPr>
          <w:p>
            <w:pPr>
              <w:spacing w:after="0"/>
              <w:rPr>
                <w:sz w:val="16"/>
                <w:szCs w:val="16"/>
                <w:color w:val="auto"/>
              </w:rPr>
            </w:pPr>
          </w:p>
        </w:tc>
        <w:tc>
          <w:tcPr>
            <w:tcW w:w="2500" w:type="dxa"/>
            <w:vAlign w:val="bottom"/>
            <w:tcBorders>
              <w:bottom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96"/>
              </w:rPr>
              <w:t>growth</w:t>
            </w:r>
          </w:p>
        </w:tc>
        <w:tc>
          <w:tcPr>
            <w:tcW w:w="21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900" w:type="dxa"/>
            <w:vAlign w:val="bottom"/>
            <w:tcBorders>
              <w:left w:val="single" w:sz="8" w:color="auto"/>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PWERM</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Liquidation value</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7"/>
        </w:trPr>
        <w:tc>
          <w:tcPr>
            <w:tcW w:w="2900" w:type="dxa"/>
            <w:vAlign w:val="bottom"/>
            <w:tcBorders>
              <w:left w:val="single" w:sz="8" w:color="auto"/>
              <w:right w:val="single" w:sz="8" w:color="auto"/>
            </w:tcBorders>
          </w:tcPr>
          <w:p>
            <w:pPr>
              <w:spacing w:after="0"/>
              <w:rPr>
                <w:sz w:val="2"/>
                <w:szCs w:val="2"/>
                <w:color w:val="auto"/>
              </w:rPr>
            </w:pPr>
          </w:p>
        </w:tc>
        <w:tc>
          <w:tcPr>
            <w:tcW w:w="1820" w:type="dxa"/>
            <w:vAlign w:val="bottom"/>
            <w:tcBorders>
              <w:right w:val="single" w:sz="8" w:color="auto"/>
            </w:tcBorders>
          </w:tcPr>
          <w:p>
            <w:pPr>
              <w:spacing w:after="0"/>
              <w:rPr>
                <w:sz w:val="2"/>
                <w:szCs w:val="2"/>
                <w:color w:val="auto"/>
              </w:rPr>
            </w:pPr>
          </w:p>
        </w:tc>
        <w:tc>
          <w:tcPr>
            <w:tcW w:w="2060" w:type="dxa"/>
            <w:vAlign w:val="bottom"/>
            <w:tcBorders>
              <w:right w:val="single" w:sz="8" w:color="auto"/>
            </w:tcBorders>
            <w:vMerge w:val="continue"/>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2900" w:type="dxa"/>
            <w:vAlign w:val="bottom"/>
            <w:tcBorders>
              <w:left w:val="single" w:sz="8" w:color="auto"/>
              <w:right w:val="single" w:sz="8" w:color="auto"/>
            </w:tcBorders>
          </w:tcPr>
          <w:p>
            <w:pPr>
              <w:spacing w:after="0"/>
              <w:rPr>
                <w:sz w:val="7"/>
                <w:szCs w:val="7"/>
                <w:color w:val="auto"/>
              </w:rPr>
            </w:pPr>
          </w:p>
        </w:tc>
        <w:tc>
          <w:tcPr>
            <w:tcW w:w="1820" w:type="dxa"/>
            <w:vAlign w:val="bottom"/>
            <w:tcBorders>
              <w:right w:val="single" w:sz="8" w:color="auto"/>
            </w:tcBorders>
          </w:tcPr>
          <w:p>
            <w:pPr>
              <w:spacing w:after="0"/>
              <w:rPr>
                <w:sz w:val="7"/>
                <w:szCs w:val="7"/>
                <w:color w:val="auto"/>
              </w:rPr>
            </w:pPr>
          </w:p>
        </w:tc>
        <w:tc>
          <w:tcPr>
            <w:tcW w:w="2060" w:type="dxa"/>
            <w:vAlign w:val="bottom"/>
            <w:tcBorders>
              <w:right w:val="single" w:sz="8" w:color="auto"/>
            </w:tcBorders>
            <w:vMerge w:val="continue"/>
          </w:tcPr>
          <w:p>
            <w:pPr>
              <w:spacing w:after="0"/>
              <w:rPr>
                <w:sz w:val="7"/>
                <w:szCs w:val="7"/>
                <w:color w:val="auto"/>
              </w:rPr>
            </w:pPr>
          </w:p>
        </w:tc>
        <w:tc>
          <w:tcPr>
            <w:tcW w:w="2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Revenue multiples</w:t>
            </w:r>
          </w:p>
        </w:tc>
        <w:tc>
          <w:tcPr>
            <w:tcW w:w="2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2.28x–4.60x (3.23x)</w:t>
            </w:r>
          </w:p>
        </w:tc>
        <w:tc>
          <w:tcPr>
            <w:tcW w:w="0" w:type="dxa"/>
            <w:vAlign w:val="bottom"/>
          </w:tcPr>
          <w:p>
            <w:pPr>
              <w:spacing w:after="0"/>
              <w:rPr>
                <w:sz w:val="1"/>
                <w:szCs w:val="1"/>
                <w:color w:val="auto"/>
              </w:rPr>
            </w:pPr>
          </w:p>
        </w:tc>
      </w:tr>
      <w:tr>
        <w:trPr>
          <w:trHeight w:val="149"/>
        </w:trPr>
        <w:tc>
          <w:tcPr>
            <w:tcW w:w="2900" w:type="dxa"/>
            <w:vAlign w:val="bottom"/>
            <w:tcBorders>
              <w:left w:val="single" w:sz="8" w:color="auto"/>
              <w:right w:val="single" w:sz="8" w:color="auto"/>
            </w:tcBorders>
          </w:tcPr>
          <w:p>
            <w:pPr>
              <w:spacing w:after="0"/>
              <w:rPr>
                <w:sz w:val="12"/>
                <w:szCs w:val="12"/>
                <w:color w:val="auto"/>
              </w:rPr>
            </w:pPr>
          </w:p>
        </w:tc>
        <w:tc>
          <w:tcPr>
            <w:tcW w:w="1820" w:type="dxa"/>
            <w:vAlign w:val="bottom"/>
            <w:tcBorders>
              <w:right w:val="single" w:sz="8" w:color="auto"/>
            </w:tcBorders>
          </w:tcPr>
          <w:p>
            <w:pPr>
              <w:spacing w:after="0"/>
              <w:rPr>
                <w:sz w:val="12"/>
                <w:szCs w:val="12"/>
                <w:color w:val="auto"/>
              </w:rPr>
            </w:pPr>
          </w:p>
        </w:tc>
        <w:tc>
          <w:tcPr>
            <w:tcW w:w="2060" w:type="dxa"/>
            <w:vAlign w:val="bottom"/>
            <w:tcBorders>
              <w:right w:val="single" w:sz="8" w:color="auto"/>
            </w:tcBorders>
          </w:tcPr>
          <w:p>
            <w:pPr>
              <w:spacing w:after="0"/>
              <w:rPr>
                <w:sz w:val="12"/>
                <w:szCs w:val="12"/>
                <w:color w:val="auto"/>
              </w:rPr>
            </w:pPr>
          </w:p>
        </w:tc>
        <w:tc>
          <w:tcPr>
            <w:tcW w:w="2500" w:type="dxa"/>
            <w:vAlign w:val="bottom"/>
            <w:tcBorders>
              <w:right w:val="single" w:sz="8" w:color="auto"/>
            </w:tcBorders>
            <w:vMerge w:val="continue"/>
          </w:tcPr>
          <w:p>
            <w:pPr>
              <w:spacing w:after="0"/>
              <w:rPr>
                <w:sz w:val="12"/>
                <w:szCs w:val="12"/>
                <w:color w:val="auto"/>
              </w:rPr>
            </w:pPr>
          </w:p>
        </w:tc>
        <w:tc>
          <w:tcPr>
            <w:tcW w:w="21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900" w:type="dxa"/>
            <w:vAlign w:val="bottom"/>
            <w:tcBorders>
              <w:left w:val="single" w:sz="8" w:color="auto"/>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900" w:type="dxa"/>
            <w:vAlign w:val="bottom"/>
            <w:tcBorders>
              <w:left w:val="single" w:sz="8" w:color="auto"/>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Market approach</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Liquidation value</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7"/>
        </w:trPr>
        <w:tc>
          <w:tcPr>
            <w:tcW w:w="2900" w:type="dxa"/>
            <w:vAlign w:val="bottom"/>
            <w:tcBorders>
              <w:left w:val="single" w:sz="8" w:color="auto"/>
              <w:right w:val="single" w:sz="8" w:color="auto"/>
            </w:tcBorders>
          </w:tcPr>
          <w:p>
            <w:pPr>
              <w:spacing w:after="0"/>
              <w:rPr>
                <w:sz w:val="2"/>
                <w:szCs w:val="2"/>
                <w:color w:val="auto"/>
              </w:rPr>
            </w:pPr>
          </w:p>
        </w:tc>
        <w:tc>
          <w:tcPr>
            <w:tcW w:w="1820" w:type="dxa"/>
            <w:vAlign w:val="bottom"/>
            <w:tcBorders>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9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Debt investments</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$4,916,578</w:t>
            </w:r>
          </w:p>
        </w:tc>
        <w:tc>
          <w:tcPr>
            <w:tcW w:w="2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PWERM</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Revenue multiples</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3.04x–4.60x (3.84x)</w:t>
            </w:r>
          </w:p>
        </w:tc>
        <w:tc>
          <w:tcPr>
            <w:tcW w:w="0" w:type="dxa"/>
            <w:vAlign w:val="bottom"/>
          </w:tcPr>
          <w:p>
            <w:pPr>
              <w:spacing w:after="0"/>
              <w:rPr>
                <w:sz w:val="1"/>
                <w:szCs w:val="1"/>
                <w:color w:val="auto"/>
              </w:rPr>
            </w:pPr>
          </w:p>
        </w:tc>
      </w:tr>
      <w:tr>
        <w:trPr>
          <w:trHeight w:val="27"/>
        </w:trPr>
        <w:tc>
          <w:tcPr>
            <w:tcW w:w="2900" w:type="dxa"/>
            <w:vAlign w:val="bottom"/>
            <w:tcBorders>
              <w:left w:val="single" w:sz="8" w:color="auto"/>
              <w:right w:val="single" w:sz="8" w:color="auto"/>
            </w:tcBorders>
          </w:tcPr>
          <w:p>
            <w:pPr>
              <w:spacing w:after="0"/>
              <w:rPr>
                <w:sz w:val="2"/>
                <w:szCs w:val="2"/>
                <w:color w:val="auto"/>
              </w:rPr>
            </w:pPr>
          </w:p>
        </w:tc>
        <w:tc>
          <w:tcPr>
            <w:tcW w:w="1820" w:type="dxa"/>
            <w:vAlign w:val="bottom"/>
            <w:tcBorders>
              <w:right w:val="single" w:sz="8" w:color="auto"/>
            </w:tcBorders>
          </w:tcPr>
          <w:p>
            <w:pPr>
              <w:spacing w:after="0"/>
              <w:rPr>
                <w:sz w:val="2"/>
                <w:szCs w:val="2"/>
                <w:color w:val="auto"/>
              </w:rPr>
            </w:pPr>
          </w:p>
        </w:tc>
        <w:tc>
          <w:tcPr>
            <w:tcW w:w="2060" w:type="dxa"/>
            <w:vAlign w:val="bottom"/>
            <w:tcBorders>
              <w:right w:val="single" w:sz="8" w:color="auto"/>
            </w:tcBorders>
            <w:vMerge w:val="continue"/>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2900" w:type="dxa"/>
            <w:vAlign w:val="bottom"/>
            <w:tcBorders>
              <w:left w:val="single" w:sz="8" w:color="auto"/>
              <w:right w:val="single" w:sz="8" w:color="auto"/>
            </w:tcBorders>
          </w:tcPr>
          <w:p>
            <w:pPr>
              <w:spacing w:after="0"/>
              <w:rPr>
                <w:sz w:val="7"/>
                <w:szCs w:val="7"/>
                <w:color w:val="auto"/>
              </w:rPr>
            </w:pPr>
          </w:p>
        </w:tc>
        <w:tc>
          <w:tcPr>
            <w:tcW w:w="1820" w:type="dxa"/>
            <w:vAlign w:val="bottom"/>
            <w:tcBorders>
              <w:right w:val="single" w:sz="8" w:color="auto"/>
            </w:tcBorders>
          </w:tcPr>
          <w:p>
            <w:pPr>
              <w:spacing w:after="0"/>
              <w:rPr>
                <w:sz w:val="7"/>
                <w:szCs w:val="7"/>
                <w:color w:val="auto"/>
              </w:rPr>
            </w:pPr>
          </w:p>
        </w:tc>
        <w:tc>
          <w:tcPr>
            <w:tcW w:w="2060" w:type="dxa"/>
            <w:vAlign w:val="bottom"/>
            <w:tcBorders>
              <w:right w:val="single" w:sz="8" w:color="auto"/>
            </w:tcBorders>
            <w:vMerge w:val="continue"/>
          </w:tcPr>
          <w:p>
            <w:pPr>
              <w:spacing w:after="0"/>
              <w:rPr>
                <w:sz w:val="7"/>
                <w:szCs w:val="7"/>
                <w:color w:val="auto"/>
              </w:rPr>
            </w:pPr>
          </w:p>
        </w:tc>
        <w:tc>
          <w:tcPr>
            <w:tcW w:w="2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Liquidation value</w:t>
            </w:r>
          </w:p>
        </w:tc>
        <w:tc>
          <w:tcPr>
            <w:tcW w:w="2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149"/>
        </w:trPr>
        <w:tc>
          <w:tcPr>
            <w:tcW w:w="2900" w:type="dxa"/>
            <w:vAlign w:val="bottom"/>
            <w:tcBorders>
              <w:left w:val="single" w:sz="8" w:color="auto"/>
              <w:right w:val="single" w:sz="8" w:color="auto"/>
            </w:tcBorders>
          </w:tcPr>
          <w:p>
            <w:pPr>
              <w:spacing w:after="0"/>
              <w:rPr>
                <w:sz w:val="12"/>
                <w:szCs w:val="12"/>
                <w:color w:val="auto"/>
              </w:rPr>
            </w:pPr>
          </w:p>
        </w:tc>
        <w:tc>
          <w:tcPr>
            <w:tcW w:w="1820" w:type="dxa"/>
            <w:vAlign w:val="bottom"/>
            <w:tcBorders>
              <w:right w:val="single" w:sz="8" w:color="auto"/>
            </w:tcBorders>
          </w:tcPr>
          <w:p>
            <w:pPr>
              <w:spacing w:after="0"/>
              <w:rPr>
                <w:sz w:val="12"/>
                <w:szCs w:val="12"/>
                <w:color w:val="auto"/>
              </w:rPr>
            </w:pPr>
          </w:p>
        </w:tc>
        <w:tc>
          <w:tcPr>
            <w:tcW w:w="2060" w:type="dxa"/>
            <w:vAlign w:val="bottom"/>
            <w:tcBorders>
              <w:right w:val="single" w:sz="8" w:color="auto"/>
            </w:tcBorders>
          </w:tcPr>
          <w:p>
            <w:pPr>
              <w:spacing w:after="0"/>
              <w:rPr>
                <w:sz w:val="12"/>
                <w:szCs w:val="12"/>
                <w:color w:val="auto"/>
              </w:rPr>
            </w:pPr>
          </w:p>
        </w:tc>
        <w:tc>
          <w:tcPr>
            <w:tcW w:w="2500" w:type="dxa"/>
            <w:vAlign w:val="bottom"/>
            <w:tcBorders>
              <w:right w:val="single" w:sz="8" w:color="auto"/>
            </w:tcBorders>
            <w:vMerge w:val="continue"/>
          </w:tcPr>
          <w:p>
            <w:pPr>
              <w:spacing w:after="0"/>
              <w:rPr>
                <w:sz w:val="12"/>
                <w:szCs w:val="12"/>
                <w:color w:val="auto"/>
              </w:rPr>
            </w:pPr>
          </w:p>
        </w:tc>
        <w:tc>
          <w:tcPr>
            <w:tcW w:w="21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900" w:type="dxa"/>
            <w:vAlign w:val="bottom"/>
            <w:tcBorders>
              <w:left w:val="single" w:sz="8" w:color="auto"/>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9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7"/>
              </w:rPr>
              <w:t>Warrants</w:t>
            </w: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$433,997</w:t>
            </w:r>
          </w:p>
        </w:tc>
        <w:tc>
          <w:tcPr>
            <w:tcW w:w="2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Option pricing model</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Term to expiration (Years)</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0.2-3.0 (2.2)</w:t>
            </w:r>
          </w:p>
        </w:tc>
        <w:tc>
          <w:tcPr>
            <w:tcW w:w="0" w:type="dxa"/>
            <w:vAlign w:val="bottom"/>
          </w:tcPr>
          <w:p>
            <w:pPr>
              <w:spacing w:after="0"/>
              <w:rPr>
                <w:sz w:val="1"/>
                <w:szCs w:val="1"/>
                <w:color w:val="auto"/>
              </w:rPr>
            </w:pPr>
          </w:p>
        </w:tc>
      </w:tr>
      <w:tr>
        <w:trPr>
          <w:trHeight w:val="27"/>
        </w:trPr>
        <w:tc>
          <w:tcPr>
            <w:tcW w:w="2900" w:type="dxa"/>
            <w:vAlign w:val="bottom"/>
            <w:tcBorders>
              <w:left w:val="single" w:sz="8" w:color="auto"/>
              <w:right w:val="single" w:sz="8" w:color="auto"/>
            </w:tcBorders>
            <w:vMerge w:val="continue"/>
          </w:tcPr>
          <w:p>
            <w:pPr>
              <w:spacing w:after="0"/>
              <w:rPr>
                <w:sz w:val="2"/>
                <w:szCs w:val="2"/>
                <w:color w:val="auto"/>
              </w:rPr>
            </w:pPr>
          </w:p>
        </w:tc>
        <w:tc>
          <w:tcPr>
            <w:tcW w:w="1820" w:type="dxa"/>
            <w:vAlign w:val="bottom"/>
            <w:tcBorders>
              <w:right w:val="single" w:sz="8" w:color="auto"/>
            </w:tcBorders>
            <w:vMerge w:val="continue"/>
          </w:tcPr>
          <w:p>
            <w:pPr>
              <w:spacing w:after="0"/>
              <w:rPr>
                <w:sz w:val="2"/>
                <w:szCs w:val="2"/>
                <w:color w:val="auto"/>
              </w:rPr>
            </w:pPr>
          </w:p>
        </w:tc>
        <w:tc>
          <w:tcPr>
            <w:tcW w:w="2060" w:type="dxa"/>
            <w:vAlign w:val="bottom"/>
            <w:tcBorders>
              <w:right w:val="single" w:sz="8" w:color="auto"/>
            </w:tcBorders>
            <w:vMerge w:val="continue"/>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2900" w:type="dxa"/>
            <w:vAlign w:val="bottom"/>
            <w:tcBorders>
              <w:left w:val="single" w:sz="8" w:color="auto"/>
              <w:right w:val="single" w:sz="8" w:color="auto"/>
            </w:tcBorders>
            <w:vMerge w:val="continue"/>
          </w:tcPr>
          <w:p>
            <w:pPr>
              <w:spacing w:after="0"/>
              <w:rPr>
                <w:sz w:val="7"/>
                <w:szCs w:val="7"/>
                <w:color w:val="auto"/>
              </w:rPr>
            </w:pPr>
          </w:p>
        </w:tc>
        <w:tc>
          <w:tcPr>
            <w:tcW w:w="1820" w:type="dxa"/>
            <w:vAlign w:val="bottom"/>
            <w:tcBorders>
              <w:right w:val="single" w:sz="8" w:color="auto"/>
            </w:tcBorders>
            <w:vMerge w:val="continue"/>
          </w:tcPr>
          <w:p>
            <w:pPr>
              <w:spacing w:after="0"/>
              <w:rPr>
                <w:sz w:val="7"/>
                <w:szCs w:val="7"/>
                <w:color w:val="auto"/>
              </w:rPr>
            </w:pPr>
          </w:p>
        </w:tc>
        <w:tc>
          <w:tcPr>
            <w:tcW w:w="2060" w:type="dxa"/>
            <w:vAlign w:val="bottom"/>
            <w:tcBorders>
              <w:right w:val="single" w:sz="8" w:color="auto"/>
            </w:tcBorders>
            <w:vMerge w:val="continue"/>
          </w:tcPr>
          <w:p>
            <w:pPr>
              <w:spacing w:after="0"/>
              <w:rPr>
                <w:sz w:val="7"/>
                <w:szCs w:val="7"/>
                <w:color w:val="auto"/>
              </w:rPr>
            </w:pPr>
          </w:p>
        </w:tc>
        <w:tc>
          <w:tcPr>
            <w:tcW w:w="2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Volatility</w:t>
            </w:r>
          </w:p>
        </w:tc>
        <w:tc>
          <w:tcPr>
            <w:tcW w:w="2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18.8%–51.6% (36.5)%</w:t>
            </w:r>
          </w:p>
        </w:tc>
        <w:tc>
          <w:tcPr>
            <w:tcW w:w="0" w:type="dxa"/>
            <w:vAlign w:val="bottom"/>
          </w:tcPr>
          <w:p>
            <w:pPr>
              <w:spacing w:after="0"/>
              <w:rPr>
                <w:sz w:val="1"/>
                <w:szCs w:val="1"/>
                <w:color w:val="auto"/>
              </w:rPr>
            </w:pPr>
          </w:p>
        </w:tc>
      </w:tr>
      <w:tr>
        <w:trPr>
          <w:trHeight w:val="149"/>
        </w:trPr>
        <w:tc>
          <w:tcPr>
            <w:tcW w:w="2900" w:type="dxa"/>
            <w:vAlign w:val="bottom"/>
            <w:tcBorders>
              <w:left w:val="single" w:sz="8" w:color="auto"/>
              <w:right w:val="single" w:sz="8" w:color="auto"/>
            </w:tcBorders>
          </w:tcPr>
          <w:p>
            <w:pPr>
              <w:spacing w:after="0"/>
              <w:rPr>
                <w:sz w:val="12"/>
                <w:szCs w:val="12"/>
                <w:color w:val="auto"/>
              </w:rPr>
            </w:pPr>
          </w:p>
        </w:tc>
        <w:tc>
          <w:tcPr>
            <w:tcW w:w="1820" w:type="dxa"/>
            <w:vAlign w:val="bottom"/>
            <w:tcBorders>
              <w:right w:val="single" w:sz="8" w:color="auto"/>
            </w:tcBorders>
          </w:tcPr>
          <w:p>
            <w:pPr>
              <w:spacing w:after="0"/>
              <w:rPr>
                <w:sz w:val="12"/>
                <w:szCs w:val="12"/>
                <w:color w:val="auto"/>
              </w:rPr>
            </w:pPr>
          </w:p>
        </w:tc>
        <w:tc>
          <w:tcPr>
            <w:tcW w:w="2060" w:type="dxa"/>
            <w:vAlign w:val="bottom"/>
            <w:tcBorders>
              <w:right w:val="single" w:sz="8" w:color="auto"/>
            </w:tcBorders>
          </w:tcPr>
          <w:p>
            <w:pPr>
              <w:spacing w:after="0"/>
              <w:rPr>
                <w:sz w:val="12"/>
                <w:szCs w:val="12"/>
                <w:color w:val="auto"/>
              </w:rPr>
            </w:pPr>
          </w:p>
        </w:tc>
        <w:tc>
          <w:tcPr>
            <w:tcW w:w="2500" w:type="dxa"/>
            <w:vAlign w:val="bottom"/>
            <w:tcBorders>
              <w:right w:val="single" w:sz="8" w:color="auto"/>
            </w:tcBorders>
            <w:vMerge w:val="continue"/>
          </w:tcPr>
          <w:p>
            <w:pPr>
              <w:spacing w:after="0"/>
              <w:rPr>
                <w:sz w:val="12"/>
                <w:szCs w:val="12"/>
                <w:color w:val="auto"/>
              </w:rPr>
            </w:pPr>
          </w:p>
        </w:tc>
        <w:tc>
          <w:tcPr>
            <w:tcW w:w="21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900" w:type="dxa"/>
            <w:vAlign w:val="bottom"/>
            <w:tcBorders>
              <w:left w:val="single" w:sz="8" w:color="auto"/>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________________________</w:t>
      </w:r>
    </w:p>
    <w:p>
      <w:pPr>
        <w:spacing w:after="0" w:line="116" w:lineRule="exact"/>
        <w:rPr>
          <w:sz w:val="20"/>
          <w:szCs w:val="20"/>
          <w:color w:val="auto"/>
        </w:rPr>
      </w:pPr>
    </w:p>
    <w:p>
      <w:pPr>
        <w:ind w:left="660" w:right="100" w:hanging="652"/>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 of December 31, 2017, the Company used a hybrid market and income approach to value certain common and preferred stock investments as the Company felt this approach better reflected the fair value of these investments. By</w:t>
      </w:r>
    </w:p>
    <w:p>
      <w:pPr>
        <w:spacing w:after="0" w:line="19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40"/>
          </w:cols>
          <w:pgMar w:left="240" w:top="121" w:right="21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2018</w:t>
      </w:r>
    </w:p>
    <w:p>
      <w:pPr>
        <w:spacing w:after="0" w:line="373" w:lineRule="exact"/>
        <w:rPr>
          <w:sz w:val="20"/>
          <w:szCs w:val="20"/>
          <w:color w:val="auto"/>
        </w:rPr>
      </w:pPr>
    </w:p>
    <w:p>
      <w:pPr>
        <w:ind w:left="660" w:right="80"/>
        <w:spacing w:after="0" w:line="364" w:lineRule="auto"/>
        <w:rPr>
          <w:sz w:val="20"/>
          <w:szCs w:val="20"/>
          <w:color w:val="auto"/>
        </w:rPr>
      </w:pPr>
      <w:r>
        <w:rPr>
          <w:rFonts w:ascii="Arial" w:cs="Arial" w:eastAsia="Arial" w:hAnsi="Arial"/>
          <w:sz w:val="16"/>
          <w:szCs w:val="16"/>
          <w:color w:val="auto"/>
        </w:rPr>
        <w:t>considering multiple valuation approaches (and consequently, multiple valuation techniques), the valuation approaches and techniques are not likely to change from one period of measurement to the next; however, the weighting of each in determining the final fair value of a Level 3 investment may change based on recent events or transactions. Refer to “Note 2—Significant Accounting Policies—</w:t>
      </w:r>
      <w:r>
        <w:rPr>
          <w:rFonts w:ascii="Arial" w:cs="Arial" w:eastAsia="Arial" w:hAnsi="Arial"/>
          <w:sz w:val="16"/>
          <w:szCs w:val="16"/>
          <w:i w:val="1"/>
          <w:iCs w:val="1"/>
          <w:color w:val="auto"/>
        </w:rPr>
        <w:t>Investments at Fair Value</w:t>
      </w:r>
      <w:r>
        <w:rPr>
          <w:rFonts w:ascii="Arial" w:cs="Arial" w:eastAsia="Arial" w:hAnsi="Arial"/>
          <w:sz w:val="16"/>
          <w:szCs w:val="16"/>
          <w:color w:val="auto"/>
        </w:rPr>
        <w:t>” for more detail.</w:t>
      </w:r>
    </w:p>
    <w:p>
      <w:pPr>
        <w:spacing w:after="0" w:line="14" w:lineRule="exact"/>
        <w:rPr>
          <w:sz w:val="20"/>
          <w:szCs w:val="20"/>
          <w:color w:val="auto"/>
        </w:rPr>
      </w:pPr>
    </w:p>
    <w:p>
      <w:pPr>
        <w:ind w:left="660" w:right="40" w:hanging="652"/>
        <w:spacing w:after="0" w:line="288"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Company considers all relevant information that can reasonably be obtained when determining the fair value of Level 3 investments. Due to any given portfolio company’s information rights, changes in capital structure, recent events, transactions, or liquidity events, the type and availability of unobservable inputs may change. Increases (decreases) in revenue multiples, earnings before interest and taxes (“EBIT”) multiples, time to expiration, and stock price/strike price would result in higher (lower) fair values all else equal. Decreases (increases) in discount rates, volatility, and annual risk rates, would result in higher (lower) fair values all else equal. The market approach utilizes market value (revenue and EBIT) multiples of publicly traded comparable companies and available precedent sales transactions of comparable companies. The Company carefully considers numerous factors when selecting the appropriate companies whose multiples are used to value its portfolio companies. These factors include, but are not limited to, the type of organization, similarity to the business being valued, relevant risk factors, as well as size, profitability and growth expectations. In general, precedent transactions include recent rounds of financing, recent purchases made by the Company, and tender offers. Refer to “Note 2—Significant Accounting Policies—</w:t>
      </w:r>
      <w:r>
        <w:rPr>
          <w:rFonts w:ascii="Arial" w:cs="Arial" w:eastAsia="Arial" w:hAnsi="Arial"/>
          <w:sz w:val="16"/>
          <w:szCs w:val="16"/>
          <w:i w:val="1"/>
          <w:iCs w:val="1"/>
          <w:color w:val="auto"/>
        </w:rPr>
        <w:t>Investments at Fair Value</w:t>
      </w:r>
      <w:r>
        <w:rPr>
          <w:rFonts w:ascii="Arial" w:cs="Arial" w:eastAsia="Arial" w:hAnsi="Arial"/>
          <w:sz w:val="16"/>
          <w:szCs w:val="16"/>
          <w:color w:val="auto"/>
        </w:rPr>
        <w:t>” for more detail.</w:t>
      </w:r>
    </w:p>
    <w:p>
      <w:pPr>
        <w:spacing w:after="0" w:line="8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aggregate values of Level 3 assets and liabilities changed during the nine months ended September 30, 2018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Nine Months Ended September 30, 2018</w:t>
            </w: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92"/>
              </w:rPr>
              <w:t>Common</w:t>
            </w:r>
          </w:p>
        </w:tc>
        <w:tc>
          <w:tcPr>
            <w:tcW w:w="280" w:type="dxa"/>
            <w:vAlign w:val="bottom"/>
          </w:tcPr>
          <w:p>
            <w:pPr>
              <w:spacing w:after="0"/>
              <w:rPr>
                <w:sz w:val="13"/>
                <w:szCs w:val="13"/>
                <w:color w:val="auto"/>
              </w:rPr>
            </w:pPr>
          </w:p>
        </w:tc>
        <w:tc>
          <w:tcPr>
            <w:tcW w:w="132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3"/>
              </w:rPr>
              <w:t>Preferred</w:t>
            </w:r>
          </w:p>
        </w:tc>
        <w:tc>
          <w:tcPr>
            <w:tcW w:w="240" w:type="dxa"/>
            <w:vAlign w:val="bottom"/>
          </w:tcPr>
          <w:p>
            <w:pPr>
              <w:spacing w:after="0"/>
              <w:rPr>
                <w:sz w:val="13"/>
                <w:szCs w:val="13"/>
                <w:color w:val="auto"/>
              </w:rPr>
            </w:pPr>
          </w:p>
        </w:tc>
        <w:tc>
          <w:tcPr>
            <w:tcW w:w="134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6"/>
              </w:rPr>
              <w:t>Debt</w:t>
            </w:r>
          </w:p>
        </w:tc>
        <w:tc>
          <w:tcPr>
            <w:tcW w:w="420" w:type="dxa"/>
            <w:vAlign w:val="bottom"/>
          </w:tcPr>
          <w:p>
            <w:pPr>
              <w:spacing w:after="0"/>
              <w:rPr>
                <w:sz w:val="13"/>
                <w:szCs w:val="13"/>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Warrants</w:t>
            </w:r>
          </w:p>
        </w:tc>
        <w:tc>
          <w:tcPr>
            <w:tcW w:w="300" w:type="dxa"/>
            <w:vAlign w:val="bottom"/>
          </w:tcPr>
          <w:p>
            <w:pPr>
              <w:spacing w:after="0"/>
              <w:rPr>
                <w:sz w:val="13"/>
                <w:szCs w:val="13"/>
                <w:color w:val="auto"/>
              </w:rPr>
            </w:pPr>
          </w:p>
        </w:tc>
        <w:tc>
          <w:tcPr>
            <w:tcW w:w="118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Stock</w:t>
            </w:r>
          </w:p>
        </w:tc>
        <w:tc>
          <w:tcPr>
            <w:tcW w:w="280" w:type="dxa"/>
            <w:vAlign w:val="bottom"/>
          </w:tcPr>
          <w:p>
            <w:pPr>
              <w:spacing w:after="0"/>
              <w:rPr>
                <w:sz w:val="16"/>
                <w:szCs w:val="16"/>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Stock</w:t>
            </w:r>
          </w:p>
        </w:tc>
        <w:tc>
          <w:tcPr>
            <w:tcW w:w="240" w:type="dxa"/>
            <w:vAlign w:val="bottom"/>
          </w:tcPr>
          <w:p>
            <w:pPr>
              <w:spacing w:after="0"/>
              <w:rPr>
                <w:sz w:val="16"/>
                <w:szCs w:val="16"/>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Investments</w:t>
            </w:r>
          </w:p>
        </w:tc>
        <w:tc>
          <w:tcPr>
            <w:tcW w:w="4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Fair Value as of December 31, 2017</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86,824,096</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120,253,822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4,916,578</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433,997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212,428,493</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Transfers out of Level 3</w:t>
            </w:r>
            <w:r>
              <w:rPr>
                <w:rFonts w:ascii="Arial" w:cs="Arial" w:eastAsia="Arial" w:hAnsi="Arial"/>
                <w:sz w:val="25"/>
                <w:szCs w:val="25"/>
                <w:color w:val="auto"/>
                <w:vertAlign w:val="superscript"/>
              </w:rPr>
              <w:t>(1)</w:t>
            </w:r>
          </w:p>
        </w:tc>
        <w:tc>
          <w:tcPr>
            <w:tcW w:w="30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(41,707,506)</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(7,734,804)</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(49,442,310)</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Purchases, capitalized fees and interest</w:t>
            </w:r>
          </w:p>
        </w:tc>
        <w:tc>
          <w:tcPr>
            <w:tcW w:w="30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6,431,508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2,177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467,140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30,647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6,931,472</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Sales/Maturity of investments</w:t>
            </w:r>
            <w:r>
              <w:rPr>
                <w:rFonts w:ascii="Arial" w:cs="Arial" w:eastAsia="Arial" w:hAnsi="Arial"/>
                <w:sz w:val="25"/>
                <w:szCs w:val="25"/>
                <w:color w:val="auto"/>
                <w:vertAlign w:val="superscript"/>
              </w:rPr>
              <w:t>(2)</w:t>
            </w:r>
          </w:p>
        </w:tc>
        <w:tc>
          <w:tcPr>
            <w:tcW w:w="30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(6,910,798)</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(16,958,428)</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(592,129)</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(24,461,355)</w:t>
            </w:r>
          </w:p>
        </w:tc>
        <w:tc>
          <w:tcPr>
            <w:tcW w:w="0" w:type="dxa"/>
            <w:vAlign w:val="bottom"/>
          </w:tcPr>
          <w:p>
            <w:pPr>
              <w:spacing w:after="0"/>
              <w:rPr>
                <w:sz w:val="1"/>
                <w:szCs w:val="1"/>
                <w:color w:val="auto"/>
              </w:rPr>
            </w:pPr>
          </w:p>
        </w:tc>
      </w:tr>
      <w:tr>
        <w:trPr>
          <w:trHeight w:val="270"/>
        </w:trPr>
        <w:tc>
          <w:tcPr>
            <w:tcW w:w="3540" w:type="dxa"/>
            <w:vAlign w:val="bottom"/>
          </w:tcPr>
          <w:p>
            <w:pPr>
              <w:ind w:left="40"/>
              <w:spacing w:after="0" w:line="270" w:lineRule="exact"/>
              <w:rPr>
                <w:sz w:val="20"/>
                <w:szCs w:val="20"/>
                <w:color w:val="auto"/>
              </w:rPr>
            </w:pPr>
            <w:r>
              <w:rPr>
                <w:rFonts w:ascii="Arial" w:cs="Arial" w:eastAsia="Arial" w:hAnsi="Arial"/>
                <w:sz w:val="18"/>
                <w:szCs w:val="18"/>
                <w:color w:val="auto"/>
              </w:rPr>
              <w:t>Exercises and conversions</w:t>
            </w:r>
            <w:r>
              <w:rPr>
                <w:rFonts w:ascii="Arial" w:cs="Arial" w:eastAsia="Arial" w:hAnsi="Arial"/>
                <w:sz w:val="25"/>
                <w:szCs w:val="25"/>
                <w:color w:val="auto"/>
                <w:vertAlign w:val="superscript"/>
              </w:rPr>
              <w:t>(1)</w:t>
            </w:r>
          </w:p>
        </w:tc>
        <w:tc>
          <w:tcPr>
            <w:tcW w:w="300" w:type="dxa"/>
            <w:vAlign w:val="bottom"/>
          </w:tcPr>
          <w:p>
            <w:pPr>
              <w:spacing w:after="0"/>
              <w:rPr>
                <w:sz w:val="23"/>
                <w:szCs w:val="23"/>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5,537,205</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(5,514,077)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(23,128)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Amortization of fixed income security</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premiums and discounts</w:t>
            </w:r>
          </w:p>
        </w:tc>
        <w:tc>
          <w:tcPr>
            <w:tcW w:w="3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25,909</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25,909</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Realized gains/(losses)</w:t>
            </w: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(1,567,122)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(10,458,567)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(680)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(12,026,369)</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change in unrealized appreciation/</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(depreciation) included in earnings</w:t>
            </w:r>
          </w:p>
        </w:tc>
        <w:tc>
          <w:tcPr>
            <w:tcW w:w="3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(1,974,137)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18,941,341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275,949</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456,046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17,699,199</w:t>
            </w:r>
          </w:p>
        </w:tc>
        <w:tc>
          <w:tcPr>
            <w:tcW w:w="0" w:type="dxa"/>
            <w:vAlign w:val="bottom"/>
          </w:tcPr>
          <w:p>
            <w:pPr>
              <w:spacing w:after="0"/>
              <w:rPr>
                <w:sz w:val="1"/>
                <w:szCs w:val="1"/>
                <w:color w:val="auto"/>
              </w:rPr>
            </w:pPr>
          </w:p>
        </w:tc>
      </w:tr>
      <w:tr>
        <w:trPr>
          <w:trHeight w:val="297"/>
        </w:trPr>
        <w:tc>
          <w:tcPr>
            <w:tcW w:w="35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Fair Value as of September 30, 2018</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46,633,246</w:t>
            </w:r>
          </w:p>
        </w:tc>
        <w:tc>
          <w:tcPr>
            <w:tcW w:w="120" w:type="dxa"/>
            <w:vAlign w:val="bottom"/>
            <w:tcBorders>
              <w:top w:val="single" w:sz="8" w:color="CCEEFF"/>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98,531,464</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5,092,767</w:t>
            </w:r>
          </w:p>
        </w:tc>
        <w:tc>
          <w:tcPr>
            <w:tcW w:w="10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897,562</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151,155,039</w:t>
            </w:r>
          </w:p>
        </w:tc>
        <w:tc>
          <w:tcPr>
            <w:tcW w:w="0" w:type="dxa"/>
            <w:vAlign w:val="bottom"/>
          </w:tcPr>
          <w:p>
            <w:pPr>
              <w:spacing w:after="0"/>
              <w:rPr>
                <w:sz w:val="1"/>
                <w:szCs w:val="1"/>
                <w:color w:val="auto"/>
              </w:rPr>
            </w:pPr>
          </w:p>
        </w:tc>
      </w:tr>
      <w:tr>
        <w:trPr>
          <w:trHeight w:val="189"/>
        </w:trPr>
        <w:tc>
          <w:tcPr>
            <w:tcW w:w="354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Net change in unrealized appreciation/</w:t>
            </w:r>
          </w:p>
        </w:tc>
        <w:tc>
          <w:tcPr>
            <w:tcW w:w="3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of Level 3 investments still</w:t>
            </w: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1,380,236</w:t>
            </w:r>
          </w:p>
        </w:tc>
        <w:tc>
          <w:tcPr>
            <w:tcW w:w="12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3,222,804</w:t>
            </w:r>
          </w:p>
        </w:tc>
        <w:tc>
          <w:tcPr>
            <w:tcW w:w="100" w:type="dxa"/>
            <w:vAlign w:val="bottom"/>
            <w:shd w:val="clear" w:color="auto" w:fill="CCEEFF"/>
          </w:tcPr>
          <w:p>
            <w:pPr>
              <w:spacing w:after="0"/>
              <w:rPr>
                <w:sz w:val="18"/>
                <w:szCs w:val="18"/>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275,259</w:t>
            </w:r>
          </w:p>
        </w:tc>
        <w:tc>
          <w:tcPr>
            <w:tcW w:w="100" w:type="dxa"/>
            <w:vAlign w:val="bottom"/>
            <w:shd w:val="clear" w:color="auto" w:fill="CCEEFF"/>
          </w:tcPr>
          <w:p>
            <w:pPr>
              <w:spacing w:after="0"/>
              <w:rPr>
                <w:sz w:val="18"/>
                <w:szCs w:val="18"/>
                <w:color w:val="auto"/>
              </w:rPr>
            </w:pPr>
          </w:p>
        </w:tc>
        <w:tc>
          <w:tcPr>
            <w:tcW w:w="420" w:type="dxa"/>
            <w:vAlign w:val="bottom"/>
            <w:vMerge w:val="restart"/>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479,175</w:t>
            </w:r>
          </w:p>
        </w:tc>
        <w:tc>
          <w:tcPr>
            <w:tcW w:w="100" w:type="dxa"/>
            <w:vAlign w:val="bottom"/>
            <w:shd w:val="clear" w:color="auto" w:fill="CCEEFF"/>
          </w:tcPr>
          <w:p>
            <w:pPr>
              <w:spacing w:after="0"/>
              <w:rPr>
                <w:sz w:val="18"/>
                <w:szCs w:val="18"/>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5,357,474</w:t>
            </w:r>
          </w:p>
        </w:tc>
        <w:tc>
          <w:tcPr>
            <w:tcW w:w="0" w:type="dxa"/>
            <w:vAlign w:val="bottom"/>
          </w:tcPr>
          <w:p>
            <w:pPr>
              <w:spacing w:after="0"/>
              <w:rPr>
                <w:sz w:val="1"/>
                <w:szCs w:val="1"/>
                <w:color w:val="auto"/>
              </w:rPr>
            </w:pPr>
          </w:p>
        </w:tc>
      </w:tr>
      <w:tr>
        <w:trPr>
          <w:trHeight w:val="237"/>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held as of September 30, 2018</w:t>
            </w: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________________________</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 During the nine months ended September 30, 2018, the Company’s portfolio investments had the following corporate actions which are reflected above:</w:t>
      </w:r>
    </w:p>
    <w:p>
      <w:pPr>
        <w:spacing w:after="0" w:line="280"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2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Portfolio Company</w:t>
            </w:r>
          </w:p>
        </w:tc>
        <w:tc>
          <w:tcPr>
            <w:tcW w:w="100" w:type="dxa"/>
            <w:vAlign w:val="bottom"/>
            <w:tcBorders>
              <w:bottom w:val="single" w:sz="8" w:color="CCEEFF"/>
            </w:tcBorders>
          </w:tcPr>
          <w:p>
            <w:pPr>
              <w:spacing w:after="0"/>
              <w:rPr>
                <w:sz w:val="16"/>
                <w:szCs w:val="16"/>
                <w:color w:val="auto"/>
              </w:rPr>
            </w:pPr>
          </w:p>
        </w:tc>
        <w:tc>
          <w:tcPr>
            <w:tcW w:w="4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Conversion from</w:t>
            </w:r>
          </w:p>
        </w:tc>
        <w:tc>
          <w:tcPr>
            <w:tcW w:w="120" w:type="dxa"/>
            <w:vAlign w:val="bottom"/>
            <w:tcBorders>
              <w:bottom w:val="single" w:sz="8" w:color="CCEEFF"/>
            </w:tcBorders>
          </w:tcPr>
          <w:p>
            <w:pPr>
              <w:spacing w:after="0"/>
              <w:rPr>
                <w:sz w:val="16"/>
                <w:szCs w:val="16"/>
                <w:color w:val="auto"/>
              </w:rPr>
            </w:pPr>
          </w:p>
        </w:tc>
        <w:tc>
          <w:tcPr>
            <w:tcW w:w="3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Conversion to</w:t>
            </w:r>
          </w:p>
        </w:tc>
      </w:tr>
      <w:tr>
        <w:trPr>
          <w:trHeight w:val="250"/>
        </w:trPr>
        <w:tc>
          <w:tcPr>
            <w:tcW w:w="2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Dropbox, Inc.</w:t>
            </w:r>
          </w:p>
        </w:tc>
        <w:tc>
          <w:tcPr>
            <w:tcW w:w="48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Preferred shares, Series A-1 &amp; Common shares</w:t>
            </w:r>
          </w:p>
        </w:tc>
        <w:tc>
          <w:tcPr>
            <w:tcW w:w="3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Public Common Shares (Level 2)</w:t>
            </w:r>
          </w:p>
        </w:tc>
      </w:tr>
      <w:tr>
        <w:trPr>
          <w:trHeight w:val="243"/>
        </w:trPr>
        <w:tc>
          <w:tcPr>
            <w:tcW w:w="2460" w:type="dxa"/>
            <w:vAlign w:val="bottom"/>
            <w:gridSpan w:val="2"/>
          </w:tcPr>
          <w:p>
            <w:pPr>
              <w:ind w:left="20"/>
              <w:spacing w:after="0"/>
              <w:rPr>
                <w:sz w:val="20"/>
                <w:szCs w:val="20"/>
                <w:color w:val="auto"/>
              </w:rPr>
            </w:pPr>
            <w:r>
              <w:rPr>
                <w:rFonts w:ascii="Arial" w:cs="Arial" w:eastAsia="Arial" w:hAnsi="Arial"/>
                <w:sz w:val="18"/>
                <w:szCs w:val="18"/>
                <w:color w:val="auto"/>
              </w:rPr>
              <w:t>Spotify Technology S.A.</w:t>
            </w:r>
          </w:p>
        </w:tc>
        <w:tc>
          <w:tcPr>
            <w:tcW w:w="482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Common shares</w:t>
            </w:r>
          </w:p>
        </w:tc>
        <w:tc>
          <w:tcPr>
            <w:tcW w:w="3400" w:type="dxa"/>
            <w:vAlign w:val="bottom"/>
          </w:tcPr>
          <w:p>
            <w:pPr>
              <w:jc w:val="center"/>
              <w:spacing w:after="0"/>
              <w:rPr>
                <w:sz w:val="20"/>
                <w:szCs w:val="20"/>
                <w:color w:val="auto"/>
              </w:rPr>
            </w:pPr>
            <w:r>
              <w:rPr>
                <w:rFonts w:ascii="Arial" w:cs="Arial" w:eastAsia="Arial" w:hAnsi="Arial"/>
                <w:sz w:val="18"/>
                <w:szCs w:val="18"/>
                <w:color w:val="auto"/>
                <w:w w:val="90"/>
              </w:rPr>
              <w:t>Public Common Shares (Level 1)</w:t>
            </w:r>
          </w:p>
        </w:tc>
      </w:tr>
      <w:tr>
        <w:trPr>
          <w:trHeight w:val="27"/>
        </w:trPr>
        <w:tc>
          <w:tcPr>
            <w:tcW w:w="2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0" w:type="dxa"/>
            <w:vAlign w:val="bottom"/>
          </w:tcPr>
          <w:p>
            <w:pPr>
              <w:spacing w:after="0"/>
              <w:rPr>
                <w:sz w:val="2"/>
                <w:szCs w:val="2"/>
                <w:color w:val="auto"/>
              </w:rPr>
            </w:pPr>
          </w:p>
        </w:tc>
      </w:tr>
      <w:tr>
        <w:trPr>
          <w:trHeight w:val="243"/>
        </w:trPr>
        <w:tc>
          <w:tcPr>
            <w:tcW w:w="2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Curious.com, Inc.</w:t>
            </w:r>
          </w:p>
        </w:tc>
        <w:tc>
          <w:tcPr>
            <w:tcW w:w="48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Preferred shares, Series B</w:t>
            </w:r>
          </w:p>
        </w:tc>
        <w:tc>
          <w:tcPr>
            <w:tcW w:w="3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Common shares</w:t>
            </w:r>
          </w:p>
        </w:tc>
      </w:tr>
      <w:tr>
        <w:trPr>
          <w:trHeight w:val="27"/>
        </w:trPr>
        <w:tc>
          <w:tcPr>
            <w:tcW w:w="2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4764405</wp:posOffset>
            </wp:positionH>
            <wp:positionV relativeFrom="paragraph">
              <wp:posOffset>-522605</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1711960</wp:posOffset>
            </wp:positionH>
            <wp:positionV relativeFrom="paragraph">
              <wp:posOffset>-522605</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4" w:lineRule="exact"/>
        <w:rPr>
          <w:sz w:val="20"/>
          <w:szCs w:val="20"/>
          <w:color w:val="auto"/>
        </w:rPr>
      </w:pPr>
    </w:p>
    <w:p>
      <w:pPr>
        <w:ind w:left="340" w:right="720" w:hanging="332"/>
        <w:spacing w:after="0" w:line="277"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Sales of investments includes escrow proceeds receivable of approximately $2.5 million from the sale of the Company’s investments in General Assembly Space, Inc., Lytro, Inc., SugarCRM, Inc., and DreamBox Learning, Inc.</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2018</w:t>
      </w:r>
    </w:p>
    <w:p>
      <w:pPr>
        <w:spacing w:after="0" w:line="23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aggregate values of Level 3 assets and liabilities changed during the year ended December 31, 2017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the Year Ended December 31, 2017</w:t>
            </w: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92"/>
              </w:rPr>
              <w:t>Common</w:t>
            </w:r>
          </w:p>
        </w:tc>
        <w:tc>
          <w:tcPr>
            <w:tcW w:w="280" w:type="dxa"/>
            <w:vAlign w:val="bottom"/>
          </w:tcPr>
          <w:p>
            <w:pPr>
              <w:spacing w:after="0"/>
              <w:rPr>
                <w:sz w:val="13"/>
                <w:szCs w:val="13"/>
                <w:color w:val="auto"/>
              </w:rPr>
            </w:pPr>
          </w:p>
        </w:tc>
        <w:tc>
          <w:tcPr>
            <w:tcW w:w="132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3"/>
              </w:rPr>
              <w:t>Preferred</w:t>
            </w:r>
          </w:p>
        </w:tc>
        <w:tc>
          <w:tcPr>
            <w:tcW w:w="240" w:type="dxa"/>
            <w:vAlign w:val="bottom"/>
          </w:tcPr>
          <w:p>
            <w:pPr>
              <w:spacing w:after="0"/>
              <w:rPr>
                <w:sz w:val="13"/>
                <w:szCs w:val="13"/>
                <w:color w:val="auto"/>
              </w:rPr>
            </w:pPr>
          </w:p>
        </w:tc>
        <w:tc>
          <w:tcPr>
            <w:tcW w:w="134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6"/>
              </w:rPr>
              <w:t>Debt</w:t>
            </w:r>
          </w:p>
        </w:tc>
        <w:tc>
          <w:tcPr>
            <w:tcW w:w="400" w:type="dxa"/>
            <w:vAlign w:val="bottom"/>
          </w:tcPr>
          <w:p>
            <w:pPr>
              <w:spacing w:after="0"/>
              <w:rPr>
                <w:sz w:val="13"/>
                <w:szCs w:val="13"/>
                <w:color w:val="auto"/>
              </w:rPr>
            </w:pPr>
          </w:p>
        </w:tc>
        <w:tc>
          <w:tcPr>
            <w:tcW w:w="11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Warrants</w:t>
            </w:r>
          </w:p>
        </w:tc>
        <w:tc>
          <w:tcPr>
            <w:tcW w:w="300" w:type="dxa"/>
            <w:vAlign w:val="bottom"/>
          </w:tcPr>
          <w:p>
            <w:pPr>
              <w:spacing w:after="0"/>
              <w:rPr>
                <w:sz w:val="13"/>
                <w:szCs w:val="13"/>
                <w:color w:val="auto"/>
              </w:rPr>
            </w:pPr>
          </w:p>
        </w:tc>
        <w:tc>
          <w:tcPr>
            <w:tcW w:w="118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Stock</w:t>
            </w:r>
          </w:p>
        </w:tc>
        <w:tc>
          <w:tcPr>
            <w:tcW w:w="280" w:type="dxa"/>
            <w:vAlign w:val="bottom"/>
          </w:tcPr>
          <w:p>
            <w:pPr>
              <w:spacing w:after="0"/>
              <w:rPr>
                <w:sz w:val="16"/>
                <w:szCs w:val="16"/>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Stock</w:t>
            </w:r>
          </w:p>
        </w:tc>
        <w:tc>
          <w:tcPr>
            <w:tcW w:w="240" w:type="dxa"/>
            <w:vAlign w:val="bottom"/>
          </w:tcPr>
          <w:p>
            <w:pPr>
              <w:spacing w:after="0"/>
              <w:rPr>
                <w:sz w:val="16"/>
                <w:szCs w:val="16"/>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Investments</w:t>
            </w:r>
          </w:p>
        </w:tc>
        <w:tc>
          <w:tcPr>
            <w:tcW w:w="4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Fair Value as of December 31, 2016</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83,074,410</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162,238,879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7,821,948</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150,904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253,286,141</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Transfers into Level 3</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(2,184,565)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(2,184,565)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(4,369,130)</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Purchases, capitalized fees and interest</w:t>
            </w:r>
          </w:p>
        </w:tc>
        <w:tc>
          <w:tcPr>
            <w:tcW w:w="30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60,649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126,824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226,449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70,379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484,301</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Sales of investments </w:t>
            </w:r>
            <w:r>
              <w:rPr>
                <w:rFonts w:ascii="Arial" w:cs="Arial" w:eastAsia="Arial" w:hAnsi="Arial"/>
                <w:sz w:val="25"/>
                <w:szCs w:val="25"/>
                <w:color w:val="auto"/>
                <w:vertAlign w:val="superscript"/>
              </w:rPr>
              <w:t>(2)</w:t>
            </w:r>
          </w:p>
        </w:tc>
        <w:tc>
          <w:tcPr>
            <w:tcW w:w="30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(17,986,251)</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(45,369,628)</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(70,379)</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(63,426,258)</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Realized gains/(losses)</w:t>
            </w: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(10,440,384)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9,433,159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(335,688)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(31,930)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(1,374,843)</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w w:val="99"/>
              </w:rPr>
              <w:t xml:space="preserve">Exercises, conversions and assignments </w:t>
            </w:r>
            <w:r>
              <w:rPr>
                <w:rFonts w:ascii="Arial" w:cs="Arial" w:eastAsia="Arial" w:hAnsi="Arial"/>
                <w:sz w:val="25"/>
                <w:szCs w:val="25"/>
                <w:color w:val="auto"/>
                <w:w w:val="99"/>
                <w:vertAlign w:val="superscript"/>
              </w:rPr>
              <w:t>(1)</w:t>
            </w:r>
          </w:p>
        </w:tc>
        <w:tc>
          <w:tcPr>
            <w:tcW w:w="3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2,506,119</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(2,506,119)</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40" w:type="dxa"/>
            <w:vAlign w:val="bottom"/>
          </w:tcPr>
          <w:p>
            <w:pPr>
              <w:ind w:left="40"/>
              <w:spacing w:after="0"/>
              <w:rPr>
                <w:sz w:val="20"/>
                <w:szCs w:val="20"/>
                <w:color w:val="auto"/>
              </w:rPr>
            </w:pPr>
            <w:r>
              <w:rPr>
                <w:rFonts w:ascii="Arial" w:cs="Arial" w:eastAsia="Arial" w:hAnsi="Arial"/>
                <w:sz w:val="18"/>
                <w:szCs w:val="18"/>
                <w:color w:val="auto"/>
              </w:rPr>
              <w:t>Amortization of fixed income security</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200"/>
              <w:spacing w:after="0"/>
              <w:rPr>
                <w:sz w:val="20"/>
                <w:szCs w:val="20"/>
                <w:color w:val="auto"/>
              </w:rPr>
            </w:pPr>
            <w:r>
              <w:rPr>
                <w:rFonts w:ascii="Arial" w:cs="Arial" w:eastAsia="Arial" w:hAnsi="Arial"/>
                <w:sz w:val="18"/>
                <w:szCs w:val="18"/>
                <w:color w:val="auto"/>
              </w:rPr>
              <w:t>premiums and discounts</w:t>
            </w:r>
          </w:p>
        </w:tc>
        <w:tc>
          <w:tcPr>
            <w:tcW w:w="30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139,544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139,544</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Net change in unrealized depreciation included</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 earnings</w:t>
            </w:r>
          </w:p>
        </w:tc>
        <w:tc>
          <w:tcPr>
            <w:tcW w:w="3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31,794,118</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(1,484,728)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(2,865,296)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244,644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27,688,736</w:t>
            </w:r>
          </w:p>
        </w:tc>
        <w:tc>
          <w:tcPr>
            <w:tcW w:w="0" w:type="dxa"/>
            <w:vAlign w:val="bottom"/>
          </w:tcPr>
          <w:p>
            <w:pPr>
              <w:spacing w:after="0"/>
              <w:rPr>
                <w:sz w:val="1"/>
                <w:szCs w:val="1"/>
                <w:color w:val="auto"/>
              </w:rPr>
            </w:pPr>
          </w:p>
        </w:tc>
      </w:tr>
      <w:tr>
        <w:trPr>
          <w:trHeight w:val="297"/>
        </w:trPr>
        <w:tc>
          <w:tcPr>
            <w:tcW w:w="35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Fair Value as of December 31, 2017</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86,824,096</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120,253,822</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4,916,578</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433,997</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212,428,493</w:t>
            </w:r>
          </w:p>
        </w:tc>
        <w:tc>
          <w:tcPr>
            <w:tcW w:w="0" w:type="dxa"/>
            <w:vAlign w:val="bottom"/>
          </w:tcPr>
          <w:p>
            <w:pPr>
              <w:spacing w:after="0"/>
              <w:rPr>
                <w:sz w:val="1"/>
                <w:szCs w:val="1"/>
                <w:color w:val="auto"/>
              </w:rPr>
            </w:pPr>
          </w:p>
        </w:tc>
      </w:tr>
      <w:tr>
        <w:trPr>
          <w:trHeight w:val="189"/>
        </w:trPr>
        <w:tc>
          <w:tcPr>
            <w:tcW w:w="354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Net change in unrealized appreciation/</w:t>
            </w:r>
          </w:p>
        </w:tc>
        <w:tc>
          <w:tcPr>
            <w:tcW w:w="3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of Level 3 investments still</w:t>
            </w: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10,742,585</w:t>
            </w:r>
          </w:p>
        </w:tc>
        <w:tc>
          <w:tcPr>
            <w:tcW w:w="12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(12,221,603)</w:t>
            </w:r>
          </w:p>
        </w:tc>
        <w:tc>
          <w:tcPr>
            <w:tcW w:w="100" w:type="dxa"/>
            <w:vAlign w:val="bottom"/>
            <w:shd w:val="clear" w:color="auto" w:fill="CCEEFF"/>
          </w:tcPr>
          <w:p>
            <w:pPr>
              <w:spacing w:after="0"/>
              <w:rPr>
                <w:sz w:val="18"/>
                <w:szCs w:val="18"/>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(3,170,869)</w:t>
            </w:r>
          </w:p>
        </w:tc>
        <w:tc>
          <w:tcPr>
            <w:tcW w:w="100" w:type="dxa"/>
            <w:vAlign w:val="bottom"/>
            <w:shd w:val="clear" w:color="auto" w:fill="CCEEFF"/>
          </w:tcPr>
          <w:p>
            <w:pPr>
              <w:spacing w:after="0"/>
              <w:rPr>
                <w:sz w:val="18"/>
                <w:szCs w:val="18"/>
                <w:color w:val="auto"/>
              </w:rPr>
            </w:pPr>
          </w:p>
        </w:tc>
        <w:tc>
          <w:tcPr>
            <w:tcW w:w="40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212,714</w:t>
            </w:r>
          </w:p>
        </w:tc>
        <w:tc>
          <w:tcPr>
            <w:tcW w:w="100" w:type="dxa"/>
            <w:vAlign w:val="bottom"/>
            <w:shd w:val="clear" w:color="auto" w:fill="CCEEFF"/>
          </w:tcPr>
          <w:p>
            <w:pPr>
              <w:spacing w:after="0"/>
              <w:rPr>
                <w:sz w:val="18"/>
                <w:szCs w:val="18"/>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(4,437,173)</w:t>
            </w:r>
          </w:p>
        </w:tc>
        <w:tc>
          <w:tcPr>
            <w:tcW w:w="0" w:type="dxa"/>
            <w:vAlign w:val="bottom"/>
          </w:tcPr>
          <w:p>
            <w:pPr>
              <w:spacing w:after="0"/>
              <w:rPr>
                <w:sz w:val="1"/>
                <w:szCs w:val="1"/>
                <w:color w:val="auto"/>
              </w:rPr>
            </w:pPr>
          </w:p>
        </w:tc>
      </w:tr>
      <w:tr>
        <w:trPr>
          <w:trHeight w:val="237"/>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held as of December 31, 2017</w:t>
            </w: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________________________</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(1) During year ended December 31, 2017, the Company’s portfolio investments had the following corporate actions which are reflected above:</w:t>
      </w:r>
    </w:p>
    <w:p>
      <w:pPr>
        <w:spacing w:after="0" w:line="230"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3840" w:type="dxa"/>
            <w:vAlign w:val="bottom"/>
            <w:gridSpan w:val="2"/>
          </w:tcPr>
          <w:p>
            <w:pPr>
              <w:ind w:left="20"/>
              <w:spacing w:after="0"/>
              <w:rPr>
                <w:sz w:val="20"/>
                <w:szCs w:val="20"/>
                <w:color w:val="auto"/>
              </w:rPr>
            </w:pPr>
            <w:r>
              <w:rPr>
                <w:rFonts w:ascii="Arial" w:cs="Arial" w:eastAsia="Arial" w:hAnsi="Arial"/>
                <w:sz w:val="14"/>
                <w:szCs w:val="14"/>
                <w:b w:val="1"/>
                <w:bCs w:val="1"/>
                <w:color w:val="auto"/>
              </w:rPr>
              <w:t>Portfolio Company</w:t>
            </w:r>
          </w:p>
        </w:tc>
        <w:tc>
          <w:tcPr>
            <w:tcW w:w="24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Transfer from</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2"/>
              </w:rPr>
              <w:t>Transfer to</w:t>
            </w:r>
          </w:p>
        </w:tc>
      </w:tr>
      <w:tr>
        <w:trPr>
          <w:trHeight w:val="229"/>
        </w:trPr>
        <w:tc>
          <w:tcPr>
            <w:tcW w:w="36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shd w:val="clear" w:color="auto" w:fill="CCEEFF"/>
              </w:rPr>
              <w:t>A Place for Rover Inc. (f/k/a DogVacay, Inc.)</w:t>
            </w:r>
          </w:p>
        </w:tc>
        <w:tc>
          <w:tcPr>
            <w:tcW w:w="160" w:type="dxa"/>
            <w:vAlign w:val="bottom"/>
            <w:tcBorders>
              <w:top w:val="single" w:sz="8" w:color="CCEEFF"/>
            </w:tcBorders>
            <w:shd w:val="clear" w:color="auto" w:fill="CCEEFF"/>
          </w:tcPr>
          <w:p>
            <w:pPr>
              <w:spacing w:after="0"/>
              <w:rPr>
                <w:sz w:val="19"/>
                <w:szCs w:val="19"/>
                <w:color w:val="auto"/>
              </w:rPr>
            </w:pPr>
          </w:p>
        </w:tc>
        <w:tc>
          <w:tcPr>
            <w:tcW w:w="2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shd w:val="clear" w:color="auto" w:fill="CCEEFF"/>
              </w:rPr>
              <w:t>Preferred shares, Series B-1</w:t>
            </w:r>
          </w:p>
        </w:tc>
        <w:tc>
          <w:tcPr>
            <w:tcW w:w="14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8"/>
                <w:shd w:val="clear" w:color="auto" w:fill="CCEEFF"/>
              </w:rPr>
              <w:t>Common shares</w:t>
            </w:r>
          </w:p>
        </w:tc>
      </w:tr>
      <w:tr>
        <w:trPr>
          <w:trHeight w:val="41"/>
        </w:trPr>
        <w:tc>
          <w:tcPr>
            <w:tcW w:w="36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3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380" w:type="dxa"/>
            <w:vAlign w:val="bottom"/>
            <w:shd w:val="clear" w:color="auto" w:fill="CCEEFF"/>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4112895</wp:posOffset>
            </wp:positionH>
            <wp:positionV relativeFrom="paragraph">
              <wp:posOffset>-179705</wp:posOffset>
            </wp:positionV>
            <wp:extent cx="9461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2552065</wp:posOffset>
            </wp:positionH>
            <wp:positionV relativeFrom="paragraph">
              <wp:posOffset>-179705</wp:posOffset>
            </wp:positionV>
            <wp:extent cx="10287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74" w:lineRule="exact"/>
        <w:rPr>
          <w:sz w:val="20"/>
          <w:szCs w:val="20"/>
          <w:color w:val="auto"/>
        </w:rPr>
      </w:pPr>
    </w:p>
    <w:p>
      <w:pPr>
        <w:ind w:left="340" w:right="100" w:hanging="332"/>
        <w:spacing w:after="0" w:line="277"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Sales of investments includes escrow proceeds receivable of $603,456 from the sale of the Company’s investments in JAMF Holdings Inc. and Strategic Data Command, LLC.</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2" w:right="23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2018</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of Investments In, and Advances to, Affiliates</w:t>
      </w:r>
    </w:p>
    <w:p>
      <w:pPr>
        <w:spacing w:after="0" w:line="229" w:lineRule="exact"/>
        <w:rPr>
          <w:sz w:val="20"/>
          <w:szCs w:val="20"/>
          <w:color w:val="auto"/>
        </w:rPr>
      </w:pPr>
    </w:p>
    <w:p>
      <w:pPr>
        <w:ind w:firstLine="351"/>
        <w:spacing w:after="0" w:line="277" w:lineRule="auto"/>
        <w:rPr>
          <w:sz w:val="20"/>
          <w:szCs w:val="20"/>
          <w:color w:val="auto"/>
        </w:rPr>
      </w:pPr>
      <w:r>
        <w:rPr>
          <w:rFonts w:ascii="Arial" w:cs="Arial" w:eastAsia="Arial" w:hAnsi="Arial"/>
          <w:sz w:val="18"/>
          <w:szCs w:val="18"/>
          <w:color w:val="auto"/>
        </w:rPr>
        <w:t>Transactions during the nine months ended September 30, 2018 involving the Company’s controlled investments and non-controlled/affiliate investments were as follows: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Schedule of Investments In, and Advances to, Affiliate</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Interest,</w:t>
            </w:r>
          </w:p>
        </w:tc>
        <w:tc>
          <w:tcPr>
            <w:tcW w:w="10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Fair Value at</w:t>
            </w:r>
          </w:p>
        </w:tc>
        <w:tc>
          <w:tcPr>
            <w:tcW w:w="10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Purchases,</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Fees, or</w:t>
            </w:r>
          </w:p>
        </w:tc>
        <w:tc>
          <w:tcPr>
            <w:tcW w:w="1000" w:type="dxa"/>
            <w:vAlign w:val="bottom"/>
            <w:gridSpan w:val="3"/>
            <w:vMerge w:val="continue"/>
          </w:tcPr>
          <w:p>
            <w:pPr>
              <w:spacing w:after="0"/>
              <w:rPr>
                <w:sz w:val="12"/>
                <w:szCs w:val="12"/>
                <w:color w:val="auto"/>
              </w:rPr>
            </w:pPr>
          </w:p>
        </w:tc>
        <w:tc>
          <w:tcPr>
            <w:tcW w:w="10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Capitalized</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8"/>
              </w:rPr>
              <w:t>Fair Value at</w:t>
            </w:r>
          </w:p>
        </w:tc>
        <w:tc>
          <w:tcPr>
            <w:tcW w:w="1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Percentage</w:t>
            </w:r>
          </w:p>
        </w:tc>
        <w:tc>
          <w:tcPr>
            <w:tcW w:w="0" w:type="dxa"/>
            <w:vAlign w:val="bottom"/>
          </w:tcPr>
          <w:p>
            <w:pPr>
              <w:spacing w:after="0"/>
              <w:rPr>
                <w:sz w:val="1"/>
                <w:szCs w:val="1"/>
                <w:color w:val="auto"/>
              </w:rPr>
            </w:pPr>
          </w:p>
        </w:tc>
      </w:tr>
      <w:tr>
        <w:trPr>
          <w:trHeight w:val="149"/>
        </w:trPr>
        <w:tc>
          <w:tcPr>
            <w:tcW w:w="280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Type/Industry/Portfolio</w:t>
            </w:r>
          </w:p>
        </w:tc>
        <w:tc>
          <w:tcPr>
            <w:tcW w:w="120" w:type="dxa"/>
            <w:vAlign w:val="bottom"/>
          </w:tcPr>
          <w:p>
            <w:pPr>
              <w:spacing w:after="0"/>
              <w:rPr>
                <w:sz w:val="12"/>
                <w:szCs w:val="12"/>
                <w:color w:val="auto"/>
              </w:rPr>
            </w:pPr>
          </w:p>
        </w:tc>
        <w:tc>
          <w:tcPr>
            <w:tcW w:w="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Principal/</w:t>
            </w:r>
          </w:p>
        </w:tc>
        <w:tc>
          <w:tcPr>
            <w:tcW w:w="9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Dividends</w:t>
            </w:r>
          </w:p>
        </w:tc>
        <w:tc>
          <w:tcPr>
            <w:tcW w:w="12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December</w:t>
            </w:r>
          </w:p>
        </w:tc>
        <w:tc>
          <w:tcPr>
            <w:tcW w:w="10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Fees,</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Realized</w:t>
            </w:r>
          </w:p>
        </w:tc>
        <w:tc>
          <w:tcPr>
            <w:tcW w:w="120" w:type="dxa"/>
            <w:vAlign w:val="bottom"/>
          </w:tcPr>
          <w:p>
            <w:pPr>
              <w:spacing w:after="0"/>
              <w:rPr>
                <w:sz w:val="12"/>
                <w:szCs w:val="12"/>
                <w:color w:val="auto"/>
              </w:rPr>
            </w:pPr>
          </w:p>
        </w:tc>
        <w:tc>
          <w:tcPr>
            <w:tcW w:w="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Unrealized</w:t>
            </w: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Credited</w:t>
            </w:r>
          </w:p>
        </w:tc>
        <w:tc>
          <w:tcPr>
            <w:tcW w:w="120" w:type="dxa"/>
            <w:vAlign w:val="bottom"/>
          </w:tcPr>
          <w:p>
            <w:pPr>
              <w:spacing w:after="0"/>
              <w:rPr>
                <w:sz w:val="12"/>
                <w:szCs w:val="12"/>
                <w:color w:val="auto"/>
              </w:rPr>
            </w:pPr>
          </w:p>
        </w:tc>
        <w:tc>
          <w:tcPr>
            <w:tcW w:w="76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2"/>
              </w:rPr>
              <w:t>31,</w:t>
            </w:r>
          </w:p>
        </w:tc>
        <w:tc>
          <w:tcPr>
            <w:tcW w:w="120" w:type="dxa"/>
            <w:vAlign w:val="bottom"/>
          </w:tcPr>
          <w:p>
            <w:pPr>
              <w:spacing w:after="0"/>
              <w:rPr>
                <w:sz w:val="12"/>
                <w:szCs w:val="12"/>
                <w:color w:val="auto"/>
              </w:rPr>
            </w:pPr>
          </w:p>
        </w:tc>
        <w:tc>
          <w:tcPr>
            <w:tcW w:w="10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Interest and</w:t>
            </w:r>
          </w:p>
        </w:tc>
        <w:tc>
          <w:tcPr>
            <w:tcW w:w="100" w:type="dxa"/>
            <w:vAlign w:val="bottom"/>
          </w:tcPr>
          <w:p>
            <w:pPr>
              <w:spacing w:after="0"/>
              <w:rPr>
                <w:sz w:val="12"/>
                <w:szCs w:val="12"/>
                <w:color w:val="auto"/>
              </w:rPr>
            </w:pPr>
          </w:p>
        </w:tc>
        <w:tc>
          <w:tcPr>
            <w:tcW w:w="68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rPr>
              <w:t>Sales</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ind w:right="41"/>
              <w:spacing w:after="0" w:line="149" w:lineRule="exact"/>
              <w:rPr>
                <w:sz w:val="20"/>
                <w:szCs w:val="20"/>
                <w:color w:val="auto"/>
              </w:rPr>
            </w:pPr>
            <w:r>
              <w:rPr>
                <w:rFonts w:ascii="Arial" w:cs="Arial" w:eastAsia="Arial" w:hAnsi="Arial"/>
                <w:sz w:val="14"/>
                <w:szCs w:val="14"/>
                <w:b w:val="1"/>
                <w:bCs w:val="1"/>
                <w:color w:val="auto"/>
                <w:w w:val="88"/>
              </w:rPr>
              <w:t>September</w:t>
            </w:r>
          </w:p>
        </w:tc>
        <w:tc>
          <w:tcPr>
            <w:tcW w:w="120" w:type="dxa"/>
            <w:vAlign w:val="bottom"/>
          </w:tcPr>
          <w:p>
            <w:pPr>
              <w:spacing w:after="0"/>
              <w:rPr>
                <w:sz w:val="12"/>
                <w:szCs w:val="12"/>
                <w:color w:val="auto"/>
              </w:rPr>
            </w:pPr>
          </w:p>
        </w:tc>
        <w:tc>
          <w:tcPr>
            <w:tcW w:w="760" w:type="dxa"/>
            <w:vAlign w:val="bottom"/>
          </w:tcPr>
          <w:p>
            <w:pPr>
              <w:jc w:val="right"/>
              <w:ind w:right="126"/>
              <w:spacing w:after="0" w:line="149" w:lineRule="exact"/>
              <w:rPr>
                <w:sz w:val="20"/>
                <w:szCs w:val="20"/>
                <w:color w:val="auto"/>
              </w:rPr>
            </w:pPr>
            <w:r>
              <w:rPr>
                <w:rFonts w:ascii="Arial" w:cs="Arial" w:eastAsia="Arial" w:hAnsi="Arial"/>
                <w:sz w:val="14"/>
                <w:szCs w:val="14"/>
                <w:b w:val="1"/>
                <w:bCs w:val="1"/>
                <w:color w:val="auto"/>
              </w:rPr>
              <w:t>of Net</w:t>
            </w:r>
          </w:p>
        </w:tc>
        <w:tc>
          <w:tcPr>
            <w:tcW w:w="0" w:type="dxa"/>
            <w:vAlign w:val="bottom"/>
          </w:tcPr>
          <w:p>
            <w:pPr>
              <w:spacing w:after="0"/>
              <w:rPr>
                <w:sz w:val="1"/>
                <w:szCs w:val="1"/>
                <w:color w:val="auto"/>
              </w:rPr>
            </w:pPr>
          </w:p>
        </w:tc>
      </w:tr>
      <w:tr>
        <w:trPr>
          <w:trHeight w:val="192"/>
        </w:trPr>
        <w:tc>
          <w:tcPr>
            <w:tcW w:w="27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Company/Investment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83"/>
              <w:spacing w:after="0"/>
              <w:rPr>
                <w:sz w:val="20"/>
                <w:szCs w:val="20"/>
                <w:color w:val="auto"/>
              </w:rPr>
            </w:pPr>
            <w:r>
              <w:rPr>
                <w:rFonts w:ascii="Arial" w:cs="Arial" w:eastAsia="Arial" w:hAnsi="Arial"/>
                <w:sz w:val="14"/>
                <w:szCs w:val="14"/>
                <w:b w:val="1"/>
                <w:bCs w:val="1"/>
                <w:color w:val="auto"/>
                <w:w w:val="98"/>
              </w:rPr>
              <w:t>Quantity</w:t>
            </w:r>
          </w:p>
        </w:tc>
        <w:tc>
          <w:tcPr>
            <w:tcW w:w="1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in Income</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8"/>
              </w:rPr>
              <w:t>Amortization</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9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9"/>
              </w:rPr>
              <w:t>Gains/(Losses)</w:t>
            </w: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7"/>
              </w:rPr>
              <w:t>Gains/(Losses)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30, 2018</w:t>
            </w:r>
          </w:p>
        </w:tc>
        <w:tc>
          <w:tcPr>
            <w:tcW w:w="12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ind w:right="126"/>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02"/>
        </w:trPr>
        <w:tc>
          <w:tcPr>
            <w:tcW w:w="280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6"/>
                <w:szCs w:val="16"/>
                <w:b w:val="1"/>
                <w:bCs w:val="1"/>
                <w:color w:val="auto"/>
              </w:rPr>
              <w:t>CONTROLLED INVESTMENTS*</w:t>
            </w:r>
            <w:r>
              <w:rPr>
                <w:rFonts w:ascii="Arial" w:cs="Arial" w:eastAsia="Arial" w:hAnsi="Arial"/>
                <w:sz w:val="21"/>
                <w:szCs w:val="21"/>
                <w:b w:val="1"/>
                <w:bCs w:val="1"/>
                <w:color w:val="auto"/>
                <w:vertAlign w:val="superscript"/>
              </w:rPr>
              <w:t>(2)</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360" w:type="dxa"/>
            <w:vAlign w:val="bottom"/>
            <w:tcBorders>
              <w:top w:val="single" w:sz="8" w:color="auto"/>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800" w:type="dxa"/>
            <w:vAlign w:val="bottom"/>
            <w:gridSpan w:val="4"/>
          </w:tcPr>
          <w:p>
            <w:pPr>
              <w:ind w:left="40"/>
              <w:spacing w:after="0"/>
              <w:rPr>
                <w:sz w:val="20"/>
                <w:szCs w:val="20"/>
                <w:color w:val="auto"/>
              </w:rPr>
            </w:pPr>
            <w:r>
              <w:rPr>
                <w:rFonts w:ascii="Arial" w:cs="Arial" w:eastAsia="Arial" w:hAnsi="Arial"/>
                <w:sz w:val="16"/>
                <w:szCs w:val="16"/>
                <w:b w:val="1"/>
                <w:bCs w:val="1"/>
                <w:color w:val="auto"/>
              </w:rPr>
              <w:t>Debt Investments</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7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6"/>
                <w:szCs w:val="16"/>
                <w:i w:val="1"/>
                <w:iCs w:val="1"/>
                <w:color w:val="auto"/>
              </w:rPr>
              <w:t>Global Innovation Platform</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2760" w:type="dxa"/>
            <w:vAlign w:val="bottom"/>
            <w:gridSpan w:val="3"/>
          </w:tcPr>
          <w:p>
            <w:pPr>
              <w:ind w:left="240"/>
              <w:spacing w:after="0"/>
              <w:rPr>
                <w:sz w:val="20"/>
                <w:szCs w:val="20"/>
                <w:color w:val="auto"/>
              </w:rPr>
            </w:pPr>
            <w:r>
              <w:rPr>
                <w:rFonts w:ascii="Arial" w:cs="Arial" w:eastAsia="Arial" w:hAnsi="Arial"/>
                <w:sz w:val="16"/>
                <w:szCs w:val="16"/>
                <w:color w:val="auto"/>
              </w:rPr>
              <w:t>NestGSV, Inc. (d/b/a GSV Labs,</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760" w:type="dxa"/>
            <w:vAlign w:val="bottom"/>
            <w:gridSpan w:val="3"/>
          </w:tcPr>
          <w:p>
            <w:pPr>
              <w:ind w:left="400"/>
              <w:spacing w:after="0"/>
              <w:rPr>
                <w:sz w:val="20"/>
                <w:szCs w:val="20"/>
                <w:color w:val="auto"/>
              </w:rPr>
            </w:pPr>
            <w:r>
              <w:rPr>
                <w:rFonts w:ascii="Arial" w:cs="Arial" w:eastAsia="Arial" w:hAnsi="Arial"/>
                <w:sz w:val="16"/>
                <w:szCs w:val="16"/>
                <w:color w:val="auto"/>
              </w:rPr>
              <w:t>Inc.)–Convertible Promissory</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2760" w:type="dxa"/>
            <w:vAlign w:val="bottom"/>
            <w:gridSpan w:val="3"/>
          </w:tcPr>
          <w:p>
            <w:pPr>
              <w:ind w:left="400"/>
              <w:spacing w:after="0" w:line="239" w:lineRule="exact"/>
              <w:rPr>
                <w:sz w:val="20"/>
                <w:szCs w:val="20"/>
                <w:color w:val="auto"/>
              </w:rPr>
            </w:pPr>
            <w:r>
              <w:rPr>
                <w:rFonts w:ascii="Arial" w:cs="Arial" w:eastAsia="Arial" w:hAnsi="Arial"/>
                <w:sz w:val="16"/>
                <w:szCs w:val="16"/>
                <w:color w:val="auto"/>
              </w:rPr>
              <w:t>Note 12% Due 12/31/2018***</w:t>
            </w:r>
            <w:r>
              <w:rPr>
                <w:rFonts w:ascii="Arial" w:cs="Arial" w:eastAsia="Arial" w:hAnsi="Arial"/>
                <w:sz w:val="21"/>
                <w:szCs w:val="21"/>
                <w:color w:val="auto"/>
                <w:vertAlign w:val="superscript"/>
              </w:rPr>
              <w:t>(10)</w:t>
            </w: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ind w:right="43"/>
              <w:spacing w:after="0"/>
              <w:rPr>
                <w:sz w:val="20"/>
                <w:szCs w:val="20"/>
                <w:color w:val="auto"/>
              </w:rPr>
            </w:pPr>
            <w:r>
              <w:rPr>
                <w:rFonts w:ascii="Arial" w:cs="Arial" w:eastAsia="Arial" w:hAnsi="Arial"/>
                <w:sz w:val="16"/>
                <w:szCs w:val="16"/>
                <w:color w:val="auto"/>
              </w:rPr>
              <w:t>605,637</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21"/>
              <w:spacing w:after="0"/>
              <w:rPr>
                <w:sz w:val="20"/>
                <w:szCs w:val="20"/>
                <w:color w:val="auto"/>
              </w:rPr>
            </w:pPr>
            <w:r>
              <w:rPr>
                <w:rFonts w:ascii="Arial" w:cs="Arial" w:eastAsia="Arial" w:hAnsi="Arial"/>
                <w:sz w:val="16"/>
                <w:szCs w:val="16"/>
                <w:color w:val="auto"/>
              </w:rPr>
              <w:t>38,784</w:t>
            </w:r>
          </w:p>
        </w:tc>
        <w:tc>
          <w:tcPr>
            <w:tcW w:w="12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560,199</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47,936</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(63,061)</w:t>
            </w:r>
          </w:p>
        </w:tc>
        <w:tc>
          <w:tcPr>
            <w:tcW w:w="120" w:type="dxa"/>
            <w:vAlign w:val="bottom"/>
          </w:tcPr>
          <w:p>
            <w:pPr>
              <w:spacing w:after="0"/>
              <w:rPr>
                <w:sz w:val="20"/>
                <w:szCs w:val="20"/>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545,074</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0.26%</w:t>
            </w:r>
          </w:p>
        </w:tc>
        <w:tc>
          <w:tcPr>
            <w:tcW w:w="0" w:type="dxa"/>
            <w:vAlign w:val="bottom"/>
          </w:tcPr>
          <w:p>
            <w:pPr>
              <w:spacing w:after="0"/>
              <w:rPr>
                <w:sz w:val="1"/>
                <w:szCs w:val="1"/>
                <w:color w:val="auto"/>
              </w:rPr>
            </w:pPr>
          </w:p>
        </w:tc>
      </w:tr>
      <w:tr>
        <w:trPr>
          <w:trHeight w:val="220"/>
        </w:trPr>
        <w:tc>
          <w:tcPr>
            <w:tcW w:w="40" w:type="dxa"/>
            <w:vAlign w:val="bottom"/>
            <w:shd w:val="clear" w:color="auto" w:fill="CCEEFF"/>
          </w:tcPr>
          <w:p>
            <w:pPr>
              <w:spacing w:after="0"/>
              <w:rPr>
                <w:sz w:val="19"/>
                <w:szCs w:val="19"/>
                <w:color w:val="auto"/>
              </w:rPr>
            </w:pPr>
          </w:p>
        </w:tc>
        <w:tc>
          <w:tcPr>
            <w:tcW w:w="276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NestGSV, Inc. (d/b/a GSV Labs,</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2760" w:type="dxa"/>
            <w:vAlign w:val="bottom"/>
            <w:gridSpan w:val="3"/>
            <w:shd w:val="clear" w:color="auto" w:fill="CCEEFF"/>
          </w:tcPr>
          <w:p>
            <w:pPr>
              <w:ind w:left="400"/>
              <w:spacing w:after="0"/>
              <w:rPr>
                <w:sz w:val="20"/>
                <w:szCs w:val="20"/>
                <w:color w:val="auto"/>
              </w:rPr>
            </w:pPr>
            <w:r>
              <w:rPr>
                <w:rFonts w:ascii="Arial" w:cs="Arial" w:eastAsia="Arial" w:hAnsi="Arial"/>
                <w:sz w:val="16"/>
                <w:szCs w:val="16"/>
                <w:color w:val="auto"/>
                <w:w w:val="97"/>
              </w:rPr>
              <w:t>Inc.)–Unsecured Promissory Note</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40" w:type="dxa"/>
            <w:vAlign w:val="bottom"/>
            <w:shd w:val="clear" w:color="auto" w:fill="CCEEFF"/>
          </w:tcPr>
          <w:p>
            <w:pPr>
              <w:spacing w:after="0"/>
              <w:rPr>
                <w:sz w:val="20"/>
                <w:szCs w:val="20"/>
                <w:color w:val="auto"/>
              </w:rPr>
            </w:pPr>
          </w:p>
        </w:tc>
        <w:tc>
          <w:tcPr>
            <w:tcW w:w="2760" w:type="dxa"/>
            <w:vAlign w:val="bottom"/>
            <w:gridSpan w:val="3"/>
            <w:shd w:val="clear" w:color="auto" w:fill="CCEEFF"/>
          </w:tcPr>
          <w:p>
            <w:pPr>
              <w:ind w:left="400"/>
              <w:spacing w:after="0" w:line="239" w:lineRule="exact"/>
              <w:rPr>
                <w:sz w:val="20"/>
                <w:szCs w:val="20"/>
                <w:color w:val="auto"/>
              </w:rPr>
            </w:pPr>
            <w:r>
              <w:rPr>
                <w:rFonts w:ascii="Arial" w:cs="Arial" w:eastAsia="Arial" w:hAnsi="Arial"/>
                <w:sz w:val="16"/>
                <w:szCs w:val="16"/>
                <w:color w:val="auto"/>
              </w:rPr>
              <w:t>12% Due 1/15/2018***</w:t>
            </w:r>
            <w:r>
              <w:rPr>
                <w:rFonts w:ascii="Arial" w:cs="Arial" w:eastAsia="Arial" w:hAnsi="Arial"/>
                <w:sz w:val="21"/>
                <w:szCs w:val="21"/>
                <w:color w:val="auto"/>
                <w:vertAlign w:val="superscript"/>
              </w:rPr>
              <w:t>(8)</w:t>
            </w:r>
          </w:p>
        </w:tc>
        <w:tc>
          <w:tcPr>
            <w:tcW w:w="120" w:type="dxa"/>
            <w:vAlign w:val="bottom"/>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2,369</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592,129</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0"/>
              </w:rPr>
              <w:t>(592,129)</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680</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2760" w:type="dxa"/>
            <w:vAlign w:val="bottom"/>
            <w:gridSpan w:val="3"/>
          </w:tcPr>
          <w:p>
            <w:pPr>
              <w:ind w:left="240"/>
              <w:spacing w:after="0"/>
              <w:rPr>
                <w:sz w:val="20"/>
                <w:szCs w:val="20"/>
                <w:color w:val="auto"/>
              </w:rPr>
            </w:pPr>
            <w:r>
              <w:rPr>
                <w:rFonts w:ascii="Arial" w:cs="Arial" w:eastAsia="Arial" w:hAnsi="Arial"/>
                <w:sz w:val="16"/>
                <w:szCs w:val="16"/>
                <w:i w:val="1"/>
                <w:iCs w:val="1"/>
                <w:color w:val="auto"/>
              </w:rPr>
              <w:t>Total Global Innovation Platform</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41,153</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w w:val="89"/>
              </w:rPr>
              <w:t>1,152,328</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47,936</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0"/>
              </w:rPr>
              <w:t>(592,129)</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(680)</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(62,381)</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545,074</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0.26%</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b w:val="1"/>
                <w:bCs w:val="1"/>
                <w:color w:val="auto"/>
              </w:rPr>
              <w:t>Total Debt Investments</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41,153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1,152,328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47,936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0"/>
              </w:rPr>
              <w:t>(592,129)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(62,381)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545,074</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0.26%</w:t>
            </w:r>
          </w:p>
        </w:tc>
        <w:tc>
          <w:tcPr>
            <w:tcW w:w="0" w:type="dxa"/>
            <w:vAlign w:val="bottom"/>
          </w:tcPr>
          <w:p>
            <w:pPr>
              <w:spacing w:after="0"/>
              <w:rPr>
                <w:sz w:val="1"/>
                <w:szCs w:val="1"/>
                <w:color w:val="auto"/>
              </w:rPr>
            </w:pPr>
          </w:p>
        </w:tc>
      </w:tr>
      <w:tr>
        <w:trPr>
          <w:trHeight w:val="237"/>
        </w:trPr>
        <w:tc>
          <w:tcPr>
            <w:tcW w:w="2800" w:type="dxa"/>
            <w:vAlign w:val="bottom"/>
            <w:gridSpan w:val="4"/>
          </w:tcPr>
          <w:p>
            <w:pPr>
              <w:ind w:left="40"/>
              <w:spacing w:after="0"/>
              <w:rPr>
                <w:sz w:val="20"/>
                <w:szCs w:val="20"/>
                <w:color w:val="auto"/>
              </w:rPr>
            </w:pPr>
            <w:r>
              <w:rPr>
                <w:rFonts w:ascii="Arial" w:cs="Arial" w:eastAsia="Arial" w:hAnsi="Arial"/>
                <w:sz w:val="16"/>
                <w:szCs w:val="16"/>
                <w:b w:val="1"/>
                <w:bCs w:val="1"/>
                <w:color w:val="auto"/>
              </w:rPr>
              <w:t>Preferred Stock</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7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6"/>
                <w:szCs w:val="16"/>
                <w:i w:val="1"/>
                <w:iCs w:val="1"/>
                <w:color w:val="auto"/>
              </w:rPr>
              <w:t>Clean Technology</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2760" w:type="dxa"/>
            <w:vAlign w:val="bottom"/>
            <w:gridSpan w:val="3"/>
          </w:tcPr>
          <w:p>
            <w:pPr>
              <w:ind w:left="240"/>
              <w:spacing w:after="0"/>
              <w:rPr>
                <w:sz w:val="20"/>
                <w:szCs w:val="20"/>
                <w:color w:val="auto"/>
              </w:rPr>
            </w:pPr>
            <w:r>
              <w:rPr>
                <w:rFonts w:ascii="Arial" w:cs="Arial" w:eastAsia="Arial" w:hAnsi="Arial"/>
                <w:sz w:val="16"/>
                <w:szCs w:val="16"/>
                <w:color w:val="auto"/>
              </w:rPr>
              <w:t>SPBRX, INC. (f/k/a GSV</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760" w:type="dxa"/>
            <w:vAlign w:val="bottom"/>
            <w:gridSpan w:val="3"/>
          </w:tcPr>
          <w:p>
            <w:pPr>
              <w:ind w:left="240"/>
              <w:spacing w:after="0"/>
              <w:rPr>
                <w:sz w:val="20"/>
                <w:szCs w:val="20"/>
                <w:color w:val="auto"/>
              </w:rPr>
            </w:pPr>
            <w:r>
              <w:rPr>
                <w:rFonts w:ascii="Arial" w:cs="Arial" w:eastAsia="Arial" w:hAnsi="Arial"/>
                <w:sz w:val="16"/>
                <w:szCs w:val="16"/>
                <w:color w:val="auto"/>
              </w:rPr>
              <w:t>Sustainability Partners, Inc.)–</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2760" w:type="dxa"/>
            <w:vAlign w:val="bottom"/>
            <w:gridSpan w:val="3"/>
          </w:tcPr>
          <w:p>
            <w:pPr>
              <w:ind w:left="240"/>
              <w:spacing w:after="0" w:line="239" w:lineRule="exact"/>
              <w:rPr>
                <w:sz w:val="20"/>
                <w:szCs w:val="20"/>
                <w:color w:val="auto"/>
              </w:rPr>
            </w:pPr>
            <w:r>
              <w:rPr>
                <w:rFonts w:ascii="Arial" w:cs="Arial" w:eastAsia="Arial" w:hAnsi="Arial"/>
                <w:sz w:val="16"/>
                <w:szCs w:val="16"/>
                <w:color w:val="auto"/>
              </w:rPr>
              <w:t>Preferred shares, Class A***</w:t>
            </w:r>
            <w:r>
              <w:rPr>
                <w:rFonts w:ascii="Arial" w:cs="Arial" w:eastAsia="Arial" w:hAnsi="Arial"/>
                <w:sz w:val="21"/>
                <w:szCs w:val="21"/>
                <w:color w:val="auto"/>
                <w:vertAlign w:val="superscript"/>
              </w:rPr>
              <w:t>(12)</w:t>
            </w:r>
          </w:p>
        </w:tc>
        <w:tc>
          <w:tcPr>
            <w:tcW w:w="860" w:type="dxa"/>
            <w:vAlign w:val="bottom"/>
            <w:gridSpan w:val="2"/>
          </w:tcPr>
          <w:p>
            <w:pPr>
              <w:ind w:left="40"/>
              <w:spacing w:after="0"/>
              <w:rPr>
                <w:sz w:val="20"/>
                <w:szCs w:val="20"/>
                <w:color w:val="auto"/>
              </w:rPr>
            </w:pPr>
            <w:r>
              <w:rPr>
                <w:rFonts w:ascii="Arial" w:cs="Arial" w:eastAsia="Arial" w:hAnsi="Arial"/>
                <w:sz w:val="16"/>
                <w:szCs w:val="16"/>
                <w:color w:val="auto"/>
                <w:w w:val="99"/>
              </w:rPr>
              <w:t>14,300,000</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21"/>
              <w:spacing w:after="0"/>
              <w:rPr>
                <w:sz w:val="20"/>
                <w:szCs w:val="20"/>
                <w:color w:val="auto"/>
              </w:rPr>
            </w:pPr>
            <w:r>
              <w:rPr>
                <w:rFonts w:ascii="Arial" w:cs="Arial" w:eastAsia="Arial" w:hAnsi="Arial"/>
                <w:sz w:val="16"/>
                <w:szCs w:val="16"/>
                <w:color w:val="auto"/>
                <w:w w:val="93"/>
              </w:rPr>
              <w:t>350,000</w:t>
            </w:r>
          </w:p>
        </w:tc>
        <w:tc>
          <w:tcPr>
            <w:tcW w:w="12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21"/>
              <w:spacing w:after="0"/>
              <w:rPr>
                <w:sz w:val="20"/>
                <w:szCs w:val="20"/>
                <w:color w:val="auto"/>
              </w:rPr>
            </w:pPr>
            <w:r>
              <w:rPr>
                <w:rFonts w:ascii="Arial" w:cs="Arial" w:eastAsia="Arial" w:hAnsi="Arial"/>
                <w:sz w:val="16"/>
                <w:szCs w:val="16"/>
                <w:color w:val="auto"/>
                <w:w w:val="89"/>
              </w:rPr>
              <w:t>1,069,862</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(110,670)</w:t>
            </w:r>
          </w:p>
        </w:tc>
        <w:tc>
          <w:tcPr>
            <w:tcW w:w="120" w:type="dxa"/>
            <w:vAlign w:val="bottom"/>
          </w:tcPr>
          <w:p>
            <w:pPr>
              <w:spacing w:after="0"/>
              <w:rPr>
                <w:sz w:val="20"/>
                <w:szCs w:val="20"/>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959,192</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0.45%</w:t>
            </w: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7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6"/>
                <w:szCs w:val="16"/>
                <w:i w:val="1"/>
                <w:iCs w:val="1"/>
                <w:color w:val="auto"/>
              </w:rPr>
              <w:t>Global Innovation Platform</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2760" w:type="dxa"/>
            <w:vAlign w:val="bottom"/>
            <w:gridSpan w:val="3"/>
          </w:tcPr>
          <w:p>
            <w:pPr>
              <w:ind w:left="240"/>
              <w:spacing w:after="0"/>
              <w:rPr>
                <w:sz w:val="20"/>
                <w:szCs w:val="20"/>
                <w:color w:val="auto"/>
              </w:rPr>
            </w:pPr>
            <w:r>
              <w:rPr>
                <w:rFonts w:ascii="Arial" w:cs="Arial" w:eastAsia="Arial" w:hAnsi="Arial"/>
                <w:sz w:val="16"/>
                <w:szCs w:val="16"/>
                <w:color w:val="auto"/>
              </w:rPr>
              <w:t>NestGSV, Inc. (d/b/a GSV Labs,</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2760" w:type="dxa"/>
            <w:vAlign w:val="bottom"/>
            <w:gridSpan w:val="3"/>
          </w:tcPr>
          <w:p>
            <w:pPr>
              <w:ind w:left="240"/>
              <w:spacing w:after="0"/>
              <w:rPr>
                <w:sz w:val="20"/>
                <w:szCs w:val="20"/>
                <w:color w:val="auto"/>
              </w:rPr>
            </w:pPr>
            <w:r>
              <w:rPr>
                <w:rFonts w:ascii="Arial" w:cs="Arial" w:eastAsia="Arial" w:hAnsi="Arial"/>
                <w:sz w:val="16"/>
                <w:szCs w:val="16"/>
                <w:color w:val="auto"/>
              </w:rPr>
              <w:t>Inc.)–Preferred stock Series A-4</w:t>
            </w:r>
          </w:p>
        </w:tc>
        <w:tc>
          <w:tcPr>
            <w:tcW w:w="860" w:type="dxa"/>
            <w:vAlign w:val="bottom"/>
            <w:gridSpan w:val="2"/>
          </w:tcPr>
          <w:p>
            <w:pPr>
              <w:jc w:val="right"/>
              <w:ind w:right="43"/>
              <w:spacing w:after="0"/>
              <w:rPr>
                <w:sz w:val="20"/>
                <w:szCs w:val="20"/>
                <w:color w:val="auto"/>
              </w:rPr>
            </w:pPr>
            <w:r>
              <w:rPr>
                <w:rFonts w:ascii="Arial" w:cs="Arial" w:eastAsia="Arial" w:hAnsi="Arial"/>
                <w:sz w:val="16"/>
                <w:szCs w:val="16"/>
                <w:color w:val="auto"/>
              </w:rPr>
              <w:t>3,720,424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w w:val="89"/>
              </w:rPr>
              <w:t>5,390,842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w w:val="95"/>
              </w:rPr>
              <w:t>3,051,508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21"/>
              <w:spacing w:after="0"/>
              <w:rPr>
                <w:sz w:val="20"/>
                <w:szCs w:val="20"/>
                <w:color w:val="auto"/>
              </w:rPr>
            </w:pPr>
            <w:r>
              <w:rPr>
                <w:rFonts w:ascii="Arial" w:cs="Arial" w:eastAsia="Arial" w:hAnsi="Arial"/>
                <w:sz w:val="16"/>
                <w:szCs w:val="16"/>
                <w:color w:val="auto"/>
                <w:w w:val="92"/>
              </w:rPr>
              <w:t>8,442,350</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3.96%</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 w:type="dxa"/>
            <w:vAlign w:val="bottom"/>
            <w:shd w:val="clear" w:color="auto" w:fill="CCEEFF"/>
          </w:tcPr>
          <w:p>
            <w:pPr>
              <w:spacing w:after="0"/>
              <w:rPr>
                <w:sz w:val="19"/>
                <w:szCs w:val="19"/>
                <w:color w:val="auto"/>
              </w:rPr>
            </w:pPr>
          </w:p>
        </w:tc>
        <w:tc>
          <w:tcPr>
            <w:tcW w:w="276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NestGSV, Inc. (d/b/a GSV Labs,</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 w:type="dxa"/>
            <w:vAlign w:val="bottom"/>
            <w:tcBorders>
              <w:bottom w:val="single" w:sz="8" w:color="CCEEFF"/>
            </w:tcBorders>
            <w:shd w:val="clear" w:color="auto" w:fill="CCEEFF"/>
          </w:tcPr>
          <w:p>
            <w:pPr>
              <w:spacing w:after="0"/>
              <w:rPr>
                <w:sz w:val="19"/>
                <w:szCs w:val="19"/>
                <w:color w:val="auto"/>
              </w:rPr>
            </w:pPr>
          </w:p>
        </w:tc>
        <w:tc>
          <w:tcPr>
            <w:tcW w:w="276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6"/>
                <w:szCs w:val="16"/>
                <w:color w:val="auto"/>
              </w:rPr>
              <w:t>Inc.)–Preferred stock Series A-3</w:t>
            </w:r>
          </w:p>
        </w:tc>
        <w:tc>
          <w:tcPr>
            <w:tcW w:w="860" w:type="dxa"/>
            <w:vAlign w:val="bottom"/>
            <w:tcBorders>
              <w:bottom w:val="single" w:sz="8" w:color="CCEEFF"/>
            </w:tcBorders>
            <w:gridSpan w:val="2"/>
            <w:shd w:val="clear" w:color="auto" w:fill="CCEEFF"/>
          </w:tcPr>
          <w:p>
            <w:pPr>
              <w:jc w:val="right"/>
              <w:ind w:right="43"/>
              <w:spacing w:after="0"/>
              <w:rPr>
                <w:sz w:val="20"/>
                <w:szCs w:val="20"/>
                <w:color w:val="auto"/>
              </w:rPr>
            </w:pPr>
            <w:r>
              <w:rPr>
                <w:rFonts w:ascii="Arial" w:cs="Arial" w:eastAsia="Arial" w:hAnsi="Arial"/>
                <w:sz w:val="16"/>
                <w:szCs w:val="16"/>
                <w:color w:val="auto"/>
              </w:rPr>
              <w:t>1,561,625</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1,885,644</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95"/>
              </w:rPr>
              <w:t>1,067,376</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92"/>
              </w:rPr>
              <w:t>2,953,020</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2760" w:type="dxa"/>
            <w:vAlign w:val="bottom"/>
            <w:gridSpan w:val="3"/>
          </w:tcPr>
          <w:p>
            <w:pPr>
              <w:ind w:left="240"/>
              <w:spacing w:after="0"/>
              <w:rPr>
                <w:sz w:val="20"/>
                <w:szCs w:val="20"/>
                <w:color w:val="auto"/>
              </w:rPr>
            </w:pPr>
            <w:r>
              <w:rPr>
                <w:rFonts w:ascii="Arial" w:cs="Arial" w:eastAsia="Arial" w:hAnsi="Arial"/>
                <w:sz w:val="16"/>
                <w:szCs w:val="16"/>
                <w:color w:val="auto"/>
              </w:rPr>
              <w:t>NestGSV, Inc. (d/b/a GSV Labs,</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2760" w:type="dxa"/>
            <w:vAlign w:val="bottom"/>
            <w:gridSpan w:val="3"/>
          </w:tcPr>
          <w:p>
            <w:pPr>
              <w:ind w:left="240"/>
              <w:spacing w:after="0"/>
              <w:rPr>
                <w:sz w:val="20"/>
                <w:szCs w:val="20"/>
                <w:color w:val="auto"/>
              </w:rPr>
            </w:pPr>
            <w:r>
              <w:rPr>
                <w:rFonts w:ascii="Arial" w:cs="Arial" w:eastAsia="Arial" w:hAnsi="Arial"/>
                <w:sz w:val="16"/>
                <w:szCs w:val="16"/>
                <w:color w:val="auto"/>
              </w:rPr>
              <w:t>Inc.)–Preferred stock Series A-2</w:t>
            </w:r>
          </w:p>
        </w:tc>
        <w:tc>
          <w:tcPr>
            <w:tcW w:w="120" w:type="dxa"/>
            <w:vAlign w:val="bottom"/>
          </w:tcPr>
          <w:p>
            <w:pPr>
              <w:spacing w:after="0"/>
              <w:rPr>
                <w:sz w:val="17"/>
                <w:szCs w:val="17"/>
                <w:color w:val="auto"/>
              </w:rPr>
            </w:pPr>
          </w:p>
        </w:tc>
        <w:tc>
          <w:tcPr>
            <w:tcW w:w="740" w:type="dxa"/>
            <w:vAlign w:val="bottom"/>
          </w:tcPr>
          <w:p>
            <w:pPr>
              <w:jc w:val="right"/>
              <w:ind w:right="43"/>
              <w:spacing w:after="0"/>
              <w:rPr>
                <w:sz w:val="20"/>
                <w:szCs w:val="20"/>
                <w:color w:val="auto"/>
              </w:rPr>
            </w:pPr>
            <w:r>
              <w:rPr>
                <w:rFonts w:ascii="Arial" w:cs="Arial" w:eastAsia="Arial" w:hAnsi="Arial"/>
                <w:sz w:val="16"/>
                <w:szCs w:val="16"/>
                <w:color w:val="auto"/>
              </w:rPr>
              <w:t>450,001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326,022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184,546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510,568</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0.24%</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 w:type="dxa"/>
            <w:vAlign w:val="bottom"/>
            <w:shd w:val="clear" w:color="auto" w:fill="CCEEFF"/>
          </w:tcPr>
          <w:p>
            <w:pPr>
              <w:spacing w:after="0"/>
              <w:rPr>
                <w:sz w:val="19"/>
                <w:szCs w:val="19"/>
                <w:color w:val="auto"/>
              </w:rPr>
            </w:pPr>
          </w:p>
        </w:tc>
        <w:tc>
          <w:tcPr>
            <w:tcW w:w="276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NestGSV, Inc. (d/b/a GSV Labs,</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0" w:type="dxa"/>
            <w:vAlign w:val="bottom"/>
            <w:tcBorders>
              <w:bottom w:val="single" w:sz="8" w:color="CCEEFF"/>
            </w:tcBorders>
            <w:shd w:val="clear" w:color="auto" w:fill="CCEEFF"/>
          </w:tcPr>
          <w:p>
            <w:pPr>
              <w:spacing w:after="0"/>
              <w:rPr>
                <w:sz w:val="20"/>
                <w:szCs w:val="20"/>
                <w:color w:val="auto"/>
              </w:rPr>
            </w:pPr>
          </w:p>
        </w:tc>
        <w:tc>
          <w:tcPr>
            <w:tcW w:w="276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6"/>
                <w:szCs w:val="16"/>
                <w:color w:val="auto"/>
              </w:rPr>
              <w:t>Inc.)–Preferred stock Series A-1</w:t>
            </w:r>
          </w:p>
        </w:tc>
        <w:tc>
          <w:tcPr>
            <w:tcW w:w="860" w:type="dxa"/>
            <w:vAlign w:val="bottom"/>
            <w:tcBorders>
              <w:bottom w:val="single" w:sz="8" w:color="CCEEFF"/>
            </w:tcBorders>
            <w:gridSpan w:val="2"/>
            <w:shd w:val="clear" w:color="auto" w:fill="CCEEFF"/>
          </w:tcPr>
          <w:p>
            <w:pPr>
              <w:jc w:val="right"/>
              <w:ind w:right="43"/>
              <w:spacing w:after="0"/>
              <w:rPr>
                <w:sz w:val="20"/>
                <w:szCs w:val="20"/>
                <w:color w:val="auto"/>
              </w:rPr>
            </w:pPr>
            <w:r>
              <w:rPr>
                <w:rFonts w:ascii="Arial" w:cs="Arial" w:eastAsia="Arial" w:hAnsi="Arial"/>
                <w:sz w:val="16"/>
                <w:szCs w:val="16"/>
                <w:color w:val="auto"/>
              </w:rPr>
              <w:t>1,000,000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543,370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307,576</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850,946</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0.40%</w:t>
            </w: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2760" w:type="dxa"/>
            <w:vAlign w:val="bottom"/>
            <w:gridSpan w:val="3"/>
          </w:tcPr>
          <w:p>
            <w:pPr>
              <w:ind w:left="140"/>
              <w:spacing w:after="0"/>
              <w:rPr>
                <w:sz w:val="20"/>
                <w:szCs w:val="20"/>
                <w:color w:val="auto"/>
              </w:rPr>
            </w:pPr>
            <w:r>
              <w:rPr>
                <w:rFonts w:ascii="Arial" w:cs="Arial" w:eastAsia="Arial" w:hAnsi="Arial"/>
                <w:sz w:val="16"/>
                <w:szCs w:val="16"/>
                <w:i w:val="1"/>
                <w:iCs w:val="1"/>
                <w:color w:val="auto"/>
              </w:rPr>
              <w:t>Total Global Innovation Platform</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w w:val="89"/>
              </w:rPr>
              <w:t>8,145,878</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w w:val="95"/>
              </w:rPr>
              <w:t>4,611,006</w:t>
            </w:r>
          </w:p>
        </w:tc>
        <w:tc>
          <w:tcPr>
            <w:tcW w:w="120" w:type="dxa"/>
            <w:vAlign w:val="bottom"/>
          </w:tcPr>
          <w:p>
            <w:pPr>
              <w:spacing w:after="0"/>
              <w:rPr>
                <w:sz w:val="20"/>
                <w:szCs w:val="20"/>
                <w:color w:val="auto"/>
              </w:rPr>
            </w:pPr>
          </w:p>
        </w:tc>
        <w:tc>
          <w:tcPr>
            <w:tcW w:w="880" w:type="dxa"/>
            <w:vAlign w:val="bottom"/>
            <w:tcBorders>
              <w:top w:val="single" w:sz="8" w:color="auto"/>
            </w:tcBorders>
            <w:gridSpan w:val="2"/>
          </w:tcPr>
          <w:p>
            <w:pPr>
              <w:jc w:val="right"/>
              <w:ind w:right="21"/>
              <w:spacing w:after="0"/>
              <w:rPr>
                <w:sz w:val="20"/>
                <w:szCs w:val="20"/>
                <w:color w:val="auto"/>
              </w:rPr>
            </w:pPr>
            <w:r>
              <w:rPr>
                <w:rFonts w:ascii="Arial" w:cs="Arial" w:eastAsia="Arial" w:hAnsi="Arial"/>
                <w:sz w:val="16"/>
                <w:szCs w:val="16"/>
                <w:color w:val="auto"/>
                <w:w w:val="94"/>
              </w:rPr>
              <w:t>12,756,884</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5.98%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4156075</wp:posOffset>
            </wp:positionH>
            <wp:positionV relativeFrom="paragraph">
              <wp:posOffset>-3966210</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2018</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Schedule of Investments In, and Advances to, Affiliate</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Interest,</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Purchases,</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Fees, or</w:t>
            </w:r>
          </w:p>
        </w:tc>
        <w:tc>
          <w:tcPr>
            <w:tcW w:w="10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Fair Value at</w:t>
            </w:r>
          </w:p>
        </w:tc>
        <w:tc>
          <w:tcPr>
            <w:tcW w:w="1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Capitalized</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Fair Value at</w:t>
            </w: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Percentage</w:t>
            </w:r>
          </w:p>
        </w:tc>
        <w:tc>
          <w:tcPr>
            <w:tcW w:w="0" w:type="dxa"/>
            <w:vAlign w:val="bottom"/>
          </w:tcPr>
          <w:p>
            <w:pPr>
              <w:spacing w:after="0"/>
              <w:rPr>
                <w:sz w:val="1"/>
                <w:szCs w:val="1"/>
                <w:color w:val="auto"/>
              </w:rPr>
            </w:pPr>
          </w:p>
        </w:tc>
      </w:tr>
      <w:tr>
        <w:trPr>
          <w:trHeight w:val="149"/>
        </w:trPr>
        <w:tc>
          <w:tcPr>
            <w:tcW w:w="28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Type/Industry/Portfolio</w:t>
            </w:r>
          </w:p>
        </w:tc>
        <w:tc>
          <w:tcPr>
            <w:tcW w:w="9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Principal/</w:t>
            </w:r>
          </w:p>
        </w:tc>
        <w:tc>
          <w:tcPr>
            <w:tcW w:w="8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Dividends</w:t>
            </w:r>
          </w:p>
        </w:tc>
        <w:tc>
          <w:tcPr>
            <w:tcW w:w="10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Fees,</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Realized</w:t>
            </w:r>
          </w:p>
        </w:tc>
        <w:tc>
          <w:tcPr>
            <w:tcW w:w="120" w:type="dxa"/>
            <w:vAlign w:val="bottom"/>
          </w:tcPr>
          <w:p>
            <w:pPr>
              <w:spacing w:after="0"/>
              <w:rPr>
                <w:sz w:val="12"/>
                <w:szCs w:val="12"/>
                <w:color w:val="auto"/>
              </w:rPr>
            </w:pPr>
          </w:p>
        </w:tc>
        <w:tc>
          <w:tcPr>
            <w:tcW w:w="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Unrealized</w:t>
            </w:r>
          </w:p>
        </w:tc>
        <w:tc>
          <w:tcPr>
            <w:tcW w:w="1060" w:type="dxa"/>
            <w:vAlign w:val="bottom"/>
            <w:gridSpan w:val="3"/>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Credited</w:t>
            </w:r>
          </w:p>
        </w:tc>
        <w:tc>
          <w:tcPr>
            <w:tcW w:w="106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December 31,</w:t>
            </w:r>
          </w:p>
        </w:tc>
        <w:tc>
          <w:tcPr>
            <w:tcW w:w="1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Interest and</w:t>
            </w:r>
          </w:p>
        </w:tc>
        <w:tc>
          <w:tcPr>
            <w:tcW w:w="160" w:type="dxa"/>
            <w:vAlign w:val="bottom"/>
          </w:tcPr>
          <w:p>
            <w:pPr>
              <w:spacing w:after="0"/>
              <w:rPr>
                <w:sz w:val="12"/>
                <w:szCs w:val="12"/>
                <w:color w:val="auto"/>
              </w:rPr>
            </w:pPr>
          </w:p>
        </w:tc>
        <w:tc>
          <w:tcPr>
            <w:tcW w:w="60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Sales</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September 30,</w:t>
            </w:r>
          </w:p>
        </w:tc>
        <w:tc>
          <w:tcPr>
            <w:tcW w:w="760" w:type="dxa"/>
            <w:vAlign w:val="bottom"/>
          </w:tcPr>
          <w:p>
            <w:pPr>
              <w:jc w:val="right"/>
              <w:ind w:right="121"/>
              <w:spacing w:after="0" w:line="149" w:lineRule="exact"/>
              <w:rPr>
                <w:sz w:val="20"/>
                <w:szCs w:val="20"/>
                <w:color w:val="auto"/>
              </w:rPr>
            </w:pPr>
            <w:r>
              <w:rPr>
                <w:rFonts w:ascii="Arial" w:cs="Arial" w:eastAsia="Arial" w:hAnsi="Arial"/>
                <w:sz w:val="14"/>
                <w:szCs w:val="14"/>
                <w:b w:val="1"/>
                <w:bCs w:val="1"/>
                <w:color w:val="auto"/>
              </w:rPr>
              <w:t>of Net</w:t>
            </w:r>
          </w:p>
        </w:tc>
        <w:tc>
          <w:tcPr>
            <w:tcW w:w="0" w:type="dxa"/>
            <w:vAlign w:val="bottom"/>
          </w:tcPr>
          <w:p>
            <w:pPr>
              <w:spacing w:after="0"/>
              <w:rPr>
                <w:sz w:val="1"/>
                <w:szCs w:val="1"/>
                <w:color w:val="auto"/>
              </w:rPr>
            </w:pPr>
          </w:p>
        </w:tc>
      </w:tr>
      <w:tr>
        <w:trPr>
          <w:trHeight w:val="192"/>
        </w:trPr>
        <w:tc>
          <w:tcPr>
            <w:tcW w:w="27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Company/Investment</w:t>
            </w:r>
          </w:p>
        </w:tc>
        <w:tc>
          <w:tcPr>
            <w:tcW w:w="1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Quantity</w:t>
            </w:r>
          </w:p>
        </w:tc>
        <w:tc>
          <w:tcPr>
            <w:tcW w:w="12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in Income</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8"/>
              </w:rPr>
              <w:t>Amortization</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87"/>
              </w:rPr>
              <w:t>Gains/(Losses)</w:t>
            </w: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7"/>
              </w:rPr>
              <w:t>Gains/(Losses)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50"/>
        </w:trPr>
        <w:tc>
          <w:tcPr>
            <w:tcW w:w="2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i w:val="1"/>
                <w:iCs w:val="1"/>
                <w:color w:val="auto"/>
              </w:rPr>
              <w:t>Interactive Learning</w:t>
            </w: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800" w:type="dxa"/>
            <w:vAlign w:val="bottom"/>
            <w:gridSpan w:val="2"/>
          </w:tcPr>
          <w:p>
            <w:pPr>
              <w:ind w:left="280"/>
              <w:spacing w:after="0"/>
              <w:rPr>
                <w:sz w:val="20"/>
                <w:szCs w:val="20"/>
                <w:color w:val="auto"/>
              </w:rPr>
            </w:pPr>
            <w:r>
              <w:rPr>
                <w:rFonts w:ascii="Arial" w:cs="Arial" w:eastAsia="Arial" w:hAnsi="Arial"/>
                <w:sz w:val="16"/>
                <w:szCs w:val="16"/>
                <w:color w:val="auto"/>
              </w:rPr>
              <w:t>StormWind, LLC–Preferred shares,</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800" w:type="dxa"/>
            <w:vAlign w:val="bottom"/>
            <w:gridSpan w:val="2"/>
          </w:tcPr>
          <w:p>
            <w:pPr>
              <w:ind w:left="280"/>
              <w:spacing w:after="0" w:line="239" w:lineRule="exact"/>
              <w:rPr>
                <w:sz w:val="20"/>
                <w:szCs w:val="20"/>
                <w:color w:val="auto"/>
              </w:rPr>
            </w:pPr>
            <w:r>
              <w:rPr>
                <w:rFonts w:ascii="Arial" w:cs="Arial" w:eastAsia="Arial" w:hAnsi="Arial"/>
                <w:sz w:val="16"/>
                <w:szCs w:val="16"/>
                <w:color w:val="auto"/>
              </w:rPr>
              <w:t>Series C 8%</w:t>
            </w:r>
            <w:r>
              <w:rPr>
                <w:rFonts w:ascii="Arial" w:cs="Arial" w:eastAsia="Arial" w:hAnsi="Arial"/>
                <w:sz w:val="21"/>
                <w:szCs w:val="21"/>
                <w:color w:val="auto"/>
                <w:vertAlign w:val="superscript"/>
              </w:rPr>
              <w:t>(3)</w:t>
            </w:r>
          </w:p>
        </w:tc>
        <w:tc>
          <w:tcPr>
            <w:tcW w:w="780" w:type="dxa"/>
            <w:vAlign w:val="bottom"/>
          </w:tcPr>
          <w:p>
            <w:pPr>
              <w:jc w:val="right"/>
              <w:ind w:right="21"/>
              <w:spacing w:after="0"/>
              <w:rPr>
                <w:sz w:val="20"/>
                <w:szCs w:val="20"/>
                <w:color w:val="auto"/>
              </w:rPr>
            </w:pPr>
            <w:r>
              <w:rPr>
                <w:rFonts w:ascii="Arial" w:cs="Arial" w:eastAsia="Arial" w:hAnsi="Arial"/>
                <w:sz w:val="16"/>
                <w:szCs w:val="16"/>
                <w:color w:val="auto"/>
                <w:w w:val="92"/>
              </w:rPr>
              <w:t>2,779,134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w w:val="98"/>
              </w:rPr>
              <w:t>7,223,904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0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0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w w:val="95"/>
              </w:rPr>
              <w:t>1,178,779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8,402,683</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3.94%</w:t>
            </w:r>
          </w:p>
        </w:tc>
        <w:tc>
          <w:tcPr>
            <w:tcW w:w="0" w:type="dxa"/>
            <w:vAlign w:val="bottom"/>
          </w:tcPr>
          <w:p>
            <w:pPr>
              <w:spacing w:after="0"/>
              <w:rPr>
                <w:sz w:val="1"/>
                <w:szCs w:val="1"/>
                <w:color w:val="auto"/>
              </w:rPr>
            </w:pPr>
          </w:p>
        </w:tc>
      </w:tr>
      <w:tr>
        <w:trPr>
          <w:trHeight w:val="220"/>
        </w:trPr>
        <w:tc>
          <w:tcPr>
            <w:tcW w:w="280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StormWind, LLC–Preferred shares,</w:t>
            </w: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800" w:type="dxa"/>
            <w:vAlign w:val="bottom"/>
            <w:gridSpan w:val="2"/>
            <w:shd w:val="clear" w:color="auto" w:fill="CCEEFF"/>
          </w:tcPr>
          <w:p>
            <w:pPr>
              <w:ind w:left="280"/>
              <w:spacing w:after="0" w:line="239" w:lineRule="exact"/>
              <w:rPr>
                <w:sz w:val="20"/>
                <w:szCs w:val="20"/>
                <w:color w:val="auto"/>
              </w:rPr>
            </w:pPr>
            <w:r>
              <w:rPr>
                <w:rFonts w:ascii="Arial" w:cs="Arial" w:eastAsia="Arial" w:hAnsi="Arial"/>
                <w:sz w:val="16"/>
                <w:szCs w:val="16"/>
                <w:color w:val="auto"/>
              </w:rPr>
              <w:t>Series B 8%</w:t>
            </w:r>
            <w:r>
              <w:rPr>
                <w:rFonts w:ascii="Arial" w:cs="Arial" w:eastAsia="Arial" w:hAnsi="Arial"/>
                <w:sz w:val="21"/>
                <w:szCs w:val="21"/>
                <w:color w:val="auto"/>
                <w:vertAlign w:val="superscript"/>
              </w:rPr>
              <w:t>(3)</w:t>
            </w:r>
          </w:p>
        </w:tc>
        <w:tc>
          <w:tcPr>
            <w:tcW w:w="7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92"/>
              </w:rPr>
              <w:t>3,279,629</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w w:val="98"/>
              </w:rPr>
              <w:t>5,804,472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0"/>
                <w:szCs w:val="20"/>
                <w:color w:val="auto"/>
              </w:rPr>
            </w:pP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195,576</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6,000,048</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w:t>
            </w:r>
          </w:p>
        </w:tc>
        <w:tc>
          <w:tcPr>
            <w:tcW w:w="0" w:type="dxa"/>
            <w:vAlign w:val="bottom"/>
          </w:tcPr>
          <w:p>
            <w:pPr>
              <w:spacing w:after="0"/>
              <w:rPr>
                <w:sz w:val="1"/>
                <w:szCs w:val="1"/>
                <w:color w:val="auto"/>
              </w:rPr>
            </w:pPr>
          </w:p>
        </w:tc>
      </w:tr>
      <w:tr>
        <w:trPr>
          <w:trHeight w:val="220"/>
        </w:trPr>
        <w:tc>
          <w:tcPr>
            <w:tcW w:w="2800" w:type="dxa"/>
            <w:vAlign w:val="bottom"/>
            <w:gridSpan w:val="2"/>
          </w:tcPr>
          <w:p>
            <w:pPr>
              <w:ind w:left="280"/>
              <w:spacing w:after="0"/>
              <w:rPr>
                <w:sz w:val="20"/>
                <w:szCs w:val="20"/>
                <w:color w:val="auto"/>
              </w:rPr>
            </w:pPr>
            <w:r>
              <w:rPr>
                <w:rFonts w:ascii="Arial" w:cs="Arial" w:eastAsia="Arial" w:hAnsi="Arial"/>
                <w:sz w:val="16"/>
                <w:szCs w:val="16"/>
                <w:color w:val="auto"/>
              </w:rPr>
              <w:t>StormWind, LLC–Preferred shares,</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800" w:type="dxa"/>
            <w:vAlign w:val="bottom"/>
            <w:tcBorders>
              <w:bottom w:val="single" w:sz="8" w:color="CCEEFF"/>
            </w:tcBorders>
            <w:gridSpan w:val="2"/>
          </w:tcPr>
          <w:p>
            <w:pPr>
              <w:ind w:left="280"/>
              <w:spacing w:after="0" w:line="239" w:lineRule="exact"/>
              <w:rPr>
                <w:sz w:val="20"/>
                <w:szCs w:val="20"/>
                <w:color w:val="auto"/>
              </w:rPr>
            </w:pPr>
            <w:r>
              <w:rPr>
                <w:rFonts w:ascii="Arial" w:cs="Arial" w:eastAsia="Arial" w:hAnsi="Arial"/>
                <w:sz w:val="16"/>
                <w:szCs w:val="16"/>
                <w:color w:val="auto"/>
              </w:rPr>
              <w:t>Series A 8%</w:t>
            </w:r>
            <w:r>
              <w:rPr>
                <w:rFonts w:ascii="Arial" w:cs="Arial" w:eastAsia="Arial" w:hAnsi="Arial"/>
                <w:sz w:val="21"/>
                <w:szCs w:val="21"/>
                <w:color w:val="auto"/>
                <w:vertAlign w:val="superscript"/>
              </w:rPr>
              <w:t>(3)</w:t>
            </w:r>
          </w:p>
        </w:tc>
        <w:tc>
          <w:tcPr>
            <w:tcW w:w="780" w:type="dxa"/>
            <w:vAlign w:val="bottom"/>
            <w:tcBorders>
              <w:bottom w:val="single" w:sz="8" w:color="CCEEFF"/>
            </w:tcBorders>
          </w:tcPr>
          <w:p>
            <w:pPr>
              <w:jc w:val="right"/>
              <w:ind w:right="21"/>
              <w:spacing w:after="0"/>
              <w:rPr>
                <w:sz w:val="20"/>
                <w:szCs w:val="20"/>
                <w:color w:val="auto"/>
              </w:rPr>
            </w:pPr>
            <w:r>
              <w:rPr>
                <w:rFonts w:ascii="Arial" w:cs="Arial" w:eastAsia="Arial" w:hAnsi="Arial"/>
                <w:sz w:val="16"/>
                <w:szCs w:val="16"/>
                <w:color w:val="auto"/>
              </w:rPr>
              <w:t>366,666</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425,342</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ind w:left="5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ind w:left="3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ind w:left="5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155,523</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580,865</w:t>
            </w:r>
          </w:p>
        </w:tc>
        <w:tc>
          <w:tcPr>
            <w:tcW w:w="120" w:type="dxa"/>
            <w:vAlign w:val="bottom"/>
            <w:tcBorders>
              <w:bottom w:val="single" w:sz="8" w:color="CCEEFF"/>
            </w:tcBorders>
          </w:tcPr>
          <w:p>
            <w:pPr>
              <w:spacing w:after="0"/>
              <w:rPr>
                <w:sz w:val="20"/>
                <w:szCs w:val="20"/>
                <w:color w:val="auto"/>
              </w:rPr>
            </w:pPr>
          </w:p>
        </w:tc>
        <w:tc>
          <w:tcPr>
            <w:tcW w:w="7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0.27%</w:t>
            </w:r>
          </w:p>
        </w:tc>
        <w:tc>
          <w:tcPr>
            <w:tcW w:w="0" w:type="dxa"/>
            <w:vAlign w:val="bottom"/>
          </w:tcPr>
          <w:p>
            <w:pPr>
              <w:spacing w:after="0"/>
              <w:rPr>
                <w:sz w:val="1"/>
                <w:szCs w:val="1"/>
                <w:color w:val="auto"/>
              </w:rPr>
            </w:pPr>
          </w:p>
        </w:tc>
      </w:tr>
      <w:tr>
        <w:trPr>
          <w:trHeight w:val="244"/>
        </w:trPr>
        <w:tc>
          <w:tcPr>
            <w:tcW w:w="2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i w:val="1"/>
                <w:iCs w:val="1"/>
                <w:color w:val="auto"/>
              </w:rPr>
              <w:t>Total Interactive Learning</w:t>
            </w: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7"/>
              </w:rPr>
              <w:t>13,453,718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95"/>
              </w:rPr>
              <w:t>1,529,879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14,983,597</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7.02%</w:t>
            </w:r>
          </w:p>
        </w:tc>
        <w:tc>
          <w:tcPr>
            <w:tcW w:w="0" w:type="dxa"/>
            <w:vAlign w:val="bottom"/>
          </w:tcPr>
          <w:p>
            <w:pPr>
              <w:spacing w:after="0"/>
              <w:rPr>
                <w:sz w:val="1"/>
                <w:szCs w:val="1"/>
                <w:color w:val="auto"/>
              </w:rPr>
            </w:pPr>
          </w:p>
        </w:tc>
      </w:tr>
      <w:tr>
        <w:trPr>
          <w:trHeight w:val="237"/>
        </w:trPr>
        <w:tc>
          <w:tcPr>
            <w:tcW w:w="2800" w:type="dxa"/>
            <w:vAlign w:val="bottom"/>
            <w:gridSpan w:val="2"/>
          </w:tcPr>
          <w:p>
            <w:pPr>
              <w:ind w:left="40"/>
              <w:spacing w:after="0"/>
              <w:rPr>
                <w:sz w:val="20"/>
                <w:szCs w:val="20"/>
                <w:color w:val="auto"/>
              </w:rPr>
            </w:pPr>
            <w:r>
              <w:rPr>
                <w:rFonts w:ascii="Arial" w:cs="Arial" w:eastAsia="Arial" w:hAnsi="Arial"/>
                <w:sz w:val="16"/>
                <w:szCs w:val="16"/>
                <w:b w:val="1"/>
                <w:bCs w:val="1"/>
                <w:color w:val="auto"/>
              </w:rPr>
              <w:t>Total Preferred Stock</w:t>
            </w: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21"/>
              <w:spacing w:after="0"/>
              <w:rPr>
                <w:sz w:val="20"/>
                <w:szCs w:val="20"/>
                <w:color w:val="auto"/>
              </w:rPr>
            </w:pPr>
            <w:r>
              <w:rPr>
                <w:rFonts w:ascii="Arial" w:cs="Arial" w:eastAsia="Arial" w:hAnsi="Arial"/>
                <w:sz w:val="16"/>
                <w:szCs w:val="16"/>
                <w:color w:val="auto"/>
                <w:w w:val="96"/>
              </w:rPr>
              <w:t>350,000</w:t>
            </w:r>
          </w:p>
        </w:tc>
        <w:tc>
          <w:tcPr>
            <w:tcW w:w="100" w:type="dxa"/>
            <w:vAlign w:val="bottom"/>
          </w:tcPr>
          <w:p>
            <w:pPr>
              <w:spacing w:after="0"/>
              <w:rPr>
                <w:sz w:val="20"/>
                <w:szCs w:val="20"/>
                <w:color w:val="auto"/>
              </w:rPr>
            </w:pP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ind w:right="40"/>
              <w:spacing w:after="0"/>
              <w:rPr>
                <w:sz w:val="20"/>
                <w:szCs w:val="20"/>
                <w:color w:val="auto"/>
              </w:rPr>
            </w:pPr>
            <w:r>
              <w:rPr>
                <w:rFonts w:ascii="Arial" w:cs="Arial" w:eastAsia="Arial" w:hAnsi="Arial"/>
                <w:sz w:val="16"/>
                <w:szCs w:val="16"/>
                <w:color w:val="auto"/>
                <w:w w:val="87"/>
              </w:rPr>
              <w:t>22,669,458</w:t>
            </w:r>
          </w:p>
        </w:tc>
        <w:tc>
          <w:tcPr>
            <w:tcW w:w="10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88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160" w:type="dxa"/>
            <w:vAlign w:val="bottom"/>
          </w:tcPr>
          <w:p>
            <w:pPr>
              <w:ind w:left="40"/>
              <w:spacing w:after="0"/>
              <w:rPr>
                <w:sz w:val="20"/>
                <w:szCs w:val="20"/>
                <w:color w:val="auto"/>
              </w:rPr>
            </w:pPr>
            <w:r>
              <w:rPr>
                <w:rFonts w:ascii="Arial" w:cs="Arial" w:eastAsia="Arial" w:hAnsi="Arial"/>
                <w:sz w:val="16"/>
                <w:szCs w:val="16"/>
                <w:color w:val="auto"/>
              </w:rPr>
              <w:t>$</w:t>
            </w:r>
          </w:p>
        </w:tc>
        <w:tc>
          <w:tcPr>
            <w:tcW w:w="90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20"/>
              <w:spacing w:after="0"/>
              <w:rPr>
                <w:sz w:val="20"/>
                <w:szCs w:val="20"/>
                <w:color w:val="auto"/>
              </w:rPr>
            </w:pPr>
            <w:r>
              <w:rPr>
                <w:rFonts w:ascii="Arial" w:cs="Arial" w:eastAsia="Arial" w:hAnsi="Arial"/>
                <w:sz w:val="16"/>
                <w:szCs w:val="16"/>
                <w:color w:val="auto"/>
                <w:w w:val="95"/>
              </w:rPr>
              <w:t>6,030,215</w:t>
            </w:r>
          </w:p>
        </w:tc>
        <w:tc>
          <w:tcPr>
            <w:tcW w:w="120" w:type="dxa"/>
            <w:vAlign w:val="bottom"/>
          </w:tcPr>
          <w:p>
            <w:pPr>
              <w:spacing w:after="0"/>
              <w:rPr>
                <w:sz w:val="20"/>
                <w:szCs w:val="20"/>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w w:val="89"/>
              </w:rPr>
              <w:t>28,699,673</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13.45%</w:t>
            </w:r>
          </w:p>
        </w:tc>
        <w:tc>
          <w:tcPr>
            <w:tcW w:w="0" w:type="dxa"/>
            <w:vAlign w:val="bottom"/>
          </w:tcPr>
          <w:p>
            <w:pPr>
              <w:spacing w:after="0"/>
              <w:rPr>
                <w:sz w:val="1"/>
                <w:szCs w:val="1"/>
                <w:color w:val="auto"/>
              </w:rPr>
            </w:pPr>
          </w:p>
        </w:tc>
      </w:tr>
      <w:tr>
        <w:trPr>
          <w:trHeight w:val="33"/>
        </w:trPr>
        <w:tc>
          <w:tcPr>
            <w:tcW w:w="2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Warrants</w:t>
            </w: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800" w:type="dxa"/>
            <w:vAlign w:val="bottom"/>
            <w:gridSpan w:val="2"/>
          </w:tcPr>
          <w:p>
            <w:pPr>
              <w:ind w:left="180"/>
              <w:spacing w:after="0"/>
              <w:rPr>
                <w:sz w:val="20"/>
                <w:szCs w:val="20"/>
                <w:color w:val="auto"/>
              </w:rPr>
            </w:pPr>
            <w:r>
              <w:rPr>
                <w:rFonts w:ascii="Arial" w:cs="Arial" w:eastAsia="Arial" w:hAnsi="Arial"/>
                <w:sz w:val="16"/>
                <w:szCs w:val="16"/>
                <w:i w:val="1"/>
                <w:iCs w:val="1"/>
                <w:color w:val="auto"/>
              </w:rPr>
              <w:t>Global Innovation Platform</w:t>
            </w: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80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NestGSV, Inc. (d/b/a GSV Labs,</w:t>
            </w: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80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w w:val="99"/>
              </w:rPr>
              <w:t>Inc.)–Preferred Warrant Series A-3,</w:t>
            </w: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0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Strike Price $1.33, Expiration Date</w:t>
            </w: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4/4/2019</w:t>
            </w: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187,500</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1,875</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108,750</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110,625</w:t>
            </w: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0.05%</w:t>
            </w:r>
          </w:p>
        </w:tc>
        <w:tc>
          <w:tcPr>
            <w:tcW w:w="0" w:type="dxa"/>
            <w:vAlign w:val="bottom"/>
          </w:tcPr>
          <w:p>
            <w:pPr>
              <w:spacing w:after="0"/>
              <w:rPr>
                <w:sz w:val="1"/>
                <w:szCs w:val="1"/>
                <w:color w:val="auto"/>
              </w:rPr>
            </w:pPr>
          </w:p>
        </w:tc>
      </w:tr>
      <w:tr>
        <w:trPr>
          <w:trHeight w:val="220"/>
        </w:trPr>
        <w:tc>
          <w:tcPr>
            <w:tcW w:w="2800" w:type="dxa"/>
            <w:vAlign w:val="bottom"/>
            <w:gridSpan w:val="2"/>
          </w:tcPr>
          <w:p>
            <w:pPr>
              <w:ind w:left="280"/>
              <w:spacing w:after="0"/>
              <w:rPr>
                <w:sz w:val="20"/>
                <w:szCs w:val="20"/>
                <w:color w:val="auto"/>
              </w:rPr>
            </w:pPr>
            <w:r>
              <w:rPr>
                <w:rFonts w:ascii="Arial" w:cs="Arial" w:eastAsia="Arial" w:hAnsi="Arial"/>
                <w:sz w:val="16"/>
                <w:szCs w:val="16"/>
                <w:color w:val="auto"/>
              </w:rPr>
              <w:t>NestGSV, Inc. (d/b/a GSV Labs,</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800" w:type="dxa"/>
            <w:vAlign w:val="bottom"/>
            <w:gridSpan w:val="2"/>
          </w:tcPr>
          <w:p>
            <w:pPr>
              <w:ind w:left="280"/>
              <w:spacing w:after="0"/>
              <w:rPr>
                <w:sz w:val="20"/>
                <w:szCs w:val="20"/>
                <w:color w:val="auto"/>
              </w:rPr>
            </w:pPr>
            <w:r>
              <w:rPr>
                <w:rFonts w:ascii="Arial" w:cs="Arial" w:eastAsia="Arial" w:hAnsi="Arial"/>
                <w:sz w:val="16"/>
                <w:szCs w:val="16"/>
                <w:color w:val="auto"/>
                <w:w w:val="99"/>
              </w:rPr>
              <w:t>Inc.)–Preferred Warrant Series A-4,</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00" w:type="dxa"/>
            <w:vAlign w:val="bottom"/>
            <w:gridSpan w:val="2"/>
          </w:tcPr>
          <w:p>
            <w:pPr>
              <w:ind w:left="280"/>
              <w:spacing w:after="0"/>
              <w:rPr>
                <w:sz w:val="20"/>
                <w:szCs w:val="20"/>
                <w:color w:val="auto"/>
              </w:rPr>
            </w:pPr>
            <w:r>
              <w:rPr>
                <w:rFonts w:ascii="Arial" w:cs="Arial" w:eastAsia="Arial" w:hAnsi="Arial"/>
                <w:sz w:val="16"/>
                <w:szCs w:val="16"/>
                <w:color w:val="auto"/>
              </w:rPr>
              <w:t>Strike Price $1.33, Expiration Date</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00" w:type="dxa"/>
            <w:vAlign w:val="bottom"/>
          </w:tcPr>
          <w:p>
            <w:pPr>
              <w:ind w:left="280"/>
              <w:spacing w:after="0"/>
              <w:rPr>
                <w:sz w:val="20"/>
                <w:szCs w:val="20"/>
                <w:color w:val="auto"/>
              </w:rPr>
            </w:pPr>
            <w:r>
              <w:rPr>
                <w:rFonts w:ascii="Arial" w:cs="Arial" w:eastAsia="Arial" w:hAnsi="Arial"/>
                <w:sz w:val="16"/>
                <w:szCs w:val="16"/>
                <w:color w:val="auto"/>
              </w:rPr>
              <w:t>10/6/2019</w:t>
            </w:r>
          </w:p>
        </w:tc>
        <w:tc>
          <w:tcPr>
            <w:tcW w:w="100" w:type="dxa"/>
            <w:vAlign w:val="bottom"/>
          </w:tcPr>
          <w:p>
            <w:pPr>
              <w:spacing w:after="0"/>
              <w:rPr>
                <w:sz w:val="17"/>
                <w:szCs w:val="17"/>
                <w:color w:val="auto"/>
              </w:rPr>
            </w:pP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500,000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160,000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0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0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335,000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495,000</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0.23%</w:t>
            </w:r>
          </w:p>
        </w:tc>
        <w:tc>
          <w:tcPr>
            <w:tcW w:w="0" w:type="dxa"/>
            <w:vAlign w:val="bottom"/>
          </w:tcPr>
          <w:p>
            <w:pPr>
              <w:spacing w:after="0"/>
              <w:rPr>
                <w:sz w:val="1"/>
                <w:szCs w:val="1"/>
                <w:color w:val="auto"/>
              </w:rPr>
            </w:pPr>
          </w:p>
        </w:tc>
      </w:tr>
      <w:tr>
        <w:trPr>
          <w:trHeight w:val="33"/>
        </w:trPr>
        <w:tc>
          <w:tcPr>
            <w:tcW w:w="2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80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NestGSV, Inc. (d/b/a GSV Labs,</w:t>
            </w: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80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w w:val="99"/>
              </w:rPr>
              <w:t>Inc.)–Preferred Warrant Series A-4,</w:t>
            </w: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0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Strike Price $1.33, Expiration Date</w:t>
            </w: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7/18/2021</w:t>
            </w: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250,000</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102,500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165,000</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267,500</w:t>
            </w: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0.13%</w:t>
            </w:r>
          </w:p>
        </w:tc>
        <w:tc>
          <w:tcPr>
            <w:tcW w:w="0" w:type="dxa"/>
            <w:vAlign w:val="bottom"/>
          </w:tcPr>
          <w:p>
            <w:pPr>
              <w:spacing w:after="0"/>
              <w:rPr>
                <w:sz w:val="1"/>
                <w:szCs w:val="1"/>
                <w:color w:val="auto"/>
              </w:rPr>
            </w:pPr>
          </w:p>
        </w:tc>
      </w:tr>
      <w:tr>
        <w:trPr>
          <w:trHeight w:val="220"/>
        </w:trPr>
        <w:tc>
          <w:tcPr>
            <w:tcW w:w="2800" w:type="dxa"/>
            <w:vAlign w:val="bottom"/>
            <w:gridSpan w:val="2"/>
          </w:tcPr>
          <w:p>
            <w:pPr>
              <w:ind w:left="280"/>
              <w:spacing w:after="0"/>
              <w:rPr>
                <w:sz w:val="20"/>
                <w:szCs w:val="20"/>
                <w:color w:val="auto"/>
              </w:rPr>
            </w:pPr>
            <w:r>
              <w:rPr>
                <w:rFonts w:ascii="Arial" w:cs="Arial" w:eastAsia="Arial" w:hAnsi="Arial"/>
                <w:sz w:val="16"/>
                <w:szCs w:val="16"/>
                <w:color w:val="auto"/>
              </w:rPr>
              <w:t>NestGSV, Inc. (d/b/a GSV Labs,</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800" w:type="dxa"/>
            <w:vAlign w:val="bottom"/>
            <w:gridSpan w:val="2"/>
          </w:tcPr>
          <w:p>
            <w:pPr>
              <w:ind w:left="280"/>
              <w:spacing w:after="0"/>
              <w:rPr>
                <w:sz w:val="20"/>
                <w:szCs w:val="20"/>
                <w:color w:val="auto"/>
              </w:rPr>
            </w:pPr>
            <w:r>
              <w:rPr>
                <w:rFonts w:ascii="Arial" w:cs="Arial" w:eastAsia="Arial" w:hAnsi="Arial"/>
                <w:sz w:val="16"/>
                <w:szCs w:val="16"/>
                <w:color w:val="auto"/>
              </w:rPr>
              <w:t>Inc.)–Preferred Warrant Series B,</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00" w:type="dxa"/>
            <w:vAlign w:val="bottom"/>
            <w:gridSpan w:val="2"/>
          </w:tcPr>
          <w:p>
            <w:pPr>
              <w:ind w:left="280"/>
              <w:spacing w:after="0"/>
              <w:rPr>
                <w:sz w:val="20"/>
                <w:szCs w:val="20"/>
                <w:color w:val="auto"/>
              </w:rPr>
            </w:pPr>
            <w:r>
              <w:rPr>
                <w:rFonts w:ascii="Arial" w:cs="Arial" w:eastAsia="Arial" w:hAnsi="Arial"/>
                <w:sz w:val="16"/>
                <w:szCs w:val="16"/>
                <w:color w:val="auto"/>
              </w:rPr>
              <w:t>Strike Price $2.31, Expiration Date</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00" w:type="dxa"/>
            <w:vAlign w:val="bottom"/>
          </w:tcPr>
          <w:p>
            <w:pPr>
              <w:ind w:left="280"/>
              <w:spacing w:after="0"/>
              <w:rPr>
                <w:sz w:val="20"/>
                <w:szCs w:val="20"/>
                <w:color w:val="auto"/>
              </w:rPr>
            </w:pPr>
            <w:r>
              <w:rPr>
                <w:rFonts w:ascii="Arial" w:cs="Arial" w:eastAsia="Arial" w:hAnsi="Arial"/>
                <w:sz w:val="16"/>
                <w:szCs w:val="16"/>
                <w:color w:val="auto"/>
              </w:rPr>
              <w:t>11/29/2021</w:t>
            </w:r>
          </w:p>
        </w:tc>
        <w:tc>
          <w:tcPr>
            <w:tcW w:w="100" w:type="dxa"/>
            <w:vAlign w:val="bottom"/>
          </w:tcPr>
          <w:p>
            <w:pPr>
              <w:spacing w:after="0"/>
              <w:rPr>
                <w:sz w:val="17"/>
                <w:szCs w:val="17"/>
                <w:color w:val="auto"/>
              </w:rPr>
            </w:pP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100,000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41,000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0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0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(33,444)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7,556</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0.00%</w:t>
            </w:r>
          </w:p>
        </w:tc>
        <w:tc>
          <w:tcPr>
            <w:tcW w:w="0" w:type="dxa"/>
            <w:vAlign w:val="bottom"/>
          </w:tcPr>
          <w:p>
            <w:pPr>
              <w:spacing w:after="0"/>
              <w:rPr>
                <w:sz w:val="1"/>
                <w:szCs w:val="1"/>
                <w:color w:val="auto"/>
              </w:rPr>
            </w:pPr>
          </w:p>
        </w:tc>
      </w:tr>
      <w:tr>
        <w:trPr>
          <w:trHeight w:val="33"/>
        </w:trPr>
        <w:tc>
          <w:tcPr>
            <w:tcW w:w="2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80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NestGSV, Inc. (d/b/a GSV Labs,</w:t>
            </w: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80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Inc.)–Preferred Warrant Series B,</w:t>
            </w: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0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Strike Price $2.31, Expiration Date</w:t>
            </w: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5/29/2022</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125,000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80,000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(70,556)</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9,444</w:t>
            </w: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0.00%</w:t>
            </w:r>
          </w:p>
        </w:tc>
        <w:tc>
          <w:tcPr>
            <w:tcW w:w="0" w:type="dxa"/>
            <w:vAlign w:val="bottom"/>
          </w:tcPr>
          <w:p>
            <w:pPr>
              <w:spacing w:after="0"/>
              <w:rPr>
                <w:sz w:val="1"/>
                <w:szCs w:val="1"/>
                <w:color w:val="auto"/>
              </w:rPr>
            </w:pPr>
          </w:p>
        </w:tc>
      </w:tr>
      <w:tr>
        <w:trPr>
          <w:trHeight w:val="231"/>
        </w:trPr>
        <w:tc>
          <w:tcPr>
            <w:tcW w:w="2800" w:type="dxa"/>
            <w:vAlign w:val="bottom"/>
            <w:gridSpan w:val="2"/>
          </w:tcPr>
          <w:p>
            <w:pPr>
              <w:ind w:left="180"/>
              <w:spacing w:after="0"/>
              <w:rPr>
                <w:sz w:val="20"/>
                <w:szCs w:val="20"/>
                <w:color w:val="auto"/>
              </w:rPr>
            </w:pPr>
            <w:r>
              <w:rPr>
                <w:rFonts w:ascii="Arial" w:cs="Arial" w:eastAsia="Arial" w:hAnsi="Arial"/>
                <w:sz w:val="16"/>
                <w:szCs w:val="16"/>
                <w:i w:val="1"/>
                <w:iCs w:val="1"/>
                <w:color w:val="auto"/>
              </w:rPr>
              <w:t>Total Global Innovation Platform</w:t>
            </w:r>
          </w:p>
        </w:tc>
        <w:tc>
          <w:tcPr>
            <w:tcW w:w="780" w:type="dxa"/>
            <w:vAlign w:val="bottom"/>
            <w:tcBorders>
              <w:top w:val="single" w:sz="8" w:color="CCEEFF"/>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385,375</w:t>
            </w:r>
          </w:p>
        </w:tc>
        <w:tc>
          <w:tcPr>
            <w:tcW w:w="100" w:type="dxa"/>
            <w:vAlign w:val="bottom"/>
            <w:tcBorders>
              <w:top w:val="single" w:sz="8" w:color="CCEEFF"/>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ind w:left="50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ind w:left="32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ind w:left="500"/>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504,750</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890,125</w:t>
            </w:r>
          </w:p>
        </w:tc>
        <w:tc>
          <w:tcPr>
            <w:tcW w:w="120" w:type="dxa"/>
            <w:vAlign w:val="bottom"/>
          </w:tcPr>
          <w:p>
            <w:pPr>
              <w:spacing w:after="0"/>
              <w:rPr>
                <w:sz w:val="20"/>
                <w:szCs w:val="20"/>
                <w:color w:val="auto"/>
              </w:rPr>
            </w:pPr>
          </w:p>
        </w:tc>
        <w:tc>
          <w:tcPr>
            <w:tcW w:w="76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0.42%</w:t>
            </w:r>
          </w:p>
        </w:tc>
        <w:tc>
          <w:tcPr>
            <w:tcW w:w="0" w:type="dxa"/>
            <w:vAlign w:val="bottom"/>
          </w:tcPr>
          <w:p>
            <w:pPr>
              <w:spacing w:after="0"/>
              <w:rPr>
                <w:sz w:val="1"/>
                <w:szCs w:val="1"/>
                <w:color w:val="auto"/>
              </w:rPr>
            </w:pPr>
          </w:p>
        </w:tc>
      </w:tr>
      <w:tr>
        <w:trPr>
          <w:trHeight w:val="33"/>
        </w:trPr>
        <w:tc>
          <w:tcPr>
            <w:tcW w:w="2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Total Warrants</w:t>
            </w: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385,375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504,750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890,125</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0.42%</w:t>
            </w:r>
          </w:p>
        </w:tc>
        <w:tc>
          <w:tcPr>
            <w:tcW w:w="0" w:type="dxa"/>
            <w:vAlign w:val="bottom"/>
          </w:tcPr>
          <w:p>
            <w:pPr>
              <w:spacing w:after="0"/>
              <w:rPr>
                <w:sz w:val="1"/>
                <w:szCs w:val="1"/>
                <w:color w:val="auto"/>
              </w:rPr>
            </w:pPr>
          </w:p>
        </w:tc>
      </w:tr>
      <w:tr>
        <w:trPr>
          <w:trHeight w:val="237"/>
        </w:trPr>
        <w:tc>
          <w:tcPr>
            <w:tcW w:w="2800" w:type="dxa"/>
            <w:vAlign w:val="bottom"/>
            <w:gridSpan w:val="2"/>
          </w:tcPr>
          <w:p>
            <w:pPr>
              <w:ind w:left="40"/>
              <w:spacing w:after="0"/>
              <w:rPr>
                <w:sz w:val="20"/>
                <w:szCs w:val="20"/>
                <w:color w:val="auto"/>
              </w:rPr>
            </w:pPr>
            <w:r>
              <w:rPr>
                <w:rFonts w:ascii="Arial" w:cs="Arial" w:eastAsia="Arial" w:hAnsi="Arial"/>
                <w:sz w:val="16"/>
                <w:szCs w:val="16"/>
                <w:b w:val="1"/>
                <w:bCs w:val="1"/>
                <w:color w:val="auto"/>
              </w:rPr>
              <w:t>Common Stock</w:t>
            </w: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i w:val="1"/>
                <w:iCs w:val="1"/>
                <w:color w:val="auto"/>
              </w:rPr>
              <w:t>Clean Technology</w:t>
            </w: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800" w:type="dxa"/>
            <w:vAlign w:val="bottom"/>
            <w:gridSpan w:val="2"/>
          </w:tcPr>
          <w:p>
            <w:pPr>
              <w:ind w:left="280"/>
              <w:spacing w:after="0"/>
              <w:rPr>
                <w:sz w:val="20"/>
                <w:szCs w:val="20"/>
                <w:color w:val="auto"/>
              </w:rPr>
            </w:pPr>
            <w:r>
              <w:rPr>
                <w:rFonts w:ascii="Arial" w:cs="Arial" w:eastAsia="Arial" w:hAnsi="Arial"/>
                <w:sz w:val="16"/>
                <w:szCs w:val="16"/>
                <w:color w:val="auto"/>
              </w:rPr>
              <w:t>SPBRX, INC. (f/k/a GSV</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800" w:type="dxa"/>
            <w:vAlign w:val="bottom"/>
            <w:gridSpan w:val="2"/>
          </w:tcPr>
          <w:p>
            <w:pPr>
              <w:ind w:left="280"/>
              <w:spacing w:after="0"/>
              <w:rPr>
                <w:sz w:val="20"/>
                <w:szCs w:val="20"/>
                <w:color w:val="auto"/>
              </w:rPr>
            </w:pPr>
            <w:r>
              <w:rPr>
                <w:rFonts w:ascii="Arial" w:cs="Arial" w:eastAsia="Arial" w:hAnsi="Arial"/>
                <w:sz w:val="16"/>
                <w:szCs w:val="16"/>
                <w:color w:val="auto"/>
              </w:rPr>
              <w:t>Sustainability Partners, Inc.)–</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800" w:type="dxa"/>
            <w:vAlign w:val="bottom"/>
            <w:gridSpan w:val="2"/>
          </w:tcPr>
          <w:p>
            <w:pPr>
              <w:ind w:left="280"/>
              <w:spacing w:after="0"/>
              <w:rPr>
                <w:sz w:val="20"/>
                <w:szCs w:val="20"/>
                <w:color w:val="auto"/>
              </w:rPr>
            </w:pPr>
            <w:r>
              <w:rPr>
                <w:rFonts w:ascii="Arial" w:cs="Arial" w:eastAsia="Arial" w:hAnsi="Arial"/>
                <w:sz w:val="16"/>
                <w:szCs w:val="16"/>
                <w:color w:val="auto"/>
              </w:rPr>
              <w:t>Common shares</w:t>
            </w: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100,000</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88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160" w:type="dxa"/>
            <w:vAlign w:val="bottom"/>
          </w:tcPr>
          <w:p>
            <w:pPr>
              <w:ind w:left="40"/>
              <w:spacing w:after="0"/>
              <w:rPr>
                <w:sz w:val="20"/>
                <w:szCs w:val="20"/>
                <w:color w:val="auto"/>
              </w:rPr>
            </w:pPr>
            <w:r>
              <w:rPr>
                <w:rFonts w:ascii="Arial" w:cs="Arial" w:eastAsia="Arial" w:hAnsi="Arial"/>
                <w:sz w:val="16"/>
                <w:szCs w:val="16"/>
                <w:color w:val="auto"/>
              </w:rPr>
              <w:t>$</w:t>
            </w:r>
          </w:p>
        </w:tc>
        <w:tc>
          <w:tcPr>
            <w:tcW w:w="90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4147185</wp:posOffset>
            </wp:positionH>
            <wp:positionV relativeFrom="paragraph">
              <wp:posOffset>-5586730</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2018</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Schedule of Investments In, and Advances to, Affiliate</w:t>
      </w:r>
    </w:p>
    <w:p>
      <w:pPr>
        <w:spacing w:after="0" w:line="69"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Interest,</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Purchases,</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Fees, or</w:t>
            </w:r>
          </w:p>
        </w:tc>
        <w:tc>
          <w:tcPr>
            <w:tcW w:w="10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Fair Value at</w:t>
            </w:r>
          </w:p>
        </w:tc>
        <w:tc>
          <w:tcPr>
            <w:tcW w:w="1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Capitalized</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6"/>
              </w:rPr>
              <w:t>Fair Value at</w:t>
            </w:r>
          </w:p>
        </w:tc>
        <w:tc>
          <w:tcPr>
            <w:tcW w:w="10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Percentage</w:t>
            </w:r>
          </w:p>
        </w:tc>
        <w:tc>
          <w:tcPr>
            <w:tcW w:w="0" w:type="dxa"/>
            <w:vAlign w:val="bottom"/>
          </w:tcPr>
          <w:p>
            <w:pPr>
              <w:spacing w:after="0"/>
              <w:rPr>
                <w:sz w:val="1"/>
                <w:szCs w:val="1"/>
                <w:color w:val="auto"/>
              </w:rPr>
            </w:pPr>
          </w:p>
        </w:tc>
      </w:tr>
      <w:tr>
        <w:trPr>
          <w:trHeight w:val="149"/>
        </w:trPr>
        <w:tc>
          <w:tcPr>
            <w:tcW w:w="26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Type/Industry/Portfolio</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Principal/</w:t>
            </w:r>
          </w:p>
        </w:tc>
        <w:tc>
          <w:tcPr>
            <w:tcW w:w="9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Dividends</w:t>
            </w:r>
          </w:p>
        </w:tc>
        <w:tc>
          <w:tcPr>
            <w:tcW w:w="10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Fees,</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Realized</w:t>
            </w:r>
          </w:p>
        </w:tc>
        <w:tc>
          <w:tcPr>
            <w:tcW w:w="120" w:type="dxa"/>
            <w:vAlign w:val="bottom"/>
          </w:tcPr>
          <w:p>
            <w:pPr>
              <w:spacing w:after="0"/>
              <w:rPr>
                <w:sz w:val="12"/>
                <w:szCs w:val="12"/>
                <w:color w:val="auto"/>
              </w:rPr>
            </w:pPr>
          </w:p>
        </w:tc>
        <w:tc>
          <w:tcPr>
            <w:tcW w:w="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Unrealized</w:t>
            </w:r>
          </w:p>
        </w:tc>
        <w:tc>
          <w:tcPr>
            <w:tcW w:w="9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Credited</w:t>
            </w:r>
          </w:p>
        </w:tc>
        <w:tc>
          <w:tcPr>
            <w:tcW w:w="10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December 31,</w:t>
            </w:r>
          </w:p>
        </w:tc>
        <w:tc>
          <w:tcPr>
            <w:tcW w:w="1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Interest and</w:t>
            </w:r>
          </w:p>
        </w:tc>
        <w:tc>
          <w:tcPr>
            <w:tcW w:w="100" w:type="dxa"/>
            <w:vAlign w:val="bottom"/>
          </w:tcPr>
          <w:p>
            <w:pPr>
              <w:spacing w:after="0"/>
              <w:rPr>
                <w:sz w:val="12"/>
                <w:szCs w:val="12"/>
                <w:color w:val="auto"/>
              </w:rPr>
            </w:pPr>
          </w:p>
        </w:tc>
        <w:tc>
          <w:tcPr>
            <w:tcW w:w="8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Sales</w:t>
            </w: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September</w:t>
            </w:r>
          </w:p>
        </w:tc>
        <w:tc>
          <w:tcPr>
            <w:tcW w:w="100" w:type="dxa"/>
            <w:vAlign w:val="bottom"/>
          </w:tcPr>
          <w:p>
            <w:pPr>
              <w:spacing w:after="0"/>
              <w:rPr>
                <w:sz w:val="12"/>
                <w:szCs w:val="12"/>
                <w:color w:val="auto"/>
              </w:rPr>
            </w:pPr>
          </w:p>
        </w:tc>
        <w:tc>
          <w:tcPr>
            <w:tcW w:w="800" w:type="dxa"/>
            <w:vAlign w:val="bottom"/>
          </w:tcPr>
          <w:p>
            <w:pPr>
              <w:jc w:val="right"/>
              <w:ind w:right="142"/>
              <w:spacing w:after="0" w:line="149" w:lineRule="exact"/>
              <w:rPr>
                <w:sz w:val="20"/>
                <w:szCs w:val="20"/>
                <w:color w:val="auto"/>
              </w:rPr>
            </w:pPr>
            <w:r>
              <w:rPr>
                <w:rFonts w:ascii="Arial" w:cs="Arial" w:eastAsia="Arial" w:hAnsi="Arial"/>
                <w:sz w:val="14"/>
                <w:szCs w:val="14"/>
                <w:b w:val="1"/>
                <w:bCs w:val="1"/>
                <w:color w:val="auto"/>
              </w:rPr>
              <w:t>of Net</w:t>
            </w:r>
          </w:p>
        </w:tc>
        <w:tc>
          <w:tcPr>
            <w:tcW w:w="0" w:type="dxa"/>
            <w:vAlign w:val="bottom"/>
          </w:tcPr>
          <w:p>
            <w:pPr>
              <w:spacing w:after="0"/>
              <w:rPr>
                <w:sz w:val="1"/>
                <w:szCs w:val="1"/>
                <w:color w:val="auto"/>
              </w:rPr>
            </w:pPr>
          </w:p>
        </w:tc>
      </w:tr>
      <w:tr>
        <w:trPr>
          <w:trHeight w:val="192"/>
        </w:trPr>
        <w:tc>
          <w:tcPr>
            <w:tcW w:w="2620" w:type="dxa"/>
            <w:vAlign w:val="bottom"/>
            <w:gridSpan w:val="3"/>
          </w:tcPr>
          <w:p>
            <w:pPr>
              <w:ind w:left="40"/>
              <w:spacing w:after="0"/>
              <w:rPr>
                <w:sz w:val="20"/>
                <w:szCs w:val="20"/>
                <w:color w:val="auto"/>
              </w:rPr>
            </w:pPr>
            <w:r>
              <w:rPr>
                <w:rFonts w:ascii="Arial" w:cs="Arial" w:eastAsia="Arial" w:hAnsi="Arial"/>
                <w:sz w:val="14"/>
                <w:szCs w:val="14"/>
                <w:b w:val="1"/>
                <w:bCs w:val="1"/>
                <w:color w:val="auto"/>
              </w:rPr>
              <w:t>Company/Investment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Quantity</w:t>
            </w:r>
          </w:p>
        </w:tc>
        <w:tc>
          <w:tcPr>
            <w:tcW w:w="9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in Income</w:t>
            </w:r>
          </w:p>
        </w:tc>
        <w:tc>
          <w:tcPr>
            <w:tcW w:w="100" w:type="dxa"/>
            <w:vAlign w:val="bottom"/>
          </w:tcPr>
          <w:p>
            <w:pPr>
              <w:spacing w:after="0"/>
              <w:rPr>
                <w:sz w:val="16"/>
                <w:szCs w:val="16"/>
                <w:color w:val="auto"/>
              </w:rPr>
            </w:pPr>
          </w:p>
        </w:tc>
        <w:tc>
          <w:tcPr>
            <w:tcW w:w="820" w:type="dxa"/>
            <w:vAlign w:val="bottom"/>
          </w:tcPr>
          <w:p>
            <w:pPr>
              <w:jc w:val="right"/>
              <w:ind w:right="240"/>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1000" w:type="dxa"/>
            <w:vAlign w:val="bottom"/>
            <w:gridSpan w:val="3"/>
          </w:tcPr>
          <w:p>
            <w:pPr>
              <w:ind w:left="4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60" w:type="dxa"/>
            <w:vAlign w:val="bottom"/>
            <w:gridSpan w:val="3"/>
          </w:tcPr>
          <w:p>
            <w:pPr>
              <w:ind w:left="40"/>
              <w:spacing w:after="0"/>
              <w:rPr>
                <w:sz w:val="20"/>
                <w:szCs w:val="20"/>
                <w:color w:val="auto"/>
              </w:rPr>
            </w:pPr>
            <w:r>
              <w:rPr>
                <w:rFonts w:ascii="Arial" w:cs="Arial" w:eastAsia="Arial" w:hAnsi="Arial"/>
                <w:sz w:val="14"/>
                <w:szCs w:val="14"/>
                <w:b w:val="1"/>
                <w:bCs w:val="1"/>
                <w:color w:val="auto"/>
                <w:w w:val="99"/>
              </w:rPr>
              <w:t>Gains/(Losses)</w:t>
            </w: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Gains/(Losses)</w:t>
            </w:r>
          </w:p>
        </w:tc>
        <w:tc>
          <w:tcPr>
            <w:tcW w:w="100" w:type="dxa"/>
            <w:vAlign w:val="bottom"/>
          </w:tcPr>
          <w:p>
            <w:pPr>
              <w:spacing w:after="0"/>
              <w:rPr>
                <w:sz w:val="16"/>
                <w:szCs w:val="16"/>
                <w:color w:val="auto"/>
              </w:rPr>
            </w:pPr>
          </w:p>
        </w:tc>
        <w:tc>
          <w:tcPr>
            <w:tcW w:w="820" w:type="dxa"/>
            <w:vAlign w:val="bottom"/>
          </w:tcPr>
          <w:p>
            <w:pPr>
              <w:jc w:val="center"/>
              <w:ind w:right="40"/>
              <w:spacing w:after="0"/>
              <w:rPr>
                <w:sz w:val="20"/>
                <w:szCs w:val="20"/>
                <w:color w:val="auto"/>
              </w:rPr>
            </w:pPr>
            <w:r>
              <w:rPr>
                <w:rFonts w:ascii="Arial" w:cs="Arial" w:eastAsia="Arial" w:hAnsi="Arial"/>
                <w:sz w:val="14"/>
                <w:szCs w:val="14"/>
                <w:b w:val="1"/>
                <w:bCs w:val="1"/>
                <w:color w:val="auto"/>
                <w:w w:val="91"/>
              </w:rPr>
              <w:t>30, 2018</w:t>
            </w:r>
          </w:p>
        </w:tc>
        <w:tc>
          <w:tcPr>
            <w:tcW w:w="100" w:type="dxa"/>
            <w:vAlign w:val="bottom"/>
          </w:tcPr>
          <w:p>
            <w:pPr>
              <w:spacing w:after="0"/>
              <w:rPr>
                <w:sz w:val="16"/>
                <w:szCs w:val="16"/>
                <w:color w:val="auto"/>
              </w:rPr>
            </w:pPr>
          </w:p>
        </w:tc>
        <w:tc>
          <w:tcPr>
            <w:tcW w:w="800" w:type="dxa"/>
            <w:vAlign w:val="bottom"/>
          </w:tcPr>
          <w:p>
            <w:pPr>
              <w:jc w:val="right"/>
              <w:ind w:right="122"/>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50"/>
        </w:trPr>
        <w:tc>
          <w:tcPr>
            <w:tcW w:w="2620" w:type="dxa"/>
            <w:vAlign w:val="bottom"/>
            <w:tcBorders>
              <w:top w:val="single" w:sz="8" w:color="auto"/>
              <w:left w:val="single" w:sz="8" w:color="CCEEFF"/>
              <w:bottom w:val="single" w:sz="8" w:color="CCEEFF"/>
            </w:tcBorders>
            <w:gridSpan w:val="3"/>
            <w:shd w:val="clear" w:color="auto" w:fill="CCEEFF"/>
          </w:tcPr>
          <w:p>
            <w:pPr>
              <w:ind w:left="180"/>
              <w:spacing w:after="0"/>
              <w:rPr>
                <w:sz w:val="20"/>
                <w:szCs w:val="20"/>
                <w:color w:val="auto"/>
              </w:rPr>
            </w:pPr>
            <w:r>
              <w:rPr>
                <w:rFonts w:ascii="Arial" w:cs="Arial" w:eastAsia="Arial" w:hAnsi="Arial"/>
                <w:sz w:val="16"/>
                <w:szCs w:val="16"/>
                <w:i w:val="1"/>
                <w:iCs w:val="1"/>
                <w:color w:val="auto"/>
              </w:rPr>
              <w:t>Global Innovation Platform</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620" w:type="dxa"/>
            <w:vAlign w:val="bottom"/>
            <w:gridSpan w:val="3"/>
          </w:tcPr>
          <w:p>
            <w:pPr>
              <w:ind w:left="280"/>
              <w:spacing w:after="0"/>
              <w:rPr>
                <w:sz w:val="20"/>
                <w:szCs w:val="20"/>
                <w:color w:val="auto"/>
              </w:rPr>
            </w:pPr>
            <w:r>
              <w:rPr>
                <w:rFonts w:ascii="Arial" w:cs="Arial" w:eastAsia="Arial" w:hAnsi="Arial"/>
                <w:sz w:val="16"/>
                <w:szCs w:val="16"/>
                <w:color w:val="auto"/>
              </w:rPr>
              <w:t>NestGSV, Inc. (d/b/a GSV Labs,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620" w:type="dxa"/>
            <w:vAlign w:val="bottom"/>
            <w:gridSpan w:val="3"/>
          </w:tcPr>
          <w:p>
            <w:pPr>
              <w:ind w:left="280"/>
              <w:spacing w:after="0"/>
              <w:rPr>
                <w:sz w:val="20"/>
                <w:szCs w:val="20"/>
                <w:color w:val="auto"/>
              </w:rPr>
            </w:pPr>
            <w:r>
              <w:rPr>
                <w:rFonts w:ascii="Arial" w:cs="Arial" w:eastAsia="Arial" w:hAnsi="Arial"/>
                <w:sz w:val="16"/>
                <w:szCs w:val="16"/>
                <w:color w:val="auto"/>
              </w:rPr>
              <w:t>Inc.)–Common shares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200,000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20" w:type="dxa"/>
            <w:vAlign w:val="bottom"/>
            <w:tcBorders>
              <w:left w:val="single" w:sz="8" w:color="CCEEFF"/>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Total Common Stock</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620" w:type="dxa"/>
            <w:vAlign w:val="bottom"/>
            <w:tcBorders>
              <w:top w:val="single" w:sz="8" w:color="CCEEFF"/>
            </w:tcBorders>
            <w:gridSpan w:val="3"/>
          </w:tcPr>
          <w:p>
            <w:pPr>
              <w:ind w:left="40"/>
              <w:spacing w:after="0"/>
              <w:rPr>
                <w:sz w:val="20"/>
                <w:szCs w:val="20"/>
                <w:color w:val="auto"/>
              </w:rPr>
            </w:pPr>
            <w:r>
              <w:rPr>
                <w:rFonts w:ascii="Arial" w:cs="Arial" w:eastAsia="Arial" w:hAnsi="Arial"/>
                <w:sz w:val="16"/>
                <w:szCs w:val="16"/>
                <w:b w:val="1"/>
                <w:bCs w:val="1"/>
                <w:color w:val="auto"/>
              </w:rPr>
              <w:t>TOTAL CONTROLLED</w:t>
            </w: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w w:val="89"/>
              </w:rPr>
              <w:t>$</w:t>
            </w:r>
          </w:p>
        </w:tc>
        <w:tc>
          <w:tcPr>
            <w:tcW w:w="660" w:type="dxa"/>
            <w:vAlign w:val="bottom"/>
            <w:tcBorders>
              <w:top w:val="single" w:sz="8" w:color="auto"/>
            </w:tcBorders>
            <w:vMerge w:val="restart"/>
          </w:tcPr>
          <w:p>
            <w:pPr>
              <w:jc w:val="right"/>
              <w:ind w:right="21"/>
              <w:spacing w:after="0"/>
              <w:rPr>
                <w:sz w:val="20"/>
                <w:szCs w:val="20"/>
                <w:color w:val="auto"/>
              </w:rPr>
            </w:pPr>
            <w:r>
              <w:rPr>
                <w:rFonts w:ascii="Arial" w:cs="Arial" w:eastAsia="Arial" w:hAnsi="Arial"/>
                <w:sz w:val="16"/>
                <w:szCs w:val="16"/>
                <w:b w:val="1"/>
                <w:bCs w:val="1"/>
                <w:color w:val="auto"/>
                <w:w w:val="93"/>
              </w:rPr>
              <w:t>391,153</w:t>
            </w:r>
          </w:p>
        </w:tc>
        <w:tc>
          <w:tcPr>
            <w:tcW w:w="120" w:type="dxa"/>
            <w:vAlign w:val="bottom"/>
          </w:tcPr>
          <w:p>
            <w:pPr>
              <w:spacing w:after="0"/>
              <w:rPr>
                <w:sz w:val="18"/>
                <w:szCs w:val="18"/>
                <w:color w:val="auto"/>
              </w:rPr>
            </w:pPr>
          </w:p>
        </w:tc>
        <w:tc>
          <w:tcPr>
            <w:tcW w:w="100" w:type="dxa"/>
            <w:vAlign w:val="bottom"/>
            <w:tcBorders>
              <w:top w:val="single" w:sz="8" w:color="auto"/>
            </w:tcBorders>
            <w:vMerge w:val="restart"/>
          </w:tcPr>
          <w:p>
            <w:pPr>
              <w:ind w:left="20"/>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w w:val="89"/>
              </w:rPr>
              <w:t>24,207,161</w:t>
            </w: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vMerge w:val="restart"/>
          </w:tcPr>
          <w:p>
            <w:pPr>
              <w:ind w:left="20"/>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top w:val="single" w:sz="8" w:color="auto"/>
            </w:tcBorders>
            <w:vMerge w:val="restart"/>
          </w:tcPr>
          <w:p>
            <w:pPr>
              <w:jc w:val="right"/>
              <w:ind w:right="40"/>
              <w:spacing w:after="0"/>
              <w:rPr>
                <w:sz w:val="20"/>
                <w:szCs w:val="20"/>
                <w:color w:val="auto"/>
              </w:rPr>
            </w:pPr>
            <w:r>
              <w:rPr>
                <w:rFonts w:ascii="Arial" w:cs="Arial" w:eastAsia="Arial" w:hAnsi="Arial"/>
                <w:sz w:val="16"/>
                <w:szCs w:val="16"/>
                <w:b w:val="1"/>
                <w:bCs w:val="1"/>
                <w:color w:val="auto"/>
              </w:rPr>
              <w:t>47,936</w:t>
            </w: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w w:val="90"/>
              </w:rPr>
              <w:t>(592,129)</w:t>
            </w: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vMerge w:val="restart"/>
          </w:tcPr>
          <w:p>
            <w:pPr>
              <w:ind w:left="40"/>
              <w:spacing w:after="0"/>
              <w:rPr>
                <w:sz w:val="20"/>
                <w:szCs w:val="20"/>
                <w:color w:val="auto"/>
              </w:rPr>
            </w:pPr>
            <w:r>
              <w:rPr>
                <w:rFonts w:ascii="Arial" w:cs="Arial" w:eastAsia="Arial" w:hAnsi="Arial"/>
                <w:sz w:val="16"/>
                <w:szCs w:val="16"/>
                <w:b w:val="1"/>
                <w:bCs w:val="1"/>
                <w:color w:val="auto"/>
              </w:rPr>
              <w:t>$</w:t>
            </w: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(680)</w:t>
            </w: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vMerge w:val="restart"/>
          </w:tcPr>
          <w:p>
            <w:pPr>
              <w:ind w:left="20"/>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top w:val="single" w:sz="8" w:color="auto"/>
            </w:tcBorders>
            <w:vMerge w:val="restart"/>
          </w:tcPr>
          <w:p>
            <w:pPr>
              <w:jc w:val="right"/>
              <w:ind w:right="20"/>
              <w:spacing w:after="0"/>
              <w:rPr>
                <w:sz w:val="20"/>
                <w:szCs w:val="20"/>
                <w:color w:val="auto"/>
              </w:rPr>
            </w:pPr>
            <w:r>
              <w:rPr>
                <w:rFonts w:ascii="Arial" w:cs="Arial" w:eastAsia="Arial" w:hAnsi="Arial"/>
                <w:sz w:val="16"/>
                <w:szCs w:val="16"/>
                <w:b w:val="1"/>
                <w:bCs w:val="1"/>
                <w:color w:val="auto"/>
                <w:w w:val="95"/>
              </w:rPr>
              <w:t>6,472,584</w:t>
            </w:r>
          </w:p>
        </w:tc>
        <w:tc>
          <w:tcPr>
            <w:tcW w:w="120" w:type="dxa"/>
            <w:vAlign w:val="bottom"/>
          </w:tcPr>
          <w:p>
            <w:pPr>
              <w:spacing w:after="0"/>
              <w:rPr>
                <w:sz w:val="18"/>
                <w:szCs w:val="18"/>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w w:val="89"/>
              </w:rPr>
              <w:t>30,134,871</w:t>
            </w:r>
          </w:p>
        </w:tc>
        <w:tc>
          <w:tcPr>
            <w:tcW w:w="100" w:type="dxa"/>
            <w:vAlign w:val="bottom"/>
            <w:vMerge w:val="restart"/>
          </w:tcPr>
          <w:p>
            <w:pPr>
              <w:spacing w:after="0"/>
              <w:rPr>
                <w:sz w:val="18"/>
                <w:szCs w:val="18"/>
                <w:color w:val="auto"/>
              </w:rPr>
            </w:pP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14.12%</w:t>
            </w:r>
          </w:p>
        </w:tc>
        <w:tc>
          <w:tcPr>
            <w:tcW w:w="0" w:type="dxa"/>
            <w:vAlign w:val="bottom"/>
          </w:tcPr>
          <w:p>
            <w:pPr>
              <w:spacing w:after="0"/>
              <w:rPr>
                <w:sz w:val="1"/>
                <w:szCs w:val="1"/>
                <w:color w:val="auto"/>
              </w:rPr>
            </w:pPr>
          </w:p>
        </w:tc>
      </w:tr>
      <w:tr>
        <w:trPr>
          <w:trHeight w:val="270"/>
        </w:trPr>
        <w:tc>
          <w:tcPr>
            <w:tcW w:w="2620" w:type="dxa"/>
            <w:vAlign w:val="bottom"/>
            <w:tcBorders>
              <w:bottom w:val="single" w:sz="8" w:color="CCEEFF"/>
            </w:tcBorders>
            <w:gridSpan w:val="3"/>
          </w:tcPr>
          <w:p>
            <w:pPr>
              <w:ind w:left="40"/>
              <w:spacing w:after="0" w:line="230" w:lineRule="exact"/>
              <w:rPr>
                <w:sz w:val="20"/>
                <w:szCs w:val="20"/>
                <w:color w:val="auto"/>
              </w:rPr>
            </w:pPr>
            <w:r>
              <w:rPr>
                <w:rFonts w:ascii="Arial" w:cs="Arial" w:eastAsia="Arial" w:hAnsi="Arial"/>
                <w:sz w:val="16"/>
                <w:szCs w:val="16"/>
                <w:b w:val="1"/>
                <w:bCs w:val="1"/>
                <w:color w:val="auto"/>
              </w:rPr>
              <w:t>INVESTMENTS*</w:t>
            </w:r>
            <w:r>
              <w:rPr>
                <w:rFonts w:ascii="Arial" w:cs="Arial" w:eastAsia="Arial" w:hAnsi="Arial"/>
                <w:sz w:val="21"/>
                <w:szCs w:val="21"/>
                <w:b w:val="1"/>
                <w:bCs w:val="1"/>
                <w:color w:val="auto"/>
                <w:vertAlign w:val="superscript"/>
              </w:rPr>
              <w:t>(2)</w:t>
            </w: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74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vMerge w:val="continue"/>
          </w:tcPr>
          <w:p>
            <w:pPr>
              <w:spacing w:after="0"/>
              <w:rPr>
                <w:sz w:val="23"/>
                <w:szCs w:val="23"/>
                <w:color w:val="auto"/>
              </w:rPr>
            </w:pPr>
          </w:p>
        </w:tc>
        <w:tc>
          <w:tcPr>
            <w:tcW w:w="660" w:type="dxa"/>
            <w:vAlign w:val="bottom"/>
            <w:tcBorders>
              <w:bottom w:val="single" w:sz="8" w:color="auto"/>
            </w:tcBorders>
            <w:vMerge w:val="continue"/>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vMerge w:val="continue"/>
          </w:tcPr>
          <w:p>
            <w:pPr>
              <w:spacing w:after="0"/>
              <w:rPr>
                <w:sz w:val="23"/>
                <w:szCs w:val="23"/>
                <w:color w:val="auto"/>
              </w:rPr>
            </w:pPr>
          </w:p>
        </w:tc>
        <w:tc>
          <w:tcPr>
            <w:tcW w:w="820" w:type="dxa"/>
            <w:vAlign w:val="bottom"/>
            <w:tcBorders>
              <w:bottom w:val="single" w:sz="8" w:color="auto"/>
            </w:tcBorders>
            <w:vMerge w:val="continue"/>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vMerge w:val="continue"/>
          </w:tcPr>
          <w:p>
            <w:pPr>
              <w:spacing w:after="0"/>
              <w:rPr>
                <w:sz w:val="23"/>
                <w:szCs w:val="23"/>
                <w:color w:val="auto"/>
              </w:rPr>
            </w:pPr>
          </w:p>
        </w:tc>
        <w:tc>
          <w:tcPr>
            <w:tcW w:w="780" w:type="dxa"/>
            <w:vAlign w:val="bottom"/>
            <w:tcBorders>
              <w:bottom w:val="single" w:sz="8" w:color="auto"/>
            </w:tcBorders>
            <w:vMerge w:val="continue"/>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vMerge w:val="continue"/>
          </w:tcPr>
          <w:p>
            <w:pPr>
              <w:spacing w:after="0"/>
              <w:rPr>
                <w:sz w:val="23"/>
                <w:szCs w:val="23"/>
                <w:color w:val="auto"/>
              </w:rPr>
            </w:pPr>
          </w:p>
        </w:tc>
        <w:tc>
          <w:tcPr>
            <w:tcW w:w="700" w:type="dxa"/>
            <w:vAlign w:val="bottom"/>
            <w:tcBorders>
              <w:bottom w:val="single" w:sz="8" w:color="auto"/>
            </w:tcBorders>
            <w:vMerge w:val="continue"/>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vMerge w:val="continue"/>
          </w:tcPr>
          <w:p>
            <w:pPr>
              <w:spacing w:after="0"/>
              <w:rPr>
                <w:sz w:val="23"/>
                <w:szCs w:val="23"/>
                <w:color w:val="auto"/>
              </w:rPr>
            </w:pPr>
          </w:p>
        </w:tc>
        <w:tc>
          <w:tcPr>
            <w:tcW w:w="780" w:type="dxa"/>
            <w:vAlign w:val="bottom"/>
            <w:tcBorders>
              <w:bottom w:val="single" w:sz="8" w:color="auto"/>
            </w:tcBorders>
            <w:vMerge w:val="continue"/>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vMerge w:val="continue"/>
          </w:tcPr>
          <w:p>
            <w:pPr>
              <w:spacing w:after="0"/>
              <w:rPr>
                <w:sz w:val="23"/>
                <w:szCs w:val="23"/>
                <w:color w:val="auto"/>
              </w:rPr>
            </w:pPr>
          </w:p>
        </w:tc>
        <w:tc>
          <w:tcPr>
            <w:tcW w:w="800" w:type="dxa"/>
            <w:vAlign w:val="bottom"/>
            <w:tcBorders>
              <w:bottom w:val="single" w:sz="8" w:color="auto"/>
            </w:tcBorders>
            <w:vMerge w:val="continue"/>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vMerge w:val="continue"/>
          </w:tcPr>
          <w:p>
            <w:pPr>
              <w:spacing w:after="0"/>
              <w:rPr>
                <w:sz w:val="23"/>
                <w:szCs w:val="23"/>
                <w:color w:val="auto"/>
              </w:rPr>
            </w:pPr>
          </w:p>
        </w:tc>
        <w:tc>
          <w:tcPr>
            <w:tcW w:w="820" w:type="dxa"/>
            <w:vAlign w:val="bottom"/>
            <w:tcBorders>
              <w:bottom w:val="single" w:sz="8" w:color="auto"/>
            </w:tcBorders>
            <w:vMerge w:val="continue"/>
          </w:tcPr>
          <w:p>
            <w:pPr>
              <w:spacing w:after="0"/>
              <w:rPr>
                <w:sz w:val="23"/>
                <w:szCs w:val="23"/>
                <w:color w:val="auto"/>
              </w:rPr>
            </w:pPr>
          </w:p>
        </w:tc>
        <w:tc>
          <w:tcPr>
            <w:tcW w:w="100" w:type="dxa"/>
            <w:vAlign w:val="bottom"/>
            <w:tcBorders>
              <w:bottom w:val="single" w:sz="8" w:color="CCEEFF"/>
            </w:tcBorders>
            <w:vMerge w:val="continue"/>
          </w:tcPr>
          <w:p>
            <w:pPr>
              <w:spacing w:after="0"/>
              <w:rPr>
                <w:sz w:val="23"/>
                <w:szCs w:val="23"/>
                <w:color w:val="auto"/>
              </w:rPr>
            </w:pPr>
          </w:p>
        </w:tc>
        <w:tc>
          <w:tcPr>
            <w:tcW w:w="800" w:type="dxa"/>
            <w:vAlign w:val="bottom"/>
            <w:tcBorders>
              <w:bottom w:val="single" w:sz="8" w:color="auto"/>
            </w:tcBorders>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2620" w:type="dxa"/>
            <w:vAlign w:val="bottom"/>
            <w:tcBorders>
              <w:left w:val="single" w:sz="8" w:color="CCEEFF"/>
            </w:tcBorders>
            <w:gridSpan w:val="3"/>
            <w:shd w:val="clear" w:color="auto" w:fill="CCEEFF"/>
          </w:tcPr>
          <w:p>
            <w:pPr>
              <w:ind w:left="40"/>
              <w:spacing w:after="0" w:line="142" w:lineRule="exact"/>
              <w:rPr>
                <w:sz w:val="20"/>
                <w:szCs w:val="20"/>
                <w:color w:val="auto"/>
              </w:rPr>
            </w:pPr>
            <w:r>
              <w:rPr>
                <w:rFonts w:ascii="Arial" w:cs="Arial" w:eastAsia="Arial" w:hAnsi="Arial"/>
                <w:sz w:val="16"/>
                <w:szCs w:val="16"/>
                <w:b w:val="1"/>
                <w:bCs w:val="1"/>
                <w:color w:val="auto"/>
              </w:rPr>
              <w:t>NON-CONTROLLED/AFFILIATE</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20" w:type="dxa"/>
            <w:vAlign w:val="bottom"/>
            <w:tcBorders>
              <w:left w:val="single" w:sz="8" w:color="CCEEFF"/>
            </w:tcBorders>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620" w:type="dxa"/>
            <w:vAlign w:val="bottom"/>
            <w:tcBorders>
              <w:left w:val="single" w:sz="8" w:color="CCEEFF"/>
            </w:tcBorders>
            <w:gridSpan w:val="3"/>
            <w:shd w:val="clear" w:color="auto" w:fill="CCEEFF"/>
          </w:tcPr>
          <w:p>
            <w:pPr>
              <w:ind w:left="40"/>
              <w:spacing w:after="0" w:line="183" w:lineRule="exact"/>
              <w:rPr>
                <w:sz w:val="20"/>
                <w:szCs w:val="20"/>
                <w:color w:val="auto"/>
              </w:rPr>
            </w:pPr>
            <w:r>
              <w:rPr>
                <w:rFonts w:ascii="Arial" w:cs="Arial" w:eastAsia="Arial" w:hAnsi="Arial"/>
                <w:sz w:val="16"/>
                <w:szCs w:val="16"/>
                <w:b w:val="1"/>
                <w:bCs w:val="1"/>
                <w:color w:val="auto"/>
              </w:rPr>
              <w:t>INVESTMENTS*</w:t>
            </w:r>
            <w:r>
              <w:rPr>
                <w:rFonts w:ascii="Arial" w:cs="Arial" w:eastAsia="Arial" w:hAnsi="Arial"/>
                <w:sz w:val="21"/>
                <w:szCs w:val="21"/>
                <w:b w:val="1"/>
                <w:bCs w:val="1"/>
                <w:color w:val="auto"/>
                <w:vertAlign w:val="superscript"/>
              </w:rPr>
              <w:t>(1)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1220" w:type="dxa"/>
            <w:vAlign w:val="bottom"/>
            <w:tcBorders>
              <w:top w:val="single" w:sz="8" w:color="auto"/>
              <w:left w:val="single" w:sz="8" w:color="CCEEFF"/>
            </w:tcBorders>
            <w:shd w:val="clear" w:color="auto" w:fill="CCEEFF"/>
          </w:tcPr>
          <w:p>
            <w:pPr>
              <w:spacing w:after="0"/>
              <w:rPr>
                <w:sz w:val="4"/>
                <w:szCs w:val="4"/>
                <w:color w:val="auto"/>
              </w:rPr>
            </w:pPr>
          </w:p>
        </w:tc>
        <w:tc>
          <w:tcPr>
            <w:tcW w:w="13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620" w:type="dxa"/>
            <w:vAlign w:val="bottom"/>
            <w:gridSpan w:val="3"/>
          </w:tcPr>
          <w:p>
            <w:pPr>
              <w:ind w:left="40"/>
              <w:spacing w:after="0"/>
              <w:rPr>
                <w:sz w:val="20"/>
                <w:szCs w:val="20"/>
                <w:color w:val="auto"/>
              </w:rPr>
            </w:pPr>
            <w:r>
              <w:rPr>
                <w:rFonts w:ascii="Arial" w:cs="Arial" w:eastAsia="Arial" w:hAnsi="Arial"/>
                <w:sz w:val="16"/>
                <w:szCs w:val="16"/>
                <w:b w:val="1"/>
                <w:bCs w:val="1"/>
                <w:color w:val="auto"/>
              </w:rPr>
              <w:t>Debt Investments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20" w:type="dxa"/>
            <w:vAlign w:val="bottom"/>
            <w:tcBorders>
              <w:left w:val="single" w:sz="8" w:color="CCEEFF"/>
              <w:bottom w:val="single" w:sz="8" w:color="CCEEFF"/>
            </w:tcBorders>
            <w:gridSpan w:val="3"/>
            <w:shd w:val="clear" w:color="auto" w:fill="CCEEFF"/>
          </w:tcPr>
          <w:p>
            <w:pPr>
              <w:ind w:left="180"/>
              <w:spacing w:after="0"/>
              <w:rPr>
                <w:sz w:val="20"/>
                <w:szCs w:val="20"/>
                <w:color w:val="auto"/>
              </w:rPr>
            </w:pPr>
            <w:r>
              <w:rPr>
                <w:rFonts w:ascii="Arial" w:cs="Arial" w:eastAsia="Arial" w:hAnsi="Arial"/>
                <w:sz w:val="16"/>
                <w:szCs w:val="16"/>
                <w:i w:val="1"/>
                <w:iCs w:val="1"/>
                <w:color w:val="auto"/>
              </w:rPr>
              <w:t>Corporate Education</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620" w:type="dxa"/>
            <w:vAlign w:val="bottom"/>
            <w:gridSpan w:val="3"/>
          </w:tcPr>
          <w:p>
            <w:pPr>
              <w:ind w:left="280"/>
              <w:spacing w:after="0"/>
              <w:rPr>
                <w:sz w:val="20"/>
                <w:szCs w:val="20"/>
                <w:color w:val="auto"/>
              </w:rPr>
            </w:pPr>
            <w:r>
              <w:rPr>
                <w:rFonts w:ascii="Arial" w:cs="Arial" w:eastAsia="Arial" w:hAnsi="Arial"/>
                <w:sz w:val="16"/>
                <w:szCs w:val="16"/>
                <w:color w:val="auto"/>
              </w:rPr>
              <w:t>CUX, Inc. (d/b/a CorpU)–Senior</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620" w:type="dxa"/>
            <w:vAlign w:val="bottom"/>
            <w:gridSpan w:val="3"/>
          </w:tcPr>
          <w:p>
            <w:pPr>
              <w:ind w:left="280"/>
              <w:spacing w:after="0"/>
              <w:rPr>
                <w:sz w:val="20"/>
                <w:szCs w:val="20"/>
                <w:color w:val="auto"/>
              </w:rPr>
            </w:pPr>
            <w:r>
              <w:rPr>
                <w:rFonts w:ascii="Arial" w:cs="Arial" w:eastAsia="Arial" w:hAnsi="Arial"/>
                <w:sz w:val="16"/>
                <w:szCs w:val="16"/>
                <w:color w:val="auto"/>
              </w:rPr>
              <w:t>Subordinated Convertible</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20" w:type="dxa"/>
            <w:vAlign w:val="bottom"/>
            <w:gridSpan w:val="3"/>
          </w:tcPr>
          <w:p>
            <w:pPr>
              <w:ind w:left="280"/>
              <w:spacing w:after="0"/>
              <w:rPr>
                <w:sz w:val="20"/>
                <w:szCs w:val="20"/>
                <w:color w:val="auto"/>
              </w:rPr>
            </w:pPr>
            <w:r>
              <w:rPr>
                <w:rFonts w:ascii="Arial" w:cs="Arial" w:eastAsia="Arial" w:hAnsi="Arial"/>
                <w:sz w:val="16"/>
                <w:szCs w:val="16"/>
                <w:color w:val="auto"/>
              </w:rPr>
              <w:t>Promissory Note 8% Due</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520" w:type="dxa"/>
            <w:vAlign w:val="bottom"/>
            <w:gridSpan w:val="2"/>
          </w:tcPr>
          <w:p>
            <w:pPr>
              <w:ind w:left="280"/>
              <w:spacing w:after="0" w:line="239" w:lineRule="exact"/>
              <w:rPr>
                <w:sz w:val="20"/>
                <w:szCs w:val="20"/>
                <w:color w:val="auto"/>
              </w:rPr>
            </w:pPr>
            <w:r>
              <w:rPr>
                <w:rFonts w:ascii="Arial" w:cs="Arial" w:eastAsia="Arial" w:hAnsi="Arial"/>
                <w:sz w:val="16"/>
                <w:szCs w:val="16"/>
                <w:color w:val="auto"/>
              </w:rPr>
              <w:t>11/26/2018***</w:t>
            </w:r>
            <w:r>
              <w:rPr>
                <w:rFonts w:ascii="Arial" w:cs="Arial" w:eastAsia="Arial" w:hAnsi="Arial"/>
                <w:sz w:val="21"/>
                <w:szCs w:val="21"/>
                <w:color w:val="auto"/>
                <w:vertAlign w:val="superscript"/>
              </w:rPr>
              <w:t>(4)</w:t>
            </w:r>
          </w:p>
        </w:tc>
        <w:tc>
          <w:tcPr>
            <w:tcW w:w="10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
              <w:spacing w:after="0"/>
              <w:rPr>
                <w:sz w:val="20"/>
                <w:szCs w:val="20"/>
                <w:color w:val="auto"/>
              </w:rPr>
            </w:pPr>
            <w:r>
              <w:rPr>
                <w:rFonts w:ascii="Arial" w:cs="Arial" w:eastAsia="Arial" w:hAnsi="Arial"/>
                <w:sz w:val="16"/>
                <w:szCs w:val="16"/>
                <w:color w:val="auto"/>
                <w:w w:val="89"/>
              </w:rPr>
              <w:t>1,259,712</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21"/>
              <w:spacing w:after="0"/>
              <w:rPr>
                <w:sz w:val="20"/>
                <w:szCs w:val="20"/>
                <w:color w:val="auto"/>
              </w:rPr>
            </w:pPr>
            <w:r>
              <w:rPr>
                <w:rFonts w:ascii="Arial" w:cs="Arial" w:eastAsia="Arial" w:hAnsi="Arial"/>
                <w:sz w:val="16"/>
                <w:szCs w:val="16"/>
                <w:color w:val="auto"/>
              </w:rPr>
              <w:t>75,376</w:t>
            </w:r>
          </w:p>
        </w:tc>
        <w:tc>
          <w:tcPr>
            <w:tcW w:w="120" w:type="dxa"/>
            <w:vAlign w:val="bottom"/>
          </w:tcPr>
          <w:p>
            <w:pPr>
              <w:spacing w:after="0"/>
              <w:rPr>
                <w:sz w:val="20"/>
                <w:szCs w:val="20"/>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1,259,712</w:t>
            </w:r>
          </w:p>
        </w:tc>
        <w:tc>
          <w:tcPr>
            <w:tcW w:w="10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ind w:left="4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1,259,712</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0.59%</w:t>
            </w:r>
          </w:p>
        </w:tc>
        <w:tc>
          <w:tcPr>
            <w:tcW w:w="0" w:type="dxa"/>
            <w:vAlign w:val="bottom"/>
          </w:tcPr>
          <w:p>
            <w:pPr>
              <w:spacing w:after="0"/>
              <w:rPr>
                <w:sz w:val="1"/>
                <w:szCs w:val="1"/>
                <w:color w:val="auto"/>
              </w:rPr>
            </w:pPr>
          </w:p>
        </w:tc>
      </w:tr>
      <w:tr>
        <w:trPr>
          <w:trHeight w:val="250"/>
        </w:trPr>
        <w:tc>
          <w:tcPr>
            <w:tcW w:w="2620" w:type="dxa"/>
            <w:vAlign w:val="bottom"/>
            <w:tcBorders>
              <w:left w:val="single" w:sz="8" w:color="CCEEFF"/>
              <w:bottom w:val="single" w:sz="8" w:color="CCEEFF"/>
            </w:tcBorders>
            <w:gridSpan w:val="3"/>
            <w:shd w:val="clear" w:color="auto" w:fill="CCEEFF"/>
          </w:tcPr>
          <w:p>
            <w:pPr>
              <w:ind w:left="180"/>
              <w:spacing w:after="0"/>
              <w:rPr>
                <w:sz w:val="20"/>
                <w:szCs w:val="20"/>
                <w:color w:val="auto"/>
              </w:rPr>
            </w:pPr>
            <w:r>
              <w:rPr>
                <w:rFonts w:ascii="Arial" w:cs="Arial" w:eastAsia="Arial" w:hAnsi="Arial"/>
                <w:sz w:val="16"/>
                <w:szCs w:val="16"/>
                <w:i w:val="1"/>
                <w:iCs w:val="1"/>
                <w:color w:val="auto"/>
              </w:rPr>
              <w:t>Digital Media Platform</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620" w:type="dxa"/>
            <w:vAlign w:val="bottom"/>
            <w:gridSpan w:val="3"/>
          </w:tcPr>
          <w:p>
            <w:pPr>
              <w:ind w:left="280"/>
              <w:spacing w:after="0"/>
              <w:rPr>
                <w:sz w:val="20"/>
                <w:szCs w:val="20"/>
                <w:color w:val="auto"/>
              </w:rPr>
            </w:pPr>
            <w:r>
              <w:rPr>
                <w:rFonts w:ascii="Arial" w:cs="Arial" w:eastAsia="Arial" w:hAnsi="Arial"/>
                <w:sz w:val="16"/>
                <w:szCs w:val="16"/>
                <w:color w:val="auto"/>
              </w:rPr>
              <w:t>Ozy Media, Inc.–Convertible</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620" w:type="dxa"/>
            <w:vAlign w:val="bottom"/>
            <w:gridSpan w:val="3"/>
          </w:tcPr>
          <w:p>
            <w:pPr>
              <w:ind w:left="280"/>
              <w:spacing w:after="0"/>
              <w:rPr>
                <w:sz w:val="20"/>
                <w:szCs w:val="20"/>
                <w:color w:val="auto"/>
              </w:rPr>
            </w:pPr>
            <w:r>
              <w:rPr>
                <w:rFonts w:ascii="Arial" w:cs="Arial" w:eastAsia="Arial" w:hAnsi="Arial"/>
                <w:sz w:val="16"/>
                <w:szCs w:val="16"/>
                <w:color w:val="auto"/>
              </w:rPr>
              <w:t>Promissory Note 5% Due</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220" w:type="dxa"/>
            <w:vAlign w:val="bottom"/>
          </w:tcPr>
          <w:p>
            <w:pPr>
              <w:ind w:left="280"/>
              <w:spacing w:after="0" w:line="239" w:lineRule="exact"/>
              <w:rPr>
                <w:sz w:val="20"/>
                <w:szCs w:val="20"/>
                <w:color w:val="auto"/>
              </w:rPr>
            </w:pPr>
            <w:r>
              <w:rPr>
                <w:rFonts w:ascii="Arial" w:cs="Arial" w:eastAsia="Arial" w:hAnsi="Arial"/>
                <w:sz w:val="16"/>
                <w:szCs w:val="16"/>
                <w:color w:val="auto"/>
                <w:w w:val="94"/>
              </w:rPr>
              <w:t>10/31/2018</w:t>
            </w:r>
            <w:r>
              <w:rPr>
                <w:rFonts w:ascii="Arial" w:cs="Arial" w:eastAsia="Arial" w:hAnsi="Arial"/>
                <w:sz w:val="21"/>
                <w:szCs w:val="21"/>
                <w:color w:val="auto"/>
                <w:w w:val="94"/>
                <w:vertAlign w:val="superscript"/>
              </w:rPr>
              <w:t>(7)</w:t>
            </w: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
              <w:spacing w:after="0"/>
              <w:rPr>
                <w:sz w:val="20"/>
                <w:szCs w:val="20"/>
                <w:color w:val="auto"/>
              </w:rPr>
            </w:pPr>
            <w:r>
              <w:rPr>
                <w:rFonts w:ascii="Arial" w:cs="Arial" w:eastAsia="Arial" w:hAnsi="Arial"/>
                <w:sz w:val="16"/>
                <w:szCs w:val="16"/>
                <w:color w:val="auto"/>
                <w:w w:val="89"/>
              </w:rPr>
              <w:t>2,102,384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21"/>
              <w:spacing w:after="0"/>
              <w:rPr>
                <w:sz w:val="20"/>
                <w:szCs w:val="20"/>
                <w:color w:val="auto"/>
              </w:rPr>
            </w:pPr>
            <w:r>
              <w:rPr>
                <w:rFonts w:ascii="Arial" w:cs="Arial" w:eastAsia="Arial" w:hAnsi="Arial"/>
                <w:sz w:val="16"/>
                <w:szCs w:val="16"/>
                <w:color w:val="auto"/>
                <w:w w:val="93"/>
              </w:rPr>
              <w:t>236,856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1,067,639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128,291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(30,647)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w w:val="95"/>
              </w:rPr>
              <w:t>1,988,293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3,153,576</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1.48%</w:t>
            </w:r>
          </w:p>
        </w:tc>
        <w:tc>
          <w:tcPr>
            <w:tcW w:w="0" w:type="dxa"/>
            <w:vAlign w:val="bottom"/>
          </w:tcPr>
          <w:p>
            <w:pPr>
              <w:spacing w:after="0"/>
              <w:rPr>
                <w:sz w:val="1"/>
                <w:szCs w:val="1"/>
                <w:color w:val="auto"/>
              </w:rPr>
            </w:pPr>
          </w:p>
        </w:tc>
      </w:tr>
      <w:tr>
        <w:trPr>
          <w:trHeight w:val="220"/>
        </w:trPr>
        <w:tc>
          <w:tcPr>
            <w:tcW w:w="2620" w:type="dxa"/>
            <w:vAlign w:val="bottom"/>
            <w:tcBorders>
              <w:left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w w:val="97"/>
              </w:rPr>
              <w:t>Ozy Media, Inc.–Promissory Note</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620" w:type="dxa"/>
            <w:vAlign w:val="bottom"/>
            <w:tcBorders>
              <w:left w:val="single" w:sz="8" w:color="CCEEFF"/>
            </w:tcBorders>
            <w:gridSpan w:val="3"/>
            <w:shd w:val="clear" w:color="auto" w:fill="CCEEFF"/>
          </w:tcPr>
          <w:p>
            <w:pPr>
              <w:ind w:left="280"/>
              <w:spacing w:after="0" w:line="239" w:lineRule="exact"/>
              <w:rPr>
                <w:sz w:val="20"/>
                <w:szCs w:val="20"/>
                <w:color w:val="auto"/>
              </w:rPr>
            </w:pPr>
            <w:r>
              <w:rPr>
                <w:rFonts w:ascii="Arial" w:cs="Arial" w:eastAsia="Arial" w:hAnsi="Arial"/>
                <w:sz w:val="16"/>
                <w:szCs w:val="16"/>
                <w:color w:val="auto"/>
              </w:rPr>
              <w:t>10% Due 2/12/2018***</w:t>
            </w:r>
            <w:r>
              <w:rPr>
                <w:rFonts w:ascii="Arial" w:cs="Arial" w:eastAsia="Arial" w:hAnsi="Arial"/>
                <w:sz w:val="21"/>
                <w:szCs w:val="21"/>
                <w:color w:val="auto"/>
                <w:vertAlign w:val="superscript"/>
              </w:rPr>
              <w:t>(7)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2,384</w:t>
            </w:r>
          </w:p>
        </w:tc>
        <w:tc>
          <w:tcPr>
            <w:tcW w:w="1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100,000</w:t>
            </w:r>
          </w:p>
        </w:tc>
        <w:tc>
          <w:tcPr>
            <w:tcW w:w="10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0"/>
              </w:rPr>
              <w:t>(100,000)</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2620" w:type="dxa"/>
            <w:vAlign w:val="bottom"/>
            <w:gridSpan w:val="3"/>
          </w:tcPr>
          <w:p>
            <w:pPr>
              <w:ind w:left="180"/>
              <w:spacing w:after="0"/>
              <w:rPr>
                <w:sz w:val="20"/>
                <w:szCs w:val="20"/>
                <w:color w:val="auto"/>
              </w:rPr>
            </w:pPr>
            <w:r>
              <w:rPr>
                <w:rFonts w:ascii="Arial" w:cs="Arial" w:eastAsia="Arial" w:hAnsi="Arial"/>
                <w:sz w:val="16"/>
                <w:szCs w:val="16"/>
                <w:i w:val="1"/>
                <w:iCs w:val="1"/>
                <w:color w:val="auto"/>
              </w:rPr>
              <w:t>Total Digital Media Platform</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ind w:right="21"/>
              <w:spacing w:after="0"/>
              <w:rPr>
                <w:sz w:val="20"/>
                <w:szCs w:val="20"/>
                <w:color w:val="auto"/>
              </w:rPr>
            </w:pPr>
            <w:r>
              <w:rPr>
                <w:rFonts w:ascii="Arial" w:cs="Arial" w:eastAsia="Arial" w:hAnsi="Arial"/>
                <w:sz w:val="16"/>
                <w:szCs w:val="16"/>
                <w:color w:val="auto"/>
                <w:w w:val="93"/>
              </w:rPr>
              <w:t>239,240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1,067,639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228,291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w w:val="90"/>
              </w:rPr>
              <w:t>(130,647)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w w:val="95"/>
              </w:rPr>
              <w:t>1,988,293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3,153,576</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1.48%</w:t>
            </w:r>
          </w:p>
        </w:tc>
        <w:tc>
          <w:tcPr>
            <w:tcW w:w="0" w:type="dxa"/>
            <w:vAlign w:val="bottom"/>
          </w:tcPr>
          <w:p>
            <w:pPr>
              <w:spacing w:after="0"/>
              <w:rPr>
                <w:sz w:val="1"/>
                <w:szCs w:val="1"/>
                <w:color w:val="auto"/>
              </w:rPr>
            </w:pPr>
          </w:p>
        </w:tc>
      </w:tr>
      <w:tr>
        <w:trPr>
          <w:trHeight w:val="33"/>
        </w:trPr>
        <w:tc>
          <w:tcPr>
            <w:tcW w:w="1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20" w:type="dxa"/>
            <w:vAlign w:val="bottom"/>
            <w:tcBorders>
              <w:left w:val="single" w:sz="8" w:color="CCEEFF"/>
              <w:bottom w:val="single" w:sz="8" w:color="CCEEFF"/>
            </w:tcBorders>
            <w:gridSpan w:val="3"/>
            <w:shd w:val="clear" w:color="auto" w:fill="CCEEFF"/>
          </w:tcPr>
          <w:p>
            <w:pPr>
              <w:ind w:left="180"/>
              <w:spacing w:after="0"/>
              <w:rPr>
                <w:sz w:val="20"/>
                <w:szCs w:val="20"/>
                <w:color w:val="auto"/>
              </w:rPr>
            </w:pPr>
            <w:r>
              <w:rPr>
                <w:rFonts w:ascii="Arial" w:cs="Arial" w:eastAsia="Arial" w:hAnsi="Arial"/>
                <w:sz w:val="16"/>
                <w:szCs w:val="16"/>
                <w:i w:val="1"/>
                <w:iCs w:val="1"/>
                <w:color w:val="auto"/>
              </w:rPr>
              <w:t>Social Cognitive Learning</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620" w:type="dxa"/>
            <w:vAlign w:val="bottom"/>
            <w:gridSpan w:val="3"/>
          </w:tcPr>
          <w:p>
            <w:pPr>
              <w:ind w:left="280"/>
              <w:spacing w:after="0"/>
              <w:rPr>
                <w:sz w:val="20"/>
                <w:szCs w:val="20"/>
                <w:color w:val="auto"/>
              </w:rPr>
            </w:pPr>
            <w:r>
              <w:rPr>
                <w:rFonts w:ascii="Arial" w:cs="Arial" w:eastAsia="Arial" w:hAnsi="Arial"/>
                <w:sz w:val="16"/>
                <w:szCs w:val="16"/>
                <w:color w:val="auto"/>
              </w:rPr>
              <w:t>Declara, Inc.–Convertible</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620" w:type="dxa"/>
            <w:vAlign w:val="bottom"/>
            <w:gridSpan w:val="3"/>
          </w:tcPr>
          <w:p>
            <w:pPr>
              <w:ind w:left="280"/>
              <w:spacing w:after="0"/>
              <w:rPr>
                <w:sz w:val="20"/>
                <w:szCs w:val="20"/>
                <w:color w:val="auto"/>
              </w:rPr>
            </w:pPr>
            <w:r>
              <w:rPr>
                <w:rFonts w:ascii="Arial" w:cs="Arial" w:eastAsia="Arial" w:hAnsi="Arial"/>
                <w:sz w:val="16"/>
                <w:szCs w:val="16"/>
                <w:color w:val="auto"/>
              </w:rPr>
              <w:t>Promissory Note 12% Due</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220" w:type="dxa"/>
            <w:vAlign w:val="bottom"/>
          </w:tcPr>
          <w:p>
            <w:pPr>
              <w:ind w:left="280"/>
              <w:spacing w:after="0" w:line="239" w:lineRule="exact"/>
              <w:rPr>
                <w:sz w:val="20"/>
                <w:szCs w:val="20"/>
                <w:color w:val="auto"/>
              </w:rPr>
            </w:pPr>
            <w:r>
              <w:rPr>
                <w:rFonts w:ascii="Arial" w:cs="Arial" w:eastAsia="Arial" w:hAnsi="Arial"/>
                <w:sz w:val="16"/>
                <w:szCs w:val="16"/>
                <w:color w:val="auto"/>
                <w:w w:val="87"/>
              </w:rPr>
              <w:t>4/30/2018</w:t>
            </w:r>
            <w:r>
              <w:rPr>
                <w:rFonts w:ascii="Arial" w:cs="Arial" w:eastAsia="Arial" w:hAnsi="Arial"/>
                <w:sz w:val="21"/>
                <w:szCs w:val="21"/>
                <w:color w:val="auto"/>
                <w:w w:val="87"/>
                <w:vertAlign w:val="superscript"/>
              </w:rPr>
              <w:t>(6)(9)</w:t>
            </w: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
              <w:spacing w:after="0"/>
              <w:rPr>
                <w:sz w:val="20"/>
                <w:szCs w:val="20"/>
                <w:color w:val="auto"/>
              </w:rPr>
            </w:pPr>
            <w:r>
              <w:rPr>
                <w:rFonts w:ascii="Arial" w:cs="Arial" w:eastAsia="Arial" w:hAnsi="Arial"/>
                <w:sz w:val="16"/>
                <w:szCs w:val="16"/>
                <w:color w:val="auto"/>
                <w:w w:val="89"/>
              </w:rPr>
              <w:t>2,327,727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21"/>
              <w:spacing w:after="0"/>
              <w:rPr>
                <w:sz w:val="20"/>
                <w:szCs w:val="20"/>
                <w:color w:val="auto"/>
              </w:rPr>
            </w:pPr>
            <w:r>
              <w:rPr>
                <w:rFonts w:ascii="Arial" w:cs="Arial" w:eastAsia="Arial" w:hAnsi="Arial"/>
                <w:sz w:val="16"/>
                <w:szCs w:val="16"/>
                <w:color w:val="auto"/>
                <w:w w:val="93"/>
              </w:rPr>
              <w:t>207,069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1,120,329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212,254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w w:val="90"/>
              </w:rPr>
              <w:t>(1,332,583)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2620" w:type="dxa"/>
            <w:vAlign w:val="bottom"/>
            <w:tcBorders>
              <w:left w:val="single" w:sz="8" w:color="CCEEFF"/>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Total Debt Investments</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93"/>
              </w:rPr>
              <w:t>521,685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3,447,680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440,545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0"/>
              </w:rPr>
              <w:t>(130,647)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655,710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4,413,288</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0" w:type="dxa"/>
            <w:vAlign w:val="bottom"/>
          </w:tcPr>
          <w:p>
            <w:pPr>
              <w:spacing w:after="0"/>
              <w:rPr>
                <w:sz w:val="1"/>
                <w:szCs w:val="1"/>
                <w:color w:val="auto"/>
              </w:rPr>
            </w:pPr>
          </w:p>
        </w:tc>
      </w:tr>
      <w:tr>
        <w:trPr>
          <w:trHeight w:val="237"/>
        </w:trPr>
        <w:tc>
          <w:tcPr>
            <w:tcW w:w="2620" w:type="dxa"/>
            <w:vAlign w:val="bottom"/>
            <w:gridSpan w:val="3"/>
          </w:tcPr>
          <w:p>
            <w:pPr>
              <w:ind w:left="40"/>
              <w:spacing w:after="0"/>
              <w:rPr>
                <w:sz w:val="20"/>
                <w:szCs w:val="20"/>
                <w:color w:val="auto"/>
              </w:rPr>
            </w:pPr>
            <w:r>
              <w:rPr>
                <w:rFonts w:ascii="Arial" w:cs="Arial" w:eastAsia="Arial" w:hAnsi="Arial"/>
                <w:sz w:val="16"/>
                <w:szCs w:val="16"/>
                <w:b w:val="1"/>
                <w:bCs w:val="1"/>
                <w:color w:val="auto"/>
              </w:rPr>
              <w:t>Preferred Stock</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20" w:type="dxa"/>
            <w:vAlign w:val="bottom"/>
            <w:tcBorders>
              <w:left w:val="single" w:sz="8" w:color="CCEEFF"/>
              <w:bottom w:val="single" w:sz="8" w:color="CCEEFF"/>
            </w:tcBorders>
            <w:gridSpan w:val="3"/>
            <w:shd w:val="clear" w:color="auto" w:fill="CCEEFF"/>
          </w:tcPr>
          <w:p>
            <w:pPr>
              <w:ind w:left="180"/>
              <w:spacing w:after="0"/>
              <w:rPr>
                <w:sz w:val="20"/>
                <w:szCs w:val="20"/>
                <w:color w:val="auto"/>
              </w:rPr>
            </w:pPr>
            <w:r>
              <w:rPr>
                <w:rFonts w:ascii="Arial" w:cs="Arial" w:eastAsia="Arial" w:hAnsi="Arial"/>
                <w:sz w:val="16"/>
                <w:szCs w:val="16"/>
                <w:i w:val="1"/>
                <w:iCs w:val="1"/>
                <w:color w:val="auto"/>
              </w:rPr>
              <w:t>Corporate Education</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620" w:type="dxa"/>
            <w:vAlign w:val="bottom"/>
            <w:gridSpan w:val="3"/>
          </w:tcPr>
          <w:p>
            <w:pPr>
              <w:ind w:left="280"/>
              <w:spacing w:after="0"/>
              <w:rPr>
                <w:sz w:val="20"/>
                <w:szCs w:val="20"/>
                <w:color w:val="auto"/>
              </w:rPr>
            </w:pPr>
            <w:r>
              <w:rPr>
                <w:rFonts w:ascii="Arial" w:cs="Arial" w:eastAsia="Arial" w:hAnsi="Arial"/>
                <w:sz w:val="16"/>
                <w:szCs w:val="16"/>
                <w:color w:val="auto"/>
              </w:rPr>
              <w:t>CUX, Inc. (d/b/a CorpU)–</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620" w:type="dxa"/>
            <w:vAlign w:val="bottom"/>
            <w:gridSpan w:val="3"/>
          </w:tcPr>
          <w:p>
            <w:pPr>
              <w:ind w:left="280"/>
              <w:spacing w:after="0"/>
              <w:rPr>
                <w:sz w:val="20"/>
                <w:szCs w:val="20"/>
                <w:color w:val="auto"/>
              </w:rPr>
            </w:pPr>
            <w:r>
              <w:rPr>
                <w:rFonts w:ascii="Arial" w:cs="Arial" w:eastAsia="Arial" w:hAnsi="Arial"/>
                <w:sz w:val="16"/>
                <w:szCs w:val="16"/>
                <w:color w:val="auto"/>
              </w:rPr>
              <w:t>Convertible preferred shares,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620" w:type="dxa"/>
            <w:vAlign w:val="bottom"/>
            <w:gridSpan w:val="3"/>
          </w:tcPr>
          <w:p>
            <w:pPr>
              <w:ind w:left="280"/>
              <w:spacing w:after="0"/>
              <w:rPr>
                <w:sz w:val="20"/>
                <w:szCs w:val="20"/>
                <w:color w:val="auto"/>
              </w:rPr>
            </w:pPr>
            <w:r>
              <w:rPr>
                <w:rFonts w:ascii="Arial" w:cs="Arial" w:eastAsia="Arial" w:hAnsi="Arial"/>
                <w:sz w:val="16"/>
                <w:szCs w:val="16"/>
                <w:color w:val="auto"/>
              </w:rPr>
              <w:t>Series D 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169,033</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989,489</w:t>
            </w:r>
          </w:p>
        </w:tc>
        <w:tc>
          <w:tcPr>
            <w:tcW w:w="100" w:type="dxa"/>
            <w:vAlign w:val="bottom"/>
          </w:tcPr>
          <w:p>
            <w:pPr>
              <w:spacing w:after="0"/>
              <w:rPr>
                <w:sz w:val="17"/>
                <w:szCs w:val="17"/>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ind w:left="4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(337,693)</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651,796</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0.31%</w:t>
            </w:r>
          </w:p>
        </w:tc>
        <w:tc>
          <w:tcPr>
            <w:tcW w:w="0" w:type="dxa"/>
            <w:vAlign w:val="bottom"/>
          </w:tcPr>
          <w:p>
            <w:pPr>
              <w:spacing w:after="0"/>
              <w:rPr>
                <w:sz w:val="1"/>
                <w:szCs w:val="1"/>
                <w:color w:val="auto"/>
              </w:rPr>
            </w:pPr>
          </w:p>
        </w:tc>
      </w:tr>
      <w:tr>
        <w:trPr>
          <w:trHeight w:val="33"/>
        </w:trPr>
        <w:tc>
          <w:tcPr>
            <w:tcW w:w="1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620" w:type="dxa"/>
            <w:vAlign w:val="bottom"/>
            <w:tcBorders>
              <w:left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CUX, Inc. (d/b/a CorpU) -</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620" w:type="dxa"/>
            <w:vAlign w:val="bottom"/>
            <w:tcBorders>
              <w:left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Convertible preferred shares,</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620" w:type="dxa"/>
            <w:vAlign w:val="bottom"/>
            <w:tcBorders>
              <w:left w:val="single" w:sz="8" w:color="CCEEFF"/>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Series C 8%</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615,763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480,184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(480,184)</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1"/>
        </w:trPr>
        <w:tc>
          <w:tcPr>
            <w:tcW w:w="2620" w:type="dxa"/>
            <w:vAlign w:val="bottom"/>
            <w:tcBorders>
              <w:top w:val="single" w:sz="8" w:color="CCEEFF"/>
            </w:tcBorders>
            <w:gridSpan w:val="3"/>
          </w:tcPr>
          <w:p>
            <w:pPr>
              <w:ind w:left="180"/>
              <w:spacing w:after="0"/>
              <w:rPr>
                <w:sz w:val="20"/>
                <w:szCs w:val="20"/>
                <w:color w:val="auto"/>
              </w:rPr>
            </w:pPr>
            <w:r>
              <w:rPr>
                <w:rFonts w:ascii="Arial" w:cs="Arial" w:eastAsia="Arial" w:hAnsi="Arial"/>
                <w:sz w:val="16"/>
                <w:szCs w:val="16"/>
                <w:i w:val="1"/>
                <w:iCs w:val="1"/>
                <w:color w:val="auto"/>
              </w:rPr>
              <w:t>Total Corporate Education</w:t>
            </w:r>
          </w:p>
        </w:tc>
        <w:tc>
          <w:tcPr>
            <w:tcW w:w="12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740" w:type="dxa"/>
            <w:vAlign w:val="bottom"/>
            <w:tcBorders>
              <w:top w:val="single" w:sz="8" w:color="CCEEFF"/>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1,469,673</w:t>
            </w:r>
          </w:p>
        </w:tc>
        <w:tc>
          <w:tcPr>
            <w:tcW w:w="100" w:type="dxa"/>
            <w:vAlign w:val="bottom"/>
            <w:tcBorders>
              <w:top w:val="single" w:sz="8" w:color="CCEEFF"/>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(817,877)</w:t>
            </w:r>
          </w:p>
        </w:tc>
        <w:tc>
          <w:tcPr>
            <w:tcW w:w="120" w:type="dxa"/>
            <w:vAlign w:val="bottom"/>
            <w:tcBorders>
              <w:top w:val="single" w:sz="8" w:color="CCEEFF"/>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651,796</w:t>
            </w:r>
          </w:p>
        </w:tc>
        <w:tc>
          <w:tcPr>
            <w:tcW w:w="900" w:type="dxa"/>
            <w:vAlign w:val="bottom"/>
            <w:tcBorders>
              <w:top w:val="single" w:sz="8" w:color="CCEEFF"/>
            </w:tcBorders>
            <w:gridSpan w:val="2"/>
          </w:tcPr>
          <w:p>
            <w:pPr>
              <w:jc w:val="right"/>
              <w:spacing w:after="0"/>
              <w:rPr>
                <w:sz w:val="20"/>
                <w:szCs w:val="20"/>
                <w:color w:val="auto"/>
              </w:rPr>
            </w:pPr>
            <w:r>
              <w:rPr>
                <w:rFonts w:ascii="Arial" w:cs="Arial" w:eastAsia="Arial" w:hAnsi="Arial"/>
                <w:sz w:val="16"/>
                <w:szCs w:val="16"/>
                <w:color w:val="auto"/>
              </w:rPr>
              <w:t>0.31%</w:t>
            </w:r>
          </w:p>
        </w:tc>
        <w:tc>
          <w:tcPr>
            <w:tcW w:w="0" w:type="dxa"/>
            <w:vAlign w:val="bottom"/>
          </w:tcPr>
          <w:p>
            <w:pPr>
              <w:spacing w:after="0"/>
              <w:rPr>
                <w:sz w:val="1"/>
                <w:szCs w:val="1"/>
                <w:color w:val="auto"/>
              </w:rPr>
            </w:pPr>
          </w:p>
        </w:tc>
      </w:tr>
      <w:tr>
        <w:trPr>
          <w:trHeight w:val="33"/>
        </w:trPr>
        <w:tc>
          <w:tcPr>
            <w:tcW w:w="1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20" w:type="dxa"/>
            <w:vAlign w:val="bottom"/>
            <w:tcBorders>
              <w:left w:val="single" w:sz="8" w:color="CCEEFF"/>
              <w:bottom w:val="single" w:sz="8" w:color="CCEEFF"/>
            </w:tcBorders>
            <w:gridSpan w:val="3"/>
            <w:shd w:val="clear" w:color="auto" w:fill="CCEEFF"/>
          </w:tcPr>
          <w:p>
            <w:pPr>
              <w:ind w:left="180"/>
              <w:spacing w:after="0"/>
              <w:rPr>
                <w:sz w:val="20"/>
                <w:szCs w:val="20"/>
                <w:color w:val="auto"/>
              </w:rPr>
            </w:pPr>
            <w:r>
              <w:rPr>
                <w:rFonts w:ascii="Arial" w:cs="Arial" w:eastAsia="Arial" w:hAnsi="Arial"/>
                <w:sz w:val="16"/>
                <w:szCs w:val="16"/>
                <w:i w:val="1"/>
                <w:iCs w:val="1"/>
                <w:color w:val="auto"/>
              </w:rPr>
              <w:t>Social Cognitive Learning</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620" w:type="dxa"/>
            <w:vAlign w:val="bottom"/>
            <w:gridSpan w:val="3"/>
          </w:tcPr>
          <w:p>
            <w:pPr>
              <w:ind w:left="280"/>
              <w:spacing w:after="0"/>
              <w:rPr>
                <w:sz w:val="20"/>
                <w:szCs w:val="20"/>
                <w:color w:val="auto"/>
              </w:rPr>
            </w:pPr>
            <w:r>
              <w:rPr>
                <w:rFonts w:ascii="Arial" w:cs="Arial" w:eastAsia="Arial" w:hAnsi="Arial"/>
                <w:sz w:val="16"/>
                <w:szCs w:val="16"/>
                <w:color w:val="auto"/>
              </w:rPr>
              <w:t>Declara, Inc.–Preferred shares,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620" w:type="dxa"/>
            <w:vAlign w:val="bottom"/>
            <w:gridSpan w:val="3"/>
          </w:tcPr>
          <w:p>
            <w:pPr>
              <w:ind w:left="280"/>
              <w:spacing w:after="0"/>
              <w:rPr>
                <w:sz w:val="20"/>
                <w:szCs w:val="20"/>
                <w:color w:val="auto"/>
              </w:rPr>
            </w:pPr>
            <w:r>
              <w:rPr>
                <w:rFonts w:ascii="Arial" w:cs="Arial" w:eastAsia="Arial" w:hAnsi="Arial"/>
                <w:sz w:val="16"/>
                <w:szCs w:val="16"/>
                <w:color w:val="auto"/>
              </w:rPr>
              <w:t>Series A 8%</w:t>
            </w:r>
          </w:p>
        </w:tc>
        <w:tc>
          <w:tcPr>
            <w:tcW w:w="960" w:type="dxa"/>
            <w:vAlign w:val="bottom"/>
            <w:gridSpan w:val="3"/>
          </w:tcPr>
          <w:p>
            <w:pPr>
              <w:jc w:val="right"/>
              <w:ind w:right="1"/>
              <w:spacing w:after="0"/>
              <w:rPr>
                <w:sz w:val="20"/>
                <w:szCs w:val="20"/>
                <w:color w:val="auto"/>
              </w:rPr>
            </w:pPr>
            <w:r>
              <w:rPr>
                <w:rFonts w:ascii="Arial" w:cs="Arial" w:eastAsia="Arial" w:hAnsi="Arial"/>
                <w:sz w:val="16"/>
                <w:szCs w:val="16"/>
                <w:color w:val="auto"/>
              </w:rPr>
              <w:t>10,716,390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382,678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(382,678)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4121785</wp:posOffset>
            </wp:positionH>
            <wp:positionV relativeFrom="paragraph">
              <wp:posOffset>-5749925</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2" w:right="23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2018</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Schedule of Investments In, and Advances to, Affiliate</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Interest,</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Purchases,</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Fees, or</w:t>
            </w:r>
          </w:p>
        </w:tc>
        <w:tc>
          <w:tcPr>
            <w:tcW w:w="10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Fair Value at</w:t>
            </w:r>
          </w:p>
        </w:tc>
        <w:tc>
          <w:tcPr>
            <w:tcW w:w="10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Capitalized</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Fair Value at</w:t>
            </w: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Percentage</w:t>
            </w:r>
          </w:p>
        </w:tc>
        <w:tc>
          <w:tcPr>
            <w:tcW w:w="0" w:type="dxa"/>
            <w:vAlign w:val="bottom"/>
          </w:tcPr>
          <w:p>
            <w:pPr>
              <w:spacing w:after="0"/>
              <w:rPr>
                <w:sz w:val="1"/>
                <w:szCs w:val="1"/>
                <w:color w:val="auto"/>
              </w:rPr>
            </w:pPr>
          </w:p>
        </w:tc>
      </w:tr>
      <w:tr>
        <w:trPr>
          <w:trHeight w:val="149"/>
        </w:trPr>
        <w:tc>
          <w:tcPr>
            <w:tcW w:w="27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Type/Industry/Portfolio</w:t>
            </w:r>
          </w:p>
        </w:tc>
        <w:tc>
          <w:tcPr>
            <w:tcW w:w="8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Principal/</w:t>
            </w:r>
          </w:p>
        </w:tc>
        <w:tc>
          <w:tcPr>
            <w:tcW w:w="9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Dividends</w:t>
            </w:r>
          </w:p>
        </w:tc>
        <w:tc>
          <w:tcPr>
            <w:tcW w:w="10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Fees,</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Realized</w:t>
            </w:r>
          </w:p>
        </w:tc>
        <w:tc>
          <w:tcPr>
            <w:tcW w:w="120" w:type="dxa"/>
            <w:vAlign w:val="bottom"/>
          </w:tcPr>
          <w:p>
            <w:pPr>
              <w:spacing w:after="0"/>
              <w:rPr>
                <w:sz w:val="12"/>
                <w:szCs w:val="12"/>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Unrealized</w:t>
            </w:r>
          </w:p>
        </w:tc>
        <w:tc>
          <w:tcPr>
            <w:tcW w:w="980" w:type="dxa"/>
            <w:vAlign w:val="bottom"/>
            <w:gridSpan w:val="3"/>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8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Credited</w:t>
            </w:r>
          </w:p>
        </w:tc>
        <w:tc>
          <w:tcPr>
            <w:tcW w:w="10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December 31,</w:t>
            </w:r>
          </w:p>
        </w:tc>
        <w:tc>
          <w:tcPr>
            <w:tcW w:w="10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Interest and</w:t>
            </w:r>
          </w:p>
        </w:tc>
        <w:tc>
          <w:tcPr>
            <w:tcW w:w="100" w:type="dxa"/>
            <w:vAlign w:val="bottom"/>
          </w:tcPr>
          <w:p>
            <w:pPr>
              <w:spacing w:after="0"/>
              <w:rPr>
                <w:sz w:val="12"/>
                <w:szCs w:val="12"/>
                <w:color w:val="auto"/>
              </w:rPr>
            </w:pPr>
          </w:p>
        </w:tc>
        <w:tc>
          <w:tcPr>
            <w:tcW w:w="680" w:type="dxa"/>
            <w:vAlign w:val="bottom"/>
            <w:vMerge w:val="restart"/>
          </w:tcPr>
          <w:p>
            <w:pPr>
              <w:jc w:val="right"/>
              <w:ind w:right="159"/>
              <w:spacing w:after="0"/>
              <w:rPr>
                <w:sz w:val="20"/>
                <w:szCs w:val="20"/>
                <w:color w:val="auto"/>
              </w:rPr>
            </w:pPr>
            <w:r>
              <w:rPr>
                <w:rFonts w:ascii="Arial" w:cs="Arial" w:eastAsia="Arial" w:hAnsi="Arial"/>
                <w:sz w:val="14"/>
                <w:szCs w:val="14"/>
                <w:b w:val="1"/>
                <w:bCs w:val="1"/>
                <w:color w:val="auto"/>
              </w:rPr>
              <w:t>Sales</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September</w:t>
            </w:r>
          </w:p>
        </w:tc>
        <w:tc>
          <w:tcPr>
            <w:tcW w:w="800" w:type="dxa"/>
            <w:vAlign w:val="bottom"/>
          </w:tcPr>
          <w:p>
            <w:pPr>
              <w:jc w:val="right"/>
              <w:ind w:right="140"/>
              <w:spacing w:after="0" w:line="149" w:lineRule="exact"/>
              <w:rPr>
                <w:sz w:val="20"/>
                <w:szCs w:val="20"/>
                <w:color w:val="auto"/>
              </w:rPr>
            </w:pPr>
            <w:r>
              <w:rPr>
                <w:rFonts w:ascii="Arial" w:cs="Arial" w:eastAsia="Arial" w:hAnsi="Arial"/>
                <w:sz w:val="14"/>
                <w:szCs w:val="14"/>
                <w:b w:val="1"/>
                <w:bCs w:val="1"/>
                <w:color w:val="auto"/>
              </w:rPr>
              <w:t>of Net</w:t>
            </w:r>
          </w:p>
        </w:tc>
        <w:tc>
          <w:tcPr>
            <w:tcW w:w="0" w:type="dxa"/>
            <w:vAlign w:val="bottom"/>
          </w:tcPr>
          <w:p>
            <w:pPr>
              <w:spacing w:after="0"/>
              <w:rPr>
                <w:sz w:val="1"/>
                <w:szCs w:val="1"/>
                <w:color w:val="auto"/>
              </w:rPr>
            </w:pPr>
          </w:p>
        </w:tc>
      </w:tr>
      <w:tr>
        <w:trPr>
          <w:trHeight w:val="192"/>
        </w:trPr>
        <w:tc>
          <w:tcPr>
            <w:tcW w:w="2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Company/Investment</w:t>
            </w:r>
          </w:p>
        </w:tc>
        <w:tc>
          <w:tcPr>
            <w:tcW w:w="12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rPr>
              <w:t>Quantity</w:t>
            </w:r>
          </w:p>
        </w:tc>
        <w:tc>
          <w:tcPr>
            <w:tcW w:w="1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in Income</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8"/>
              </w:rPr>
              <w:t>Amortization</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9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9"/>
              </w:rPr>
              <w:t>Gains/(Losses)</w:t>
            </w: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Gains/(Losses)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30, 2018</w:t>
            </w: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50"/>
        </w:trPr>
        <w:tc>
          <w:tcPr>
            <w:tcW w:w="27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i w:val="1"/>
                <w:iCs w:val="1"/>
                <w:color w:val="auto"/>
              </w:rPr>
              <w:t>Education Media Platform</w:t>
            </w: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780" w:type="dxa"/>
            <w:vAlign w:val="bottom"/>
            <w:gridSpan w:val="2"/>
          </w:tcPr>
          <w:p>
            <w:pPr>
              <w:ind w:left="280"/>
              <w:spacing w:after="0"/>
              <w:rPr>
                <w:sz w:val="20"/>
                <w:szCs w:val="20"/>
                <w:color w:val="auto"/>
              </w:rPr>
            </w:pPr>
            <w:r>
              <w:rPr>
                <w:rFonts w:ascii="Arial" w:cs="Arial" w:eastAsia="Arial" w:hAnsi="Arial"/>
                <w:sz w:val="16"/>
                <w:szCs w:val="16"/>
                <w:color w:val="auto"/>
              </w:rPr>
              <w:t>EdSurge, Inc.–Preferred shares,</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80" w:type="dxa"/>
            <w:vAlign w:val="bottom"/>
            <w:gridSpan w:val="2"/>
          </w:tcPr>
          <w:p>
            <w:pPr>
              <w:ind w:left="280"/>
              <w:spacing w:after="0"/>
              <w:rPr>
                <w:sz w:val="20"/>
                <w:szCs w:val="20"/>
                <w:color w:val="auto"/>
              </w:rPr>
            </w:pPr>
            <w:r>
              <w:rPr>
                <w:rFonts w:ascii="Arial" w:cs="Arial" w:eastAsia="Arial" w:hAnsi="Arial"/>
                <w:sz w:val="16"/>
                <w:szCs w:val="16"/>
                <w:color w:val="auto"/>
              </w:rPr>
              <w:t>Series A-1</w:t>
            </w:r>
          </w:p>
        </w:tc>
        <w:tc>
          <w:tcPr>
            <w:tcW w:w="760" w:type="dxa"/>
            <w:vAlign w:val="bottom"/>
          </w:tcPr>
          <w:p>
            <w:pPr>
              <w:jc w:val="right"/>
              <w:spacing w:after="0"/>
              <w:rPr>
                <w:sz w:val="20"/>
                <w:szCs w:val="20"/>
                <w:color w:val="auto"/>
              </w:rPr>
            </w:pPr>
            <w:r>
              <w:rPr>
                <w:rFonts w:ascii="Arial" w:cs="Arial" w:eastAsia="Arial" w:hAnsi="Arial"/>
                <w:sz w:val="16"/>
                <w:szCs w:val="16"/>
                <w:color w:val="auto"/>
              </w:rPr>
              <w:t>378,788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500,000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8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(250,000)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250,000</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0.12%</w:t>
            </w:r>
          </w:p>
        </w:tc>
        <w:tc>
          <w:tcPr>
            <w:tcW w:w="0" w:type="dxa"/>
            <w:vAlign w:val="bottom"/>
          </w:tcPr>
          <w:p>
            <w:pPr>
              <w:spacing w:after="0"/>
              <w:rPr>
                <w:sz w:val="1"/>
                <w:szCs w:val="1"/>
                <w:color w:val="auto"/>
              </w:rPr>
            </w:pPr>
          </w:p>
        </w:tc>
      </w:tr>
      <w:tr>
        <w:trPr>
          <w:trHeight w:val="33"/>
        </w:trPr>
        <w:tc>
          <w:tcPr>
            <w:tcW w:w="2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6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EdSurge, Inc.–Preferred shares,</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Series A</w:t>
            </w: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494,365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581,917</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(306,352)</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275,565</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0.13%</w:t>
            </w:r>
          </w:p>
        </w:tc>
        <w:tc>
          <w:tcPr>
            <w:tcW w:w="0" w:type="dxa"/>
            <w:vAlign w:val="bottom"/>
          </w:tcPr>
          <w:p>
            <w:pPr>
              <w:spacing w:after="0"/>
              <w:rPr>
                <w:sz w:val="1"/>
                <w:szCs w:val="1"/>
                <w:color w:val="auto"/>
              </w:rPr>
            </w:pPr>
          </w:p>
        </w:tc>
      </w:tr>
      <w:tr>
        <w:trPr>
          <w:trHeight w:val="231"/>
        </w:trPr>
        <w:tc>
          <w:tcPr>
            <w:tcW w:w="2660" w:type="dxa"/>
            <w:vAlign w:val="bottom"/>
            <w:tcBorders>
              <w:top w:val="single" w:sz="8" w:color="CCEEFF"/>
            </w:tcBorders>
          </w:tcPr>
          <w:p>
            <w:pPr>
              <w:ind w:left="180"/>
              <w:spacing w:after="0"/>
              <w:rPr>
                <w:sz w:val="20"/>
                <w:szCs w:val="20"/>
                <w:color w:val="auto"/>
              </w:rPr>
            </w:pPr>
            <w:r>
              <w:rPr>
                <w:rFonts w:ascii="Arial" w:cs="Arial" w:eastAsia="Arial" w:hAnsi="Arial"/>
                <w:sz w:val="16"/>
                <w:szCs w:val="16"/>
                <w:i w:val="1"/>
                <w:iCs w:val="1"/>
                <w:color w:val="auto"/>
              </w:rPr>
              <w:t>Total Education Media Platform</w:t>
            </w:r>
          </w:p>
        </w:tc>
        <w:tc>
          <w:tcPr>
            <w:tcW w:w="120" w:type="dxa"/>
            <w:vAlign w:val="bottom"/>
          </w:tcPr>
          <w:p>
            <w:pPr>
              <w:spacing w:after="0"/>
              <w:rPr>
                <w:sz w:val="20"/>
                <w:szCs w:val="20"/>
                <w:color w:val="auto"/>
              </w:rPr>
            </w:pPr>
          </w:p>
        </w:tc>
        <w:tc>
          <w:tcPr>
            <w:tcW w:w="76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98"/>
              </w:rPr>
              <w:t>1,081,917</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ind w:left="48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(556,352)</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525,565</w:t>
            </w:r>
          </w:p>
        </w:tc>
        <w:tc>
          <w:tcPr>
            <w:tcW w:w="100" w:type="dxa"/>
            <w:vAlign w:val="bottom"/>
            <w:tcBorders>
              <w:top w:val="single" w:sz="8" w:color="CCEEFF"/>
            </w:tcBorders>
          </w:tcPr>
          <w:p>
            <w:pPr>
              <w:spacing w:after="0"/>
              <w:rPr>
                <w:sz w:val="20"/>
                <w:szCs w:val="20"/>
                <w:color w:val="auto"/>
              </w:rPr>
            </w:pPr>
          </w:p>
        </w:tc>
        <w:tc>
          <w:tcPr>
            <w:tcW w:w="80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0.26%</w:t>
            </w:r>
          </w:p>
        </w:tc>
        <w:tc>
          <w:tcPr>
            <w:tcW w:w="0" w:type="dxa"/>
            <w:vAlign w:val="bottom"/>
          </w:tcPr>
          <w:p>
            <w:pPr>
              <w:spacing w:after="0"/>
              <w:rPr>
                <w:sz w:val="1"/>
                <w:szCs w:val="1"/>
                <w:color w:val="auto"/>
              </w:rPr>
            </w:pPr>
          </w:p>
        </w:tc>
      </w:tr>
      <w:tr>
        <w:trPr>
          <w:trHeight w:val="33"/>
        </w:trPr>
        <w:tc>
          <w:tcPr>
            <w:tcW w:w="2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i w:val="1"/>
                <w:iCs w:val="1"/>
                <w:color w:val="auto"/>
              </w:rPr>
              <w:t>Knowledge Networks</w:t>
            </w: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780" w:type="dxa"/>
            <w:vAlign w:val="bottom"/>
            <w:gridSpan w:val="2"/>
          </w:tcPr>
          <w:p>
            <w:pPr>
              <w:ind w:left="280"/>
              <w:spacing w:after="0"/>
              <w:rPr>
                <w:sz w:val="20"/>
                <w:szCs w:val="20"/>
                <w:color w:val="auto"/>
              </w:rPr>
            </w:pPr>
            <w:r>
              <w:rPr>
                <w:rFonts w:ascii="Arial" w:cs="Arial" w:eastAsia="Arial" w:hAnsi="Arial"/>
                <w:sz w:val="16"/>
                <w:szCs w:val="16"/>
                <w:color w:val="auto"/>
              </w:rPr>
              <w:t>Maven Research, Inc.–Preferred</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80" w:type="dxa"/>
            <w:vAlign w:val="bottom"/>
            <w:gridSpan w:val="2"/>
          </w:tcPr>
          <w:p>
            <w:pPr>
              <w:ind w:left="280"/>
              <w:spacing w:after="0"/>
              <w:rPr>
                <w:sz w:val="20"/>
                <w:szCs w:val="20"/>
                <w:color w:val="auto"/>
              </w:rPr>
            </w:pPr>
            <w:r>
              <w:rPr>
                <w:rFonts w:ascii="Arial" w:cs="Arial" w:eastAsia="Arial" w:hAnsi="Arial"/>
                <w:sz w:val="16"/>
                <w:szCs w:val="16"/>
                <w:color w:val="auto"/>
              </w:rPr>
              <w:t>shares, Series C</w:t>
            </w:r>
          </w:p>
        </w:tc>
        <w:tc>
          <w:tcPr>
            <w:tcW w:w="760" w:type="dxa"/>
            <w:vAlign w:val="bottom"/>
          </w:tcPr>
          <w:p>
            <w:pPr>
              <w:jc w:val="right"/>
              <w:spacing w:after="0"/>
              <w:rPr>
                <w:sz w:val="20"/>
                <w:szCs w:val="20"/>
                <w:color w:val="auto"/>
              </w:rPr>
            </w:pPr>
            <w:r>
              <w:rPr>
                <w:rFonts w:ascii="Arial" w:cs="Arial" w:eastAsia="Arial" w:hAnsi="Arial"/>
                <w:sz w:val="16"/>
                <w:szCs w:val="16"/>
                <w:color w:val="auto"/>
              </w:rPr>
              <w:t>318,979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501,240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8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(286,484)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214,756</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0.10%</w:t>
            </w:r>
          </w:p>
        </w:tc>
        <w:tc>
          <w:tcPr>
            <w:tcW w:w="0" w:type="dxa"/>
            <w:vAlign w:val="bottom"/>
          </w:tcPr>
          <w:p>
            <w:pPr>
              <w:spacing w:after="0"/>
              <w:rPr>
                <w:sz w:val="1"/>
                <w:szCs w:val="1"/>
                <w:color w:val="auto"/>
              </w:rPr>
            </w:pPr>
          </w:p>
        </w:tc>
      </w:tr>
      <w:tr>
        <w:trPr>
          <w:trHeight w:val="33"/>
        </w:trPr>
        <w:tc>
          <w:tcPr>
            <w:tcW w:w="2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Maven Research, Inc.–Preferred</w:t>
            </w: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7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shares, Series B</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49,505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50,000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(28,577)</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21,423</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31"/>
        </w:trPr>
        <w:tc>
          <w:tcPr>
            <w:tcW w:w="2780" w:type="dxa"/>
            <w:vAlign w:val="bottom"/>
            <w:gridSpan w:val="2"/>
          </w:tcPr>
          <w:p>
            <w:pPr>
              <w:ind w:left="180"/>
              <w:spacing w:after="0"/>
              <w:rPr>
                <w:sz w:val="20"/>
                <w:szCs w:val="20"/>
                <w:color w:val="auto"/>
              </w:rPr>
            </w:pPr>
            <w:r>
              <w:rPr>
                <w:rFonts w:ascii="Arial" w:cs="Arial" w:eastAsia="Arial" w:hAnsi="Arial"/>
                <w:sz w:val="16"/>
                <w:szCs w:val="16"/>
                <w:i w:val="1"/>
                <w:iCs w:val="1"/>
                <w:color w:val="auto"/>
              </w:rPr>
              <w:t>Total Knowledge Networks</w:t>
            </w:r>
          </w:p>
        </w:tc>
        <w:tc>
          <w:tcPr>
            <w:tcW w:w="76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551,240</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ind w:left="48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(315,061)</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236,179</w:t>
            </w:r>
          </w:p>
        </w:tc>
        <w:tc>
          <w:tcPr>
            <w:tcW w:w="100" w:type="dxa"/>
            <w:vAlign w:val="bottom"/>
            <w:tcBorders>
              <w:top w:val="single" w:sz="8" w:color="CCEEFF"/>
            </w:tcBorders>
          </w:tcPr>
          <w:p>
            <w:pPr>
              <w:spacing w:after="0"/>
              <w:rPr>
                <w:sz w:val="20"/>
                <w:szCs w:val="20"/>
                <w:color w:val="auto"/>
              </w:rPr>
            </w:pPr>
          </w:p>
        </w:tc>
        <w:tc>
          <w:tcPr>
            <w:tcW w:w="80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0.11%</w:t>
            </w:r>
          </w:p>
        </w:tc>
        <w:tc>
          <w:tcPr>
            <w:tcW w:w="0" w:type="dxa"/>
            <w:vAlign w:val="bottom"/>
          </w:tcPr>
          <w:p>
            <w:pPr>
              <w:spacing w:after="0"/>
              <w:rPr>
                <w:sz w:val="1"/>
                <w:szCs w:val="1"/>
                <w:color w:val="auto"/>
              </w:rPr>
            </w:pPr>
          </w:p>
        </w:tc>
      </w:tr>
      <w:tr>
        <w:trPr>
          <w:trHeight w:val="33"/>
        </w:trPr>
        <w:tc>
          <w:tcPr>
            <w:tcW w:w="2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i w:val="1"/>
                <w:iCs w:val="1"/>
                <w:color w:val="auto"/>
              </w:rPr>
              <w:t>Digital Media Platform</w:t>
            </w: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780" w:type="dxa"/>
            <w:vAlign w:val="bottom"/>
            <w:gridSpan w:val="2"/>
          </w:tcPr>
          <w:p>
            <w:pPr>
              <w:ind w:left="280"/>
              <w:spacing w:after="0"/>
              <w:rPr>
                <w:sz w:val="20"/>
                <w:szCs w:val="20"/>
                <w:color w:val="auto"/>
              </w:rPr>
            </w:pPr>
            <w:r>
              <w:rPr>
                <w:rFonts w:ascii="Arial" w:cs="Arial" w:eastAsia="Arial" w:hAnsi="Arial"/>
                <w:sz w:val="16"/>
                <w:szCs w:val="16"/>
                <w:color w:val="auto"/>
              </w:rPr>
              <w:t>OzyMedia, Inc.–Preferred shares,</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80" w:type="dxa"/>
            <w:vAlign w:val="bottom"/>
            <w:gridSpan w:val="2"/>
          </w:tcPr>
          <w:p>
            <w:pPr>
              <w:ind w:left="280"/>
              <w:spacing w:after="0"/>
              <w:rPr>
                <w:sz w:val="20"/>
                <w:szCs w:val="20"/>
                <w:color w:val="auto"/>
              </w:rPr>
            </w:pPr>
            <w:r>
              <w:rPr>
                <w:rFonts w:ascii="Arial" w:cs="Arial" w:eastAsia="Arial" w:hAnsi="Arial"/>
                <w:sz w:val="16"/>
                <w:szCs w:val="16"/>
                <w:color w:val="auto"/>
              </w:rPr>
              <w:t>Series B 6%</w:t>
            </w:r>
          </w:p>
        </w:tc>
        <w:tc>
          <w:tcPr>
            <w:tcW w:w="760" w:type="dxa"/>
            <w:vAlign w:val="bottom"/>
          </w:tcPr>
          <w:p>
            <w:pPr>
              <w:jc w:val="right"/>
              <w:spacing w:after="0"/>
              <w:rPr>
                <w:sz w:val="20"/>
                <w:szCs w:val="20"/>
                <w:color w:val="auto"/>
              </w:rPr>
            </w:pPr>
            <w:r>
              <w:rPr>
                <w:rFonts w:ascii="Arial" w:cs="Arial" w:eastAsia="Arial" w:hAnsi="Arial"/>
                <w:sz w:val="16"/>
                <w:szCs w:val="16"/>
                <w:color w:val="auto"/>
              </w:rPr>
              <w:t>922,509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w w:val="98"/>
              </w:rPr>
              <w:t>2,367,022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8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(2,367,022)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OzyMedia, Inc.–Preferred shares,</w:t>
            </w: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Series A 6%</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2"/>
              </w:rPr>
              <w:t>1,090,909</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8"/>
              </w:rPr>
              <w:t>1,419,810</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(1,419,810)</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2780" w:type="dxa"/>
            <w:vAlign w:val="bottom"/>
            <w:gridSpan w:val="2"/>
          </w:tcPr>
          <w:p>
            <w:pPr>
              <w:ind w:left="280"/>
              <w:spacing w:after="0"/>
              <w:rPr>
                <w:sz w:val="20"/>
                <w:szCs w:val="20"/>
                <w:color w:val="auto"/>
              </w:rPr>
            </w:pPr>
            <w:r>
              <w:rPr>
                <w:rFonts w:ascii="Arial" w:cs="Arial" w:eastAsia="Arial" w:hAnsi="Arial"/>
                <w:sz w:val="16"/>
                <w:szCs w:val="16"/>
                <w:color w:val="auto"/>
              </w:rPr>
              <w:t>OzyMedia, Inc.–Preferred shares,</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80" w:type="dxa"/>
            <w:vAlign w:val="bottom"/>
            <w:gridSpan w:val="2"/>
          </w:tcPr>
          <w:p>
            <w:pPr>
              <w:ind w:left="280"/>
              <w:spacing w:after="0"/>
              <w:rPr>
                <w:sz w:val="20"/>
                <w:szCs w:val="20"/>
                <w:color w:val="auto"/>
              </w:rPr>
            </w:pPr>
            <w:r>
              <w:rPr>
                <w:rFonts w:ascii="Arial" w:cs="Arial" w:eastAsia="Arial" w:hAnsi="Arial"/>
                <w:sz w:val="16"/>
                <w:szCs w:val="16"/>
                <w:color w:val="auto"/>
              </w:rPr>
              <w:t>Series Seed 6%</w:t>
            </w:r>
          </w:p>
        </w:tc>
        <w:tc>
          <w:tcPr>
            <w:tcW w:w="760" w:type="dxa"/>
            <w:vAlign w:val="bottom"/>
          </w:tcPr>
          <w:p>
            <w:pPr>
              <w:jc w:val="right"/>
              <w:spacing w:after="0"/>
              <w:rPr>
                <w:sz w:val="20"/>
                <w:szCs w:val="20"/>
                <w:color w:val="auto"/>
              </w:rPr>
            </w:pPr>
            <w:r>
              <w:rPr>
                <w:rFonts w:ascii="Arial" w:cs="Arial" w:eastAsia="Arial" w:hAnsi="Arial"/>
                <w:sz w:val="16"/>
                <w:szCs w:val="16"/>
                <w:color w:val="auto"/>
              </w:rPr>
              <w:t>500,000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236,635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8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(236,635)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i w:val="1"/>
                <w:iCs w:val="1"/>
                <w:color w:val="auto"/>
              </w:rPr>
              <w:t>Total Digital Media Platform</w:t>
            </w: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8"/>
              </w:rPr>
              <w:t>4,023,467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(4,023,467)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80" w:type="dxa"/>
            <w:vAlign w:val="bottom"/>
            <w:gridSpan w:val="2"/>
          </w:tcPr>
          <w:p>
            <w:pPr>
              <w:ind w:left="40"/>
              <w:spacing w:after="0"/>
              <w:rPr>
                <w:sz w:val="20"/>
                <w:szCs w:val="20"/>
                <w:color w:val="auto"/>
              </w:rPr>
            </w:pPr>
            <w:r>
              <w:rPr>
                <w:rFonts w:ascii="Arial" w:cs="Arial" w:eastAsia="Arial" w:hAnsi="Arial"/>
                <w:sz w:val="16"/>
                <w:szCs w:val="16"/>
                <w:b w:val="1"/>
                <w:bCs w:val="1"/>
                <w:color w:val="auto"/>
              </w:rPr>
              <w:t>Total Preferred Stock</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w w:val="98"/>
              </w:rPr>
              <w:t>7,508,975</w:t>
            </w:r>
          </w:p>
        </w:tc>
        <w:tc>
          <w:tcPr>
            <w:tcW w:w="120" w:type="dxa"/>
            <w:vAlign w:val="bottom"/>
          </w:tcPr>
          <w:p>
            <w:pPr>
              <w:spacing w:after="0"/>
              <w:rPr>
                <w:sz w:val="20"/>
                <w:szCs w:val="20"/>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88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(6,095,435)</w:t>
            </w:r>
          </w:p>
        </w:tc>
        <w:tc>
          <w:tcPr>
            <w:tcW w:w="120" w:type="dxa"/>
            <w:vAlign w:val="bottom"/>
          </w:tcPr>
          <w:p>
            <w:pPr>
              <w:spacing w:after="0"/>
              <w:rPr>
                <w:sz w:val="20"/>
                <w:szCs w:val="20"/>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w w:val="92"/>
              </w:rPr>
              <w:t>1,413,540</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0.66%</w:t>
            </w:r>
          </w:p>
        </w:tc>
        <w:tc>
          <w:tcPr>
            <w:tcW w:w="0" w:type="dxa"/>
            <w:vAlign w:val="bottom"/>
          </w:tcPr>
          <w:p>
            <w:pPr>
              <w:spacing w:after="0"/>
              <w:rPr>
                <w:sz w:val="1"/>
                <w:szCs w:val="1"/>
                <w:color w:val="auto"/>
              </w:rPr>
            </w:pPr>
          </w:p>
        </w:tc>
      </w:tr>
      <w:tr>
        <w:trPr>
          <w:trHeight w:val="33"/>
        </w:trPr>
        <w:tc>
          <w:tcPr>
            <w:tcW w:w="2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Warrants</w:t>
            </w: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780" w:type="dxa"/>
            <w:vAlign w:val="bottom"/>
            <w:gridSpan w:val="2"/>
          </w:tcPr>
          <w:p>
            <w:pPr>
              <w:ind w:left="180"/>
              <w:spacing w:after="0"/>
              <w:rPr>
                <w:sz w:val="20"/>
                <w:szCs w:val="20"/>
                <w:color w:val="auto"/>
              </w:rPr>
            </w:pPr>
            <w:r>
              <w:rPr>
                <w:rFonts w:ascii="Arial" w:cs="Arial" w:eastAsia="Arial" w:hAnsi="Arial"/>
                <w:sz w:val="16"/>
                <w:szCs w:val="16"/>
                <w:i w:val="1"/>
                <w:iCs w:val="1"/>
                <w:color w:val="auto"/>
              </w:rPr>
              <w:t>Corporate Education</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w w:val="99"/>
              </w:rPr>
              <w:t>CUX, Inc. (d/b/a CorpU) –Preferred</w:t>
            </w: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7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warrants, Series D, Strike Price</w:t>
            </w: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$4.59, Expiration Date</w:t>
            </w: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660" w:type="dxa"/>
            <w:vAlign w:val="bottom"/>
            <w:shd w:val="clear" w:color="auto" w:fill="CCEEFF"/>
          </w:tcPr>
          <w:p>
            <w:pPr>
              <w:ind w:left="280"/>
              <w:spacing w:after="0" w:line="239" w:lineRule="exact"/>
              <w:rPr>
                <w:sz w:val="20"/>
                <w:szCs w:val="20"/>
                <w:color w:val="auto"/>
              </w:rPr>
            </w:pPr>
            <w:r>
              <w:rPr>
                <w:rFonts w:ascii="Arial" w:cs="Arial" w:eastAsia="Arial" w:hAnsi="Arial"/>
                <w:sz w:val="16"/>
                <w:szCs w:val="16"/>
                <w:color w:val="auto"/>
              </w:rPr>
              <w:t>11/26/2018</w:t>
            </w:r>
            <w:r>
              <w:rPr>
                <w:rFonts w:ascii="Arial" w:cs="Arial" w:eastAsia="Arial" w:hAnsi="Arial"/>
                <w:sz w:val="21"/>
                <w:szCs w:val="21"/>
                <w:color w:val="auto"/>
                <w:vertAlign w:val="superscript"/>
              </w:rPr>
              <w:t>(5)</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16,903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2,366</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5,071</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7,437</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0.00%</w:t>
            </w:r>
          </w:p>
        </w:tc>
        <w:tc>
          <w:tcPr>
            <w:tcW w:w="0" w:type="dxa"/>
            <w:vAlign w:val="bottom"/>
          </w:tcPr>
          <w:p>
            <w:pPr>
              <w:spacing w:after="0"/>
              <w:rPr>
                <w:sz w:val="1"/>
                <w:szCs w:val="1"/>
                <w:color w:val="auto"/>
              </w:rPr>
            </w:pPr>
          </w:p>
        </w:tc>
      </w:tr>
      <w:tr>
        <w:trPr>
          <w:trHeight w:val="237"/>
        </w:trPr>
        <w:tc>
          <w:tcPr>
            <w:tcW w:w="2780" w:type="dxa"/>
            <w:vAlign w:val="bottom"/>
            <w:gridSpan w:val="2"/>
          </w:tcPr>
          <w:p>
            <w:pPr>
              <w:ind w:left="180"/>
              <w:spacing w:after="0"/>
              <w:rPr>
                <w:sz w:val="20"/>
                <w:szCs w:val="20"/>
                <w:color w:val="auto"/>
              </w:rPr>
            </w:pPr>
            <w:r>
              <w:rPr>
                <w:rFonts w:ascii="Arial" w:cs="Arial" w:eastAsia="Arial" w:hAnsi="Arial"/>
                <w:sz w:val="16"/>
                <w:szCs w:val="16"/>
                <w:i w:val="1"/>
                <w:iCs w:val="1"/>
                <w:color w:val="auto"/>
              </w:rPr>
              <w:t>Digital Media Platform</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27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w w:val="97"/>
              </w:rPr>
              <w:t>OzyMedia, Inc.–Common Warrants,</w:t>
            </w: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7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Strike Price $0.01, Expiration Date</w:t>
            </w: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660" w:type="dxa"/>
            <w:vAlign w:val="bottom"/>
            <w:shd w:val="clear" w:color="auto" w:fill="CCEEFF"/>
          </w:tcPr>
          <w:p>
            <w:pPr>
              <w:ind w:left="280"/>
              <w:spacing w:after="0" w:line="239" w:lineRule="exact"/>
              <w:rPr>
                <w:sz w:val="20"/>
                <w:szCs w:val="20"/>
                <w:color w:val="auto"/>
              </w:rPr>
            </w:pPr>
            <w:r>
              <w:rPr>
                <w:rFonts w:ascii="Arial" w:cs="Arial" w:eastAsia="Arial" w:hAnsi="Arial"/>
                <w:sz w:val="16"/>
                <w:szCs w:val="16"/>
                <w:color w:val="auto"/>
              </w:rPr>
              <w:t>4/9/2028</w:t>
            </w:r>
            <w:r>
              <w:rPr>
                <w:rFonts w:ascii="Arial" w:cs="Arial" w:eastAsia="Arial" w:hAnsi="Arial"/>
                <w:sz w:val="21"/>
                <w:szCs w:val="21"/>
                <w:color w:val="auto"/>
                <w:vertAlign w:val="superscript"/>
              </w:rPr>
              <w:t>(7)</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295,565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30,647</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(30,647)</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80" w:type="dxa"/>
            <w:vAlign w:val="bottom"/>
            <w:gridSpan w:val="2"/>
          </w:tcPr>
          <w:p>
            <w:pPr>
              <w:ind w:left="40"/>
              <w:spacing w:after="0"/>
              <w:rPr>
                <w:sz w:val="20"/>
                <w:szCs w:val="20"/>
                <w:color w:val="auto"/>
              </w:rPr>
            </w:pPr>
            <w:r>
              <w:rPr>
                <w:rFonts w:ascii="Arial" w:cs="Arial" w:eastAsia="Arial" w:hAnsi="Arial"/>
                <w:sz w:val="16"/>
                <w:szCs w:val="16"/>
                <w:b w:val="1"/>
                <w:bCs w:val="1"/>
                <w:color w:val="auto"/>
              </w:rPr>
              <w:t>Total Warrants</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2,366</w:t>
            </w:r>
          </w:p>
        </w:tc>
        <w:tc>
          <w:tcPr>
            <w:tcW w:w="120" w:type="dxa"/>
            <w:vAlign w:val="bottom"/>
          </w:tcPr>
          <w:p>
            <w:pPr>
              <w:spacing w:after="0"/>
              <w:rPr>
                <w:sz w:val="20"/>
                <w:szCs w:val="20"/>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30,647</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88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(25,576)</w:t>
            </w:r>
          </w:p>
        </w:tc>
        <w:tc>
          <w:tcPr>
            <w:tcW w:w="120" w:type="dxa"/>
            <w:vAlign w:val="bottom"/>
          </w:tcPr>
          <w:p>
            <w:pPr>
              <w:spacing w:after="0"/>
              <w:rPr>
                <w:sz w:val="20"/>
                <w:szCs w:val="20"/>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7,437</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0.00%</w:t>
            </w:r>
          </w:p>
        </w:tc>
        <w:tc>
          <w:tcPr>
            <w:tcW w:w="0" w:type="dxa"/>
            <w:vAlign w:val="bottom"/>
          </w:tcPr>
          <w:p>
            <w:pPr>
              <w:spacing w:after="0"/>
              <w:rPr>
                <w:sz w:val="1"/>
                <w:szCs w:val="1"/>
                <w:color w:val="auto"/>
              </w:rPr>
            </w:pPr>
          </w:p>
        </w:tc>
      </w:tr>
      <w:tr>
        <w:trPr>
          <w:trHeight w:val="33"/>
        </w:trPr>
        <w:tc>
          <w:tcPr>
            <w:tcW w:w="2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2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Common Stock</w:t>
            </w:r>
          </w:p>
        </w:tc>
        <w:tc>
          <w:tcPr>
            <w:tcW w:w="7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2780" w:type="dxa"/>
            <w:vAlign w:val="bottom"/>
            <w:gridSpan w:val="2"/>
          </w:tcPr>
          <w:p>
            <w:pPr>
              <w:ind w:left="180"/>
              <w:spacing w:after="0"/>
              <w:rPr>
                <w:sz w:val="20"/>
                <w:szCs w:val="20"/>
                <w:color w:val="auto"/>
              </w:rPr>
            </w:pPr>
            <w:r>
              <w:rPr>
                <w:rFonts w:ascii="Arial" w:cs="Arial" w:eastAsia="Arial" w:hAnsi="Arial"/>
                <w:sz w:val="16"/>
                <w:szCs w:val="16"/>
                <w:i w:val="1"/>
                <w:iCs w:val="1"/>
                <w:color w:val="auto"/>
              </w:rPr>
              <w:t>Online Education</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Curious.com, Inc.–Common</w:t>
            </w: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780" w:type="dxa"/>
            <w:vAlign w:val="bottom"/>
            <w:gridSpan w:val="2"/>
            <w:shd w:val="clear" w:color="auto" w:fill="CCEEFF"/>
          </w:tcPr>
          <w:p>
            <w:pPr>
              <w:ind w:left="280"/>
              <w:spacing w:after="0" w:line="239" w:lineRule="exact"/>
              <w:rPr>
                <w:sz w:val="20"/>
                <w:szCs w:val="20"/>
                <w:color w:val="auto"/>
              </w:rPr>
            </w:pPr>
            <w:r>
              <w:rPr>
                <w:rFonts w:ascii="Arial" w:cs="Arial" w:eastAsia="Arial" w:hAnsi="Arial"/>
                <w:sz w:val="16"/>
                <w:szCs w:val="16"/>
                <w:color w:val="auto"/>
              </w:rPr>
              <w:t>shares</w:t>
            </w:r>
            <w:r>
              <w:rPr>
                <w:rFonts w:ascii="Arial" w:cs="Arial" w:eastAsia="Arial" w:hAnsi="Arial"/>
                <w:sz w:val="21"/>
                <w:szCs w:val="21"/>
                <w:color w:val="auto"/>
                <w:vertAlign w:val="superscript"/>
              </w:rPr>
              <w:t>(11)</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1,135,944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98"/>
              </w:rPr>
              <w:t>5,514,077</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(5,514,077)</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80" w:type="dxa"/>
            <w:vAlign w:val="bottom"/>
            <w:gridSpan w:val="2"/>
          </w:tcPr>
          <w:p>
            <w:pPr>
              <w:ind w:left="40"/>
              <w:spacing w:after="0"/>
              <w:rPr>
                <w:sz w:val="20"/>
                <w:szCs w:val="20"/>
                <w:color w:val="auto"/>
              </w:rPr>
            </w:pPr>
            <w:r>
              <w:rPr>
                <w:rFonts w:ascii="Arial" w:cs="Arial" w:eastAsia="Arial" w:hAnsi="Arial"/>
                <w:sz w:val="16"/>
                <w:szCs w:val="16"/>
                <w:b w:val="1"/>
                <w:bCs w:val="1"/>
                <w:color w:val="auto"/>
              </w:rPr>
              <w:t>Total Common Stock</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w w:val="98"/>
              </w:rPr>
              <w:t>5,514,077</w:t>
            </w:r>
          </w:p>
        </w:tc>
        <w:tc>
          <w:tcPr>
            <w:tcW w:w="120" w:type="dxa"/>
            <w:vAlign w:val="bottom"/>
          </w:tcPr>
          <w:p>
            <w:pPr>
              <w:spacing w:after="0"/>
              <w:rPr>
                <w:sz w:val="20"/>
                <w:szCs w:val="20"/>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88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(5,514,077)</w:t>
            </w:r>
          </w:p>
        </w:tc>
        <w:tc>
          <w:tcPr>
            <w:tcW w:w="120" w:type="dxa"/>
            <w:vAlign w:val="bottom"/>
          </w:tcPr>
          <w:p>
            <w:pPr>
              <w:spacing w:after="0"/>
              <w:rPr>
                <w:sz w:val="20"/>
                <w:szCs w:val="20"/>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6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TOTAL NON-</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6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CONTROLLED/AFFILIATE</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66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b w:val="1"/>
                <w:bCs w:val="1"/>
                <w:color w:val="auto"/>
                <w:w w:val="93"/>
              </w:rPr>
              <w:t>521,685</w:t>
            </w:r>
          </w:p>
        </w:tc>
        <w:tc>
          <w:tcPr>
            <w:tcW w:w="120" w:type="dxa"/>
            <w:vAlign w:val="bottom"/>
            <w:shd w:val="clear" w:color="auto" w:fill="CCEEFF"/>
          </w:tcPr>
          <w:p>
            <w:pPr>
              <w:spacing w:after="0"/>
              <w:rPr>
                <w:sz w:val="17"/>
                <w:szCs w:val="17"/>
                <w:color w:val="auto"/>
              </w:rPr>
            </w:pP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5"/>
                <w:szCs w:val="15"/>
                <w:b w:val="1"/>
                <w:bCs w:val="1"/>
                <w:color w:val="auto"/>
                <w:w w:val="71"/>
              </w:rPr>
              <w:t>$</w:t>
            </w:r>
          </w:p>
        </w:tc>
        <w:tc>
          <w:tcPr>
            <w:tcW w:w="8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7"/>
              </w:rPr>
              <w:t>16,473,098</w:t>
            </w:r>
          </w:p>
        </w:tc>
        <w:tc>
          <w:tcPr>
            <w:tcW w:w="120" w:type="dxa"/>
            <w:vAlign w:val="bottom"/>
            <w:shd w:val="clear" w:color="auto" w:fill="CCEEFF"/>
          </w:tcPr>
          <w:p>
            <w:pPr>
              <w:spacing w:after="0"/>
              <w:rPr>
                <w:sz w:val="17"/>
                <w:szCs w:val="17"/>
                <w:color w:val="auto"/>
              </w:rPr>
            </w:pP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5"/>
                <w:szCs w:val="15"/>
                <w:b w:val="1"/>
                <w:bCs w:val="1"/>
                <w:color w:val="auto"/>
                <w:w w:val="71"/>
              </w:rPr>
              <w:t>$</w:t>
            </w:r>
          </w:p>
        </w:tc>
        <w:tc>
          <w:tcPr>
            <w:tcW w:w="78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471,192</w:t>
            </w:r>
          </w:p>
        </w:tc>
        <w:tc>
          <w:tcPr>
            <w:tcW w:w="120" w:type="dxa"/>
            <w:vAlign w:val="bottom"/>
            <w:shd w:val="clear" w:color="auto" w:fill="CCEEFF"/>
          </w:tcPr>
          <w:p>
            <w:pPr>
              <w:spacing w:after="0"/>
              <w:rPr>
                <w:sz w:val="17"/>
                <w:szCs w:val="17"/>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90"/>
              </w:rPr>
              <w:t>(130,647)</w:t>
            </w:r>
          </w:p>
        </w:tc>
        <w:tc>
          <w:tcPr>
            <w:tcW w:w="12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780" w:type="dxa"/>
            <w:vAlign w:val="bottom"/>
            <w:vMerge w:val="restart"/>
            <w:shd w:val="clear" w:color="auto" w:fill="CCEEFF"/>
          </w:tcPr>
          <w:p>
            <w:pPr>
              <w:ind w:left="480"/>
              <w:spacing w:after="0"/>
              <w:rPr>
                <w:sz w:val="20"/>
                <w:szCs w:val="20"/>
                <w:color w:val="auto"/>
              </w:rPr>
            </w:pPr>
            <w:r>
              <w:rPr>
                <w:rFonts w:ascii="Arial" w:cs="Arial" w:eastAsia="Arial" w:hAnsi="Arial"/>
                <w:sz w:val="16"/>
                <w:szCs w:val="16"/>
                <w:b w:val="1"/>
                <w:bCs w:val="1"/>
                <w:color w:val="auto"/>
              </w:rPr>
              <w:t>—</w:t>
            </w:r>
          </w:p>
        </w:tc>
        <w:tc>
          <w:tcPr>
            <w:tcW w:w="100" w:type="dxa"/>
            <w:vAlign w:val="bottom"/>
            <w:vMerge w:val="restart"/>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90"/>
              </w:rPr>
              <w:t>(10,979,378)</w:t>
            </w:r>
          </w:p>
        </w:tc>
        <w:tc>
          <w:tcPr>
            <w:tcW w:w="120" w:type="dxa"/>
            <w:vAlign w:val="bottom"/>
            <w:shd w:val="clear" w:color="auto" w:fill="CCEEFF"/>
          </w:tcPr>
          <w:p>
            <w:pPr>
              <w:spacing w:after="0"/>
              <w:rPr>
                <w:sz w:val="17"/>
                <w:szCs w:val="17"/>
                <w:color w:val="auto"/>
              </w:rPr>
            </w:pP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5"/>
                <w:szCs w:val="15"/>
                <w:b w:val="1"/>
                <w:bCs w:val="1"/>
                <w:color w:val="auto"/>
                <w:w w:val="71"/>
              </w:rPr>
              <w:t>$</w:t>
            </w:r>
          </w:p>
        </w:tc>
        <w:tc>
          <w:tcPr>
            <w:tcW w:w="78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b w:val="1"/>
                <w:bCs w:val="1"/>
                <w:color w:val="auto"/>
                <w:w w:val="92"/>
              </w:rPr>
              <w:t>5,834,265</w:t>
            </w:r>
          </w:p>
        </w:tc>
        <w:tc>
          <w:tcPr>
            <w:tcW w:w="10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2.73%</w:t>
            </w:r>
          </w:p>
        </w:tc>
        <w:tc>
          <w:tcPr>
            <w:tcW w:w="0" w:type="dxa"/>
            <w:vAlign w:val="bottom"/>
          </w:tcPr>
          <w:p>
            <w:pPr>
              <w:spacing w:after="0"/>
              <w:rPr>
                <w:sz w:val="1"/>
                <w:szCs w:val="1"/>
                <w:color w:val="auto"/>
              </w:rPr>
            </w:pPr>
          </w:p>
        </w:tc>
      </w:tr>
      <w:tr>
        <w:trPr>
          <w:trHeight w:val="270"/>
        </w:trPr>
        <w:tc>
          <w:tcPr>
            <w:tcW w:w="2660" w:type="dxa"/>
            <w:vAlign w:val="bottom"/>
            <w:tcBorders>
              <w:bottom w:val="single" w:sz="8" w:color="CCEEFF"/>
            </w:tcBorders>
            <w:shd w:val="clear" w:color="auto" w:fill="CCEEFF"/>
          </w:tcPr>
          <w:p>
            <w:pPr>
              <w:ind w:left="40"/>
              <w:spacing w:after="0" w:line="230" w:lineRule="exact"/>
              <w:rPr>
                <w:sz w:val="20"/>
                <w:szCs w:val="20"/>
                <w:color w:val="auto"/>
              </w:rPr>
            </w:pPr>
            <w:r>
              <w:rPr>
                <w:rFonts w:ascii="Arial" w:cs="Arial" w:eastAsia="Arial" w:hAnsi="Arial"/>
                <w:sz w:val="16"/>
                <w:szCs w:val="16"/>
                <w:b w:val="1"/>
                <w:bCs w:val="1"/>
                <w:color w:val="auto"/>
              </w:rPr>
              <w:t>INVESTMENTS*</w:t>
            </w:r>
            <w:r>
              <w:rPr>
                <w:rFonts w:ascii="Arial" w:cs="Arial" w:eastAsia="Arial" w:hAnsi="Arial"/>
                <w:sz w:val="21"/>
                <w:szCs w:val="21"/>
                <w:b w:val="1"/>
                <w:bCs w:val="1"/>
                <w:color w:val="auto"/>
                <w:vertAlign w:val="superscript"/>
              </w:rPr>
              <w:t>(1)</w:t>
            </w: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vMerge w:val="continue"/>
            <w:shd w:val="clear" w:color="auto" w:fill="CCEEFF"/>
          </w:tcPr>
          <w:p>
            <w:pPr>
              <w:spacing w:after="0"/>
              <w:rPr>
                <w:sz w:val="23"/>
                <w:szCs w:val="23"/>
                <w:color w:val="auto"/>
              </w:rPr>
            </w:pPr>
          </w:p>
        </w:tc>
        <w:tc>
          <w:tcPr>
            <w:tcW w:w="660" w:type="dxa"/>
            <w:vAlign w:val="bottom"/>
            <w:tcBorders>
              <w:bottom w:val="single" w:sz="8" w:color="auto"/>
            </w:tcBorders>
            <w:vMerge w:val="continue"/>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vMerge w:val="continue"/>
            <w:shd w:val="clear" w:color="auto" w:fill="CCEEFF"/>
          </w:tcPr>
          <w:p>
            <w:pPr>
              <w:spacing w:after="0"/>
              <w:rPr>
                <w:sz w:val="23"/>
                <w:szCs w:val="23"/>
                <w:color w:val="auto"/>
              </w:rPr>
            </w:pPr>
          </w:p>
        </w:tc>
        <w:tc>
          <w:tcPr>
            <w:tcW w:w="820" w:type="dxa"/>
            <w:vAlign w:val="bottom"/>
            <w:tcBorders>
              <w:bottom w:val="single" w:sz="8" w:color="auto"/>
            </w:tcBorders>
            <w:vMerge w:val="continue"/>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vMerge w:val="continue"/>
            <w:shd w:val="clear" w:color="auto" w:fill="CCEEFF"/>
          </w:tcPr>
          <w:p>
            <w:pPr>
              <w:spacing w:after="0"/>
              <w:rPr>
                <w:sz w:val="23"/>
                <w:szCs w:val="23"/>
                <w:color w:val="auto"/>
              </w:rPr>
            </w:pPr>
          </w:p>
        </w:tc>
        <w:tc>
          <w:tcPr>
            <w:tcW w:w="780" w:type="dxa"/>
            <w:vAlign w:val="bottom"/>
            <w:tcBorders>
              <w:bottom w:val="single" w:sz="8" w:color="auto"/>
            </w:tcBorders>
            <w:vMerge w:val="continue"/>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vMerge w:val="continue"/>
            <w:shd w:val="clear" w:color="auto" w:fill="CCEEFF"/>
          </w:tcPr>
          <w:p>
            <w:pPr>
              <w:spacing w:after="0"/>
              <w:rPr>
                <w:sz w:val="23"/>
                <w:szCs w:val="23"/>
                <w:color w:val="auto"/>
              </w:rPr>
            </w:pPr>
          </w:p>
        </w:tc>
        <w:tc>
          <w:tcPr>
            <w:tcW w:w="680" w:type="dxa"/>
            <w:vAlign w:val="bottom"/>
            <w:tcBorders>
              <w:bottom w:val="single" w:sz="8" w:color="auto"/>
            </w:tcBorders>
            <w:vMerge w:val="continue"/>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vMerge w:val="continue"/>
            <w:shd w:val="clear" w:color="auto" w:fill="CCEEFF"/>
          </w:tcPr>
          <w:p>
            <w:pPr>
              <w:spacing w:after="0"/>
              <w:rPr>
                <w:sz w:val="23"/>
                <w:szCs w:val="23"/>
                <w:color w:val="auto"/>
              </w:rPr>
            </w:pPr>
          </w:p>
        </w:tc>
        <w:tc>
          <w:tcPr>
            <w:tcW w:w="780" w:type="dxa"/>
            <w:vAlign w:val="bottom"/>
            <w:tcBorders>
              <w:bottom w:val="single" w:sz="8" w:color="auto"/>
            </w:tcBorders>
            <w:vMerge w:val="continue"/>
            <w:shd w:val="clear" w:color="auto" w:fill="CCEEFF"/>
          </w:tcPr>
          <w:p>
            <w:pPr>
              <w:spacing w:after="0"/>
              <w:rPr>
                <w:sz w:val="23"/>
                <w:szCs w:val="23"/>
                <w:color w:val="auto"/>
              </w:rPr>
            </w:pPr>
          </w:p>
        </w:tc>
        <w:tc>
          <w:tcPr>
            <w:tcW w:w="100" w:type="dxa"/>
            <w:vAlign w:val="bottom"/>
            <w:tcBorders>
              <w:bottom w:val="single" w:sz="8" w:color="CCEEFF"/>
            </w:tcBorders>
            <w:vMerge w:val="continue"/>
            <w:shd w:val="clear" w:color="auto" w:fill="CCEEFF"/>
          </w:tcPr>
          <w:p>
            <w:pPr>
              <w:spacing w:after="0"/>
              <w:rPr>
                <w:sz w:val="23"/>
                <w:szCs w:val="23"/>
                <w:color w:val="auto"/>
              </w:rPr>
            </w:pPr>
          </w:p>
        </w:tc>
        <w:tc>
          <w:tcPr>
            <w:tcW w:w="120" w:type="dxa"/>
            <w:vAlign w:val="bottom"/>
            <w:tcBorders>
              <w:bottom w:val="single" w:sz="8" w:color="auto"/>
            </w:tcBorders>
            <w:vMerge w:val="continue"/>
            <w:shd w:val="clear" w:color="auto" w:fill="CCEEFF"/>
          </w:tcPr>
          <w:p>
            <w:pPr>
              <w:spacing w:after="0"/>
              <w:rPr>
                <w:sz w:val="23"/>
                <w:szCs w:val="23"/>
                <w:color w:val="auto"/>
              </w:rPr>
            </w:pPr>
          </w:p>
        </w:tc>
        <w:tc>
          <w:tcPr>
            <w:tcW w:w="880" w:type="dxa"/>
            <w:vAlign w:val="bottom"/>
            <w:tcBorders>
              <w:bottom w:val="single" w:sz="8" w:color="auto"/>
            </w:tcBorders>
            <w:vMerge w:val="continue"/>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vMerge w:val="continue"/>
            <w:shd w:val="clear" w:color="auto" w:fill="CCEEFF"/>
          </w:tcPr>
          <w:p>
            <w:pPr>
              <w:spacing w:after="0"/>
              <w:rPr>
                <w:sz w:val="23"/>
                <w:szCs w:val="23"/>
                <w:color w:val="auto"/>
              </w:rPr>
            </w:pPr>
          </w:p>
        </w:tc>
        <w:tc>
          <w:tcPr>
            <w:tcW w:w="780" w:type="dxa"/>
            <w:vAlign w:val="bottom"/>
            <w:tcBorders>
              <w:bottom w:val="single" w:sz="8" w:color="auto"/>
            </w:tcBorders>
            <w:vMerge w:val="continue"/>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auto"/>
            </w:tcBorders>
            <w:vMerge w:val="continue"/>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-1868805</wp:posOffset>
            </wp:positionV>
            <wp:extent cx="168973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689735" cy="8890"/>
                    </a:xfrm>
                    <a:prstGeom prst="rect">
                      <a:avLst/>
                    </a:prstGeom>
                    <a:noFill/>
                  </pic:spPr>
                </pic:pic>
              </a:graphicData>
            </a:graphic>
          </wp:anchor>
        </w:drawing>
        <w:drawing>
          <wp:anchor simplePos="0" relativeHeight="251657728" behindDoc="1" locked="0" layoutInCell="0" allowOverlap="1">
            <wp:simplePos x="0" y="0"/>
            <wp:positionH relativeFrom="column">
              <wp:posOffset>6677025</wp:posOffset>
            </wp:positionH>
            <wp:positionV relativeFrom="paragraph">
              <wp:posOffset>-3292475</wp:posOffset>
            </wp:positionV>
            <wp:extent cx="57467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74675" cy="8890"/>
                    </a:xfrm>
                    <a:prstGeom prst="rect">
                      <a:avLst/>
                    </a:prstGeom>
                    <a:noFill/>
                  </pic:spPr>
                </pic:pic>
              </a:graphicData>
            </a:graphic>
          </wp:anchor>
        </w:drawing>
        <w:drawing>
          <wp:anchor simplePos="0" relativeHeight="251657728" behindDoc="1" locked="0" layoutInCell="0" allowOverlap="1">
            <wp:simplePos x="0" y="0"/>
            <wp:positionH relativeFrom="column">
              <wp:posOffset>5347970</wp:posOffset>
            </wp:positionH>
            <wp:positionV relativeFrom="paragraph">
              <wp:posOffset>-3292475</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4678680</wp:posOffset>
            </wp:positionH>
            <wp:positionV relativeFrom="paragraph">
              <wp:posOffset>-3292475</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1763395</wp:posOffset>
            </wp:positionH>
            <wp:positionV relativeFrom="paragraph">
              <wp:posOffset>-3292475</wp:posOffset>
            </wp:positionV>
            <wp:extent cx="54864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48640" cy="8890"/>
                    </a:xfrm>
                    <a:prstGeom prst="rect">
                      <a:avLst/>
                    </a:prstGeom>
                    <a:noFill/>
                  </pic:spPr>
                </pic:pic>
              </a:graphicData>
            </a:graphic>
          </wp:anchor>
        </w:drawing>
        <w:drawing>
          <wp:anchor simplePos="0" relativeHeight="251657728" behindDoc="1" locked="0" layoutInCell="0" allowOverlap="1">
            <wp:simplePos x="0" y="0"/>
            <wp:positionH relativeFrom="column">
              <wp:posOffset>4104640</wp:posOffset>
            </wp:positionH>
            <wp:positionV relativeFrom="paragraph">
              <wp:posOffset>-6216650</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2" w:right="23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2018</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____________________</w:t>
      </w:r>
    </w:p>
    <w:p>
      <w:pPr>
        <w:spacing w:after="0" w:line="27" w:lineRule="exact"/>
        <w:rPr>
          <w:sz w:val="20"/>
          <w:szCs w:val="20"/>
          <w:color w:val="auto"/>
        </w:rPr>
      </w:pPr>
    </w:p>
    <w:p>
      <w:pPr>
        <w:ind w:left="340" w:right="100" w:hanging="332"/>
        <w:spacing w:after="0" w:line="271" w:lineRule="auto"/>
        <w:tabs>
          <w:tab w:leader="none" w:pos="3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All portfolio investments are non-income-producing, unless otherwise identified. Equity investments are subject to lock-up restrictions upon their IPO. Preferred dividends are generally only payable when declared and paid by the portfolio company's board of directors. Unless otherwise noted, all investments were pledged as collateral under the Credit Facility. The Company’s and GSV Asset Management’s officers and staff, as applicable, may serve on the board of directors of the Company’s portfolio investments. (Refer to “Note 3—Related-Party Arrangements”). All portfolio investments are considered Level 3 and valued using significant unobservable inputs, unless otherwise noted. (Refer to “Note 4—Investments at Fair Value”). All portfolio investments are considered Level 3 and valued using unobservable inputs, unless otherwise noted. All of the Company's portfolio investments are restricted as to resale, unless otherwise noted, and were valued at fair value as determined in good faith by the Company’s board of directors. (Refer to "Note 2—Significant Accounting Policies—</w:t>
      </w:r>
      <w:r>
        <w:rPr>
          <w:rFonts w:ascii="Arial" w:cs="Arial" w:eastAsia="Arial" w:hAnsi="Arial"/>
          <w:sz w:val="17"/>
          <w:szCs w:val="17"/>
          <w:i w:val="1"/>
          <w:iCs w:val="1"/>
          <w:color w:val="auto"/>
        </w:rPr>
        <w:t>Investments at Fair Value</w:t>
      </w:r>
      <w:r>
        <w:rPr>
          <w:rFonts w:ascii="Arial" w:cs="Arial" w:eastAsia="Arial" w:hAnsi="Arial"/>
          <w:sz w:val="17"/>
          <w:szCs w:val="17"/>
          <w:color w:val="auto"/>
        </w:rPr>
        <w:t>").</w:t>
      </w:r>
    </w:p>
    <w:p>
      <w:pPr>
        <w:spacing w:after="0" w:line="219"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Indicates assets that GSV Capital Corp. believes do not represent “qualifying assets” under Section 55(a) of the 1940 Act.</w:t>
      </w:r>
    </w:p>
    <w:p>
      <w:pPr>
        <w:spacing w:after="0" w:line="265" w:lineRule="exact"/>
        <w:rPr>
          <w:rFonts w:ascii="Arial" w:cs="Arial" w:eastAsia="Arial" w:hAnsi="Arial"/>
          <w:sz w:val="18"/>
          <w:szCs w:val="18"/>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Investment is income-producing.</w:t>
      </w:r>
    </w:p>
    <w:p>
      <w:pPr>
        <w:spacing w:after="0" w:line="266" w:lineRule="exact"/>
        <w:rPr>
          <w:sz w:val="20"/>
          <w:szCs w:val="20"/>
          <w:color w:val="auto"/>
        </w:rPr>
      </w:pPr>
    </w:p>
    <w:p>
      <w:pPr>
        <w:ind w:left="500" w:right="40" w:hanging="492"/>
        <w:spacing w:after="0" w:line="264" w:lineRule="auto"/>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“Affiliate Investments” are investments in those companies that are “Affiliated Companies” of GSV Capital Corp., as defined in the 1940 Act. In general, a company is deemed to be an “Affiliate” of GSV Capital Corp. if GSV Capital Corp. owns 5% or more of the voting securities (</w:t>
      </w:r>
      <w:r>
        <w:rPr>
          <w:rFonts w:ascii="Arial" w:cs="Arial" w:eastAsia="Arial" w:hAnsi="Arial"/>
          <w:sz w:val="18"/>
          <w:szCs w:val="18"/>
          <w:i w:val="1"/>
          <w:iCs w:val="1"/>
          <w:color w:val="auto"/>
        </w:rPr>
        <w:t>i.e.</w:t>
      </w:r>
      <w:r>
        <w:rPr>
          <w:rFonts w:ascii="Arial" w:cs="Arial" w:eastAsia="Arial" w:hAnsi="Arial"/>
          <w:sz w:val="18"/>
          <w:szCs w:val="18"/>
          <w:color w:val="auto"/>
        </w:rPr>
        <w:t>, securities with the right to elect directors) of such company.</w:t>
      </w:r>
    </w:p>
    <w:p>
      <w:pPr>
        <w:spacing w:after="0" w:line="221" w:lineRule="exact"/>
        <w:rPr>
          <w:rFonts w:ascii="Arial" w:cs="Arial" w:eastAsia="Arial" w:hAnsi="Arial"/>
          <w:sz w:val="18"/>
          <w:szCs w:val="18"/>
          <w:color w:val="auto"/>
        </w:rPr>
      </w:pPr>
    </w:p>
    <w:p>
      <w:pPr>
        <w:ind w:left="500" w:right="240" w:hanging="492"/>
        <w:spacing w:after="0" w:line="259" w:lineRule="auto"/>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“Control Investments” are investments in those companies that are “Controlled Companies” of GSV Capital Corp., as defined in the 1940 Act. In general, under the 1940 Act, the Company would “Control” a portfolio company if the Company owned more than 25% of its outstanding voting securities (i.e., securities with the right to elect directors) and/or had the power to exercise control over the management or policies of such portfolio company.</w:t>
      </w:r>
    </w:p>
    <w:p>
      <w:pPr>
        <w:spacing w:after="0" w:line="186" w:lineRule="exact"/>
        <w:rPr>
          <w:rFonts w:ascii="Arial" w:cs="Arial" w:eastAsia="Arial" w:hAnsi="Arial"/>
          <w:sz w:val="18"/>
          <w:szCs w:val="18"/>
          <w:color w:val="auto"/>
        </w:rPr>
      </w:pPr>
    </w:p>
    <w:p>
      <w:pPr>
        <w:ind w:left="500" w:hanging="492"/>
        <w:spacing w:after="0"/>
        <w:tabs>
          <w:tab w:leader="none" w:pos="5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GSV Capital Corp.’s investments in StormWind, LLC are held through GSV Capital Corp.'s wholly owned subsidiary, GSVC SW Holdings, Inc.</w:t>
      </w:r>
    </w:p>
    <w:p>
      <w:pPr>
        <w:spacing w:after="0" w:line="277" w:lineRule="exact"/>
        <w:rPr>
          <w:rFonts w:ascii="Arial" w:cs="Arial" w:eastAsia="Arial" w:hAnsi="Arial"/>
          <w:sz w:val="17"/>
          <w:szCs w:val="17"/>
          <w:color w:val="auto"/>
        </w:rPr>
      </w:pPr>
    </w:p>
    <w:p>
      <w:pPr>
        <w:ind w:left="500" w:hanging="492"/>
        <w:spacing w:after="0" w:line="257" w:lineRule="auto"/>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Interest will accrue daily on the unpaid principal balance of the note. Interest began compounding annually on November 26, 2015. Accrued interest is not payable until the earlier of (a) the closing of a subsequent equity offering by CUX, Inc. (d/b/a CorpU), or (b) the maturity of the note. Subsequent to period end, GSV Capital Corp. agreed to extend the maturity of the Senior Subordinated Convertible Promissory Note to CUX, Inc. (d/b/a CorpU) until February 14, 2020, with a new interest rate of 10%. Accrued interest will continue to be compounded annually on November 26 of the current and each subsequent year until repaid.</w:t>
      </w:r>
    </w:p>
    <w:p>
      <w:pPr>
        <w:spacing w:after="0" w:line="188" w:lineRule="exact"/>
        <w:rPr>
          <w:rFonts w:ascii="Arial" w:cs="Arial" w:eastAsia="Arial" w:hAnsi="Arial"/>
          <w:sz w:val="18"/>
          <w:szCs w:val="18"/>
          <w:color w:val="auto"/>
        </w:rPr>
      </w:pPr>
    </w:p>
    <w:p>
      <w:pPr>
        <w:ind w:left="500" w:right="140" w:hanging="492"/>
        <w:spacing w:after="0" w:line="279" w:lineRule="auto"/>
        <w:tabs>
          <w:tab w:leader="none" w:pos="5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On February 23, 2018, CUX, Inc. (d/b/a CorpU) agreed to extend the maturity of the GSV Capital Corp.'s Series D warrants until August 1, 2018. On July 31, 2018, CUX, Inc. (d/b/a CorpU) agreed to further extend the maturity of GSV Capital Corp.'s Series D warrants until November 26, 2018. Subsequent to period end and in connection with the extension of the maturity date on the related debt investment, CUX, Inc. (d/b/a CorpU) agreed to further extend the maturity of GSV Capital Corp's Series D warrants until February 14, 2020.</w:t>
      </w:r>
    </w:p>
    <w:p>
      <w:pPr>
        <w:spacing w:after="0" w:line="211" w:lineRule="exact"/>
        <w:rPr>
          <w:rFonts w:ascii="Arial" w:cs="Arial" w:eastAsia="Arial" w:hAnsi="Arial"/>
          <w:sz w:val="17"/>
          <w:szCs w:val="17"/>
          <w:color w:val="auto"/>
        </w:rPr>
      </w:pPr>
    </w:p>
    <w:p>
      <w:pPr>
        <w:ind w:left="500" w:right="80" w:hanging="492"/>
        <w:spacing w:after="0" w:line="259" w:lineRule="auto"/>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maturity date of the convertible promissory note to Declara, Inc. was extended an additional three months to April 30, 2018. On January 31, 2018 the interest rate on the convertible promissory note increased to 12% per annum (including 365 days for the purposes of accrual). On January 31, 2018 the convertible promissory note to Declara Inc. was placed on non-accrual status. On April 30, 2018, the Company deemed this investment to be in default based on Declara Inc.'s financial position.</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2" w:right="23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2018</w:t>
      </w:r>
    </w:p>
    <w:p>
      <w:pPr>
        <w:spacing w:after="0" w:line="200" w:lineRule="exact"/>
        <w:rPr>
          <w:sz w:val="20"/>
          <w:szCs w:val="20"/>
          <w:color w:val="auto"/>
        </w:rPr>
      </w:pPr>
    </w:p>
    <w:p>
      <w:pPr>
        <w:spacing w:after="0" w:line="294" w:lineRule="exact"/>
        <w:rPr>
          <w:sz w:val="20"/>
          <w:szCs w:val="20"/>
          <w:color w:val="auto"/>
        </w:rPr>
      </w:pPr>
    </w:p>
    <w:p>
      <w:pPr>
        <w:ind w:left="500" w:right="100" w:hanging="492"/>
        <w:spacing w:after="0" w:line="276" w:lineRule="auto"/>
        <w:tabs>
          <w:tab w:leader="none" w:pos="5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Effective April 9, 2018, the term of Ozy Media Inc.'s notes were extended through the issuance of a new convertible promissory note, which extended the maturity date of the existing notes to October 31, 2018, or December 31, 2018 if certain conditions are satisfied. Effective August 17, 2018, Ozy Media Inc. executed an additional debt amendment, which expanded its borrowing limit. In consideration for amending and restating the existing notes, the Company was issued warrants exercisable for 295,565 shares of Ozy Media Inc.'s common stock. Subsequent to period-end, Ozy Media Inc.'s obligations under its financing arrangements with the Company became past due.</w:t>
      </w:r>
    </w:p>
    <w:p>
      <w:pPr>
        <w:spacing w:after="0" w:line="172" w:lineRule="exact"/>
        <w:rPr>
          <w:rFonts w:ascii="Arial" w:cs="Arial" w:eastAsia="Arial" w:hAnsi="Arial"/>
          <w:sz w:val="17"/>
          <w:szCs w:val="17"/>
          <w:color w:val="auto"/>
        </w:rPr>
      </w:pPr>
    </w:p>
    <w:p>
      <w:pPr>
        <w:ind w:left="500" w:hanging="492"/>
        <w:spacing w:after="0"/>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On January 12, 2018, the unsecured promissory note to NestGSV, Inc. (d/b/a GSV Labs, Inc.) was repaid, with interest.</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As of September 30, 2018, the investments noted had been placed on non-accrual status.</w:t>
      </w:r>
    </w:p>
    <w:p>
      <w:pPr>
        <w:spacing w:after="0" w:line="225"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Effective July 31, 2018, GSV Capital Corp. agreed to extend the Convertible Promissory Note to NestGSV, Inc. (d/b/a GSV Labs, Inc.) until December 31, 2018, with a new interest rate of 12%. Previously accrued interest will be capitalized into the principal of the new note.</w:t>
      </w:r>
    </w:p>
    <w:p>
      <w:pPr>
        <w:spacing w:after="0" w:line="146" w:lineRule="exact"/>
        <w:rPr>
          <w:rFonts w:ascii="Arial" w:cs="Arial" w:eastAsia="Arial" w:hAnsi="Arial"/>
          <w:sz w:val="17"/>
          <w:szCs w:val="17"/>
          <w:color w:val="auto"/>
        </w:rPr>
      </w:pPr>
    </w:p>
    <w:p>
      <w:pPr>
        <w:ind w:left="500" w:right="320" w:hanging="492"/>
        <w:spacing w:after="0" w:line="264" w:lineRule="auto"/>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On June 8, 2018, Curious.com, Inc. completed a recapitalization and issued new Series C preferred shares. In connection with the offering, GSV Capital Corp.'s 3,407,834 Series B preferred shares were converted into common shares. Additionally, a 1:3 reverse stock split was declared on the now common shares.</w:t>
      </w:r>
    </w:p>
    <w:p>
      <w:pPr>
        <w:spacing w:after="0" w:line="181" w:lineRule="exact"/>
        <w:rPr>
          <w:rFonts w:ascii="Arial" w:cs="Arial" w:eastAsia="Arial" w:hAnsi="Arial"/>
          <w:sz w:val="18"/>
          <w:szCs w:val="18"/>
          <w:color w:val="auto"/>
        </w:rPr>
      </w:pPr>
    </w:p>
    <w:p>
      <w:pPr>
        <w:ind w:left="500" w:hanging="492"/>
        <w:spacing w:after="0" w:line="259" w:lineRule="auto"/>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SPBRX, INC. (f/k/a GSV Sustainability Partners, Inc.) preferred shares held by GSV Capital Corp. do not entitle GSV Capital Corp. to a preferred dividend rate. During the nine months ended September 30, 2018, SPBRX, INC. declared, and GSV Capital Corp. received, an aggregate of $350,000 in cash distributions. GSV Capital Corp. does not anticipate that SPBRX, INC. will pay distributions on a quarterly or regular basis or become a predictable distributor of distributions.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122" w:right="259"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2018</w:t>
      </w:r>
    </w:p>
    <w:p>
      <w:pPr>
        <w:spacing w:after="0" w:line="200" w:lineRule="exact"/>
        <w:rPr>
          <w:sz w:val="20"/>
          <w:szCs w:val="20"/>
          <w:color w:val="auto"/>
        </w:rPr>
      </w:pPr>
    </w:p>
    <w:p>
      <w:pPr>
        <w:spacing w:after="0" w:line="254" w:lineRule="exact"/>
        <w:rPr>
          <w:sz w:val="20"/>
          <w:szCs w:val="20"/>
          <w:color w:val="auto"/>
        </w:rPr>
      </w:pPr>
    </w:p>
    <w:p>
      <w:pPr>
        <w:ind w:right="20" w:firstLine="351"/>
        <w:spacing w:after="0" w:line="277" w:lineRule="auto"/>
        <w:rPr>
          <w:sz w:val="20"/>
          <w:szCs w:val="20"/>
          <w:color w:val="auto"/>
        </w:rPr>
      </w:pPr>
      <w:r>
        <w:rPr>
          <w:rFonts w:ascii="Arial" w:cs="Arial" w:eastAsia="Arial" w:hAnsi="Arial"/>
          <w:sz w:val="18"/>
          <w:szCs w:val="18"/>
          <w:color w:val="auto"/>
        </w:rPr>
        <w:t>Transactions during the year ended December 31, 2017 involving the Company’s controlled investments and non-controlled/affiliate investments were as follows: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Schedule of Investments In, and Advances to, Affiliates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Interest,</w:t>
            </w:r>
          </w:p>
        </w:tc>
        <w:tc>
          <w:tcPr>
            <w:tcW w:w="10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Fair Value at</w:t>
            </w:r>
          </w:p>
        </w:tc>
        <w:tc>
          <w:tcPr>
            <w:tcW w:w="10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Purchases,</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8"/>
              </w:rPr>
              <w:t>Fair Value at</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Fees, or</w:t>
            </w:r>
          </w:p>
        </w:tc>
        <w:tc>
          <w:tcPr>
            <w:tcW w:w="1000" w:type="dxa"/>
            <w:vAlign w:val="bottom"/>
            <w:gridSpan w:val="3"/>
            <w:vMerge w:val="continue"/>
          </w:tcPr>
          <w:p>
            <w:pPr>
              <w:spacing w:after="0"/>
              <w:rPr>
                <w:sz w:val="12"/>
                <w:szCs w:val="12"/>
                <w:color w:val="auto"/>
              </w:rPr>
            </w:pPr>
          </w:p>
        </w:tc>
        <w:tc>
          <w:tcPr>
            <w:tcW w:w="10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Capitalized</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Percentage</w:t>
            </w:r>
          </w:p>
        </w:tc>
        <w:tc>
          <w:tcPr>
            <w:tcW w:w="0" w:type="dxa"/>
            <w:vAlign w:val="bottom"/>
          </w:tcPr>
          <w:p>
            <w:pPr>
              <w:spacing w:after="0"/>
              <w:rPr>
                <w:sz w:val="1"/>
                <w:szCs w:val="1"/>
                <w:color w:val="auto"/>
              </w:rPr>
            </w:pPr>
          </w:p>
        </w:tc>
      </w:tr>
      <w:tr>
        <w:trPr>
          <w:trHeight w:val="149"/>
        </w:trPr>
        <w:tc>
          <w:tcPr>
            <w:tcW w:w="280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Type/Industry/Portfolio</w:t>
            </w:r>
          </w:p>
        </w:tc>
        <w:tc>
          <w:tcPr>
            <w:tcW w:w="120" w:type="dxa"/>
            <w:vAlign w:val="bottom"/>
          </w:tcPr>
          <w:p>
            <w:pPr>
              <w:spacing w:after="0"/>
              <w:rPr>
                <w:sz w:val="12"/>
                <w:szCs w:val="12"/>
                <w:color w:val="auto"/>
              </w:rPr>
            </w:pPr>
          </w:p>
        </w:tc>
        <w:tc>
          <w:tcPr>
            <w:tcW w:w="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Principal/</w:t>
            </w:r>
          </w:p>
        </w:tc>
        <w:tc>
          <w:tcPr>
            <w:tcW w:w="9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Dividends</w:t>
            </w:r>
          </w:p>
        </w:tc>
        <w:tc>
          <w:tcPr>
            <w:tcW w:w="12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December</w:t>
            </w:r>
          </w:p>
        </w:tc>
        <w:tc>
          <w:tcPr>
            <w:tcW w:w="10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Fees,</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Realized</w:t>
            </w:r>
          </w:p>
        </w:tc>
        <w:tc>
          <w:tcPr>
            <w:tcW w:w="100" w:type="dxa"/>
            <w:vAlign w:val="bottom"/>
          </w:tcPr>
          <w:p>
            <w:pPr>
              <w:spacing w:after="0"/>
              <w:rPr>
                <w:sz w:val="12"/>
                <w:szCs w:val="12"/>
                <w:color w:val="auto"/>
              </w:rPr>
            </w:pPr>
          </w:p>
        </w:tc>
        <w:tc>
          <w:tcPr>
            <w:tcW w:w="9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2"/>
                <w:szCs w:val="12"/>
                <w:color w:val="auto"/>
              </w:rPr>
            </w:pPr>
          </w:p>
        </w:tc>
        <w:tc>
          <w:tcPr>
            <w:tcW w:w="76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1"/>
              </w:rPr>
              <w:t>December</w:t>
            </w:r>
          </w:p>
        </w:tc>
        <w:tc>
          <w:tcPr>
            <w:tcW w:w="1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Credited</w:t>
            </w:r>
          </w:p>
        </w:tc>
        <w:tc>
          <w:tcPr>
            <w:tcW w:w="120" w:type="dxa"/>
            <w:vAlign w:val="bottom"/>
          </w:tcPr>
          <w:p>
            <w:pPr>
              <w:spacing w:after="0"/>
              <w:rPr>
                <w:sz w:val="12"/>
                <w:szCs w:val="12"/>
                <w:color w:val="auto"/>
              </w:rPr>
            </w:pPr>
          </w:p>
        </w:tc>
        <w:tc>
          <w:tcPr>
            <w:tcW w:w="76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2"/>
              </w:rPr>
              <w:t>31,</w:t>
            </w:r>
          </w:p>
        </w:tc>
        <w:tc>
          <w:tcPr>
            <w:tcW w:w="120" w:type="dxa"/>
            <w:vAlign w:val="bottom"/>
          </w:tcPr>
          <w:p>
            <w:pPr>
              <w:spacing w:after="0"/>
              <w:rPr>
                <w:sz w:val="12"/>
                <w:szCs w:val="12"/>
                <w:color w:val="auto"/>
              </w:rPr>
            </w:pPr>
          </w:p>
        </w:tc>
        <w:tc>
          <w:tcPr>
            <w:tcW w:w="10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Interest and</w:t>
            </w:r>
          </w:p>
        </w:tc>
        <w:tc>
          <w:tcPr>
            <w:tcW w:w="100" w:type="dxa"/>
            <w:vAlign w:val="bottom"/>
          </w:tcPr>
          <w:p>
            <w:pPr>
              <w:spacing w:after="0"/>
              <w:rPr>
                <w:sz w:val="12"/>
                <w:szCs w:val="12"/>
                <w:color w:val="auto"/>
              </w:rPr>
            </w:pPr>
          </w:p>
        </w:tc>
        <w:tc>
          <w:tcPr>
            <w:tcW w:w="68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rPr>
              <w:t>Sales</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101"/>
              <w:spacing w:after="0" w:line="149" w:lineRule="exact"/>
              <w:rPr>
                <w:sz w:val="20"/>
                <w:szCs w:val="20"/>
                <w:color w:val="auto"/>
              </w:rPr>
            </w:pPr>
            <w:r>
              <w:rPr>
                <w:rFonts w:ascii="Arial" w:cs="Arial" w:eastAsia="Arial" w:hAnsi="Arial"/>
                <w:sz w:val="14"/>
                <w:szCs w:val="14"/>
                <w:b w:val="1"/>
                <w:bCs w:val="1"/>
                <w:color w:val="auto"/>
                <w:w w:val="92"/>
              </w:rPr>
              <w:t>31,</w:t>
            </w:r>
          </w:p>
        </w:tc>
        <w:tc>
          <w:tcPr>
            <w:tcW w:w="120" w:type="dxa"/>
            <w:vAlign w:val="bottom"/>
          </w:tcPr>
          <w:p>
            <w:pPr>
              <w:spacing w:after="0"/>
              <w:rPr>
                <w:sz w:val="12"/>
                <w:szCs w:val="12"/>
                <w:color w:val="auto"/>
              </w:rPr>
            </w:pPr>
          </w:p>
        </w:tc>
        <w:tc>
          <w:tcPr>
            <w:tcW w:w="760" w:type="dxa"/>
            <w:vAlign w:val="bottom"/>
          </w:tcPr>
          <w:p>
            <w:pPr>
              <w:jc w:val="right"/>
              <w:ind w:right="126"/>
              <w:spacing w:after="0" w:line="149" w:lineRule="exact"/>
              <w:rPr>
                <w:sz w:val="20"/>
                <w:szCs w:val="20"/>
                <w:color w:val="auto"/>
              </w:rPr>
            </w:pPr>
            <w:r>
              <w:rPr>
                <w:rFonts w:ascii="Arial" w:cs="Arial" w:eastAsia="Arial" w:hAnsi="Arial"/>
                <w:sz w:val="14"/>
                <w:szCs w:val="14"/>
                <w:b w:val="1"/>
                <w:bCs w:val="1"/>
                <w:color w:val="auto"/>
              </w:rPr>
              <w:t>of Net</w:t>
            </w:r>
          </w:p>
        </w:tc>
        <w:tc>
          <w:tcPr>
            <w:tcW w:w="0" w:type="dxa"/>
            <w:vAlign w:val="bottom"/>
          </w:tcPr>
          <w:p>
            <w:pPr>
              <w:spacing w:after="0"/>
              <w:rPr>
                <w:sz w:val="1"/>
                <w:szCs w:val="1"/>
                <w:color w:val="auto"/>
              </w:rPr>
            </w:pPr>
          </w:p>
        </w:tc>
      </w:tr>
      <w:tr>
        <w:trPr>
          <w:trHeight w:val="192"/>
        </w:trPr>
        <w:tc>
          <w:tcPr>
            <w:tcW w:w="27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Company/Investment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w w:val="98"/>
              </w:rPr>
              <w:t>Quantity</w:t>
            </w:r>
          </w:p>
        </w:tc>
        <w:tc>
          <w:tcPr>
            <w:tcW w:w="1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in Income</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8"/>
              </w:rPr>
              <w:t>Amortization</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9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9"/>
              </w:rPr>
              <w:t>Gains/(Losses)</w:t>
            </w: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7"/>
              </w:rPr>
              <w:t>Gains/(Losses)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ind w:right="126"/>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02"/>
        </w:trPr>
        <w:tc>
          <w:tcPr>
            <w:tcW w:w="280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6"/>
                <w:szCs w:val="16"/>
                <w:b w:val="1"/>
                <w:bCs w:val="1"/>
                <w:color w:val="auto"/>
              </w:rPr>
              <w:t>CONTROLLED INVESTMENTS*</w:t>
            </w:r>
            <w:r>
              <w:rPr>
                <w:rFonts w:ascii="Arial" w:cs="Arial" w:eastAsia="Arial" w:hAnsi="Arial"/>
                <w:sz w:val="21"/>
                <w:szCs w:val="21"/>
                <w:b w:val="1"/>
                <w:bCs w:val="1"/>
                <w:color w:val="auto"/>
                <w:vertAlign w:val="superscript"/>
              </w:rPr>
              <w:t>(2)</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360" w:type="dxa"/>
            <w:vAlign w:val="bottom"/>
            <w:tcBorders>
              <w:top w:val="single" w:sz="8" w:color="auto"/>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800" w:type="dxa"/>
            <w:vAlign w:val="bottom"/>
            <w:gridSpan w:val="4"/>
          </w:tcPr>
          <w:p>
            <w:pPr>
              <w:ind w:left="40"/>
              <w:spacing w:after="0"/>
              <w:rPr>
                <w:sz w:val="20"/>
                <w:szCs w:val="20"/>
                <w:color w:val="auto"/>
              </w:rPr>
            </w:pPr>
            <w:r>
              <w:rPr>
                <w:rFonts w:ascii="Arial" w:cs="Arial" w:eastAsia="Arial" w:hAnsi="Arial"/>
                <w:sz w:val="16"/>
                <w:szCs w:val="16"/>
                <w:b w:val="1"/>
                <w:bCs w:val="1"/>
                <w:color w:val="auto"/>
              </w:rPr>
              <w:t>Debt Investments</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7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6"/>
                <w:szCs w:val="16"/>
                <w:i w:val="1"/>
                <w:iCs w:val="1"/>
                <w:color w:val="auto"/>
              </w:rPr>
              <w:t>Global Innovation Platform</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2760" w:type="dxa"/>
            <w:vAlign w:val="bottom"/>
            <w:gridSpan w:val="3"/>
          </w:tcPr>
          <w:p>
            <w:pPr>
              <w:ind w:left="240"/>
              <w:spacing w:after="0"/>
              <w:rPr>
                <w:sz w:val="20"/>
                <w:szCs w:val="20"/>
                <w:color w:val="auto"/>
              </w:rPr>
            </w:pPr>
            <w:r>
              <w:rPr>
                <w:rFonts w:ascii="Arial" w:cs="Arial" w:eastAsia="Arial" w:hAnsi="Arial"/>
                <w:sz w:val="16"/>
                <w:szCs w:val="16"/>
                <w:color w:val="auto"/>
              </w:rPr>
              <w:t>NestGSV, Inc. (d/b/a GSV Labs,</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760" w:type="dxa"/>
            <w:vAlign w:val="bottom"/>
            <w:gridSpan w:val="3"/>
          </w:tcPr>
          <w:p>
            <w:pPr>
              <w:ind w:left="400"/>
              <w:spacing w:after="0"/>
              <w:rPr>
                <w:sz w:val="20"/>
                <w:szCs w:val="20"/>
                <w:color w:val="auto"/>
              </w:rPr>
            </w:pPr>
            <w:r>
              <w:rPr>
                <w:rFonts w:ascii="Arial" w:cs="Arial" w:eastAsia="Arial" w:hAnsi="Arial"/>
                <w:sz w:val="16"/>
                <w:szCs w:val="16"/>
                <w:color w:val="auto"/>
              </w:rPr>
              <w:t>Inc.)–Convertible Promissory</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2760" w:type="dxa"/>
            <w:vAlign w:val="bottom"/>
            <w:gridSpan w:val="3"/>
          </w:tcPr>
          <w:p>
            <w:pPr>
              <w:ind w:left="400"/>
              <w:spacing w:after="0"/>
              <w:rPr>
                <w:sz w:val="20"/>
                <w:szCs w:val="20"/>
                <w:color w:val="auto"/>
              </w:rPr>
            </w:pPr>
            <w:r>
              <w:rPr>
                <w:rFonts w:ascii="Arial" w:cs="Arial" w:eastAsia="Arial" w:hAnsi="Arial"/>
                <w:sz w:val="16"/>
                <w:szCs w:val="16"/>
                <w:color w:val="auto"/>
              </w:rPr>
              <w:t>Note 8% Due 7/31/2018***</w:t>
            </w: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ind w:right="42"/>
              <w:spacing w:after="0"/>
              <w:rPr>
                <w:sz w:val="20"/>
                <w:szCs w:val="20"/>
                <w:color w:val="auto"/>
              </w:rPr>
            </w:pPr>
            <w:r>
              <w:rPr>
                <w:rFonts w:ascii="Arial" w:cs="Arial" w:eastAsia="Arial" w:hAnsi="Arial"/>
                <w:sz w:val="16"/>
                <w:szCs w:val="16"/>
                <w:color w:val="auto"/>
              </w:rPr>
              <w:t>560,199</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21"/>
              <w:spacing w:after="0"/>
              <w:rPr>
                <w:sz w:val="20"/>
                <w:szCs w:val="20"/>
                <w:color w:val="auto"/>
              </w:rPr>
            </w:pPr>
            <w:r>
              <w:rPr>
                <w:rFonts w:ascii="Arial" w:cs="Arial" w:eastAsia="Arial" w:hAnsi="Arial"/>
                <w:sz w:val="16"/>
                <w:szCs w:val="16"/>
                <w:color w:val="auto"/>
              </w:rPr>
              <w:t>88,604</w:t>
            </w:r>
          </w:p>
        </w:tc>
        <w:tc>
          <w:tcPr>
            <w:tcW w:w="120" w:type="dxa"/>
            <w:vAlign w:val="bottom"/>
          </w:tcPr>
          <w:p>
            <w:pPr>
              <w:spacing w:after="0"/>
              <w:rPr>
                <w:sz w:val="17"/>
                <w:szCs w:val="17"/>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427,900</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106,490</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90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25,809</w:t>
            </w:r>
          </w:p>
        </w:tc>
        <w:tc>
          <w:tcPr>
            <w:tcW w:w="120" w:type="dxa"/>
            <w:vAlign w:val="bottom"/>
          </w:tcPr>
          <w:p>
            <w:pPr>
              <w:spacing w:after="0"/>
              <w:rPr>
                <w:sz w:val="17"/>
                <w:szCs w:val="17"/>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560,199</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0.27%</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 w:type="dxa"/>
            <w:vAlign w:val="bottom"/>
            <w:shd w:val="clear" w:color="auto" w:fill="CCEEFF"/>
          </w:tcPr>
          <w:p>
            <w:pPr>
              <w:spacing w:after="0"/>
              <w:rPr>
                <w:sz w:val="19"/>
                <w:szCs w:val="19"/>
                <w:color w:val="auto"/>
              </w:rPr>
            </w:pPr>
          </w:p>
        </w:tc>
        <w:tc>
          <w:tcPr>
            <w:tcW w:w="276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NestGSV, Inc. (d/b/a GSV Labs,</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2760" w:type="dxa"/>
            <w:vAlign w:val="bottom"/>
            <w:gridSpan w:val="3"/>
            <w:shd w:val="clear" w:color="auto" w:fill="CCEEFF"/>
          </w:tcPr>
          <w:p>
            <w:pPr>
              <w:ind w:left="400"/>
              <w:spacing w:after="0"/>
              <w:rPr>
                <w:sz w:val="20"/>
                <w:szCs w:val="20"/>
                <w:color w:val="auto"/>
              </w:rPr>
            </w:pPr>
            <w:r>
              <w:rPr>
                <w:rFonts w:ascii="Arial" w:cs="Arial" w:eastAsia="Arial" w:hAnsi="Arial"/>
                <w:sz w:val="16"/>
                <w:szCs w:val="16"/>
                <w:color w:val="auto"/>
                <w:w w:val="97"/>
              </w:rPr>
              <w:t>Inc.)–Unsecured Promissory Note</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40" w:type="dxa"/>
            <w:vAlign w:val="bottom"/>
            <w:shd w:val="clear" w:color="auto" w:fill="CCEEFF"/>
          </w:tcPr>
          <w:p>
            <w:pPr>
              <w:spacing w:after="0"/>
              <w:rPr>
                <w:sz w:val="20"/>
                <w:szCs w:val="20"/>
                <w:color w:val="auto"/>
              </w:rPr>
            </w:pPr>
          </w:p>
        </w:tc>
        <w:tc>
          <w:tcPr>
            <w:tcW w:w="2760" w:type="dxa"/>
            <w:vAlign w:val="bottom"/>
            <w:gridSpan w:val="3"/>
            <w:shd w:val="clear" w:color="auto" w:fill="CCEEFF"/>
          </w:tcPr>
          <w:p>
            <w:pPr>
              <w:ind w:left="400"/>
              <w:spacing w:after="0" w:line="239" w:lineRule="exact"/>
              <w:rPr>
                <w:sz w:val="20"/>
                <w:szCs w:val="20"/>
                <w:color w:val="auto"/>
              </w:rPr>
            </w:pPr>
            <w:r>
              <w:rPr>
                <w:rFonts w:ascii="Arial" w:cs="Arial" w:eastAsia="Arial" w:hAnsi="Arial"/>
                <w:sz w:val="16"/>
                <w:szCs w:val="16"/>
                <w:color w:val="auto"/>
              </w:rPr>
              <w:t>12% Due 5/29/2017***</w:t>
            </w:r>
            <w:r>
              <w:rPr>
                <w:rFonts w:ascii="Arial" w:cs="Arial" w:eastAsia="Arial" w:hAnsi="Arial"/>
                <w:sz w:val="21"/>
                <w:szCs w:val="21"/>
                <w:color w:val="auto"/>
                <w:vertAlign w:val="superscript"/>
              </w:rPr>
              <w:t>(4)</w:t>
            </w:r>
          </w:p>
        </w:tc>
        <w:tc>
          <w:tcPr>
            <w:tcW w:w="120" w:type="dxa"/>
            <w:vAlign w:val="bottom"/>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50,146</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496,725</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24,195</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0"/>
              </w:rPr>
              <w:t>(526,000)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5,080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86"/>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2760" w:type="dxa"/>
            <w:vAlign w:val="bottom"/>
            <w:gridSpan w:val="3"/>
          </w:tcPr>
          <w:p>
            <w:pPr>
              <w:ind w:left="240"/>
              <w:spacing w:after="0"/>
              <w:rPr>
                <w:sz w:val="20"/>
                <w:szCs w:val="20"/>
                <w:color w:val="auto"/>
              </w:rPr>
            </w:pPr>
            <w:r>
              <w:rPr>
                <w:rFonts w:ascii="Arial" w:cs="Arial" w:eastAsia="Arial" w:hAnsi="Arial"/>
                <w:sz w:val="16"/>
                <w:szCs w:val="16"/>
                <w:color w:val="auto"/>
              </w:rPr>
              <w:t>NestGSV, Inc. (d/b/a GSV Labs,</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760" w:type="dxa"/>
            <w:vAlign w:val="bottom"/>
            <w:gridSpan w:val="3"/>
          </w:tcPr>
          <w:p>
            <w:pPr>
              <w:ind w:left="400"/>
              <w:spacing w:after="0"/>
              <w:rPr>
                <w:sz w:val="20"/>
                <w:szCs w:val="20"/>
                <w:color w:val="auto"/>
              </w:rPr>
            </w:pPr>
            <w:r>
              <w:rPr>
                <w:rFonts w:ascii="Arial" w:cs="Arial" w:eastAsia="Arial" w:hAnsi="Arial"/>
                <w:sz w:val="16"/>
                <w:szCs w:val="16"/>
                <w:color w:val="auto"/>
                <w:w w:val="97"/>
              </w:rPr>
              <w:t>Inc.)–Unsecured Promissory Note</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40" w:type="dxa"/>
            <w:vAlign w:val="bottom"/>
            <w:tcBorders>
              <w:bottom w:val="single" w:sz="8" w:color="CCEEFF"/>
            </w:tcBorders>
          </w:tcPr>
          <w:p>
            <w:pPr>
              <w:spacing w:after="0"/>
              <w:rPr>
                <w:sz w:val="20"/>
                <w:szCs w:val="20"/>
                <w:color w:val="auto"/>
              </w:rPr>
            </w:pPr>
          </w:p>
        </w:tc>
        <w:tc>
          <w:tcPr>
            <w:tcW w:w="2760" w:type="dxa"/>
            <w:vAlign w:val="bottom"/>
            <w:tcBorders>
              <w:bottom w:val="single" w:sz="8" w:color="CCEEFF"/>
            </w:tcBorders>
            <w:gridSpan w:val="3"/>
          </w:tcPr>
          <w:p>
            <w:pPr>
              <w:ind w:left="400"/>
              <w:spacing w:after="0" w:line="239" w:lineRule="exact"/>
              <w:rPr>
                <w:sz w:val="20"/>
                <w:szCs w:val="20"/>
                <w:color w:val="auto"/>
              </w:rPr>
            </w:pPr>
            <w:r>
              <w:rPr>
                <w:rFonts w:ascii="Arial" w:cs="Arial" w:eastAsia="Arial" w:hAnsi="Arial"/>
                <w:sz w:val="16"/>
                <w:szCs w:val="16"/>
                <w:color w:val="auto"/>
              </w:rPr>
              <w:t>12% Due 1/15/2018***</w:t>
            </w:r>
            <w:r>
              <w:rPr>
                <w:rFonts w:ascii="Arial" w:cs="Arial" w:eastAsia="Arial" w:hAnsi="Arial"/>
                <w:sz w:val="21"/>
                <w:szCs w:val="21"/>
                <w:color w:val="auto"/>
                <w:vertAlign w:val="superscript"/>
              </w:rPr>
              <w:t>(4)</w:t>
            </w:r>
          </w:p>
        </w:tc>
        <w:tc>
          <w:tcPr>
            <w:tcW w:w="120" w:type="dxa"/>
            <w:vAlign w:val="bottom"/>
            <w:tcBorders>
              <w:bottom w:val="single" w:sz="8" w:color="CCEEFF"/>
            </w:tcBorders>
          </w:tcPr>
          <w:p>
            <w:pPr>
              <w:ind w:left="40"/>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CCEEFF"/>
            </w:tcBorders>
          </w:tcPr>
          <w:p>
            <w:pPr>
              <w:jc w:val="right"/>
              <w:ind w:right="42"/>
              <w:spacing w:after="0"/>
              <w:rPr>
                <w:sz w:val="20"/>
                <w:szCs w:val="20"/>
                <w:color w:val="auto"/>
              </w:rPr>
            </w:pPr>
            <w:r>
              <w:rPr>
                <w:rFonts w:ascii="Arial" w:cs="Arial" w:eastAsia="Arial" w:hAnsi="Arial"/>
                <w:sz w:val="16"/>
                <w:szCs w:val="16"/>
                <w:color w:val="auto"/>
              </w:rPr>
              <w:t>592,129</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93"/>
              </w:rPr>
              <w:t>111,089</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592,809</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(680)</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592,129</w:t>
            </w:r>
          </w:p>
        </w:tc>
        <w:tc>
          <w:tcPr>
            <w:tcW w:w="8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0.29%</w:t>
            </w: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27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6"/>
                <w:szCs w:val="16"/>
                <w:i w:val="1"/>
                <w:iCs w:val="1"/>
                <w:color w:val="auto"/>
              </w:rPr>
              <w:t>Total Global Innovation Platform</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93"/>
              </w:rPr>
              <w:t>249,839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924,625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723,494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0"/>
              </w:rPr>
              <w:t>(526,000)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30,209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1,152,328</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0.56%</w:t>
            </w:r>
          </w:p>
        </w:tc>
        <w:tc>
          <w:tcPr>
            <w:tcW w:w="0" w:type="dxa"/>
            <w:vAlign w:val="bottom"/>
          </w:tcPr>
          <w:p>
            <w:pPr>
              <w:spacing w:after="0"/>
              <w:rPr>
                <w:sz w:val="1"/>
                <w:szCs w:val="1"/>
                <w:color w:val="auto"/>
              </w:rPr>
            </w:pPr>
          </w:p>
        </w:tc>
      </w:tr>
      <w:tr>
        <w:trPr>
          <w:trHeight w:val="237"/>
        </w:trPr>
        <w:tc>
          <w:tcPr>
            <w:tcW w:w="2800" w:type="dxa"/>
            <w:vAlign w:val="bottom"/>
            <w:gridSpan w:val="4"/>
          </w:tcPr>
          <w:p>
            <w:pPr>
              <w:ind w:left="40"/>
              <w:spacing w:after="0"/>
              <w:rPr>
                <w:sz w:val="20"/>
                <w:szCs w:val="20"/>
                <w:color w:val="auto"/>
              </w:rPr>
            </w:pPr>
            <w:r>
              <w:rPr>
                <w:rFonts w:ascii="Arial" w:cs="Arial" w:eastAsia="Arial" w:hAnsi="Arial"/>
                <w:sz w:val="16"/>
                <w:szCs w:val="16"/>
                <w:b w:val="1"/>
                <w:bCs w:val="1"/>
                <w:color w:val="auto"/>
              </w:rPr>
              <w:t>Total Debt Investments</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21"/>
              <w:spacing w:after="0"/>
              <w:rPr>
                <w:sz w:val="20"/>
                <w:szCs w:val="20"/>
                <w:color w:val="auto"/>
              </w:rPr>
            </w:pPr>
            <w:r>
              <w:rPr>
                <w:rFonts w:ascii="Arial" w:cs="Arial" w:eastAsia="Arial" w:hAnsi="Arial"/>
                <w:sz w:val="16"/>
                <w:szCs w:val="16"/>
                <w:color w:val="auto"/>
                <w:w w:val="93"/>
              </w:rPr>
              <w:t>249,839</w:t>
            </w:r>
          </w:p>
        </w:tc>
        <w:tc>
          <w:tcPr>
            <w:tcW w:w="12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924,625</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723,494</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w w:val="90"/>
              </w:rPr>
              <w:t>(526,000)</w:t>
            </w:r>
          </w:p>
        </w:tc>
        <w:tc>
          <w:tcPr>
            <w:tcW w:w="12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90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30,209</w:t>
            </w:r>
          </w:p>
        </w:tc>
        <w:tc>
          <w:tcPr>
            <w:tcW w:w="12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21"/>
              <w:spacing w:after="0"/>
              <w:rPr>
                <w:sz w:val="20"/>
                <w:szCs w:val="20"/>
                <w:color w:val="auto"/>
              </w:rPr>
            </w:pPr>
            <w:r>
              <w:rPr>
                <w:rFonts w:ascii="Arial" w:cs="Arial" w:eastAsia="Arial" w:hAnsi="Arial"/>
                <w:sz w:val="16"/>
                <w:szCs w:val="16"/>
                <w:color w:val="auto"/>
                <w:w w:val="89"/>
              </w:rPr>
              <w:t>1,152,328</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0.56%</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b w:val="1"/>
                <w:bCs w:val="1"/>
                <w:color w:val="auto"/>
              </w:rPr>
              <w:t>Preferred Stock</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760" w:type="dxa"/>
            <w:vAlign w:val="bottom"/>
            <w:gridSpan w:val="3"/>
          </w:tcPr>
          <w:p>
            <w:pPr>
              <w:ind w:left="140"/>
              <w:spacing w:after="0"/>
              <w:rPr>
                <w:sz w:val="20"/>
                <w:szCs w:val="20"/>
                <w:color w:val="auto"/>
              </w:rPr>
            </w:pPr>
            <w:r>
              <w:rPr>
                <w:rFonts w:ascii="Arial" w:cs="Arial" w:eastAsia="Arial" w:hAnsi="Arial"/>
                <w:sz w:val="16"/>
                <w:szCs w:val="16"/>
                <w:i w:val="1"/>
                <w:iCs w:val="1"/>
                <w:color w:val="auto"/>
              </w:rPr>
              <w:t>Clean Technology</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 w:type="dxa"/>
            <w:vAlign w:val="bottom"/>
            <w:shd w:val="clear" w:color="auto" w:fill="CCEEFF"/>
          </w:tcPr>
          <w:p>
            <w:pPr>
              <w:spacing w:after="0"/>
              <w:rPr>
                <w:sz w:val="19"/>
                <w:szCs w:val="19"/>
                <w:color w:val="auto"/>
              </w:rPr>
            </w:pPr>
          </w:p>
        </w:tc>
        <w:tc>
          <w:tcPr>
            <w:tcW w:w="276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SPBRX, INC. (f/k/a GSV</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2760" w:type="dxa"/>
            <w:vAlign w:val="bottom"/>
            <w:gridSpan w:val="3"/>
            <w:shd w:val="clear" w:color="auto" w:fill="CCEEFF"/>
          </w:tcPr>
          <w:p>
            <w:pPr>
              <w:ind w:left="400"/>
              <w:spacing w:after="0"/>
              <w:rPr>
                <w:sz w:val="20"/>
                <w:szCs w:val="20"/>
                <w:color w:val="auto"/>
              </w:rPr>
            </w:pPr>
            <w:r>
              <w:rPr>
                <w:rFonts w:ascii="Arial" w:cs="Arial" w:eastAsia="Arial" w:hAnsi="Arial"/>
                <w:sz w:val="16"/>
                <w:szCs w:val="16"/>
                <w:color w:val="auto"/>
              </w:rPr>
              <w:t>Sustainability Partners, Inc.)–</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0" w:type="dxa"/>
            <w:vAlign w:val="bottom"/>
            <w:tcBorders>
              <w:bottom w:val="single" w:sz="8" w:color="CCEEFF"/>
            </w:tcBorders>
            <w:shd w:val="clear" w:color="auto" w:fill="CCEEFF"/>
          </w:tcPr>
          <w:p>
            <w:pPr>
              <w:spacing w:after="0"/>
              <w:rPr>
                <w:sz w:val="19"/>
                <w:szCs w:val="19"/>
                <w:color w:val="auto"/>
              </w:rPr>
            </w:pPr>
          </w:p>
        </w:tc>
        <w:tc>
          <w:tcPr>
            <w:tcW w:w="2760" w:type="dxa"/>
            <w:vAlign w:val="bottom"/>
            <w:tcBorders>
              <w:bottom w:val="single" w:sz="8" w:color="CCEEFF"/>
            </w:tcBorders>
            <w:gridSpan w:val="3"/>
            <w:shd w:val="clear" w:color="auto" w:fill="CCEEFF"/>
          </w:tcPr>
          <w:p>
            <w:pPr>
              <w:ind w:left="400"/>
              <w:spacing w:after="0"/>
              <w:rPr>
                <w:sz w:val="20"/>
                <w:szCs w:val="20"/>
                <w:color w:val="auto"/>
              </w:rPr>
            </w:pPr>
            <w:r>
              <w:rPr>
                <w:rFonts w:ascii="Arial" w:cs="Arial" w:eastAsia="Arial" w:hAnsi="Arial"/>
                <w:sz w:val="16"/>
                <w:szCs w:val="16"/>
                <w:color w:val="auto"/>
              </w:rPr>
              <w:t>Preferred shares, Class A***</w:t>
            </w:r>
          </w:p>
        </w:tc>
        <w:tc>
          <w:tcPr>
            <w:tcW w:w="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w w:val="99"/>
              </w:rPr>
              <w:t>14,300,000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93"/>
              </w:rPr>
              <w:t>475,000</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4,309,778</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0"/>
              </w:rPr>
              <w:t>(3,239,916)</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1,069,862</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0.52%</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760" w:type="dxa"/>
            <w:vAlign w:val="bottom"/>
            <w:gridSpan w:val="3"/>
          </w:tcPr>
          <w:p>
            <w:pPr>
              <w:ind w:left="140"/>
              <w:spacing w:after="0"/>
              <w:rPr>
                <w:sz w:val="20"/>
                <w:szCs w:val="20"/>
                <w:color w:val="auto"/>
              </w:rPr>
            </w:pPr>
            <w:r>
              <w:rPr>
                <w:rFonts w:ascii="Arial" w:cs="Arial" w:eastAsia="Arial" w:hAnsi="Arial"/>
                <w:sz w:val="16"/>
                <w:szCs w:val="16"/>
                <w:i w:val="1"/>
                <w:iCs w:val="1"/>
                <w:color w:val="auto"/>
              </w:rPr>
              <w:t>Global Innovation Platform</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 w:type="dxa"/>
            <w:vAlign w:val="bottom"/>
            <w:shd w:val="clear" w:color="auto" w:fill="CCEEFF"/>
          </w:tcPr>
          <w:p>
            <w:pPr>
              <w:spacing w:after="0"/>
              <w:rPr>
                <w:sz w:val="19"/>
                <w:szCs w:val="19"/>
                <w:color w:val="auto"/>
              </w:rPr>
            </w:pPr>
          </w:p>
        </w:tc>
        <w:tc>
          <w:tcPr>
            <w:tcW w:w="276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NestGSV, Inc. (d/b/a GSV Labs,</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 w:type="dxa"/>
            <w:vAlign w:val="bottom"/>
            <w:tcBorders>
              <w:bottom w:val="single" w:sz="8" w:color="CCEEFF"/>
            </w:tcBorders>
            <w:shd w:val="clear" w:color="auto" w:fill="CCEEFF"/>
          </w:tcPr>
          <w:p>
            <w:pPr>
              <w:spacing w:after="0"/>
              <w:rPr>
                <w:sz w:val="19"/>
                <w:szCs w:val="19"/>
                <w:color w:val="auto"/>
              </w:rPr>
            </w:pPr>
          </w:p>
        </w:tc>
        <w:tc>
          <w:tcPr>
            <w:tcW w:w="2760" w:type="dxa"/>
            <w:vAlign w:val="bottom"/>
            <w:tcBorders>
              <w:bottom w:val="single" w:sz="8" w:color="CCEEFF"/>
            </w:tcBorders>
            <w:gridSpan w:val="3"/>
            <w:shd w:val="clear" w:color="auto" w:fill="CCEEFF"/>
          </w:tcPr>
          <w:p>
            <w:pPr>
              <w:ind w:left="400"/>
              <w:spacing w:after="0"/>
              <w:rPr>
                <w:sz w:val="20"/>
                <w:szCs w:val="20"/>
                <w:color w:val="auto"/>
              </w:rPr>
            </w:pPr>
            <w:r>
              <w:rPr>
                <w:rFonts w:ascii="Arial" w:cs="Arial" w:eastAsia="Arial" w:hAnsi="Arial"/>
                <w:sz w:val="16"/>
                <w:szCs w:val="16"/>
                <w:color w:val="auto"/>
              </w:rPr>
              <w:t>Inc.)–Preferred stock Series A-4</w:t>
            </w:r>
          </w:p>
        </w:tc>
        <w:tc>
          <w:tcPr>
            <w:tcW w:w="860" w:type="dxa"/>
            <w:vAlign w:val="bottom"/>
            <w:tcBorders>
              <w:bottom w:val="single" w:sz="8" w:color="CCEEFF"/>
            </w:tcBorders>
            <w:gridSpan w:val="2"/>
            <w:shd w:val="clear" w:color="auto" w:fill="CCEEFF"/>
          </w:tcPr>
          <w:p>
            <w:pPr>
              <w:jc w:val="right"/>
              <w:ind w:right="42"/>
              <w:spacing w:after="0"/>
              <w:rPr>
                <w:sz w:val="20"/>
                <w:szCs w:val="20"/>
                <w:color w:val="auto"/>
              </w:rPr>
            </w:pPr>
            <w:r>
              <w:rPr>
                <w:rFonts w:ascii="Arial" w:cs="Arial" w:eastAsia="Arial" w:hAnsi="Arial"/>
                <w:sz w:val="16"/>
                <w:szCs w:val="16"/>
                <w:color w:val="auto"/>
              </w:rPr>
              <w:t>3,720,424</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2,715,910</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98"/>
              </w:rPr>
              <w:t>2,674,932</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5,390,842</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2.63%</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2760" w:type="dxa"/>
            <w:vAlign w:val="bottom"/>
            <w:gridSpan w:val="3"/>
          </w:tcPr>
          <w:p>
            <w:pPr>
              <w:ind w:left="240"/>
              <w:spacing w:after="0"/>
              <w:rPr>
                <w:sz w:val="20"/>
                <w:szCs w:val="20"/>
                <w:color w:val="auto"/>
              </w:rPr>
            </w:pPr>
            <w:r>
              <w:rPr>
                <w:rFonts w:ascii="Arial" w:cs="Arial" w:eastAsia="Arial" w:hAnsi="Arial"/>
                <w:sz w:val="16"/>
                <w:szCs w:val="16"/>
                <w:color w:val="auto"/>
              </w:rPr>
              <w:t>NestGSV, Inc. (d/b/a GSV Labs,</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2760" w:type="dxa"/>
            <w:vAlign w:val="bottom"/>
            <w:gridSpan w:val="3"/>
          </w:tcPr>
          <w:p>
            <w:pPr>
              <w:ind w:left="400"/>
              <w:spacing w:after="0"/>
              <w:rPr>
                <w:sz w:val="20"/>
                <w:szCs w:val="20"/>
                <w:color w:val="auto"/>
              </w:rPr>
            </w:pPr>
            <w:r>
              <w:rPr>
                <w:rFonts w:ascii="Arial" w:cs="Arial" w:eastAsia="Arial" w:hAnsi="Arial"/>
                <w:sz w:val="16"/>
                <w:szCs w:val="16"/>
                <w:color w:val="auto"/>
              </w:rPr>
              <w:t>Inc.)–Preferred stock Series A-3</w:t>
            </w:r>
          </w:p>
        </w:tc>
        <w:tc>
          <w:tcPr>
            <w:tcW w:w="860" w:type="dxa"/>
            <w:vAlign w:val="bottom"/>
            <w:gridSpan w:val="2"/>
          </w:tcPr>
          <w:p>
            <w:pPr>
              <w:jc w:val="right"/>
              <w:ind w:right="42"/>
              <w:spacing w:after="0"/>
              <w:rPr>
                <w:sz w:val="20"/>
                <w:szCs w:val="20"/>
                <w:color w:val="auto"/>
              </w:rPr>
            </w:pPr>
            <w:r>
              <w:rPr>
                <w:rFonts w:ascii="Arial" w:cs="Arial" w:eastAsia="Arial" w:hAnsi="Arial"/>
                <w:sz w:val="16"/>
                <w:szCs w:val="16"/>
                <w:color w:val="auto"/>
              </w:rPr>
              <w:t>1,561,625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952,591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0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933,053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w w:val="89"/>
              </w:rPr>
              <w:t>1,885,644</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0.92%</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 w:type="dxa"/>
            <w:vAlign w:val="bottom"/>
            <w:shd w:val="clear" w:color="auto" w:fill="CCEEFF"/>
          </w:tcPr>
          <w:p>
            <w:pPr>
              <w:spacing w:after="0"/>
              <w:rPr>
                <w:sz w:val="19"/>
                <w:szCs w:val="19"/>
                <w:color w:val="auto"/>
              </w:rPr>
            </w:pPr>
          </w:p>
        </w:tc>
        <w:tc>
          <w:tcPr>
            <w:tcW w:w="276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NestGSV, Inc. (d/b/a GSV Labs,</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 w:type="dxa"/>
            <w:vAlign w:val="bottom"/>
            <w:tcBorders>
              <w:bottom w:val="single" w:sz="8" w:color="CCEEFF"/>
            </w:tcBorders>
            <w:shd w:val="clear" w:color="auto" w:fill="CCEEFF"/>
          </w:tcPr>
          <w:p>
            <w:pPr>
              <w:spacing w:after="0"/>
              <w:rPr>
                <w:sz w:val="19"/>
                <w:szCs w:val="19"/>
                <w:color w:val="auto"/>
              </w:rPr>
            </w:pPr>
          </w:p>
        </w:tc>
        <w:tc>
          <w:tcPr>
            <w:tcW w:w="2760" w:type="dxa"/>
            <w:vAlign w:val="bottom"/>
            <w:tcBorders>
              <w:bottom w:val="single" w:sz="8" w:color="CCEEFF"/>
            </w:tcBorders>
            <w:gridSpan w:val="3"/>
            <w:shd w:val="clear" w:color="auto" w:fill="CCEEFF"/>
          </w:tcPr>
          <w:p>
            <w:pPr>
              <w:ind w:left="400"/>
              <w:spacing w:after="0"/>
              <w:rPr>
                <w:sz w:val="20"/>
                <w:szCs w:val="20"/>
                <w:color w:val="auto"/>
              </w:rPr>
            </w:pPr>
            <w:r>
              <w:rPr>
                <w:rFonts w:ascii="Arial" w:cs="Arial" w:eastAsia="Arial" w:hAnsi="Arial"/>
                <w:sz w:val="16"/>
                <w:szCs w:val="16"/>
                <w:color w:val="auto"/>
              </w:rPr>
              <w:t>Inc.)–Preferred stock Series A-2</w:t>
            </w:r>
          </w:p>
        </w:tc>
        <w:tc>
          <w:tcPr>
            <w:tcW w:w="1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450,001</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166,500</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159,522</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326,022</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0.16%</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2760" w:type="dxa"/>
            <w:vAlign w:val="bottom"/>
            <w:gridSpan w:val="3"/>
          </w:tcPr>
          <w:p>
            <w:pPr>
              <w:ind w:left="240"/>
              <w:spacing w:after="0"/>
              <w:rPr>
                <w:sz w:val="20"/>
                <w:szCs w:val="20"/>
                <w:color w:val="auto"/>
              </w:rPr>
            </w:pPr>
            <w:r>
              <w:rPr>
                <w:rFonts w:ascii="Arial" w:cs="Arial" w:eastAsia="Arial" w:hAnsi="Arial"/>
                <w:sz w:val="16"/>
                <w:szCs w:val="16"/>
                <w:color w:val="auto"/>
              </w:rPr>
              <w:t>NestGSV, Inc. (d/b/a GSV Labs,</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2760" w:type="dxa"/>
            <w:vAlign w:val="bottom"/>
            <w:gridSpan w:val="3"/>
          </w:tcPr>
          <w:p>
            <w:pPr>
              <w:ind w:left="400"/>
              <w:spacing w:after="0"/>
              <w:rPr>
                <w:sz w:val="20"/>
                <w:szCs w:val="20"/>
                <w:color w:val="auto"/>
              </w:rPr>
            </w:pPr>
            <w:r>
              <w:rPr>
                <w:rFonts w:ascii="Arial" w:cs="Arial" w:eastAsia="Arial" w:hAnsi="Arial"/>
                <w:sz w:val="16"/>
                <w:szCs w:val="16"/>
                <w:color w:val="auto"/>
              </w:rPr>
              <w:t>Inc.)–Preferred stock Series A-1</w:t>
            </w:r>
          </w:p>
        </w:tc>
        <w:tc>
          <w:tcPr>
            <w:tcW w:w="860" w:type="dxa"/>
            <w:vAlign w:val="bottom"/>
            <w:gridSpan w:val="2"/>
          </w:tcPr>
          <w:p>
            <w:pPr>
              <w:jc w:val="right"/>
              <w:ind w:right="42"/>
              <w:spacing w:after="0"/>
              <w:rPr>
                <w:sz w:val="20"/>
                <w:szCs w:val="20"/>
                <w:color w:val="auto"/>
              </w:rPr>
            </w:pPr>
            <w:r>
              <w:rPr>
                <w:rFonts w:ascii="Arial" w:cs="Arial" w:eastAsia="Arial" w:hAnsi="Arial"/>
                <w:sz w:val="16"/>
                <w:szCs w:val="16"/>
                <w:color w:val="auto"/>
              </w:rPr>
              <w:t>1,000,000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270,000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0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273,370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543,370</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0.27%</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236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27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6"/>
                <w:szCs w:val="16"/>
                <w:i w:val="1"/>
                <w:iCs w:val="1"/>
                <w:color w:val="auto"/>
              </w:rPr>
              <w:t>Total Global Innovation Platform</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4,105,001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98"/>
              </w:rPr>
              <w:t>4,040,877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8,145,878</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3.98%</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760" w:type="dxa"/>
            <w:vAlign w:val="bottom"/>
            <w:gridSpan w:val="3"/>
          </w:tcPr>
          <w:p>
            <w:pPr>
              <w:ind w:left="140"/>
              <w:spacing w:after="0"/>
              <w:rPr>
                <w:sz w:val="20"/>
                <w:szCs w:val="20"/>
                <w:color w:val="auto"/>
              </w:rPr>
            </w:pPr>
            <w:r>
              <w:rPr>
                <w:rFonts w:ascii="Arial" w:cs="Arial" w:eastAsia="Arial" w:hAnsi="Arial"/>
                <w:sz w:val="16"/>
                <w:szCs w:val="16"/>
                <w:i w:val="1"/>
                <w:iCs w:val="1"/>
                <w:color w:val="auto"/>
              </w:rPr>
              <w:t>Interactive Learning</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 w:type="dxa"/>
            <w:vAlign w:val="bottom"/>
            <w:shd w:val="clear" w:color="auto" w:fill="CCEEFF"/>
          </w:tcPr>
          <w:p>
            <w:pPr>
              <w:spacing w:after="0"/>
              <w:rPr>
                <w:sz w:val="19"/>
                <w:szCs w:val="19"/>
                <w:color w:val="auto"/>
              </w:rPr>
            </w:pPr>
          </w:p>
        </w:tc>
        <w:tc>
          <w:tcPr>
            <w:tcW w:w="276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StormWind, LLC–Preferred shares,</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0" w:type="dxa"/>
            <w:vAlign w:val="bottom"/>
            <w:shd w:val="clear" w:color="auto" w:fill="CCEEFF"/>
          </w:tcPr>
          <w:p>
            <w:pPr>
              <w:spacing w:after="0"/>
              <w:rPr>
                <w:sz w:val="20"/>
                <w:szCs w:val="20"/>
                <w:color w:val="auto"/>
              </w:rPr>
            </w:pPr>
          </w:p>
        </w:tc>
        <w:tc>
          <w:tcPr>
            <w:tcW w:w="2760" w:type="dxa"/>
            <w:vAlign w:val="bottom"/>
            <w:gridSpan w:val="3"/>
            <w:shd w:val="clear" w:color="auto" w:fill="CCEEFF"/>
          </w:tcPr>
          <w:p>
            <w:pPr>
              <w:ind w:left="400"/>
              <w:spacing w:after="0" w:line="239" w:lineRule="exact"/>
              <w:rPr>
                <w:sz w:val="20"/>
                <w:szCs w:val="20"/>
                <w:color w:val="auto"/>
              </w:rPr>
            </w:pPr>
            <w:r>
              <w:rPr>
                <w:rFonts w:ascii="Arial" w:cs="Arial" w:eastAsia="Arial" w:hAnsi="Arial"/>
                <w:sz w:val="16"/>
                <w:szCs w:val="16"/>
                <w:color w:val="auto"/>
              </w:rPr>
              <w:t>Series C</w:t>
            </w:r>
            <w:r>
              <w:rPr>
                <w:rFonts w:ascii="Arial" w:cs="Arial" w:eastAsia="Arial" w:hAnsi="Arial"/>
                <w:sz w:val="21"/>
                <w:szCs w:val="21"/>
                <w:color w:val="auto"/>
                <w:vertAlign w:val="superscript"/>
              </w:rPr>
              <w:t>(3)</w:t>
            </w:r>
          </w:p>
        </w:tc>
        <w:tc>
          <w:tcPr>
            <w:tcW w:w="860" w:type="dxa"/>
            <w:vAlign w:val="bottom"/>
            <w:gridSpan w:val="2"/>
            <w:shd w:val="clear" w:color="auto" w:fill="CCEEFF"/>
          </w:tcPr>
          <w:p>
            <w:pPr>
              <w:jc w:val="right"/>
              <w:ind w:right="42"/>
              <w:spacing w:after="0"/>
              <w:rPr>
                <w:sz w:val="20"/>
                <w:szCs w:val="20"/>
                <w:color w:val="auto"/>
              </w:rPr>
            </w:pPr>
            <w:r>
              <w:rPr>
                <w:rFonts w:ascii="Arial" w:cs="Arial" w:eastAsia="Arial" w:hAnsi="Arial"/>
                <w:sz w:val="16"/>
                <w:szCs w:val="16"/>
                <w:color w:val="auto"/>
              </w:rPr>
              <w:t>2,779,134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4,650,838</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98"/>
              </w:rPr>
              <w:t>2,573,066</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7,223,904</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3.53%</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2760" w:type="dxa"/>
            <w:vAlign w:val="bottom"/>
            <w:gridSpan w:val="3"/>
          </w:tcPr>
          <w:p>
            <w:pPr>
              <w:ind w:left="240"/>
              <w:spacing w:after="0"/>
              <w:rPr>
                <w:sz w:val="20"/>
                <w:szCs w:val="20"/>
                <w:color w:val="auto"/>
              </w:rPr>
            </w:pPr>
            <w:r>
              <w:rPr>
                <w:rFonts w:ascii="Arial" w:cs="Arial" w:eastAsia="Arial" w:hAnsi="Arial"/>
                <w:sz w:val="16"/>
                <w:szCs w:val="16"/>
                <w:color w:val="auto"/>
              </w:rPr>
              <w:t>StormWind, LLC–Preferred shares,</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1"/>
        </w:trPr>
        <w:tc>
          <w:tcPr>
            <w:tcW w:w="40" w:type="dxa"/>
            <w:vAlign w:val="bottom"/>
          </w:tcPr>
          <w:p>
            <w:pPr>
              <w:spacing w:after="0"/>
              <w:rPr>
                <w:sz w:val="24"/>
                <w:szCs w:val="24"/>
                <w:color w:val="auto"/>
              </w:rPr>
            </w:pPr>
          </w:p>
        </w:tc>
        <w:tc>
          <w:tcPr>
            <w:tcW w:w="2760" w:type="dxa"/>
            <w:vAlign w:val="bottom"/>
            <w:gridSpan w:val="3"/>
          </w:tcPr>
          <w:p>
            <w:pPr>
              <w:ind w:left="400"/>
              <w:spacing w:after="0"/>
              <w:rPr>
                <w:sz w:val="20"/>
                <w:szCs w:val="20"/>
                <w:color w:val="auto"/>
              </w:rPr>
            </w:pPr>
            <w:r>
              <w:rPr>
                <w:rFonts w:ascii="Arial" w:cs="Arial" w:eastAsia="Arial" w:hAnsi="Arial"/>
                <w:sz w:val="16"/>
                <w:szCs w:val="16"/>
                <w:color w:val="auto"/>
              </w:rPr>
              <w:t>Series B</w:t>
            </w:r>
            <w:r>
              <w:rPr>
                <w:rFonts w:ascii="Arial" w:cs="Arial" w:eastAsia="Arial" w:hAnsi="Arial"/>
                <w:sz w:val="21"/>
                <w:szCs w:val="21"/>
                <w:color w:val="auto"/>
                <w:vertAlign w:val="superscript"/>
              </w:rPr>
              <w:t>(3)</w:t>
            </w:r>
          </w:p>
        </w:tc>
        <w:tc>
          <w:tcPr>
            <w:tcW w:w="860" w:type="dxa"/>
            <w:vAlign w:val="bottom"/>
            <w:gridSpan w:val="2"/>
          </w:tcPr>
          <w:p>
            <w:pPr>
              <w:jc w:val="right"/>
              <w:ind w:right="42"/>
              <w:spacing w:after="0"/>
              <w:rPr>
                <w:sz w:val="20"/>
                <w:szCs w:val="20"/>
                <w:color w:val="auto"/>
              </w:rPr>
            </w:pPr>
            <w:r>
              <w:rPr>
                <w:rFonts w:ascii="Arial" w:cs="Arial" w:eastAsia="Arial" w:hAnsi="Arial"/>
                <w:sz w:val="16"/>
                <w:szCs w:val="16"/>
                <w:color w:val="auto"/>
              </w:rPr>
              <w:t>3,279,629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w w:val="89"/>
              </w:rPr>
              <w:t>4,470,403</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90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w w:val="98"/>
              </w:rPr>
              <w:t>1,334,069</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w w:val="89"/>
              </w:rPr>
              <w:t>5,804,472</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2.83%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6694170</wp:posOffset>
            </wp:positionH>
            <wp:positionV relativeFrom="paragraph">
              <wp:posOffset>-960120</wp:posOffset>
            </wp:positionV>
            <wp:extent cx="55753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57530" cy="8890"/>
                    </a:xfrm>
                    <a:prstGeom prst="rect">
                      <a:avLst/>
                    </a:prstGeom>
                    <a:noFill/>
                  </pic:spPr>
                </pic:pic>
              </a:graphicData>
            </a:graphic>
          </wp:anchor>
        </w:drawing>
        <w:drawing>
          <wp:anchor simplePos="0" relativeHeight="251657728" behindDoc="1" locked="0" layoutInCell="0" allowOverlap="1">
            <wp:simplePos x="0" y="0"/>
            <wp:positionH relativeFrom="column">
              <wp:posOffset>4156075</wp:posOffset>
            </wp:positionH>
            <wp:positionV relativeFrom="paragraph">
              <wp:posOffset>-3413125</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4156075</wp:posOffset>
            </wp:positionH>
            <wp:positionV relativeFrom="paragraph">
              <wp:posOffset>-5196840</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2" w:right="239"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2018</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Schedule of Investments In, and Advances to, Affiliates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Interest,</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Purchases,</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Fees, or</w:t>
            </w:r>
          </w:p>
        </w:tc>
        <w:tc>
          <w:tcPr>
            <w:tcW w:w="10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Fair Value at</w:t>
            </w:r>
          </w:p>
        </w:tc>
        <w:tc>
          <w:tcPr>
            <w:tcW w:w="1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Capitalized</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Fair Value at</w:t>
            </w: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Percentage</w:t>
            </w:r>
          </w:p>
        </w:tc>
        <w:tc>
          <w:tcPr>
            <w:tcW w:w="0" w:type="dxa"/>
            <w:vAlign w:val="bottom"/>
          </w:tcPr>
          <w:p>
            <w:pPr>
              <w:spacing w:after="0"/>
              <w:rPr>
                <w:sz w:val="1"/>
                <w:szCs w:val="1"/>
                <w:color w:val="auto"/>
              </w:rPr>
            </w:pPr>
          </w:p>
        </w:tc>
      </w:tr>
      <w:tr>
        <w:trPr>
          <w:trHeight w:val="149"/>
        </w:trPr>
        <w:tc>
          <w:tcPr>
            <w:tcW w:w="26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Type/Industry/Portfolio</w:t>
            </w:r>
          </w:p>
        </w:tc>
        <w:tc>
          <w:tcPr>
            <w:tcW w:w="120" w:type="dxa"/>
            <w:vAlign w:val="bottom"/>
          </w:tcPr>
          <w:p>
            <w:pPr>
              <w:spacing w:after="0"/>
              <w:rPr>
                <w:sz w:val="12"/>
                <w:szCs w:val="12"/>
                <w:color w:val="auto"/>
              </w:rPr>
            </w:pPr>
          </w:p>
        </w:tc>
        <w:tc>
          <w:tcPr>
            <w:tcW w:w="8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Principal/</w:t>
            </w:r>
          </w:p>
        </w:tc>
        <w:tc>
          <w:tcPr>
            <w:tcW w:w="8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Dividends</w:t>
            </w:r>
          </w:p>
        </w:tc>
        <w:tc>
          <w:tcPr>
            <w:tcW w:w="10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Fees,</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Realized</w:t>
            </w:r>
          </w:p>
        </w:tc>
        <w:tc>
          <w:tcPr>
            <w:tcW w:w="120" w:type="dxa"/>
            <w:vAlign w:val="bottom"/>
          </w:tcPr>
          <w:p>
            <w:pPr>
              <w:spacing w:after="0"/>
              <w:rPr>
                <w:sz w:val="12"/>
                <w:szCs w:val="12"/>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Unrealized</w:t>
            </w:r>
          </w:p>
        </w:tc>
        <w:tc>
          <w:tcPr>
            <w:tcW w:w="1040" w:type="dxa"/>
            <w:vAlign w:val="bottom"/>
            <w:gridSpan w:val="3"/>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Credited</w:t>
            </w:r>
          </w:p>
        </w:tc>
        <w:tc>
          <w:tcPr>
            <w:tcW w:w="10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December 31,</w:t>
            </w:r>
          </w:p>
        </w:tc>
        <w:tc>
          <w:tcPr>
            <w:tcW w:w="1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Interest and</w:t>
            </w:r>
          </w:p>
        </w:tc>
        <w:tc>
          <w:tcPr>
            <w:tcW w:w="120" w:type="dxa"/>
            <w:vAlign w:val="bottom"/>
          </w:tcPr>
          <w:p>
            <w:pPr>
              <w:spacing w:after="0"/>
              <w:rPr>
                <w:sz w:val="12"/>
                <w:szCs w:val="12"/>
                <w:color w:val="auto"/>
              </w:rPr>
            </w:pPr>
          </w:p>
        </w:tc>
        <w:tc>
          <w:tcPr>
            <w:tcW w:w="7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Sales</w:t>
            </w: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December 31,</w:t>
            </w:r>
          </w:p>
        </w:tc>
        <w:tc>
          <w:tcPr>
            <w:tcW w:w="800" w:type="dxa"/>
            <w:vAlign w:val="bottom"/>
          </w:tcPr>
          <w:p>
            <w:pPr>
              <w:jc w:val="right"/>
              <w:ind w:right="141"/>
              <w:spacing w:after="0" w:line="149" w:lineRule="exact"/>
              <w:rPr>
                <w:sz w:val="20"/>
                <w:szCs w:val="20"/>
                <w:color w:val="auto"/>
              </w:rPr>
            </w:pPr>
            <w:r>
              <w:rPr>
                <w:rFonts w:ascii="Arial" w:cs="Arial" w:eastAsia="Arial" w:hAnsi="Arial"/>
                <w:sz w:val="14"/>
                <w:szCs w:val="14"/>
                <w:b w:val="1"/>
                <w:bCs w:val="1"/>
                <w:color w:val="auto"/>
              </w:rPr>
              <w:t>of Net</w:t>
            </w:r>
          </w:p>
        </w:tc>
        <w:tc>
          <w:tcPr>
            <w:tcW w:w="0" w:type="dxa"/>
            <w:vAlign w:val="bottom"/>
          </w:tcPr>
          <w:p>
            <w:pPr>
              <w:spacing w:after="0"/>
              <w:rPr>
                <w:sz w:val="1"/>
                <w:szCs w:val="1"/>
                <w:color w:val="auto"/>
              </w:rPr>
            </w:pPr>
          </w:p>
        </w:tc>
      </w:tr>
      <w:tr>
        <w:trPr>
          <w:trHeight w:val="192"/>
        </w:trPr>
        <w:tc>
          <w:tcPr>
            <w:tcW w:w="2660" w:type="dxa"/>
            <w:vAlign w:val="bottom"/>
          </w:tcPr>
          <w:p>
            <w:pPr>
              <w:ind w:left="40"/>
              <w:spacing w:after="0"/>
              <w:rPr>
                <w:sz w:val="20"/>
                <w:szCs w:val="20"/>
                <w:color w:val="auto"/>
              </w:rPr>
            </w:pPr>
            <w:r>
              <w:rPr>
                <w:rFonts w:ascii="Arial" w:cs="Arial" w:eastAsia="Arial" w:hAnsi="Arial"/>
                <w:sz w:val="14"/>
                <w:szCs w:val="14"/>
                <w:b w:val="1"/>
                <w:bCs w:val="1"/>
                <w:color w:val="auto"/>
              </w:rPr>
              <w:t>Company/Investment</w:t>
            </w:r>
          </w:p>
        </w:tc>
        <w:tc>
          <w:tcPr>
            <w:tcW w:w="120" w:type="dxa"/>
            <w:vAlign w:val="bottom"/>
          </w:tcPr>
          <w:p>
            <w:pPr>
              <w:spacing w:after="0"/>
              <w:rPr>
                <w:sz w:val="16"/>
                <w:szCs w:val="16"/>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Quantity</w:t>
            </w:r>
          </w:p>
        </w:tc>
        <w:tc>
          <w:tcPr>
            <w:tcW w:w="8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in Income</w:t>
            </w:r>
          </w:p>
        </w:tc>
        <w:tc>
          <w:tcPr>
            <w:tcW w:w="120" w:type="dxa"/>
            <w:vAlign w:val="bottom"/>
          </w:tcPr>
          <w:p>
            <w:pPr>
              <w:spacing w:after="0"/>
              <w:rPr>
                <w:sz w:val="16"/>
                <w:szCs w:val="16"/>
                <w:color w:val="auto"/>
              </w:rPr>
            </w:pPr>
          </w:p>
        </w:tc>
        <w:tc>
          <w:tcPr>
            <w:tcW w:w="820" w:type="dxa"/>
            <w:vAlign w:val="bottom"/>
          </w:tcPr>
          <w:p>
            <w:pPr>
              <w:jc w:val="right"/>
              <w:ind w:right="240"/>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1000" w:type="dxa"/>
            <w:vAlign w:val="bottom"/>
            <w:gridSpan w:val="3"/>
          </w:tcPr>
          <w:p>
            <w:pPr>
              <w:ind w:left="4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60" w:type="dxa"/>
            <w:vAlign w:val="bottom"/>
            <w:gridSpan w:val="3"/>
          </w:tcPr>
          <w:p>
            <w:pPr>
              <w:ind w:left="40"/>
              <w:spacing w:after="0"/>
              <w:rPr>
                <w:sz w:val="20"/>
                <w:szCs w:val="20"/>
                <w:color w:val="auto"/>
              </w:rPr>
            </w:pPr>
            <w:r>
              <w:rPr>
                <w:rFonts w:ascii="Arial" w:cs="Arial" w:eastAsia="Arial" w:hAnsi="Arial"/>
                <w:sz w:val="14"/>
                <w:szCs w:val="14"/>
                <w:b w:val="1"/>
                <w:bCs w:val="1"/>
                <w:color w:val="auto"/>
                <w:w w:val="99"/>
              </w:rPr>
              <w:t>Gains/(Losses)</w:t>
            </w:r>
          </w:p>
        </w:tc>
        <w:tc>
          <w:tcPr>
            <w:tcW w:w="1040" w:type="dxa"/>
            <w:vAlign w:val="bottom"/>
            <w:gridSpan w:val="3"/>
          </w:tcPr>
          <w:p>
            <w:pPr>
              <w:ind w:left="40"/>
              <w:spacing w:after="0"/>
              <w:rPr>
                <w:sz w:val="20"/>
                <w:szCs w:val="20"/>
                <w:color w:val="auto"/>
              </w:rPr>
            </w:pPr>
            <w:r>
              <w:rPr>
                <w:rFonts w:ascii="Arial" w:cs="Arial" w:eastAsia="Arial" w:hAnsi="Arial"/>
                <w:sz w:val="14"/>
                <w:szCs w:val="14"/>
                <w:b w:val="1"/>
                <w:bCs w:val="1"/>
                <w:color w:val="auto"/>
                <w:w w:val="97"/>
              </w:rPr>
              <w:t>Gains/(Losses)</w:t>
            </w:r>
          </w:p>
        </w:tc>
        <w:tc>
          <w:tcPr>
            <w:tcW w:w="120" w:type="dxa"/>
            <w:vAlign w:val="bottom"/>
          </w:tcPr>
          <w:p>
            <w:pPr>
              <w:spacing w:after="0"/>
              <w:rPr>
                <w:sz w:val="16"/>
                <w:szCs w:val="16"/>
                <w:color w:val="auto"/>
              </w:rPr>
            </w:pPr>
          </w:p>
        </w:tc>
        <w:tc>
          <w:tcPr>
            <w:tcW w:w="820" w:type="dxa"/>
            <w:vAlign w:val="bottom"/>
          </w:tcPr>
          <w:p>
            <w:pPr>
              <w:jc w:val="right"/>
              <w:ind w:right="240"/>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800" w:type="dxa"/>
            <w:vAlign w:val="bottom"/>
          </w:tcPr>
          <w:p>
            <w:pPr>
              <w:jc w:val="right"/>
              <w:ind w:right="121"/>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19"/>
        </w:trPr>
        <w:tc>
          <w:tcPr>
            <w:tcW w:w="266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6"/>
                <w:szCs w:val="16"/>
                <w:color w:val="auto"/>
                <w:w w:val="94"/>
              </w:rPr>
              <w:t>StormWind, LLC–Preferred shares,</w:t>
            </w:r>
          </w:p>
        </w:tc>
        <w:tc>
          <w:tcPr>
            <w:tcW w:w="12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660" w:type="dxa"/>
            <w:vAlign w:val="bottom"/>
            <w:shd w:val="clear" w:color="auto" w:fill="CCEEFF"/>
          </w:tcPr>
          <w:p>
            <w:pPr>
              <w:ind w:left="440"/>
              <w:spacing w:after="0" w:line="239" w:lineRule="exact"/>
              <w:rPr>
                <w:sz w:val="20"/>
                <w:szCs w:val="20"/>
                <w:color w:val="auto"/>
              </w:rPr>
            </w:pPr>
            <w:r>
              <w:rPr>
                <w:rFonts w:ascii="Arial" w:cs="Arial" w:eastAsia="Arial" w:hAnsi="Arial"/>
                <w:sz w:val="16"/>
                <w:szCs w:val="16"/>
                <w:color w:val="auto"/>
              </w:rPr>
              <w:t>Series A</w:t>
            </w:r>
            <w:r>
              <w:rPr>
                <w:rFonts w:ascii="Arial" w:cs="Arial" w:eastAsia="Arial" w:hAnsi="Arial"/>
                <w:sz w:val="21"/>
                <w:szCs w:val="21"/>
                <w:color w:val="auto"/>
                <w:vertAlign w:val="superscript"/>
              </w:rPr>
              <w:t>(3)</w:t>
            </w:r>
          </w:p>
        </w:tc>
        <w:tc>
          <w:tcPr>
            <w:tcW w:w="880" w:type="dxa"/>
            <w:vAlign w:val="bottom"/>
            <w:gridSpan w:val="2"/>
            <w:shd w:val="clear" w:color="auto" w:fill="CCEEFF"/>
          </w:tcPr>
          <w:p>
            <w:pPr>
              <w:jc w:val="center"/>
              <w:ind w:left="79"/>
              <w:spacing w:after="0"/>
              <w:rPr>
                <w:sz w:val="20"/>
                <w:szCs w:val="20"/>
                <w:color w:val="auto"/>
              </w:rPr>
            </w:pPr>
            <w:r>
              <w:rPr>
                <w:rFonts w:ascii="Arial" w:cs="Arial" w:eastAsia="Arial" w:hAnsi="Arial"/>
                <w:sz w:val="16"/>
                <w:szCs w:val="16"/>
                <w:color w:val="auto"/>
                <w:w w:val="89"/>
              </w:rPr>
              <w:t>366,666</w:t>
            </w:r>
          </w:p>
        </w:tc>
        <w:tc>
          <w:tcPr>
            <w:tcW w:w="1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499,796</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(74,454)</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425,342</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0.21%</w:t>
            </w:r>
          </w:p>
        </w:tc>
        <w:tc>
          <w:tcPr>
            <w:tcW w:w="0" w:type="dxa"/>
            <w:vAlign w:val="bottom"/>
          </w:tcPr>
          <w:p>
            <w:pPr>
              <w:spacing w:after="0"/>
              <w:rPr>
                <w:sz w:val="1"/>
                <w:szCs w:val="1"/>
                <w:color w:val="auto"/>
              </w:rPr>
            </w:pPr>
          </w:p>
        </w:tc>
      </w:tr>
      <w:tr>
        <w:trPr>
          <w:trHeight w:val="231"/>
        </w:trPr>
        <w:tc>
          <w:tcPr>
            <w:tcW w:w="2660" w:type="dxa"/>
            <w:vAlign w:val="bottom"/>
          </w:tcPr>
          <w:p>
            <w:pPr>
              <w:ind w:left="180"/>
              <w:spacing w:after="0"/>
              <w:rPr>
                <w:sz w:val="20"/>
                <w:szCs w:val="20"/>
                <w:color w:val="auto"/>
              </w:rPr>
            </w:pPr>
            <w:r>
              <w:rPr>
                <w:rFonts w:ascii="Arial" w:cs="Arial" w:eastAsia="Arial" w:hAnsi="Arial"/>
                <w:sz w:val="16"/>
                <w:szCs w:val="16"/>
                <w:i w:val="1"/>
                <w:iCs w:val="1"/>
                <w:color w:val="auto"/>
              </w:rPr>
              <w:t>Total Interactive Learning</w:t>
            </w: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w w:val="98"/>
              </w:rPr>
              <w:t>9,621,037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0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w w:val="95"/>
              </w:rPr>
              <w:t>3,832,681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w w:val="87"/>
              </w:rPr>
              <w:t>13,453,718</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6.57%</w:t>
            </w:r>
          </w:p>
        </w:tc>
        <w:tc>
          <w:tcPr>
            <w:tcW w:w="0" w:type="dxa"/>
            <w:vAlign w:val="bottom"/>
          </w:tcPr>
          <w:p>
            <w:pPr>
              <w:spacing w:after="0"/>
              <w:rPr>
                <w:sz w:val="1"/>
                <w:szCs w:val="1"/>
                <w:color w:val="auto"/>
              </w:rPr>
            </w:pPr>
          </w:p>
        </w:tc>
      </w:tr>
      <w:tr>
        <w:trPr>
          <w:trHeight w:val="33"/>
        </w:trPr>
        <w:tc>
          <w:tcPr>
            <w:tcW w:w="2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Preferred Stock</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93"/>
              </w:rPr>
              <w:t>475,000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87"/>
              </w:rPr>
              <w:t>18,035,816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95"/>
              </w:rPr>
              <w:t>4,633,642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87"/>
              </w:rPr>
              <w:t>22,669,458</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11.07%</w:t>
            </w:r>
          </w:p>
        </w:tc>
        <w:tc>
          <w:tcPr>
            <w:tcW w:w="0" w:type="dxa"/>
            <w:vAlign w:val="bottom"/>
          </w:tcPr>
          <w:p>
            <w:pPr>
              <w:spacing w:after="0"/>
              <w:rPr>
                <w:sz w:val="1"/>
                <w:szCs w:val="1"/>
                <w:color w:val="auto"/>
              </w:rPr>
            </w:pPr>
          </w:p>
        </w:tc>
      </w:tr>
      <w:tr>
        <w:trPr>
          <w:trHeight w:val="237"/>
        </w:trPr>
        <w:tc>
          <w:tcPr>
            <w:tcW w:w="2660" w:type="dxa"/>
            <w:vAlign w:val="bottom"/>
          </w:tcPr>
          <w:p>
            <w:pPr>
              <w:ind w:left="40"/>
              <w:spacing w:after="0"/>
              <w:rPr>
                <w:sz w:val="20"/>
                <w:szCs w:val="20"/>
                <w:color w:val="auto"/>
              </w:rPr>
            </w:pPr>
            <w:r>
              <w:rPr>
                <w:rFonts w:ascii="Arial" w:cs="Arial" w:eastAsia="Arial" w:hAnsi="Arial"/>
                <w:sz w:val="16"/>
                <w:szCs w:val="16"/>
                <w:b w:val="1"/>
                <w:bCs w:val="1"/>
                <w:color w:val="auto"/>
              </w:rPr>
              <w:t>Warrants</w:t>
            </w: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i w:val="1"/>
                <w:iCs w:val="1"/>
                <w:color w:val="auto"/>
              </w:rPr>
              <w:t>Global Innovation Platform</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660" w:type="dxa"/>
            <w:vAlign w:val="bottom"/>
          </w:tcPr>
          <w:p>
            <w:pPr>
              <w:ind w:left="280"/>
              <w:spacing w:after="0"/>
              <w:rPr>
                <w:sz w:val="20"/>
                <w:szCs w:val="20"/>
                <w:color w:val="auto"/>
              </w:rPr>
            </w:pPr>
            <w:r>
              <w:rPr>
                <w:rFonts w:ascii="Arial" w:cs="Arial" w:eastAsia="Arial" w:hAnsi="Arial"/>
                <w:sz w:val="16"/>
                <w:szCs w:val="16"/>
                <w:color w:val="auto"/>
              </w:rPr>
              <w:t>NestGSV, Inc. (d/b/a GSV Labs,</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660" w:type="dxa"/>
            <w:vAlign w:val="bottom"/>
          </w:tcPr>
          <w:p>
            <w:pPr>
              <w:ind w:left="440"/>
              <w:spacing w:after="0"/>
              <w:rPr>
                <w:sz w:val="20"/>
                <w:szCs w:val="20"/>
                <w:color w:val="auto"/>
              </w:rPr>
            </w:pPr>
            <w:r>
              <w:rPr>
                <w:rFonts w:ascii="Arial" w:cs="Arial" w:eastAsia="Arial" w:hAnsi="Arial"/>
                <w:sz w:val="16"/>
                <w:szCs w:val="16"/>
                <w:color w:val="auto"/>
                <w:w w:val="92"/>
              </w:rPr>
              <w:t>Inc.)–Preferred Warrant Series A-</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60" w:type="dxa"/>
            <w:vAlign w:val="bottom"/>
          </w:tcPr>
          <w:p>
            <w:pPr>
              <w:ind w:left="440"/>
              <w:spacing w:after="0"/>
              <w:rPr>
                <w:sz w:val="20"/>
                <w:szCs w:val="20"/>
                <w:color w:val="auto"/>
              </w:rPr>
            </w:pPr>
            <w:r>
              <w:rPr>
                <w:rFonts w:ascii="Arial" w:cs="Arial" w:eastAsia="Arial" w:hAnsi="Arial"/>
                <w:sz w:val="16"/>
                <w:szCs w:val="16"/>
                <w:color w:val="auto"/>
                <w:w w:val="98"/>
              </w:rPr>
              <w:t>3–Strike Price $1.33, Expiration</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660" w:type="dxa"/>
            <w:vAlign w:val="bottom"/>
          </w:tcPr>
          <w:p>
            <w:pPr>
              <w:ind w:left="440"/>
              <w:spacing w:after="0"/>
              <w:rPr>
                <w:sz w:val="20"/>
                <w:szCs w:val="20"/>
                <w:color w:val="auto"/>
              </w:rPr>
            </w:pPr>
            <w:r>
              <w:rPr>
                <w:rFonts w:ascii="Arial" w:cs="Arial" w:eastAsia="Arial" w:hAnsi="Arial"/>
                <w:sz w:val="16"/>
                <w:szCs w:val="16"/>
                <w:color w:val="auto"/>
              </w:rPr>
              <w:t>Date 4/4/2019</w:t>
            </w:r>
          </w:p>
        </w:tc>
        <w:tc>
          <w:tcPr>
            <w:tcW w:w="880" w:type="dxa"/>
            <w:vAlign w:val="bottom"/>
            <w:gridSpan w:val="2"/>
          </w:tcPr>
          <w:p>
            <w:pPr>
              <w:jc w:val="center"/>
              <w:ind w:left="79"/>
              <w:spacing w:after="0"/>
              <w:rPr>
                <w:sz w:val="20"/>
                <w:szCs w:val="20"/>
                <w:color w:val="auto"/>
              </w:rPr>
            </w:pPr>
            <w:r>
              <w:rPr>
                <w:rFonts w:ascii="Arial" w:cs="Arial" w:eastAsia="Arial" w:hAnsi="Arial"/>
                <w:sz w:val="16"/>
                <w:szCs w:val="16"/>
                <w:color w:val="auto"/>
                <w:w w:val="89"/>
              </w:rPr>
              <w:t>187,500</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5,625</w:t>
            </w:r>
          </w:p>
        </w:tc>
        <w:tc>
          <w:tcPr>
            <w:tcW w:w="100" w:type="dxa"/>
            <w:vAlign w:val="bottom"/>
          </w:tcPr>
          <w:p>
            <w:pPr>
              <w:spacing w:after="0"/>
              <w:rPr>
                <w:sz w:val="17"/>
                <w:szCs w:val="17"/>
                <w:color w:val="auto"/>
              </w:rPr>
            </w:pP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ind w:left="40"/>
              <w:spacing w:after="0"/>
              <w:rPr>
                <w:sz w:val="20"/>
                <w:szCs w:val="20"/>
                <w:color w:val="auto"/>
              </w:rPr>
            </w:pPr>
            <w:r>
              <w:rPr>
                <w:rFonts w:ascii="Arial" w:cs="Arial" w:eastAsia="Arial" w:hAnsi="Arial"/>
                <w:sz w:val="16"/>
                <w:szCs w:val="16"/>
                <w:color w:val="auto"/>
              </w:rPr>
              <w:t>$</w:t>
            </w:r>
          </w:p>
        </w:tc>
        <w:tc>
          <w:tcPr>
            <w:tcW w:w="90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(3,750)</w:t>
            </w:r>
          </w:p>
        </w:tc>
        <w:tc>
          <w:tcPr>
            <w:tcW w:w="100" w:type="dxa"/>
            <w:vAlign w:val="bottom"/>
          </w:tcPr>
          <w:p>
            <w:pPr>
              <w:spacing w:after="0"/>
              <w:rPr>
                <w:sz w:val="17"/>
                <w:szCs w:val="17"/>
                <w:color w:val="auto"/>
              </w:rPr>
            </w:pP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1,875</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0.00%</w:t>
            </w:r>
          </w:p>
        </w:tc>
        <w:tc>
          <w:tcPr>
            <w:tcW w:w="0" w:type="dxa"/>
            <w:vAlign w:val="bottom"/>
          </w:tcPr>
          <w:p>
            <w:pPr>
              <w:spacing w:after="0"/>
              <w:rPr>
                <w:sz w:val="1"/>
                <w:szCs w:val="1"/>
                <w:color w:val="auto"/>
              </w:rPr>
            </w:pPr>
          </w:p>
        </w:tc>
      </w:tr>
      <w:tr>
        <w:trPr>
          <w:trHeight w:val="33"/>
        </w:trPr>
        <w:tc>
          <w:tcPr>
            <w:tcW w:w="2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6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NestGSV, Inc. (d/b/a GSV Labs,</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660" w:type="dxa"/>
            <w:vAlign w:val="bottom"/>
            <w:shd w:val="clear" w:color="auto" w:fill="CCEEFF"/>
          </w:tcPr>
          <w:p>
            <w:pPr>
              <w:ind w:left="440"/>
              <w:spacing w:after="0"/>
              <w:rPr>
                <w:sz w:val="20"/>
                <w:szCs w:val="20"/>
                <w:color w:val="auto"/>
              </w:rPr>
            </w:pPr>
            <w:r>
              <w:rPr>
                <w:rFonts w:ascii="Arial" w:cs="Arial" w:eastAsia="Arial" w:hAnsi="Arial"/>
                <w:sz w:val="16"/>
                <w:szCs w:val="16"/>
                <w:color w:val="auto"/>
                <w:w w:val="92"/>
              </w:rPr>
              <w:t>Inc.)–Preferred Warrant Series A-</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60" w:type="dxa"/>
            <w:vAlign w:val="bottom"/>
            <w:shd w:val="clear" w:color="auto" w:fill="CCEEFF"/>
          </w:tcPr>
          <w:p>
            <w:pPr>
              <w:ind w:left="440"/>
              <w:spacing w:after="0"/>
              <w:rPr>
                <w:sz w:val="20"/>
                <w:szCs w:val="20"/>
                <w:color w:val="auto"/>
              </w:rPr>
            </w:pPr>
            <w:r>
              <w:rPr>
                <w:rFonts w:ascii="Arial" w:cs="Arial" w:eastAsia="Arial" w:hAnsi="Arial"/>
                <w:sz w:val="16"/>
                <w:szCs w:val="16"/>
                <w:color w:val="auto"/>
                <w:w w:val="98"/>
              </w:rPr>
              <w:t>4–Strike Price $1.33, Expiration</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6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Date 10/6/2019</w:t>
            </w:r>
          </w:p>
        </w:tc>
        <w:tc>
          <w:tcPr>
            <w:tcW w:w="880" w:type="dxa"/>
            <w:vAlign w:val="bottom"/>
            <w:tcBorders>
              <w:bottom w:val="single" w:sz="8" w:color="CCEEFF"/>
            </w:tcBorders>
            <w:gridSpan w:val="2"/>
            <w:shd w:val="clear" w:color="auto" w:fill="CCEEFF"/>
          </w:tcPr>
          <w:p>
            <w:pPr>
              <w:jc w:val="center"/>
              <w:ind w:left="79"/>
              <w:spacing w:after="0"/>
              <w:rPr>
                <w:sz w:val="20"/>
                <w:szCs w:val="20"/>
                <w:color w:val="auto"/>
              </w:rPr>
            </w:pPr>
            <w:r>
              <w:rPr>
                <w:rFonts w:ascii="Arial" w:cs="Arial" w:eastAsia="Arial" w:hAnsi="Arial"/>
                <w:sz w:val="16"/>
                <w:szCs w:val="16"/>
                <w:color w:val="auto"/>
                <w:w w:val="89"/>
              </w:rPr>
              <w:t>500,000</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40,000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120,000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160,000</w:t>
            </w: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0.08%</w:t>
            </w:r>
          </w:p>
        </w:tc>
        <w:tc>
          <w:tcPr>
            <w:tcW w:w="0" w:type="dxa"/>
            <w:vAlign w:val="bottom"/>
          </w:tcPr>
          <w:p>
            <w:pPr>
              <w:spacing w:after="0"/>
              <w:rPr>
                <w:sz w:val="1"/>
                <w:szCs w:val="1"/>
                <w:color w:val="auto"/>
              </w:rPr>
            </w:pPr>
          </w:p>
        </w:tc>
      </w:tr>
      <w:tr>
        <w:trPr>
          <w:trHeight w:val="220"/>
        </w:trPr>
        <w:tc>
          <w:tcPr>
            <w:tcW w:w="2660" w:type="dxa"/>
            <w:vAlign w:val="bottom"/>
          </w:tcPr>
          <w:p>
            <w:pPr>
              <w:ind w:left="280"/>
              <w:spacing w:after="0"/>
              <w:rPr>
                <w:sz w:val="20"/>
                <w:szCs w:val="20"/>
                <w:color w:val="auto"/>
              </w:rPr>
            </w:pPr>
            <w:r>
              <w:rPr>
                <w:rFonts w:ascii="Arial" w:cs="Arial" w:eastAsia="Arial" w:hAnsi="Arial"/>
                <w:sz w:val="16"/>
                <w:szCs w:val="16"/>
                <w:color w:val="auto"/>
              </w:rPr>
              <w:t>NestGSV, Inc. (d/b/a GSV Labs,</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660" w:type="dxa"/>
            <w:vAlign w:val="bottom"/>
          </w:tcPr>
          <w:p>
            <w:pPr>
              <w:ind w:left="440"/>
              <w:spacing w:after="0"/>
              <w:rPr>
                <w:sz w:val="20"/>
                <w:szCs w:val="20"/>
                <w:color w:val="auto"/>
              </w:rPr>
            </w:pPr>
            <w:r>
              <w:rPr>
                <w:rFonts w:ascii="Arial" w:cs="Arial" w:eastAsia="Arial" w:hAnsi="Arial"/>
                <w:sz w:val="16"/>
                <w:szCs w:val="16"/>
                <w:color w:val="auto"/>
                <w:w w:val="92"/>
              </w:rPr>
              <w:t>Inc.)–Preferred Warrant Series A-</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60" w:type="dxa"/>
            <w:vAlign w:val="bottom"/>
          </w:tcPr>
          <w:p>
            <w:pPr>
              <w:ind w:left="440"/>
              <w:spacing w:after="0"/>
              <w:rPr>
                <w:sz w:val="20"/>
                <w:szCs w:val="20"/>
                <w:color w:val="auto"/>
              </w:rPr>
            </w:pPr>
            <w:r>
              <w:rPr>
                <w:rFonts w:ascii="Arial" w:cs="Arial" w:eastAsia="Arial" w:hAnsi="Arial"/>
                <w:sz w:val="16"/>
                <w:szCs w:val="16"/>
                <w:color w:val="auto"/>
                <w:w w:val="98"/>
              </w:rPr>
              <w:t>4–Strike Price $1.33, Expiration</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660" w:type="dxa"/>
            <w:vAlign w:val="bottom"/>
          </w:tcPr>
          <w:p>
            <w:pPr>
              <w:ind w:left="440"/>
              <w:spacing w:after="0"/>
              <w:rPr>
                <w:sz w:val="20"/>
                <w:szCs w:val="20"/>
                <w:color w:val="auto"/>
              </w:rPr>
            </w:pPr>
            <w:r>
              <w:rPr>
                <w:rFonts w:ascii="Arial" w:cs="Arial" w:eastAsia="Arial" w:hAnsi="Arial"/>
                <w:sz w:val="16"/>
                <w:szCs w:val="16"/>
                <w:color w:val="auto"/>
              </w:rPr>
              <w:t>Date 7/18/2021</w:t>
            </w:r>
          </w:p>
        </w:tc>
        <w:tc>
          <w:tcPr>
            <w:tcW w:w="880" w:type="dxa"/>
            <w:vAlign w:val="bottom"/>
            <w:gridSpan w:val="2"/>
          </w:tcPr>
          <w:p>
            <w:pPr>
              <w:jc w:val="center"/>
              <w:ind w:left="79"/>
              <w:spacing w:after="0"/>
              <w:rPr>
                <w:sz w:val="20"/>
                <w:szCs w:val="20"/>
                <w:color w:val="auto"/>
              </w:rPr>
            </w:pPr>
            <w:r>
              <w:rPr>
                <w:rFonts w:ascii="Arial" w:cs="Arial" w:eastAsia="Arial" w:hAnsi="Arial"/>
                <w:sz w:val="16"/>
                <w:szCs w:val="16"/>
                <w:color w:val="auto"/>
                <w:w w:val="89"/>
              </w:rPr>
              <w:t>250,000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22,500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0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80,000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102,500</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0.05%</w:t>
            </w:r>
          </w:p>
        </w:tc>
        <w:tc>
          <w:tcPr>
            <w:tcW w:w="0" w:type="dxa"/>
            <w:vAlign w:val="bottom"/>
          </w:tcPr>
          <w:p>
            <w:pPr>
              <w:spacing w:after="0"/>
              <w:rPr>
                <w:sz w:val="1"/>
                <w:szCs w:val="1"/>
                <w:color w:val="auto"/>
              </w:rPr>
            </w:pPr>
          </w:p>
        </w:tc>
      </w:tr>
      <w:tr>
        <w:trPr>
          <w:trHeight w:val="33"/>
        </w:trPr>
        <w:tc>
          <w:tcPr>
            <w:tcW w:w="2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6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NestGSV, Inc. (d/b/a GSV Labs,</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660" w:type="dxa"/>
            <w:vAlign w:val="bottom"/>
            <w:shd w:val="clear" w:color="auto" w:fill="CCEEFF"/>
          </w:tcPr>
          <w:p>
            <w:pPr>
              <w:ind w:left="440"/>
              <w:spacing w:after="0"/>
              <w:rPr>
                <w:sz w:val="20"/>
                <w:szCs w:val="20"/>
                <w:color w:val="auto"/>
              </w:rPr>
            </w:pPr>
            <w:r>
              <w:rPr>
                <w:rFonts w:ascii="Arial" w:cs="Arial" w:eastAsia="Arial" w:hAnsi="Arial"/>
                <w:sz w:val="16"/>
                <w:szCs w:val="16"/>
                <w:color w:val="auto"/>
              </w:rPr>
              <w:t>Inc.)–Preferred Warrant</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60" w:type="dxa"/>
            <w:vAlign w:val="bottom"/>
            <w:shd w:val="clear" w:color="auto" w:fill="CCEEFF"/>
          </w:tcPr>
          <w:p>
            <w:pPr>
              <w:ind w:left="440"/>
              <w:spacing w:after="0"/>
              <w:rPr>
                <w:sz w:val="20"/>
                <w:szCs w:val="20"/>
                <w:color w:val="auto"/>
              </w:rPr>
            </w:pPr>
            <w:r>
              <w:rPr>
                <w:rFonts w:ascii="Arial" w:cs="Arial" w:eastAsia="Arial" w:hAnsi="Arial"/>
                <w:sz w:val="16"/>
                <w:szCs w:val="16"/>
                <w:color w:val="auto"/>
              </w:rPr>
              <w:t>Series B–Strike Price $2.31,</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660" w:type="dxa"/>
            <w:vAlign w:val="bottom"/>
            <w:shd w:val="clear" w:color="auto" w:fill="CCEEFF"/>
          </w:tcPr>
          <w:p>
            <w:pPr>
              <w:ind w:left="440"/>
              <w:spacing w:after="0" w:line="239" w:lineRule="exact"/>
              <w:rPr>
                <w:sz w:val="20"/>
                <w:szCs w:val="20"/>
                <w:color w:val="auto"/>
              </w:rPr>
            </w:pPr>
            <w:r>
              <w:rPr>
                <w:rFonts w:ascii="Arial" w:cs="Arial" w:eastAsia="Arial" w:hAnsi="Arial"/>
                <w:sz w:val="16"/>
                <w:szCs w:val="16"/>
                <w:color w:val="auto"/>
              </w:rPr>
              <w:t>Expiration Date 11/29/2021</w:t>
            </w:r>
            <w:r>
              <w:rPr>
                <w:rFonts w:ascii="Arial" w:cs="Arial" w:eastAsia="Arial" w:hAnsi="Arial"/>
                <w:sz w:val="21"/>
                <w:szCs w:val="21"/>
                <w:color w:val="auto"/>
                <w:vertAlign w:val="superscript"/>
              </w:rPr>
              <w:t>(11)</w:t>
            </w:r>
          </w:p>
        </w:tc>
        <w:tc>
          <w:tcPr>
            <w:tcW w:w="880" w:type="dxa"/>
            <w:vAlign w:val="bottom"/>
            <w:gridSpan w:val="2"/>
            <w:shd w:val="clear" w:color="auto" w:fill="CCEEFF"/>
          </w:tcPr>
          <w:p>
            <w:pPr>
              <w:jc w:val="center"/>
              <w:ind w:left="79"/>
              <w:spacing w:after="0"/>
              <w:rPr>
                <w:sz w:val="20"/>
                <w:szCs w:val="20"/>
                <w:color w:val="auto"/>
              </w:rPr>
            </w:pPr>
            <w:r>
              <w:rPr>
                <w:rFonts w:ascii="Arial" w:cs="Arial" w:eastAsia="Arial" w:hAnsi="Arial"/>
                <w:sz w:val="16"/>
                <w:szCs w:val="16"/>
                <w:color w:val="auto"/>
                <w:w w:val="89"/>
              </w:rPr>
              <w:t>100,000</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9,000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32,000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41,000</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220"/>
        </w:trPr>
        <w:tc>
          <w:tcPr>
            <w:tcW w:w="2660" w:type="dxa"/>
            <w:vAlign w:val="bottom"/>
          </w:tcPr>
          <w:p>
            <w:pPr>
              <w:ind w:left="280"/>
              <w:spacing w:after="0"/>
              <w:rPr>
                <w:sz w:val="20"/>
                <w:szCs w:val="20"/>
                <w:color w:val="auto"/>
              </w:rPr>
            </w:pPr>
            <w:r>
              <w:rPr>
                <w:rFonts w:ascii="Arial" w:cs="Arial" w:eastAsia="Arial" w:hAnsi="Arial"/>
                <w:sz w:val="16"/>
                <w:szCs w:val="16"/>
                <w:color w:val="auto"/>
              </w:rPr>
              <w:t>NestGSV, Inc. (d/b/a GSV Labs,</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660" w:type="dxa"/>
            <w:vAlign w:val="bottom"/>
          </w:tcPr>
          <w:p>
            <w:pPr>
              <w:ind w:left="440"/>
              <w:spacing w:after="0"/>
              <w:rPr>
                <w:sz w:val="20"/>
                <w:szCs w:val="20"/>
                <w:color w:val="auto"/>
              </w:rPr>
            </w:pPr>
            <w:r>
              <w:rPr>
                <w:rFonts w:ascii="Arial" w:cs="Arial" w:eastAsia="Arial" w:hAnsi="Arial"/>
                <w:sz w:val="16"/>
                <w:szCs w:val="16"/>
                <w:color w:val="auto"/>
              </w:rPr>
              <w:t>Inc.)–Preferred Warrant</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60" w:type="dxa"/>
            <w:vAlign w:val="bottom"/>
          </w:tcPr>
          <w:p>
            <w:pPr>
              <w:ind w:left="440"/>
              <w:spacing w:after="0"/>
              <w:rPr>
                <w:sz w:val="20"/>
                <w:szCs w:val="20"/>
                <w:color w:val="auto"/>
              </w:rPr>
            </w:pPr>
            <w:r>
              <w:rPr>
                <w:rFonts w:ascii="Arial" w:cs="Arial" w:eastAsia="Arial" w:hAnsi="Arial"/>
                <w:sz w:val="16"/>
                <w:szCs w:val="16"/>
                <w:color w:val="auto"/>
              </w:rPr>
              <w:t>Series B–Strike Price $2.31,</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660" w:type="dxa"/>
            <w:vAlign w:val="bottom"/>
            <w:tcBorders>
              <w:bottom w:val="single" w:sz="8" w:color="CCEEFF"/>
            </w:tcBorders>
          </w:tcPr>
          <w:p>
            <w:pPr>
              <w:ind w:left="440"/>
              <w:spacing w:after="0" w:line="239" w:lineRule="exact"/>
              <w:rPr>
                <w:sz w:val="20"/>
                <w:szCs w:val="20"/>
                <w:color w:val="auto"/>
              </w:rPr>
            </w:pPr>
            <w:r>
              <w:rPr>
                <w:rFonts w:ascii="Arial" w:cs="Arial" w:eastAsia="Arial" w:hAnsi="Arial"/>
                <w:sz w:val="16"/>
                <w:szCs w:val="16"/>
                <w:color w:val="auto"/>
              </w:rPr>
              <w:t>Expiration Date 5/29/2022</w:t>
            </w:r>
            <w:r>
              <w:rPr>
                <w:rFonts w:ascii="Arial" w:cs="Arial" w:eastAsia="Arial" w:hAnsi="Arial"/>
                <w:sz w:val="21"/>
                <w:szCs w:val="21"/>
                <w:color w:val="auto"/>
                <w:vertAlign w:val="superscript"/>
              </w:rPr>
              <w:t>(4)</w:t>
            </w:r>
          </w:p>
        </w:tc>
        <w:tc>
          <w:tcPr>
            <w:tcW w:w="880" w:type="dxa"/>
            <w:vAlign w:val="bottom"/>
            <w:tcBorders>
              <w:bottom w:val="single" w:sz="8" w:color="CCEEFF"/>
            </w:tcBorders>
            <w:gridSpan w:val="2"/>
          </w:tcPr>
          <w:p>
            <w:pPr>
              <w:jc w:val="center"/>
              <w:ind w:left="79"/>
              <w:spacing w:after="0"/>
              <w:rPr>
                <w:sz w:val="20"/>
                <w:szCs w:val="20"/>
                <w:color w:val="auto"/>
              </w:rPr>
            </w:pPr>
            <w:r>
              <w:rPr>
                <w:rFonts w:ascii="Arial" w:cs="Arial" w:eastAsia="Arial" w:hAnsi="Arial"/>
                <w:sz w:val="16"/>
                <w:szCs w:val="16"/>
                <w:color w:val="auto"/>
                <w:w w:val="89"/>
              </w:rPr>
              <w:t>125,000</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70,379</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ind w:left="5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9,621</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80,000</w:t>
            </w:r>
          </w:p>
        </w:tc>
        <w:tc>
          <w:tcPr>
            <w:tcW w:w="100" w:type="dxa"/>
            <w:vAlign w:val="bottom"/>
            <w:tcBorders>
              <w:bottom w:val="single" w:sz="8" w:color="CCEEFF"/>
            </w:tcBorders>
          </w:tcPr>
          <w:p>
            <w:pPr>
              <w:spacing w:after="0"/>
              <w:rPr>
                <w:sz w:val="20"/>
                <w:szCs w:val="20"/>
                <w:color w:val="auto"/>
              </w:rPr>
            </w:pPr>
          </w:p>
        </w:tc>
        <w:tc>
          <w:tcPr>
            <w:tcW w:w="8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0.04%</w:t>
            </w:r>
          </w:p>
        </w:tc>
        <w:tc>
          <w:tcPr>
            <w:tcW w:w="0" w:type="dxa"/>
            <w:vAlign w:val="bottom"/>
          </w:tcPr>
          <w:p>
            <w:pPr>
              <w:spacing w:after="0"/>
              <w:rPr>
                <w:sz w:val="1"/>
                <w:szCs w:val="1"/>
                <w:color w:val="auto"/>
              </w:rPr>
            </w:pPr>
          </w:p>
        </w:tc>
      </w:tr>
      <w:tr>
        <w:trPr>
          <w:trHeight w:val="244"/>
        </w:trPr>
        <w:tc>
          <w:tcPr>
            <w:tcW w:w="2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i w:val="1"/>
                <w:iCs w:val="1"/>
                <w:color w:val="auto"/>
              </w:rPr>
              <w:t>Total Global Innovation Platform</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77,125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70,379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237,871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385,375</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0.19%</w:t>
            </w:r>
          </w:p>
        </w:tc>
        <w:tc>
          <w:tcPr>
            <w:tcW w:w="0" w:type="dxa"/>
            <w:vAlign w:val="bottom"/>
          </w:tcPr>
          <w:p>
            <w:pPr>
              <w:spacing w:after="0"/>
              <w:rPr>
                <w:sz w:val="1"/>
                <w:szCs w:val="1"/>
                <w:color w:val="auto"/>
              </w:rPr>
            </w:pPr>
          </w:p>
        </w:tc>
      </w:tr>
      <w:tr>
        <w:trPr>
          <w:trHeight w:val="237"/>
        </w:trPr>
        <w:tc>
          <w:tcPr>
            <w:tcW w:w="2660" w:type="dxa"/>
            <w:vAlign w:val="bottom"/>
          </w:tcPr>
          <w:p>
            <w:pPr>
              <w:ind w:left="40"/>
              <w:spacing w:after="0"/>
              <w:rPr>
                <w:sz w:val="20"/>
                <w:szCs w:val="20"/>
                <w:color w:val="auto"/>
              </w:rPr>
            </w:pPr>
            <w:r>
              <w:rPr>
                <w:rFonts w:ascii="Arial" w:cs="Arial" w:eastAsia="Arial" w:hAnsi="Arial"/>
                <w:sz w:val="16"/>
                <w:szCs w:val="16"/>
                <w:b w:val="1"/>
                <w:bCs w:val="1"/>
                <w:color w:val="auto"/>
              </w:rPr>
              <w:t>Total Warrants</w:t>
            </w: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77,125</w:t>
            </w:r>
          </w:p>
        </w:tc>
        <w:tc>
          <w:tcPr>
            <w:tcW w:w="100" w:type="dxa"/>
            <w:vAlign w:val="bottom"/>
          </w:tcPr>
          <w:p>
            <w:pPr>
              <w:spacing w:after="0"/>
              <w:rPr>
                <w:sz w:val="20"/>
                <w:szCs w:val="20"/>
                <w:color w:val="auto"/>
              </w:rPr>
            </w:pP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70,379</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ind w:left="40"/>
              <w:spacing w:after="0"/>
              <w:rPr>
                <w:sz w:val="20"/>
                <w:szCs w:val="20"/>
                <w:color w:val="auto"/>
              </w:rPr>
            </w:pPr>
            <w:r>
              <w:rPr>
                <w:rFonts w:ascii="Arial" w:cs="Arial" w:eastAsia="Arial" w:hAnsi="Arial"/>
                <w:sz w:val="16"/>
                <w:szCs w:val="16"/>
                <w:color w:val="auto"/>
              </w:rPr>
              <w:t>$</w:t>
            </w:r>
          </w:p>
        </w:tc>
        <w:tc>
          <w:tcPr>
            <w:tcW w:w="90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237,871</w:t>
            </w:r>
          </w:p>
        </w:tc>
        <w:tc>
          <w:tcPr>
            <w:tcW w:w="100" w:type="dxa"/>
            <w:vAlign w:val="bottom"/>
          </w:tcPr>
          <w:p>
            <w:pPr>
              <w:spacing w:after="0"/>
              <w:rPr>
                <w:sz w:val="20"/>
                <w:szCs w:val="20"/>
                <w:color w:val="auto"/>
              </w:rPr>
            </w:pP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385,375</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0.19%</w:t>
            </w:r>
          </w:p>
        </w:tc>
        <w:tc>
          <w:tcPr>
            <w:tcW w:w="0" w:type="dxa"/>
            <w:vAlign w:val="bottom"/>
          </w:tcPr>
          <w:p>
            <w:pPr>
              <w:spacing w:after="0"/>
              <w:rPr>
                <w:sz w:val="1"/>
                <w:szCs w:val="1"/>
                <w:color w:val="auto"/>
              </w:rPr>
            </w:pPr>
          </w:p>
        </w:tc>
      </w:tr>
      <w:tr>
        <w:trPr>
          <w:trHeight w:val="33"/>
        </w:trPr>
        <w:tc>
          <w:tcPr>
            <w:tcW w:w="2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Common Stock</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660" w:type="dxa"/>
            <w:vAlign w:val="bottom"/>
          </w:tcPr>
          <w:p>
            <w:pPr>
              <w:ind w:left="180"/>
              <w:spacing w:after="0"/>
              <w:rPr>
                <w:sz w:val="20"/>
                <w:szCs w:val="20"/>
                <w:color w:val="auto"/>
              </w:rPr>
            </w:pPr>
            <w:r>
              <w:rPr>
                <w:rFonts w:ascii="Arial" w:cs="Arial" w:eastAsia="Arial" w:hAnsi="Arial"/>
                <w:sz w:val="16"/>
                <w:szCs w:val="16"/>
                <w:i w:val="1"/>
                <w:iCs w:val="1"/>
                <w:color w:val="auto"/>
              </w:rPr>
              <w:t>Clean Technology</w:t>
            </w: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6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SPBRX, INC. (f/k/a GSV</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660" w:type="dxa"/>
            <w:vAlign w:val="bottom"/>
            <w:shd w:val="clear" w:color="auto" w:fill="CCEEFF"/>
          </w:tcPr>
          <w:p>
            <w:pPr>
              <w:ind w:left="440"/>
              <w:spacing w:after="0"/>
              <w:rPr>
                <w:sz w:val="20"/>
                <w:szCs w:val="20"/>
                <w:color w:val="auto"/>
              </w:rPr>
            </w:pPr>
            <w:r>
              <w:rPr>
                <w:rFonts w:ascii="Arial" w:cs="Arial" w:eastAsia="Arial" w:hAnsi="Arial"/>
                <w:sz w:val="16"/>
                <w:szCs w:val="16"/>
                <w:color w:val="auto"/>
              </w:rPr>
              <w:t>Sustainability Partners, Inc.)–</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6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Common shares</w:t>
            </w:r>
          </w:p>
        </w:tc>
        <w:tc>
          <w:tcPr>
            <w:tcW w:w="880" w:type="dxa"/>
            <w:vAlign w:val="bottom"/>
            <w:tcBorders>
              <w:bottom w:val="single" w:sz="8" w:color="CCEEFF"/>
            </w:tcBorders>
            <w:gridSpan w:val="2"/>
            <w:shd w:val="clear" w:color="auto" w:fill="CCEEFF"/>
          </w:tcPr>
          <w:p>
            <w:pPr>
              <w:jc w:val="center"/>
              <w:ind w:left="79"/>
              <w:spacing w:after="0"/>
              <w:rPr>
                <w:sz w:val="20"/>
                <w:szCs w:val="20"/>
                <w:color w:val="auto"/>
              </w:rPr>
            </w:pPr>
            <w:r>
              <w:rPr>
                <w:rFonts w:ascii="Arial" w:cs="Arial" w:eastAsia="Arial" w:hAnsi="Arial"/>
                <w:sz w:val="16"/>
                <w:szCs w:val="16"/>
                <w:color w:val="auto"/>
                <w:w w:val="89"/>
              </w:rPr>
              <w:t>100,000</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660" w:type="dxa"/>
            <w:vAlign w:val="bottom"/>
          </w:tcPr>
          <w:p>
            <w:pPr>
              <w:ind w:left="180"/>
              <w:spacing w:after="0"/>
              <w:rPr>
                <w:sz w:val="20"/>
                <w:szCs w:val="20"/>
                <w:color w:val="auto"/>
              </w:rPr>
            </w:pPr>
            <w:r>
              <w:rPr>
                <w:rFonts w:ascii="Arial" w:cs="Arial" w:eastAsia="Arial" w:hAnsi="Arial"/>
                <w:sz w:val="16"/>
                <w:szCs w:val="16"/>
                <w:i w:val="1"/>
                <w:iCs w:val="1"/>
                <w:color w:val="auto"/>
              </w:rPr>
              <w:t>Global Innovation Platform</w:t>
            </w: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6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NestGSV, Inc. (d/b/a GSV Labs,</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6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Inc.)–Common shares</w:t>
            </w:r>
          </w:p>
        </w:tc>
        <w:tc>
          <w:tcPr>
            <w:tcW w:w="880" w:type="dxa"/>
            <w:vAlign w:val="bottom"/>
            <w:tcBorders>
              <w:bottom w:val="single" w:sz="8" w:color="CCEEFF"/>
            </w:tcBorders>
            <w:gridSpan w:val="2"/>
            <w:shd w:val="clear" w:color="auto" w:fill="CCEEFF"/>
          </w:tcPr>
          <w:p>
            <w:pPr>
              <w:jc w:val="center"/>
              <w:ind w:left="79"/>
              <w:spacing w:after="0"/>
              <w:rPr>
                <w:sz w:val="20"/>
                <w:szCs w:val="20"/>
                <w:color w:val="auto"/>
              </w:rPr>
            </w:pPr>
            <w:r>
              <w:rPr>
                <w:rFonts w:ascii="Arial" w:cs="Arial" w:eastAsia="Arial" w:hAnsi="Arial"/>
                <w:sz w:val="16"/>
                <w:szCs w:val="16"/>
                <w:color w:val="auto"/>
                <w:w w:val="89"/>
              </w:rPr>
              <w:t>200,000</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660" w:type="dxa"/>
            <w:vAlign w:val="bottom"/>
          </w:tcPr>
          <w:p>
            <w:pPr>
              <w:ind w:left="40"/>
              <w:spacing w:after="0"/>
              <w:rPr>
                <w:sz w:val="20"/>
                <w:szCs w:val="20"/>
                <w:color w:val="auto"/>
              </w:rPr>
            </w:pPr>
            <w:r>
              <w:rPr>
                <w:rFonts w:ascii="Arial" w:cs="Arial" w:eastAsia="Arial" w:hAnsi="Arial"/>
                <w:sz w:val="16"/>
                <w:szCs w:val="16"/>
                <w:b w:val="1"/>
                <w:bCs w:val="1"/>
                <w:color w:val="auto"/>
              </w:rPr>
              <w:t>Total Common Stock</w:t>
            </w: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ind w:left="40"/>
              <w:spacing w:after="0"/>
              <w:rPr>
                <w:sz w:val="20"/>
                <w:szCs w:val="20"/>
                <w:color w:val="auto"/>
              </w:rPr>
            </w:pPr>
            <w:r>
              <w:rPr>
                <w:rFonts w:ascii="Arial" w:cs="Arial" w:eastAsia="Arial" w:hAnsi="Arial"/>
                <w:sz w:val="16"/>
                <w:szCs w:val="16"/>
                <w:color w:val="auto"/>
              </w:rPr>
              <w:t>$</w:t>
            </w:r>
          </w:p>
        </w:tc>
        <w:tc>
          <w:tcPr>
            <w:tcW w:w="90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6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TOTAL CONTROLLED</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680" w:type="dxa"/>
            <w:vAlign w:val="bottom"/>
            <w:vMerge w:val="restart"/>
            <w:shd w:val="clear" w:color="auto" w:fill="CCEEFF"/>
          </w:tcPr>
          <w:p>
            <w:pPr>
              <w:jc w:val="right"/>
              <w:ind w:right="41"/>
              <w:spacing w:after="0"/>
              <w:rPr>
                <w:sz w:val="20"/>
                <w:szCs w:val="20"/>
                <w:color w:val="auto"/>
              </w:rPr>
            </w:pPr>
            <w:r>
              <w:rPr>
                <w:rFonts w:ascii="Arial" w:cs="Arial" w:eastAsia="Arial" w:hAnsi="Arial"/>
                <w:sz w:val="16"/>
                <w:szCs w:val="16"/>
                <w:b w:val="1"/>
                <w:bCs w:val="1"/>
                <w:color w:val="auto"/>
                <w:w w:val="93"/>
              </w:rPr>
              <w:t>724,839</w:t>
            </w:r>
          </w:p>
        </w:tc>
        <w:tc>
          <w:tcPr>
            <w:tcW w:w="10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ind w:left="40"/>
              <w:spacing w:after="0"/>
              <w:rPr>
                <w:sz w:val="20"/>
                <w:szCs w:val="20"/>
                <w:color w:val="auto"/>
              </w:rPr>
            </w:pPr>
            <w:r>
              <w:rPr>
                <w:rFonts w:ascii="Arial" w:cs="Arial" w:eastAsia="Arial" w:hAnsi="Arial"/>
                <w:sz w:val="15"/>
                <w:szCs w:val="15"/>
                <w:b w:val="1"/>
                <w:bCs w:val="1"/>
                <w:color w:val="auto"/>
                <w:w w:val="71"/>
              </w:rPr>
              <w:t>$</w:t>
            </w:r>
          </w:p>
        </w:tc>
        <w:tc>
          <w:tcPr>
            <w:tcW w:w="82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b w:val="1"/>
                <w:bCs w:val="1"/>
                <w:color w:val="auto"/>
                <w:w w:val="87"/>
              </w:rPr>
              <w:t>19,037,566</w:t>
            </w:r>
          </w:p>
        </w:tc>
        <w:tc>
          <w:tcPr>
            <w:tcW w:w="10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ind w:left="40"/>
              <w:spacing w:after="0"/>
              <w:rPr>
                <w:sz w:val="20"/>
                <w:szCs w:val="20"/>
                <w:color w:val="auto"/>
              </w:rPr>
            </w:pPr>
            <w:r>
              <w:rPr>
                <w:rFonts w:ascii="Arial" w:cs="Arial" w:eastAsia="Arial" w:hAnsi="Arial"/>
                <w:sz w:val="15"/>
                <w:szCs w:val="15"/>
                <w:b w:val="1"/>
                <w:bCs w:val="1"/>
                <w:color w:val="auto"/>
                <w:w w:val="71"/>
              </w:rPr>
              <w:t>$</w:t>
            </w:r>
          </w:p>
        </w:tc>
        <w:tc>
          <w:tcPr>
            <w:tcW w:w="78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793,873</w:t>
            </w:r>
          </w:p>
        </w:tc>
        <w:tc>
          <w:tcPr>
            <w:tcW w:w="10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87"/>
              </w:rPr>
              <w:t>(526,000)</w:t>
            </w:r>
          </w:p>
        </w:tc>
        <w:tc>
          <w:tcPr>
            <w:tcW w:w="10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ind w:left="40"/>
              <w:spacing w:after="0"/>
              <w:rPr>
                <w:sz w:val="20"/>
                <w:szCs w:val="20"/>
                <w:color w:val="auto"/>
              </w:rPr>
            </w:pPr>
            <w:r>
              <w:rPr>
                <w:rFonts w:ascii="Arial" w:cs="Arial" w:eastAsia="Arial" w:hAnsi="Arial"/>
                <w:sz w:val="16"/>
                <w:szCs w:val="16"/>
                <w:b w:val="1"/>
                <w:bCs w:val="1"/>
                <w:color w:val="auto"/>
              </w:rPr>
              <w:t>$</w:t>
            </w:r>
          </w:p>
        </w:tc>
        <w:tc>
          <w:tcPr>
            <w:tcW w:w="900" w:type="dxa"/>
            <w:vAlign w:val="bottom"/>
            <w:gridSpan w:val="2"/>
            <w:vMerge w:val="restart"/>
            <w:shd w:val="clear" w:color="auto" w:fill="CCEEFF"/>
          </w:tcPr>
          <w:p>
            <w:pPr>
              <w:ind w:left="500"/>
              <w:spacing w:after="0"/>
              <w:rPr>
                <w:sz w:val="20"/>
                <w:szCs w:val="20"/>
                <w:color w:val="auto"/>
              </w:rPr>
            </w:pPr>
            <w:r>
              <w:rPr>
                <w:rFonts w:ascii="Arial" w:cs="Arial" w:eastAsia="Arial" w:hAnsi="Arial"/>
                <w:sz w:val="16"/>
                <w:szCs w:val="16"/>
                <w:b w:val="1"/>
                <w:bCs w:val="1"/>
                <w:color w:val="auto"/>
              </w:rPr>
              <w:t>—</w:t>
            </w:r>
          </w:p>
        </w:tc>
        <w:tc>
          <w:tcPr>
            <w:tcW w:w="120" w:type="dxa"/>
            <w:vAlign w:val="bottom"/>
            <w:vMerge w:val="restart"/>
            <w:shd w:val="clear" w:color="auto" w:fill="CCEEFF"/>
          </w:tcPr>
          <w:p>
            <w:pPr>
              <w:ind w:left="40"/>
              <w:spacing w:after="0"/>
              <w:rPr>
                <w:sz w:val="20"/>
                <w:szCs w:val="20"/>
                <w:color w:val="auto"/>
              </w:rPr>
            </w:pPr>
            <w:r>
              <w:rPr>
                <w:rFonts w:ascii="Arial" w:cs="Arial" w:eastAsia="Arial" w:hAnsi="Arial"/>
                <w:sz w:val="15"/>
                <w:szCs w:val="15"/>
                <w:b w:val="1"/>
                <w:bCs w:val="1"/>
                <w:color w:val="auto"/>
                <w:w w:val="71"/>
              </w:rPr>
              <w:t>$</w:t>
            </w:r>
          </w:p>
        </w:tc>
        <w:tc>
          <w:tcPr>
            <w:tcW w:w="82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b w:val="1"/>
                <w:bCs w:val="1"/>
                <w:color w:val="auto"/>
                <w:w w:val="95"/>
              </w:rPr>
              <w:t>4,901,722</w:t>
            </w:r>
          </w:p>
        </w:tc>
        <w:tc>
          <w:tcPr>
            <w:tcW w:w="10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ind w:left="40"/>
              <w:spacing w:after="0"/>
              <w:rPr>
                <w:sz w:val="20"/>
                <w:szCs w:val="20"/>
                <w:color w:val="auto"/>
              </w:rPr>
            </w:pPr>
            <w:r>
              <w:rPr>
                <w:rFonts w:ascii="Arial" w:cs="Arial" w:eastAsia="Arial" w:hAnsi="Arial"/>
                <w:sz w:val="15"/>
                <w:szCs w:val="15"/>
                <w:b w:val="1"/>
                <w:bCs w:val="1"/>
                <w:color w:val="auto"/>
                <w:w w:val="71"/>
              </w:rPr>
              <w:t>$</w:t>
            </w:r>
          </w:p>
        </w:tc>
        <w:tc>
          <w:tcPr>
            <w:tcW w:w="82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b w:val="1"/>
                <w:bCs w:val="1"/>
                <w:color w:val="auto"/>
                <w:w w:val="87"/>
              </w:rPr>
              <w:t>24,207,161</w:t>
            </w:r>
          </w:p>
        </w:tc>
        <w:tc>
          <w:tcPr>
            <w:tcW w:w="100" w:type="dxa"/>
            <w:vAlign w:val="bottom"/>
            <w:shd w:val="clear" w:color="auto" w:fill="CCEEFF"/>
          </w:tcPr>
          <w:p>
            <w:pPr>
              <w:spacing w:after="0"/>
              <w:rPr>
                <w:sz w:val="18"/>
                <w:szCs w:val="18"/>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11.82%</w:t>
            </w:r>
          </w:p>
        </w:tc>
        <w:tc>
          <w:tcPr>
            <w:tcW w:w="0" w:type="dxa"/>
            <w:vAlign w:val="bottom"/>
          </w:tcPr>
          <w:p>
            <w:pPr>
              <w:spacing w:after="0"/>
              <w:rPr>
                <w:sz w:val="1"/>
                <w:szCs w:val="1"/>
                <w:color w:val="auto"/>
              </w:rPr>
            </w:pPr>
          </w:p>
        </w:tc>
      </w:tr>
      <w:tr>
        <w:trPr>
          <w:trHeight w:val="230"/>
        </w:trPr>
        <w:tc>
          <w:tcPr>
            <w:tcW w:w="2660" w:type="dxa"/>
            <w:vAlign w:val="bottom"/>
            <w:shd w:val="clear" w:color="auto" w:fill="CCEEFF"/>
          </w:tcPr>
          <w:p>
            <w:pPr>
              <w:ind w:left="200"/>
              <w:spacing w:after="0" w:line="230" w:lineRule="exact"/>
              <w:rPr>
                <w:sz w:val="20"/>
                <w:szCs w:val="20"/>
                <w:color w:val="auto"/>
              </w:rPr>
            </w:pPr>
            <w:r>
              <w:rPr>
                <w:rFonts w:ascii="Arial" w:cs="Arial" w:eastAsia="Arial" w:hAnsi="Arial"/>
                <w:sz w:val="16"/>
                <w:szCs w:val="16"/>
                <w:b w:val="1"/>
                <w:bCs w:val="1"/>
                <w:color w:val="auto"/>
              </w:rPr>
              <w:t>INVESTMENTS*</w:t>
            </w:r>
            <w:r>
              <w:rPr>
                <w:rFonts w:ascii="Arial" w:cs="Arial" w:eastAsia="Arial" w:hAnsi="Arial"/>
                <w:sz w:val="21"/>
                <w:szCs w:val="21"/>
                <w:b w:val="1"/>
                <w:bCs w:val="1"/>
                <w:color w:val="auto"/>
                <w:vertAlign w:val="superscript"/>
              </w:rPr>
              <w:t>(2)</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900" w:type="dxa"/>
            <w:vAlign w:val="bottom"/>
            <w:gridSpan w:val="2"/>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4112895</wp:posOffset>
            </wp:positionH>
            <wp:positionV relativeFrom="paragraph">
              <wp:posOffset>-5805170</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2" w:right="239" w:bottom="1440" w:gutter="0" w:footer="0" w:header="0"/>
        </w:sectPr>
      </w:pPr>
    </w:p>
    <w:bookmarkStart w:id="43" w:name="page44"/>
    <w:bookmarkEnd w:id="4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2018</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Schedule of Investments In, and Advances to, Affiliates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Interest,</w:t>
            </w:r>
          </w:p>
        </w:tc>
        <w:tc>
          <w:tcPr>
            <w:tcW w:w="9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Fair Value at</w:t>
            </w:r>
          </w:p>
        </w:tc>
        <w:tc>
          <w:tcPr>
            <w:tcW w:w="12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Purchases,</w:t>
            </w: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8"/>
              </w:rPr>
              <w:t>Fair Value at</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Fees, or</w:t>
            </w:r>
          </w:p>
        </w:tc>
        <w:tc>
          <w:tcPr>
            <w:tcW w:w="980" w:type="dxa"/>
            <w:vAlign w:val="bottom"/>
            <w:gridSpan w:val="3"/>
            <w:vMerge w:val="continue"/>
          </w:tcPr>
          <w:p>
            <w:pPr>
              <w:spacing w:after="0"/>
              <w:rPr>
                <w:sz w:val="12"/>
                <w:szCs w:val="12"/>
                <w:color w:val="auto"/>
              </w:rPr>
            </w:pPr>
          </w:p>
        </w:tc>
        <w:tc>
          <w:tcPr>
            <w:tcW w:w="1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Capitalized</w:t>
            </w: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Percentage</w:t>
            </w:r>
          </w:p>
        </w:tc>
        <w:tc>
          <w:tcPr>
            <w:tcW w:w="0" w:type="dxa"/>
            <w:vAlign w:val="bottom"/>
          </w:tcPr>
          <w:p>
            <w:pPr>
              <w:spacing w:after="0"/>
              <w:rPr>
                <w:sz w:val="1"/>
                <w:szCs w:val="1"/>
                <w:color w:val="auto"/>
              </w:rPr>
            </w:pPr>
          </w:p>
        </w:tc>
      </w:tr>
      <w:tr>
        <w:trPr>
          <w:trHeight w:val="149"/>
        </w:trPr>
        <w:tc>
          <w:tcPr>
            <w:tcW w:w="2700" w:type="dxa"/>
            <w:vAlign w:val="bottom"/>
            <w:gridSpan w:val="5"/>
            <w:vMerge w:val="restart"/>
          </w:tcPr>
          <w:p>
            <w:pPr>
              <w:ind w:left="40"/>
              <w:spacing w:after="0"/>
              <w:rPr>
                <w:sz w:val="20"/>
                <w:szCs w:val="20"/>
                <w:color w:val="auto"/>
              </w:rPr>
            </w:pPr>
            <w:r>
              <w:rPr>
                <w:rFonts w:ascii="Arial" w:cs="Arial" w:eastAsia="Arial" w:hAnsi="Arial"/>
                <w:sz w:val="14"/>
                <w:szCs w:val="14"/>
                <w:b w:val="1"/>
                <w:bCs w:val="1"/>
                <w:color w:val="auto"/>
              </w:rPr>
              <w:t>Type/Industry/Portfolio</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Principal/</w:t>
            </w:r>
          </w:p>
        </w:tc>
        <w:tc>
          <w:tcPr>
            <w:tcW w:w="8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Dividends</w:t>
            </w:r>
          </w:p>
        </w:tc>
        <w:tc>
          <w:tcPr>
            <w:tcW w:w="12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December</w:t>
            </w: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Fees,</w:t>
            </w: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Realized</w:t>
            </w:r>
          </w:p>
        </w:tc>
        <w:tc>
          <w:tcPr>
            <w:tcW w:w="120" w:type="dxa"/>
            <w:vAlign w:val="bottom"/>
          </w:tcPr>
          <w:p>
            <w:pPr>
              <w:spacing w:after="0"/>
              <w:rPr>
                <w:sz w:val="12"/>
                <w:szCs w:val="12"/>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2"/>
                <w:szCs w:val="12"/>
                <w:color w:val="auto"/>
              </w:rPr>
            </w:pPr>
          </w:p>
        </w:tc>
        <w:tc>
          <w:tcPr>
            <w:tcW w:w="76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91"/>
              </w:rPr>
              <w:t>December</w:t>
            </w:r>
          </w:p>
        </w:tc>
        <w:tc>
          <w:tcPr>
            <w:tcW w:w="1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0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Credited</w:t>
            </w:r>
          </w:p>
        </w:tc>
        <w:tc>
          <w:tcPr>
            <w:tcW w:w="120" w:type="dxa"/>
            <w:vAlign w:val="bottom"/>
          </w:tcPr>
          <w:p>
            <w:pPr>
              <w:spacing w:after="0"/>
              <w:rPr>
                <w:sz w:val="12"/>
                <w:szCs w:val="12"/>
                <w:color w:val="auto"/>
              </w:rPr>
            </w:pPr>
          </w:p>
        </w:tc>
        <w:tc>
          <w:tcPr>
            <w:tcW w:w="76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2"/>
              </w:rPr>
              <w:t>31,</w:t>
            </w:r>
          </w:p>
        </w:tc>
        <w:tc>
          <w:tcPr>
            <w:tcW w:w="100" w:type="dxa"/>
            <w:vAlign w:val="bottom"/>
          </w:tcPr>
          <w:p>
            <w:pPr>
              <w:spacing w:after="0"/>
              <w:rPr>
                <w:sz w:val="12"/>
                <w:szCs w:val="12"/>
                <w:color w:val="auto"/>
              </w:rPr>
            </w:pPr>
          </w:p>
        </w:tc>
        <w:tc>
          <w:tcPr>
            <w:tcW w:w="1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Interest and</w:t>
            </w:r>
          </w:p>
        </w:tc>
        <w:tc>
          <w:tcPr>
            <w:tcW w:w="200" w:type="dxa"/>
            <w:vAlign w:val="bottom"/>
          </w:tcPr>
          <w:p>
            <w:pPr>
              <w:spacing w:after="0"/>
              <w:rPr>
                <w:sz w:val="12"/>
                <w:szCs w:val="12"/>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Sales</w:t>
            </w: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2"/>
              </w:rPr>
              <w:t>31,</w:t>
            </w:r>
          </w:p>
        </w:tc>
        <w:tc>
          <w:tcPr>
            <w:tcW w:w="120" w:type="dxa"/>
            <w:vAlign w:val="bottom"/>
          </w:tcPr>
          <w:p>
            <w:pPr>
              <w:spacing w:after="0"/>
              <w:rPr>
                <w:sz w:val="12"/>
                <w:szCs w:val="12"/>
                <w:color w:val="auto"/>
              </w:rPr>
            </w:pPr>
          </w:p>
        </w:tc>
        <w:tc>
          <w:tcPr>
            <w:tcW w:w="760" w:type="dxa"/>
            <w:vAlign w:val="bottom"/>
          </w:tcPr>
          <w:p>
            <w:pPr>
              <w:jc w:val="right"/>
              <w:ind w:right="123"/>
              <w:spacing w:after="0" w:line="149" w:lineRule="exact"/>
              <w:rPr>
                <w:sz w:val="20"/>
                <w:szCs w:val="20"/>
                <w:color w:val="auto"/>
              </w:rPr>
            </w:pPr>
            <w:r>
              <w:rPr>
                <w:rFonts w:ascii="Arial" w:cs="Arial" w:eastAsia="Arial" w:hAnsi="Arial"/>
                <w:sz w:val="14"/>
                <w:szCs w:val="14"/>
                <w:b w:val="1"/>
                <w:bCs w:val="1"/>
                <w:color w:val="auto"/>
              </w:rPr>
              <w:t>of Net</w:t>
            </w:r>
          </w:p>
        </w:tc>
        <w:tc>
          <w:tcPr>
            <w:tcW w:w="0" w:type="dxa"/>
            <w:vAlign w:val="bottom"/>
          </w:tcPr>
          <w:p>
            <w:pPr>
              <w:spacing w:after="0"/>
              <w:rPr>
                <w:sz w:val="1"/>
                <w:szCs w:val="1"/>
                <w:color w:val="auto"/>
              </w:rPr>
            </w:pPr>
          </w:p>
        </w:tc>
      </w:tr>
      <w:tr>
        <w:trPr>
          <w:trHeight w:val="192"/>
        </w:trPr>
        <w:tc>
          <w:tcPr>
            <w:tcW w:w="2700" w:type="dxa"/>
            <w:vAlign w:val="bottom"/>
            <w:gridSpan w:val="5"/>
          </w:tcPr>
          <w:p>
            <w:pPr>
              <w:ind w:left="40"/>
              <w:spacing w:after="0"/>
              <w:rPr>
                <w:sz w:val="20"/>
                <w:szCs w:val="20"/>
                <w:color w:val="auto"/>
              </w:rPr>
            </w:pPr>
            <w:r>
              <w:rPr>
                <w:rFonts w:ascii="Arial" w:cs="Arial" w:eastAsia="Arial" w:hAnsi="Arial"/>
                <w:sz w:val="14"/>
                <w:szCs w:val="14"/>
                <w:b w:val="1"/>
                <w:bCs w:val="1"/>
                <w:color w:val="auto"/>
              </w:rPr>
              <w:t>Company/Investment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Quantity</w:t>
            </w:r>
          </w:p>
        </w:tc>
        <w:tc>
          <w:tcPr>
            <w:tcW w:w="8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in Income</w:t>
            </w:r>
          </w:p>
        </w:tc>
        <w:tc>
          <w:tcPr>
            <w:tcW w:w="120" w:type="dxa"/>
            <w:vAlign w:val="bottom"/>
          </w:tcPr>
          <w:p>
            <w:pPr>
              <w:spacing w:after="0"/>
              <w:rPr>
                <w:sz w:val="16"/>
                <w:szCs w:val="16"/>
                <w:color w:val="auto"/>
              </w:rPr>
            </w:pPr>
          </w:p>
        </w:tc>
        <w:tc>
          <w:tcPr>
            <w:tcW w:w="760" w:type="dxa"/>
            <w:vAlign w:val="bottom"/>
          </w:tcPr>
          <w:p>
            <w:pPr>
              <w:jc w:val="center"/>
              <w:ind w:right="41"/>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16"/>
                <w:szCs w:val="16"/>
                <w:color w:val="auto"/>
              </w:rPr>
            </w:pPr>
          </w:p>
        </w:tc>
        <w:tc>
          <w:tcPr>
            <w:tcW w:w="10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Amortization</w:t>
            </w:r>
          </w:p>
        </w:tc>
        <w:tc>
          <w:tcPr>
            <w:tcW w:w="2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Gains/(Losses)</w:t>
            </w:r>
          </w:p>
        </w:tc>
        <w:tc>
          <w:tcPr>
            <w:tcW w:w="1040" w:type="dxa"/>
            <w:vAlign w:val="bottom"/>
            <w:gridSpan w:val="3"/>
          </w:tcPr>
          <w:p>
            <w:pPr>
              <w:ind w:left="40"/>
              <w:spacing w:after="0"/>
              <w:rPr>
                <w:sz w:val="20"/>
                <w:szCs w:val="20"/>
                <w:color w:val="auto"/>
              </w:rPr>
            </w:pPr>
            <w:r>
              <w:rPr>
                <w:rFonts w:ascii="Arial" w:cs="Arial" w:eastAsia="Arial" w:hAnsi="Arial"/>
                <w:sz w:val="14"/>
                <w:szCs w:val="14"/>
                <w:b w:val="1"/>
                <w:bCs w:val="1"/>
                <w:color w:val="auto"/>
                <w:w w:val="97"/>
              </w:rPr>
              <w:t>Gains/(Losses)</w:t>
            </w:r>
          </w:p>
        </w:tc>
        <w:tc>
          <w:tcPr>
            <w:tcW w:w="120" w:type="dxa"/>
            <w:vAlign w:val="bottom"/>
          </w:tcPr>
          <w:p>
            <w:pPr>
              <w:spacing w:after="0"/>
              <w:rPr>
                <w:sz w:val="16"/>
                <w:szCs w:val="16"/>
                <w:color w:val="auto"/>
              </w:rPr>
            </w:pPr>
          </w:p>
        </w:tc>
        <w:tc>
          <w:tcPr>
            <w:tcW w:w="760" w:type="dxa"/>
            <w:vAlign w:val="bottom"/>
          </w:tcPr>
          <w:p>
            <w:pPr>
              <w:jc w:val="center"/>
              <w:ind w:right="41"/>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16"/>
                <w:szCs w:val="16"/>
                <w:color w:val="auto"/>
              </w:rPr>
            </w:pPr>
          </w:p>
        </w:tc>
        <w:tc>
          <w:tcPr>
            <w:tcW w:w="760" w:type="dxa"/>
            <w:vAlign w:val="bottom"/>
          </w:tcPr>
          <w:p>
            <w:pPr>
              <w:jc w:val="right"/>
              <w:ind w:right="123"/>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189"/>
        </w:trPr>
        <w:tc>
          <w:tcPr>
            <w:tcW w:w="2700" w:type="dxa"/>
            <w:vAlign w:val="bottom"/>
            <w:tcBorders>
              <w:top w:val="single" w:sz="8" w:color="auto"/>
            </w:tcBorders>
            <w:gridSpan w:val="5"/>
          </w:tcPr>
          <w:p>
            <w:pPr>
              <w:ind w:left="40"/>
              <w:spacing w:after="0"/>
              <w:rPr>
                <w:sz w:val="20"/>
                <w:szCs w:val="20"/>
                <w:color w:val="auto"/>
              </w:rPr>
            </w:pPr>
            <w:r>
              <w:rPr>
                <w:rFonts w:ascii="Arial" w:cs="Arial" w:eastAsia="Arial" w:hAnsi="Arial"/>
                <w:sz w:val="16"/>
                <w:szCs w:val="16"/>
                <w:b w:val="1"/>
                <w:bCs w:val="1"/>
                <w:color w:val="auto"/>
              </w:rPr>
              <w:t>NON-CONTROLLED/AFFILIATE</w:t>
            </w: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2320" w:type="dxa"/>
            <w:vAlign w:val="bottom"/>
            <w:tcBorders>
              <w:top w:val="single" w:sz="8" w:color="auto"/>
            </w:tcBorders>
            <w:gridSpan w:val="2"/>
          </w:tcPr>
          <w:p>
            <w:pPr>
              <w:spacing w:after="0" w:line="183" w:lineRule="exact"/>
              <w:rPr>
                <w:sz w:val="20"/>
                <w:szCs w:val="20"/>
                <w:color w:val="auto"/>
              </w:rPr>
            </w:pPr>
            <w:r>
              <w:rPr>
                <w:rFonts w:ascii="Arial" w:cs="Arial" w:eastAsia="Arial" w:hAnsi="Arial"/>
                <w:sz w:val="16"/>
                <w:szCs w:val="16"/>
                <w:b w:val="1"/>
                <w:bCs w:val="1"/>
                <w:color w:val="auto"/>
              </w:rPr>
              <w:t>INVESTMENTS*</w:t>
            </w:r>
            <w:r>
              <w:rPr>
                <w:rFonts w:ascii="Arial" w:cs="Arial" w:eastAsia="Arial" w:hAnsi="Arial"/>
                <w:sz w:val="21"/>
                <w:szCs w:val="21"/>
                <w:b w:val="1"/>
                <w:bCs w:val="1"/>
                <w:color w:val="auto"/>
                <w:vertAlign w:val="superscript"/>
              </w:rPr>
              <w:t>(1)</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tcBorders>
              <w:top w:val="single" w:sz="8" w:color="auto"/>
            </w:tcBorders>
          </w:tcPr>
          <w:p>
            <w:pPr>
              <w:spacing w:after="0"/>
              <w:rPr>
                <w:sz w:val="4"/>
                <w:szCs w:val="4"/>
                <w:color w:val="auto"/>
              </w:rPr>
            </w:pPr>
          </w:p>
        </w:tc>
        <w:tc>
          <w:tcPr>
            <w:tcW w:w="1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7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6"/>
                <w:szCs w:val="16"/>
                <w:b w:val="1"/>
                <w:bCs w:val="1"/>
                <w:color w:val="auto"/>
              </w:rPr>
              <w:t>Debt Investments</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660" w:type="dxa"/>
            <w:vAlign w:val="bottom"/>
            <w:gridSpan w:val="4"/>
          </w:tcPr>
          <w:p>
            <w:pPr>
              <w:ind w:left="140"/>
              <w:spacing w:after="0"/>
              <w:rPr>
                <w:sz w:val="20"/>
                <w:szCs w:val="20"/>
                <w:color w:val="auto"/>
              </w:rPr>
            </w:pPr>
            <w:r>
              <w:rPr>
                <w:rFonts w:ascii="Arial" w:cs="Arial" w:eastAsia="Arial" w:hAnsi="Arial"/>
                <w:sz w:val="16"/>
                <w:szCs w:val="16"/>
                <w:i w:val="1"/>
                <w:iCs w:val="1"/>
                <w:color w:val="auto"/>
              </w:rPr>
              <w:t>Corporate Education</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500" w:type="dxa"/>
            <w:vAlign w:val="bottom"/>
            <w:gridSpan w:val="3"/>
            <w:shd w:val="clear" w:color="auto" w:fill="CCEEFF"/>
          </w:tcPr>
          <w:p>
            <w:pPr>
              <w:ind w:left="80"/>
              <w:spacing w:after="0"/>
              <w:rPr>
                <w:sz w:val="20"/>
                <w:szCs w:val="20"/>
                <w:color w:val="auto"/>
              </w:rPr>
            </w:pPr>
            <w:r>
              <w:rPr>
                <w:rFonts w:ascii="Arial" w:cs="Arial" w:eastAsia="Arial" w:hAnsi="Arial"/>
                <w:sz w:val="16"/>
                <w:szCs w:val="16"/>
                <w:color w:val="auto"/>
              </w:rPr>
              <w:t>CUX, Inc. (d/b/a CorpU)–Senior</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50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Subordinated Convertible</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50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Promissory Note 8% Due</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520" w:type="dxa"/>
            <w:vAlign w:val="bottom"/>
            <w:gridSpan w:val="4"/>
            <w:shd w:val="clear" w:color="auto" w:fill="CCEEFF"/>
          </w:tcPr>
          <w:p>
            <w:pPr>
              <w:ind w:left="440"/>
              <w:spacing w:after="0" w:line="239" w:lineRule="exact"/>
              <w:rPr>
                <w:sz w:val="20"/>
                <w:szCs w:val="20"/>
                <w:color w:val="auto"/>
              </w:rPr>
            </w:pPr>
            <w:r>
              <w:rPr>
                <w:rFonts w:ascii="Arial" w:cs="Arial" w:eastAsia="Arial" w:hAnsi="Arial"/>
                <w:sz w:val="16"/>
                <w:szCs w:val="16"/>
                <w:color w:val="auto"/>
              </w:rPr>
              <w:t>11/26/2018***</w:t>
            </w:r>
            <w:r>
              <w:rPr>
                <w:rFonts w:ascii="Arial" w:cs="Arial" w:eastAsia="Arial" w:hAnsi="Arial"/>
                <w:sz w:val="21"/>
                <w:szCs w:val="21"/>
                <w:color w:val="auto"/>
                <w:vertAlign w:val="superscript"/>
              </w:rPr>
              <w:t>(6)</w:t>
            </w:r>
          </w:p>
        </w:tc>
        <w:tc>
          <w:tcPr>
            <w:tcW w:w="18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1,259,712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93,772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1,166,400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93,312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1,259,712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0.62%</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660" w:type="dxa"/>
            <w:vAlign w:val="bottom"/>
            <w:gridSpan w:val="4"/>
          </w:tcPr>
          <w:p>
            <w:pPr>
              <w:ind w:left="140"/>
              <w:spacing w:after="0"/>
              <w:rPr>
                <w:sz w:val="20"/>
                <w:szCs w:val="20"/>
                <w:color w:val="auto"/>
              </w:rPr>
            </w:pPr>
            <w:r>
              <w:rPr>
                <w:rFonts w:ascii="Arial" w:cs="Arial" w:eastAsia="Arial" w:hAnsi="Arial"/>
                <w:sz w:val="16"/>
                <w:szCs w:val="16"/>
                <w:i w:val="1"/>
                <w:iCs w:val="1"/>
                <w:color w:val="auto"/>
              </w:rPr>
              <w:t>Digital Media Platform</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500" w:type="dxa"/>
            <w:vAlign w:val="bottom"/>
            <w:gridSpan w:val="3"/>
            <w:shd w:val="clear" w:color="auto" w:fill="CCEEFF"/>
          </w:tcPr>
          <w:p>
            <w:pPr>
              <w:ind w:left="80"/>
              <w:spacing w:after="0"/>
              <w:rPr>
                <w:sz w:val="20"/>
                <w:szCs w:val="20"/>
                <w:color w:val="auto"/>
              </w:rPr>
            </w:pPr>
            <w:r>
              <w:rPr>
                <w:rFonts w:ascii="Arial" w:cs="Arial" w:eastAsia="Arial" w:hAnsi="Arial"/>
                <w:sz w:val="16"/>
                <w:szCs w:val="16"/>
                <w:color w:val="auto"/>
              </w:rPr>
              <w:t>Ozy Media, Inc.–Convertible</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50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Promissory Note 5%, Due</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520" w:type="dxa"/>
            <w:vAlign w:val="bottom"/>
            <w:gridSpan w:val="4"/>
            <w:shd w:val="clear" w:color="auto" w:fill="CCEEFF"/>
          </w:tcPr>
          <w:p>
            <w:pPr>
              <w:ind w:left="440"/>
              <w:spacing w:after="0" w:line="239" w:lineRule="exact"/>
              <w:rPr>
                <w:sz w:val="20"/>
                <w:szCs w:val="20"/>
                <w:color w:val="auto"/>
              </w:rPr>
            </w:pPr>
            <w:r>
              <w:rPr>
                <w:rFonts w:ascii="Arial" w:cs="Arial" w:eastAsia="Arial" w:hAnsi="Arial"/>
                <w:sz w:val="16"/>
                <w:szCs w:val="16"/>
                <w:color w:val="auto"/>
              </w:rPr>
              <w:t>2/28/2018***</w:t>
            </w:r>
            <w:r>
              <w:rPr>
                <w:rFonts w:ascii="Arial" w:cs="Arial" w:eastAsia="Arial" w:hAnsi="Arial"/>
                <w:sz w:val="21"/>
                <w:szCs w:val="21"/>
                <w:color w:val="auto"/>
                <w:vertAlign w:val="superscript"/>
              </w:rPr>
              <w:t>(12)</w:t>
            </w:r>
          </w:p>
        </w:tc>
        <w:tc>
          <w:tcPr>
            <w:tcW w:w="18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2,000,000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(33,699)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2,000,000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(932,361)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1,067,639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0.52%</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660" w:type="dxa"/>
            <w:vAlign w:val="bottom"/>
            <w:gridSpan w:val="4"/>
          </w:tcPr>
          <w:p>
            <w:pPr>
              <w:ind w:left="140"/>
              <w:spacing w:after="0"/>
              <w:rPr>
                <w:sz w:val="20"/>
                <w:szCs w:val="20"/>
                <w:color w:val="auto"/>
              </w:rPr>
            </w:pPr>
            <w:r>
              <w:rPr>
                <w:rFonts w:ascii="Arial" w:cs="Arial" w:eastAsia="Arial" w:hAnsi="Arial"/>
                <w:sz w:val="16"/>
                <w:szCs w:val="16"/>
                <w:i w:val="1"/>
                <w:iCs w:val="1"/>
                <w:color w:val="auto"/>
              </w:rPr>
              <w:t>Social Cognitive Learning</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500" w:type="dxa"/>
            <w:vAlign w:val="bottom"/>
            <w:gridSpan w:val="3"/>
            <w:shd w:val="clear" w:color="auto" w:fill="CCEEFF"/>
          </w:tcPr>
          <w:p>
            <w:pPr>
              <w:ind w:left="80"/>
              <w:spacing w:after="0"/>
              <w:rPr>
                <w:sz w:val="20"/>
                <w:szCs w:val="20"/>
                <w:color w:val="auto"/>
              </w:rPr>
            </w:pPr>
            <w:r>
              <w:rPr>
                <w:rFonts w:ascii="Arial" w:cs="Arial" w:eastAsia="Arial" w:hAnsi="Arial"/>
                <w:sz w:val="16"/>
                <w:szCs w:val="16"/>
                <w:color w:val="auto"/>
              </w:rPr>
              <w:t>Declara, Inc.–Convertible</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50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Promissory Note 9% Due</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380" w:type="dxa"/>
            <w:vAlign w:val="bottom"/>
            <w:gridSpan w:val="3"/>
            <w:shd w:val="clear" w:color="auto" w:fill="CCEEFF"/>
          </w:tcPr>
          <w:p>
            <w:pPr>
              <w:ind w:left="440"/>
              <w:spacing w:after="0" w:line="239" w:lineRule="exact"/>
              <w:rPr>
                <w:sz w:val="20"/>
                <w:szCs w:val="20"/>
                <w:color w:val="auto"/>
              </w:rPr>
            </w:pPr>
            <w:r>
              <w:rPr>
                <w:rFonts w:ascii="Arial" w:cs="Arial" w:eastAsia="Arial" w:hAnsi="Arial"/>
                <w:sz w:val="16"/>
                <w:szCs w:val="16"/>
                <w:color w:val="auto"/>
                <w:w w:val="94"/>
              </w:rPr>
              <w:t>12/31/2017</w:t>
            </w:r>
            <w:r>
              <w:rPr>
                <w:rFonts w:ascii="Arial" w:cs="Arial" w:eastAsia="Arial" w:hAnsi="Arial"/>
                <w:sz w:val="21"/>
                <w:szCs w:val="21"/>
                <w:color w:val="auto"/>
                <w:w w:val="94"/>
                <w:vertAlign w:val="superscript"/>
              </w:rPr>
              <w:t>(8)</w:t>
            </w:r>
          </w:p>
        </w:tc>
        <w:tc>
          <w:tcPr>
            <w:tcW w:w="1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2,120,658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2,827,020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1,240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0"/>
              </w:rPr>
              <w:t>(1,707,931)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1,120,329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0.55%</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660" w:type="dxa"/>
            <w:vAlign w:val="bottom"/>
            <w:gridSpan w:val="4"/>
          </w:tcPr>
          <w:p>
            <w:pPr>
              <w:ind w:left="140"/>
              <w:spacing w:after="0"/>
              <w:rPr>
                <w:sz w:val="20"/>
                <w:szCs w:val="20"/>
                <w:color w:val="auto"/>
              </w:rPr>
            </w:pPr>
            <w:r>
              <w:rPr>
                <w:rFonts w:ascii="Arial" w:cs="Arial" w:eastAsia="Arial" w:hAnsi="Arial"/>
                <w:sz w:val="16"/>
                <w:szCs w:val="16"/>
                <w:i w:val="1"/>
                <w:iCs w:val="1"/>
                <w:color w:val="auto"/>
              </w:rPr>
              <w:t>Sports Analytics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500" w:type="dxa"/>
            <w:vAlign w:val="bottom"/>
            <w:gridSpan w:val="3"/>
            <w:shd w:val="clear" w:color="auto" w:fill="CCEEFF"/>
          </w:tcPr>
          <w:p>
            <w:pPr>
              <w:ind w:left="80"/>
              <w:spacing w:after="0"/>
              <w:rPr>
                <w:sz w:val="20"/>
                <w:szCs w:val="20"/>
                <w:color w:val="auto"/>
              </w:rPr>
            </w:pPr>
            <w:r>
              <w:rPr>
                <w:rFonts w:ascii="Arial" w:cs="Arial" w:eastAsia="Arial" w:hAnsi="Arial"/>
                <w:sz w:val="16"/>
                <w:szCs w:val="16"/>
                <w:color w:val="auto"/>
                <w:w w:val="97"/>
              </w:rPr>
              <w:t>Circle Media (f/k/a S3 Digital Corp.</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50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(d/b/a S3i))–Promissory Note,</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520" w:type="dxa"/>
            <w:vAlign w:val="bottom"/>
            <w:gridSpan w:val="4"/>
            <w:shd w:val="clear" w:color="auto" w:fill="CCEEFF"/>
          </w:tcPr>
          <w:p>
            <w:pPr>
              <w:ind w:left="440"/>
              <w:spacing w:after="0" w:line="239" w:lineRule="exact"/>
              <w:rPr>
                <w:sz w:val="20"/>
                <w:szCs w:val="20"/>
                <w:color w:val="auto"/>
              </w:rPr>
            </w:pPr>
            <w:r>
              <w:rPr>
                <w:rFonts w:ascii="Arial" w:cs="Arial" w:eastAsia="Arial" w:hAnsi="Arial"/>
                <w:sz w:val="16"/>
                <w:szCs w:val="16"/>
                <w:color w:val="auto"/>
              </w:rPr>
              <w:t>12%, 11/17/2017***</w:t>
            </w:r>
            <w:r>
              <w:rPr>
                <w:rFonts w:ascii="Arial" w:cs="Arial" w:eastAsia="Arial" w:hAnsi="Arial"/>
                <w:sz w:val="21"/>
                <w:szCs w:val="21"/>
                <w:color w:val="auto"/>
                <w:vertAlign w:val="superscript"/>
              </w:rPr>
              <w:t>(13)</w:t>
            </w:r>
          </w:p>
        </w:tc>
        <w:tc>
          <w:tcPr>
            <w:tcW w:w="18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26,544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3,569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(30,408)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295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00" w:type="dxa"/>
            <w:vAlign w:val="bottom"/>
            <w:gridSpan w:val="5"/>
          </w:tcPr>
          <w:p>
            <w:pPr>
              <w:ind w:left="40"/>
              <w:spacing w:after="0"/>
              <w:rPr>
                <w:sz w:val="20"/>
                <w:szCs w:val="20"/>
                <w:color w:val="auto"/>
              </w:rPr>
            </w:pPr>
            <w:r>
              <w:rPr>
                <w:rFonts w:ascii="Arial" w:cs="Arial" w:eastAsia="Arial" w:hAnsi="Arial"/>
                <w:sz w:val="16"/>
                <w:szCs w:val="16"/>
                <w:b w:val="1"/>
                <w:bCs w:val="1"/>
                <w:color w:val="auto"/>
              </w:rPr>
              <w:t>Total Debt Investments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41"/>
              <w:spacing w:after="0"/>
              <w:rPr>
                <w:sz w:val="20"/>
                <w:szCs w:val="20"/>
                <w:color w:val="auto"/>
              </w:rPr>
            </w:pPr>
            <w:r>
              <w:rPr>
                <w:rFonts w:ascii="Arial" w:cs="Arial" w:eastAsia="Arial" w:hAnsi="Arial"/>
                <w:sz w:val="16"/>
                <w:szCs w:val="16"/>
                <w:color w:val="auto"/>
              </w:rPr>
              <w:t>59,460</w:t>
            </w:r>
          </w:p>
        </w:tc>
        <w:tc>
          <w:tcPr>
            <w:tcW w:w="10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21"/>
              <w:spacing w:after="0"/>
              <w:rPr>
                <w:sz w:val="20"/>
                <w:szCs w:val="20"/>
                <w:color w:val="auto"/>
              </w:rPr>
            </w:pPr>
            <w:r>
              <w:rPr>
                <w:rFonts w:ascii="Arial" w:cs="Arial" w:eastAsia="Arial" w:hAnsi="Arial"/>
                <w:sz w:val="16"/>
                <w:szCs w:val="16"/>
                <w:color w:val="auto"/>
                <w:w w:val="89"/>
              </w:rPr>
              <w:t>6,019,964</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98,121</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(30,408)</w:t>
            </w:r>
          </w:p>
        </w:tc>
        <w:tc>
          <w:tcPr>
            <w:tcW w:w="100" w:type="dxa"/>
            <w:vAlign w:val="bottom"/>
          </w:tcPr>
          <w:p>
            <w:pPr>
              <w:spacing w:after="0"/>
              <w:rPr>
                <w:sz w:val="20"/>
                <w:szCs w:val="20"/>
                <w:color w:val="auto"/>
              </w:rPr>
            </w:pP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w w:val="90"/>
              </w:rPr>
              <w:t>(2,639,997)</w:t>
            </w:r>
          </w:p>
        </w:tc>
        <w:tc>
          <w:tcPr>
            <w:tcW w:w="100" w:type="dxa"/>
            <w:vAlign w:val="bottom"/>
          </w:tcPr>
          <w:p>
            <w:pPr>
              <w:spacing w:after="0"/>
              <w:rPr>
                <w:sz w:val="20"/>
                <w:szCs w:val="20"/>
                <w:color w:val="auto"/>
              </w:rPr>
            </w:pP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ind w:right="21"/>
              <w:spacing w:after="0"/>
              <w:rPr>
                <w:sz w:val="20"/>
                <w:szCs w:val="20"/>
                <w:color w:val="auto"/>
              </w:rPr>
            </w:pPr>
            <w:r>
              <w:rPr>
                <w:rFonts w:ascii="Arial" w:cs="Arial" w:eastAsia="Arial" w:hAnsi="Arial"/>
                <w:sz w:val="16"/>
                <w:szCs w:val="16"/>
                <w:color w:val="auto"/>
                <w:w w:val="89"/>
              </w:rPr>
              <w:t>3,447,680</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1.68%</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6"/>
                <w:szCs w:val="16"/>
                <w:b w:val="1"/>
                <w:bCs w:val="1"/>
                <w:color w:val="auto"/>
              </w:rPr>
              <w:t>Preferred Stock</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660" w:type="dxa"/>
            <w:vAlign w:val="bottom"/>
            <w:gridSpan w:val="4"/>
          </w:tcPr>
          <w:p>
            <w:pPr>
              <w:ind w:left="140"/>
              <w:spacing w:after="0"/>
              <w:rPr>
                <w:sz w:val="20"/>
                <w:szCs w:val="20"/>
                <w:color w:val="auto"/>
              </w:rPr>
            </w:pPr>
            <w:r>
              <w:rPr>
                <w:rFonts w:ascii="Arial" w:cs="Arial" w:eastAsia="Arial" w:hAnsi="Arial"/>
                <w:sz w:val="16"/>
                <w:szCs w:val="16"/>
                <w:i w:val="1"/>
                <w:iCs w:val="1"/>
                <w:color w:val="auto"/>
              </w:rPr>
              <w:t>Corporate Education</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500" w:type="dxa"/>
            <w:vAlign w:val="bottom"/>
            <w:gridSpan w:val="3"/>
            <w:shd w:val="clear" w:color="auto" w:fill="CCEEFF"/>
          </w:tcPr>
          <w:p>
            <w:pPr>
              <w:ind w:left="80"/>
              <w:spacing w:after="0"/>
              <w:rPr>
                <w:sz w:val="20"/>
                <w:szCs w:val="20"/>
                <w:color w:val="auto"/>
              </w:rPr>
            </w:pPr>
            <w:r>
              <w:rPr>
                <w:rFonts w:ascii="Arial" w:cs="Arial" w:eastAsia="Arial" w:hAnsi="Arial"/>
                <w:sz w:val="16"/>
                <w:szCs w:val="16"/>
                <w:color w:val="auto"/>
              </w:rPr>
              <w:t>CUX, Inc. (d/b/a CorpU)–</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50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Convertible preferred shares,</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50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6"/>
                <w:szCs w:val="16"/>
                <w:color w:val="auto"/>
              </w:rPr>
              <w:t>Series D</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169,033</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775,861</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213,628</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989,489</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0.48%</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500" w:type="dxa"/>
            <w:vAlign w:val="bottom"/>
            <w:gridSpan w:val="3"/>
          </w:tcPr>
          <w:p>
            <w:pPr>
              <w:ind w:left="80"/>
              <w:spacing w:after="0"/>
              <w:rPr>
                <w:sz w:val="20"/>
                <w:szCs w:val="20"/>
                <w:color w:val="auto"/>
              </w:rPr>
            </w:pPr>
            <w:r>
              <w:rPr>
                <w:rFonts w:ascii="Arial" w:cs="Arial" w:eastAsia="Arial" w:hAnsi="Arial"/>
                <w:sz w:val="16"/>
                <w:szCs w:val="16"/>
                <w:color w:val="auto"/>
              </w:rPr>
              <w:t>CUX, Inc. (d/b/a CorpU) -</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00" w:type="dxa"/>
            <w:vAlign w:val="bottom"/>
            <w:gridSpan w:val="3"/>
          </w:tcPr>
          <w:p>
            <w:pPr>
              <w:ind w:left="240"/>
              <w:spacing w:after="0"/>
              <w:rPr>
                <w:sz w:val="20"/>
                <w:szCs w:val="20"/>
                <w:color w:val="auto"/>
              </w:rPr>
            </w:pPr>
            <w:r>
              <w:rPr>
                <w:rFonts w:ascii="Arial" w:cs="Arial" w:eastAsia="Arial" w:hAnsi="Arial"/>
                <w:sz w:val="16"/>
                <w:szCs w:val="16"/>
                <w:color w:val="auto"/>
              </w:rPr>
              <w:t>Convertible preferred shares,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00" w:type="dxa"/>
            <w:vAlign w:val="bottom"/>
            <w:gridSpan w:val="3"/>
          </w:tcPr>
          <w:p>
            <w:pPr>
              <w:ind w:left="240"/>
              <w:spacing w:after="0"/>
              <w:rPr>
                <w:sz w:val="20"/>
                <w:szCs w:val="20"/>
                <w:color w:val="auto"/>
              </w:rPr>
            </w:pPr>
            <w:r>
              <w:rPr>
                <w:rFonts w:ascii="Arial" w:cs="Arial" w:eastAsia="Arial" w:hAnsi="Arial"/>
                <w:sz w:val="16"/>
                <w:szCs w:val="16"/>
                <w:color w:val="auto"/>
              </w:rPr>
              <w:t>Series C</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615,763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w w:val="89"/>
              </w:rPr>
              <w:t>1,913,484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0"/>
              </w:rPr>
              <w:t>(1,433,300)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480,184</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0.23%</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266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6"/>
                <w:szCs w:val="16"/>
                <w:i w:val="1"/>
                <w:iCs w:val="1"/>
                <w:color w:val="auto"/>
              </w:rPr>
              <w:t>Total Corporate Education</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2,689,345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0"/>
              </w:rPr>
              <w:t>(1,219,672)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1,469,673</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0.71%</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660" w:type="dxa"/>
            <w:vAlign w:val="bottom"/>
            <w:gridSpan w:val="4"/>
          </w:tcPr>
          <w:p>
            <w:pPr>
              <w:ind w:left="140"/>
              <w:spacing w:after="0"/>
              <w:rPr>
                <w:sz w:val="20"/>
                <w:szCs w:val="20"/>
                <w:color w:val="auto"/>
              </w:rPr>
            </w:pPr>
            <w:r>
              <w:rPr>
                <w:rFonts w:ascii="Arial" w:cs="Arial" w:eastAsia="Arial" w:hAnsi="Arial"/>
                <w:sz w:val="16"/>
                <w:szCs w:val="16"/>
                <w:i w:val="1"/>
                <w:iCs w:val="1"/>
                <w:color w:val="auto"/>
              </w:rPr>
              <w:t>Globally-Focused Private School</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500" w:type="dxa"/>
            <w:vAlign w:val="bottom"/>
            <w:gridSpan w:val="3"/>
            <w:shd w:val="clear" w:color="auto" w:fill="CCEEFF"/>
          </w:tcPr>
          <w:p>
            <w:pPr>
              <w:ind w:left="80"/>
              <w:spacing w:after="0"/>
              <w:rPr>
                <w:sz w:val="20"/>
                <w:szCs w:val="20"/>
                <w:color w:val="auto"/>
              </w:rPr>
            </w:pPr>
            <w:r>
              <w:rPr>
                <w:rFonts w:ascii="Arial" w:cs="Arial" w:eastAsia="Arial" w:hAnsi="Arial"/>
                <w:sz w:val="16"/>
                <w:szCs w:val="16"/>
                <w:color w:val="auto"/>
              </w:rPr>
              <w:t>Whittle Schools, LLC–Preferred</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500" w:type="dxa"/>
            <w:vAlign w:val="bottom"/>
            <w:gridSpan w:val="3"/>
            <w:shd w:val="clear" w:color="auto" w:fill="CCEEFF"/>
          </w:tcPr>
          <w:p>
            <w:pPr>
              <w:ind w:left="240"/>
              <w:spacing w:after="0" w:line="239" w:lineRule="exact"/>
              <w:rPr>
                <w:sz w:val="20"/>
                <w:szCs w:val="20"/>
                <w:color w:val="auto"/>
              </w:rPr>
            </w:pPr>
            <w:r>
              <w:rPr>
                <w:rFonts w:ascii="Arial" w:cs="Arial" w:eastAsia="Arial" w:hAnsi="Arial"/>
                <w:sz w:val="16"/>
                <w:szCs w:val="16"/>
                <w:color w:val="auto"/>
              </w:rPr>
              <w:t>shares, Series B</w:t>
            </w:r>
            <w:r>
              <w:rPr>
                <w:rFonts w:ascii="Arial" w:cs="Arial" w:eastAsia="Arial" w:hAnsi="Arial"/>
                <w:sz w:val="21"/>
                <w:szCs w:val="21"/>
                <w:color w:val="auto"/>
                <w:vertAlign w:val="superscript"/>
              </w:rPr>
              <w:t>(5)</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3,000,000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119,299</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2"/>
              </w:rPr>
              <w:t>(3,000,000)</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(119,299)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660" w:type="dxa"/>
            <w:vAlign w:val="bottom"/>
            <w:gridSpan w:val="4"/>
          </w:tcPr>
          <w:p>
            <w:pPr>
              <w:ind w:left="140"/>
              <w:spacing w:after="0"/>
              <w:rPr>
                <w:sz w:val="20"/>
                <w:szCs w:val="20"/>
                <w:color w:val="auto"/>
              </w:rPr>
            </w:pPr>
            <w:r>
              <w:rPr>
                <w:rFonts w:ascii="Arial" w:cs="Arial" w:eastAsia="Arial" w:hAnsi="Arial"/>
                <w:sz w:val="16"/>
                <w:szCs w:val="16"/>
                <w:i w:val="1"/>
                <w:iCs w:val="1"/>
                <w:color w:val="auto"/>
              </w:rPr>
              <w:t>Online Education</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500" w:type="dxa"/>
            <w:vAlign w:val="bottom"/>
            <w:gridSpan w:val="3"/>
            <w:shd w:val="clear" w:color="auto" w:fill="CCEEFF"/>
          </w:tcPr>
          <w:p>
            <w:pPr>
              <w:ind w:left="80"/>
              <w:spacing w:after="0"/>
              <w:rPr>
                <w:sz w:val="20"/>
                <w:szCs w:val="20"/>
                <w:color w:val="auto"/>
              </w:rPr>
            </w:pPr>
            <w:r>
              <w:rPr>
                <w:rFonts w:ascii="Arial" w:cs="Arial" w:eastAsia="Arial" w:hAnsi="Arial"/>
                <w:sz w:val="16"/>
                <w:szCs w:val="16"/>
                <w:color w:val="auto"/>
                <w:w w:val="93"/>
              </w:rPr>
              <w:t>Curious.com, Inc.–Preferred shares,</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50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6"/>
                <w:szCs w:val="16"/>
                <w:color w:val="auto"/>
              </w:rPr>
              <w:t>Series B</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3,407,834</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9,984,954</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0"/>
              </w:rPr>
              <w:t>(4,470,877)</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5,514,077</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2.69%</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660" w:type="dxa"/>
            <w:vAlign w:val="bottom"/>
            <w:gridSpan w:val="4"/>
          </w:tcPr>
          <w:p>
            <w:pPr>
              <w:ind w:left="140"/>
              <w:spacing w:after="0"/>
              <w:rPr>
                <w:sz w:val="20"/>
                <w:szCs w:val="20"/>
                <w:color w:val="auto"/>
              </w:rPr>
            </w:pPr>
            <w:r>
              <w:rPr>
                <w:rFonts w:ascii="Arial" w:cs="Arial" w:eastAsia="Arial" w:hAnsi="Arial"/>
                <w:sz w:val="16"/>
                <w:szCs w:val="16"/>
                <w:i w:val="1"/>
                <w:iCs w:val="1"/>
                <w:color w:val="auto"/>
              </w:rPr>
              <w:t>Sports Analytics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500" w:type="dxa"/>
            <w:vAlign w:val="bottom"/>
            <w:gridSpan w:val="3"/>
            <w:shd w:val="clear" w:color="auto" w:fill="CCEEFF"/>
          </w:tcPr>
          <w:p>
            <w:pPr>
              <w:ind w:left="80"/>
              <w:spacing w:after="0"/>
              <w:rPr>
                <w:sz w:val="20"/>
                <w:szCs w:val="20"/>
                <w:color w:val="auto"/>
              </w:rPr>
            </w:pPr>
            <w:r>
              <w:rPr>
                <w:rFonts w:ascii="Arial" w:cs="Arial" w:eastAsia="Arial" w:hAnsi="Arial"/>
                <w:sz w:val="16"/>
                <w:szCs w:val="16"/>
                <w:color w:val="auto"/>
                <w:w w:val="97"/>
              </w:rPr>
              <w:t>Circle Media (f/k/a S3 Digital Corp.</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50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(d/b/a S3i))–Preferred shares,</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500" w:type="dxa"/>
            <w:vAlign w:val="bottom"/>
            <w:gridSpan w:val="3"/>
            <w:shd w:val="clear" w:color="auto" w:fill="CCEEFF"/>
          </w:tcPr>
          <w:p>
            <w:pPr>
              <w:ind w:left="240"/>
              <w:spacing w:after="0" w:line="239" w:lineRule="exact"/>
              <w:rPr>
                <w:sz w:val="20"/>
                <w:szCs w:val="20"/>
                <w:color w:val="auto"/>
              </w:rPr>
            </w:pPr>
            <w:r>
              <w:rPr>
                <w:rFonts w:ascii="Arial" w:cs="Arial" w:eastAsia="Arial" w:hAnsi="Arial"/>
                <w:sz w:val="16"/>
                <w:szCs w:val="16"/>
                <w:color w:val="auto"/>
              </w:rPr>
              <w:t>Series A</w:t>
            </w:r>
            <w:r>
              <w:rPr>
                <w:rFonts w:ascii="Arial" w:cs="Arial" w:eastAsia="Arial" w:hAnsi="Arial"/>
                <w:sz w:val="21"/>
                <w:szCs w:val="21"/>
                <w:color w:val="auto"/>
                <w:vertAlign w:val="superscript"/>
              </w:rPr>
              <w:t>(13)</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484,769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0"/>
              </w:rPr>
              <w:t>(1,777,576)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w w:val="95"/>
              </w:rPr>
              <w:t>1,292,807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2" w:right="239" w:bottom="1440" w:gutter="0" w:footer="0" w:header="0"/>
        </w:sectPr>
      </w:pPr>
    </w:p>
    <w:bookmarkStart w:id="44" w:name="page45"/>
    <w:bookmarkEnd w:id="4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2018</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Schedule of Investments In, and Advances to, Affiliates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Interest,</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Purchases,</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Fees, or</w:t>
            </w:r>
          </w:p>
        </w:tc>
        <w:tc>
          <w:tcPr>
            <w:tcW w:w="10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Fair Value at</w:t>
            </w:r>
          </w:p>
        </w:tc>
        <w:tc>
          <w:tcPr>
            <w:tcW w:w="9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Capitalized</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Fair Value at</w:t>
            </w:r>
          </w:p>
        </w:tc>
        <w:tc>
          <w:tcPr>
            <w:tcW w:w="1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Percentage</w:t>
            </w:r>
          </w:p>
        </w:tc>
        <w:tc>
          <w:tcPr>
            <w:tcW w:w="0" w:type="dxa"/>
            <w:vAlign w:val="bottom"/>
          </w:tcPr>
          <w:p>
            <w:pPr>
              <w:spacing w:after="0"/>
              <w:rPr>
                <w:sz w:val="1"/>
                <w:szCs w:val="1"/>
                <w:color w:val="auto"/>
              </w:rPr>
            </w:pPr>
          </w:p>
        </w:tc>
      </w:tr>
      <w:tr>
        <w:trPr>
          <w:trHeight w:val="149"/>
        </w:trPr>
        <w:tc>
          <w:tcPr>
            <w:tcW w:w="25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Type/Industry/Portfolio</w:t>
            </w:r>
          </w:p>
        </w:tc>
        <w:tc>
          <w:tcPr>
            <w:tcW w:w="9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Principal/</w:t>
            </w:r>
          </w:p>
        </w:tc>
        <w:tc>
          <w:tcPr>
            <w:tcW w:w="8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Dividends</w:t>
            </w:r>
          </w:p>
        </w:tc>
        <w:tc>
          <w:tcPr>
            <w:tcW w:w="10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Fees,</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Realized</w:t>
            </w:r>
          </w:p>
        </w:tc>
        <w:tc>
          <w:tcPr>
            <w:tcW w:w="100" w:type="dxa"/>
            <w:vAlign w:val="bottom"/>
          </w:tcPr>
          <w:p>
            <w:pPr>
              <w:spacing w:after="0"/>
              <w:rPr>
                <w:sz w:val="12"/>
                <w:szCs w:val="12"/>
                <w:color w:val="auto"/>
              </w:rPr>
            </w:pPr>
          </w:p>
        </w:tc>
        <w:tc>
          <w:tcPr>
            <w:tcW w:w="10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Unrealized</w:t>
            </w: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8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91"/>
              </w:rPr>
              <w:t>Credited</w:t>
            </w:r>
          </w:p>
        </w:tc>
        <w:tc>
          <w:tcPr>
            <w:tcW w:w="10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December 31,</w:t>
            </w:r>
          </w:p>
        </w:tc>
        <w:tc>
          <w:tcPr>
            <w:tcW w:w="9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Interest and</w:t>
            </w:r>
          </w:p>
        </w:tc>
        <w:tc>
          <w:tcPr>
            <w:tcW w:w="920" w:type="dxa"/>
            <w:vAlign w:val="bottom"/>
            <w:vMerge w:val="restart"/>
          </w:tcPr>
          <w:p>
            <w:pPr>
              <w:jc w:val="right"/>
              <w:ind w:right="219"/>
              <w:spacing w:after="0"/>
              <w:rPr>
                <w:sz w:val="20"/>
                <w:szCs w:val="20"/>
                <w:color w:val="auto"/>
              </w:rPr>
            </w:pPr>
            <w:r>
              <w:rPr>
                <w:rFonts w:ascii="Arial" w:cs="Arial" w:eastAsia="Arial" w:hAnsi="Arial"/>
                <w:sz w:val="14"/>
                <w:szCs w:val="14"/>
                <w:b w:val="1"/>
                <w:bCs w:val="1"/>
                <w:color w:val="auto"/>
              </w:rPr>
              <w:t>Sales</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92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94"/>
              </w:rPr>
              <w:t>December 31,</w:t>
            </w:r>
          </w:p>
        </w:tc>
        <w:tc>
          <w:tcPr>
            <w:tcW w:w="120" w:type="dxa"/>
            <w:vAlign w:val="bottom"/>
          </w:tcPr>
          <w:p>
            <w:pPr>
              <w:spacing w:after="0"/>
              <w:rPr>
                <w:sz w:val="12"/>
                <w:szCs w:val="12"/>
                <w:color w:val="auto"/>
              </w:rPr>
            </w:pPr>
          </w:p>
        </w:tc>
        <w:tc>
          <w:tcPr>
            <w:tcW w:w="760" w:type="dxa"/>
            <w:vAlign w:val="bottom"/>
          </w:tcPr>
          <w:p>
            <w:pPr>
              <w:jc w:val="right"/>
              <w:ind w:right="122"/>
              <w:spacing w:after="0" w:line="149" w:lineRule="exact"/>
              <w:rPr>
                <w:sz w:val="20"/>
                <w:szCs w:val="20"/>
                <w:color w:val="auto"/>
              </w:rPr>
            </w:pPr>
            <w:r>
              <w:rPr>
                <w:rFonts w:ascii="Arial" w:cs="Arial" w:eastAsia="Arial" w:hAnsi="Arial"/>
                <w:sz w:val="14"/>
                <w:szCs w:val="14"/>
                <w:b w:val="1"/>
                <w:bCs w:val="1"/>
                <w:color w:val="auto"/>
              </w:rPr>
              <w:t>of Net</w:t>
            </w:r>
          </w:p>
        </w:tc>
        <w:tc>
          <w:tcPr>
            <w:tcW w:w="0" w:type="dxa"/>
            <w:vAlign w:val="bottom"/>
          </w:tcPr>
          <w:p>
            <w:pPr>
              <w:spacing w:after="0"/>
              <w:rPr>
                <w:sz w:val="1"/>
                <w:szCs w:val="1"/>
                <w:color w:val="auto"/>
              </w:rPr>
            </w:pPr>
          </w:p>
        </w:tc>
      </w:tr>
      <w:tr>
        <w:trPr>
          <w:trHeight w:val="192"/>
        </w:trPr>
        <w:tc>
          <w:tcPr>
            <w:tcW w:w="24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Company/Investment</w:t>
            </w:r>
          </w:p>
        </w:tc>
        <w:tc>
          <w:tcPr>
            <w:tcW w:w="120" w:type="dxa"/>
            <w:vAlign w:val="bottom"/>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Quantity</w:t>
            </w:r>
          </w:p>
        </w:tc>
        <w:tc>
          <w:tcPr>
            <w:tcW w:w="100" w:type="dxa"/>
            <w:vAlign w:val="bottom"/>
          </w:tcPr>
          <w:p>
            <w:pPr>
              <w:spacing w:after="0"/>
              <w:rPr>
                <w:sz w:val="16"/>
                <w:szCs w:val="16"/>
                <w:color w:val="auto"/>
              </w:rPr>
            </w:pPr>
          </w:p>
        </w:tc>
        <w:tc>
          <w:tcPr>
            <w:tcW w:w="7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in Income</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6"/>
                <w:szCs w:val="16"/>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Amortization</w:t>
            </w:r>
          </w:p>
        </w:tc>
        <w:tc>
          <w:tcPr>
            <w:tcW w:w="100" w:type="dxa"/>
            <w:vAlign w:val="bottom"/>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9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89"/>
              </w:rPr>
              <w:t>Gains/(Losses)</w:t>
            </w:r>
          </w:p>
        </w:tc>
        <w:tc>
          <w:tcPr>
            <w:tcW w:w="120" w:type="dxa"/>
            <w:vAlign w:val="bottom"/>
          </w:tcPr>
          <w:p>
            <w:pPr>
              <w:spacing w:after="0"/>
              <w:rPr>
                <w:sz w:val="16"/>
                <w:szCs w:val="16"/>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Gains/(Losses)</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6"/>
                <w:szCs w:val="16"/>
                <w:color w:val="auto"/>
              </w:rPr>
            </w:pPr>
          </w:p>
        </w:tc>
        <w:tc>
          <w:tcPr>
            <w:tcW w:w="76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37"/>
        </w:trPr>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Social Cognitive Learning</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5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Declara, Inc.–Preferred shares,</w:t>
            </w: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58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6"/>
                <w:szCs w:val="16"/>
                <w:color w:val="auto"/>
              </w:rPr>
              <w:t>Series A</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10,716,390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4,786,654</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(4,403,976)</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382,678</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0.19%</w:t>
            </w:r>
          </w:p>
        </w:tc>
        <w:tc>
          <w:tcPr>
            <w:tcW w:w="0" w:type="dxa"/>
            <w:vAlign w:val="bottom"/>
          </w:tcPr>
          <w:p>
            <w:pPr>
              <w:spacing w:after="0"/>
              <w:rPr>
                <w:sz w:val="1"/>
                <w:szCs w:val="1"/>
                <w:color w:val="auto"/>
              </w:rPr>
            </w:pPr>
          </w:p>
        </w:tc>
      </w:tr>
      <w:tr>
        <w:trPr>
          <w:trHeight w:val="237"/>
        </w:trPr>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Education Media Platform</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5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w w:val="99"/>
              </w:rPr>
              <w:t>EdSurge, Inc.–Preferred shares,</w:t>
            </w: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58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6"/>
                <w:szCs w:val="16"/>
                <w:color w:val="auto"/>
              </w:rPr>
              <w:t>Series A-1</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378,788</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500,000</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500,000</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0.24%</w:t>
            </w:r>
          </w:p>
        </w:tc>
        <w:tc>
          <w:tcPr>
            <w:tcW w:w="0" w:type="dxa"/>
            <w:vAlign w:val="bottom"/>
          </w:tcPr>
          <w:p>
            <w:pPr>
              <w:spacing w:after="0"/>
              <w:rPr>
                <w:sz w:val="1"/>
                <w:szCs w:val="1"/>
                <w:color w:val="auto"/>
              </w:rPr>
            </w:pPr>
          </w:p>
        </w:tc>
      </w:tr>
      <w:tr>
        <w:trPr>
          <w:trHeight w:val="220"/>
        </w:trPr>
        <w:tc>
          <w:tcPr>
            <w:tcW w:w="2580" w:type="dxa"/>
            <w:vAlign w:val="bottom"/>
            <w:gridSpan w:val="2"/>
          </w:tcPr>
          <w:p>
            <w:pPr>
              <w:ind w:left="280"/>
              <w:spacing w:after="0"/>
              <w:rPr>
                <w:sz w:val="20"/>
                <w:szCs w:val="20"/>
                <w:color w:val="auto"/>
              </w:rPr>
            </w:pPr>
            <w:r>
              <w:rPr>
                <w:rFonts w:ascii="Arial" w:cs="Arial" w:eastAsia="Arial" w:hAnsi="Arial"/>
                <w:sz w:val="16"/>
                <w:szCs w:val="16"/>
                <w:color w:val="auto"/>
                <w:w w:val="99"/>
              </w:rPr>
              <w:t>EdSurge, Inc.–Preferred shares,</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580" w:type="dxa"/>
            <w:vAlign w:val="bottom"/>
            <w:gridSpan w:val="2"/>
          </w:tcPr>
          <w:p>
            <w:pPr>
              <w:ind w:left="440"/>
              <w:spacing w:after="0"/>
              <w:rPr>
                <w:sz w:val="20"/>
                <w:szCs w:val="20"/>
                <w:color w:val="auto"/>
              </w:rPr>
            </w:pPr>
            <w:r>
              <w:rPr>
                <w:rFonts w:ascii="Arial" w:cs="Arial" w:eastAsia="Arial" w:hAnsi="Arial"/>
                <w:sz w:val="16"/>
                <w:szCs w:val="16"/>
                <w:color w:val="auto"/>
              </w:rPr>
              <w:t>Series A</w:t>
            </w:r>
          </w:p>
        </w:tc>
        <w:tc>
          <w:tcPr>
            <w:tcW w:w="820" w:type="dxa"/>
            <w:vAlign w:val="bottom"/>
          </w:tcPr>
          <w:p>
            <w:pPr>
              <w:jc w:val="right"/>
              <w:spacing w:after="0"/>
              <w:rPr>
                <w:sz w:val="20"/>
                <w:szCs w:val="20"/>
                <w:color w:val="auto"/>
              </w:rPr>
            </w:pPr>
            <w:r>
              <w:rPr>
                <w:rFonts w:ascii="Arial" w:cs="Arial" w:eastAsia="Arial" w:hAnsi="Arial"/>
                <w:sz w:val="16"/>
                <w:szCs w:val="16"/>
                <w:color w:val="auto"/>
              </w:rPr>
              <w:t>494,365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588,294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(6,377)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581,917</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0.28%</w:t>
            </w:r>
          </w:p>
        </w:tc>
        <w:tc>
          <w:tcPr>
            <w:tcW w:w="0" w:type="dxa"/>
            <w:vAlign w:val="bottom"/>
          </w:tcPr>
          <w:p>
            <w:pPr>
              <w:spacing w:after="0"/>
              <w:rPr>
                <w:sz w:val="1"/>
                <w:szCs w:val="1"/>
                <w:color w:val="auto"/>
              </w:rPr>
            </w:pPr>
          </w:p>
        </w:tc>
      </w:tr>
      <w:tr>
        <w:trPr>
          <w:trHeight w:val="33"/>
        </w:trPr>
        <w:tc>
          <w:tcPr>
            <w:tcW w:w="2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i w:val="1"/>
                <w:iCs w:val="1"/>
                <w:color w:val="auto"/>
              </w:rPr>
              <w:t>Total Education Media Platform</w:t>
            </w: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1,088,294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(6,377)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1,081,917</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0.52%</w:t>
            </w:r>
          </w:p>
        </w:tc>
        <w:tc>
          <w:tcPr>
            <w:tcW w:w="0" w:type="dxa"/>
            <w:vAlign w:val="bottom"/>
          </w:tcPr>
          <w:p>
            <w:pPr>
              <w:spacing w:after="0"/>
              <w:rPr>
                <w:sz w:val="1"/>
                <w:szCs w:val="1"/>
                <w:color w:val="auto"/>
              </w:rPr>
            </w:pPr>
          </w:p>
        </w:tc>
      </w:tr>
      <w:tr>
        <w:trPr>
          <w:trHeight w:val="237"/>
        </w:trPr>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Education Technology</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5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Global Education Learning</w:t>
            </w: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58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(Holdings) Ltd.–Preferred</w:t>
            </w: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580" w:type="dxa"/>
            <w:vAlign w:val="bottom"/>
            <w:gridSpan w:val="2"/>
            <w:shd w:val="clear" w:color="auto" w:fill="CCEEFF"/>
          </w:tcPr>
          <w:p>
            <w:pPr>
              <w:ind w:left="440"/>
              <w:spacing w:after="0" w:line="239" w:lineRule="exact"/>
              <w:rPr>
                <w:sz w:val="20"/>
                <w:szCs w:val="20"/>
                <w:color w:val="auto"/>
              </w:rPr>
            </w:pPr>
            <w:r>
              <w:rPr>
                <w:rFonts w:ascii="Arial" w:cs="Arial" w:eastAsia="Arial" w:hAnsi="Arial"/>
                <w:sz w:val="16"/>
                <w:szCs w:val="16"/>
                <w:color w:val="auto"/>
              </w:rPr>
              <w:t>shares, Series A**</w:t>
            </w:r>
            <w:r>
              <w:rPr>
                <w:rFonts w:ascii="Arial" w:cs="Arial" w:eastAsia="Arial" w:hAnsi="Arial"/>
                <w:sz w:val="21"/>
                <w:szCs w:val="21"/>
                <w:color w:val="auto"/>
                <w:vertAlign w:val="superscript"/>
              </w:rPr>
              <w:t>(9)</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(675,495)</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675,495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Knowledge Networks</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5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w w:val="98"/>
              </w:rPr>
              <w:t>Maven Research, Inc.–Preferred</w:t>
            </w: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58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6"/>
                <w:szCs w:val="16"/>
                <w:color w:val="auto"/>
              </w:rPr>
              <w:t>shares, Series C</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318,979</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1,999,998</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(1,498,758)</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501,240</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0.24%</w:t>
            </w:r>
          </w:p>
        </w:tc>
        <w:tc>
          <w:tcPr>
            <w:tcW w:w="0" w:type="dxa"/>
            <w:vAlign w:val="bottom"/>
          </w:tcPr>
          <w:p>
            <w:pPr>
              <w:spacing w:after="0"/>
              <w:rPr>
                <w:sz w:val="1"/>
                <w:szCs w:val="1"/>
                <w:color w:val="auto"/>
              </w:rPr>
            </w:pPr>
          </w:p>
        </w:tc>
      </w:tr>
      <w:tr>
        <w:trPr>
          <w:trHeight w:val="220"/>
        </w:trPr>
        <w:tc>
          <w:tcPr>
            <w:tcW w:w="2580" w:type="dxa"/>
            <w:vAlign w:val="bottom"/>
            <w:gridSpan w:val="2"/>
          </w:tcPr>
          <w:p>
            <w:pPr>
              <w:ind w:left="280"/>
              <w:spacing w:after="0"/>
              <w:rPr>
                <w:sz w:val="20"/>
                <w:szCs w:val="20"/>
                <w:color w:val="auto"/>
              </w:rPr>
            </w:pPr>
            <w:r>
              <w:rPr>
                <w:rFonts w:ascii="Arial" w:cs="Arial" w:eastAsia="Arial" w:hAnsi="Arial"/>
                <w:sz w:val="16"/>
                <w:szCs w:val="16"/>
                <w:color w:val="auto"/>
                <w:w w:val="98"/>
              </w:rPr>
              <w:t>Maven Research, Inc.–Preferred</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580" w:type="dxa"/>
            <w:vAlign w:val="bottom"/>
            <w:gridSpan w:val="2"/>
          </w:tcPr>
          <w:p>
            <w:pPr>
              <w:ind w:left="440"/>
              <w:spacing w:after="0"/>
              <w:rPr>
                <w:sz w:val="20"/>
                <w:szCs w:val="20"/>
                <w:color w:val="auto"/>
              </w:rPr>
            </w:pPr>
            <w:r>
              <w:rPr>
                <w:rFonts w:ascii="Arial" w:cs="Arial" w:eastAsia="Arial" w:hAnsi="Arial"/>
                <w:sz w:val="16"/>
                <w:szCs w:val="16"/>
                <w:color w:val="auto"/>
              </w:rPr>
              <w:t>shares, Series B</w:t>
            </w:r>
          </w:p>
        </w:tc>
        <w:tc>
          <w:tcPr>
            <w:tcW w:w="820" w:type="dxa"/>
            <w:vAlign w:val="bottom"/>
          </w:tcPr>
          <w:p>
            <w:pPr>
              <w:jc w:val="right"/>
              <w:spacing w:after="0"/>
              <w:rPr>
                <w:sz w:val="20"/>
                <w:szCs w:val="20"/>
                <w:color w:val="auto"/>
              </w:rPr>
            </w:pPr>
            <w:r>
              <w:rPr>
                <w:rFonts w:ascii="Arial" w:cs="Arial" w:eastAsia="Arial" w:hAnsi="Arial"/>
                <w:sz w:val="16"/>
                <w:szCs w:val="16"/>
                <w:color w:val="auto"/>
              </w:rPr>
              <w:t>49,505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223,763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(173,763)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50,000</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33"/>
        </w:trPr>
        <w:tc>
          <w:tcPr>
            <w:tcW w:w="2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i w:val="1"/>
                <w:iCs w:val="1"/>
                <w:color w:val="auto"/>
              </w:rPr>
              <w:t>Total Knowledge Networks</w:t>
            </w: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2,223,761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(1,672,521)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551,240</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0.26%</w:t>
            </w:r>
          </w:p>
        </w:tc>
        <w:tc>
          <w:tcPr>
            <w:tcW w:w="0" w:type="dxa"/>
            <w:vAlign w:val="bottom"/>
          </w:tcPr>
          <w:p>
            <w:pPr>
              <w:spacing w:after="0"/>
              <w:rPr>
                <w:sz w:val="1"/>
                <w:szCs w:val="1"/>
                <w:color w:val="auto"/>
              </w:rPr>
            </w:pPr>
          </w:p>
        </w:tc>
      </w:tr>
      <w:tr>
        <w:trPr>
          <w:trHeight w:val="237"/>
        </w:trPr>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Digital Media Platform</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5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OzyMedia, Inc.–Preferred</w:t>
            </w: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58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6"/>
                <w:szCs w:val="16"/>
                <w:color w:val="auto"/>
              </w:rPr>
              <w:t>shares, Series B</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922,509</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4,999,999</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(2,632,977)</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2,367,022</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220"/>
        </w:trPr>
        <w:tc>
          <w:tcPr>
            <w:tcW w:w="2580" w:type="dxa"/>
            <w:vAlign w:val="bottom"/>
            <w:gridSpan w:val="2"/>
          </w:tcPr>
          <w:p>
            <w:pPr>
              <w:ind w:left="280"/>
              <w:spacing w:after="0"/>
              <w:rPr>
                <w:sz w:val="20"/>
                <w:szCs w:val="20"/>
                <w:color w:val="auto"/>
              </w:rPr>
            </w:pPr>
            <w:r>
              <w:rPr>
                <w:rFonts w:ascii="Arial" w:cs="Arial" w:eastAsia="Arial" w:hAnsi="Arial"/>
                <w:sz w:val="16"/>
                <w:szCs w:val="16"/>
                <w:color w:val="auto"/>
              </w:rPr>
              <w:t>OzyMedia, Inc.–Preferred</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580" w:type="dxa"/>
            <w:vAlign w:val="bottom"/>
            <w:gridSpan w:val="2"/>
          </w:tcPr>
          <w:p>
            <w:pPr>
              <w:ind w:left="440"/>
              <w:spacing w:after="0"/>
              <w:rPr>
                <w:sz w:val="20"/>
                <w:szCs w:val="20"/>
                <w:color w:val="auto"/>
              </w:rPr>
            </w:pPr>
            <w:r>
              <w:rPr>
                <w:rFonts w:ascii="Arial" w:cs="Arial" w:eastAsia="Arial" w:hAnsi="Arial"/>
                <w:sz w:val="16"/>
                <w:szCs w:val="16"/>
                <w:color w:val="auto"/>
              </w:rPr>
              <w:t>shares, Series A</w:t>
            </w:r>
          </w:p>
        </w:tc>
        <w:tc>
          <w:tcPr>
            <w:tcW w:w="820" w:type="dxa"/>
            <w:vAlign w:val="bottom"/>
          </w:tcPr>
          <w:p>
            <w:pPr>
              <w:jc w:val="right"/>
              <w:spacing w:after="0"/>
              <w:rPr>
                <w:sz w:val="20"/>
                <w:szCs w:val="20"/>
                <w:color w:val="auto"/>
              </w:rPr>
            </w:pPr>
            <w:r>
              <w:rPr>
                <w:rFonts w:ascii="Arial" w:cs="Arial" w:eastAsia="Arial" w:hAnsi="Arial"/>
                <w:sz w:val="16"/>
                <w:szCs w:val="16"/>
                <w:color w:val="auto"/>
              </w:rPr>
              <w:t>1,090,909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w w:val="98"/>
              </w:rPr>
              <w:t>3,000,000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(1,580,190)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w w:val="98"/>
              </w:rPr>
              <w:t>1,419,810</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0.69%</w:t>
            </w:r>
          </w:p>
        </w:tc>
        <w:tc>
          <w:tcPr>
            <w:tcW w:w="0" w:type="dxa"/>
            <w:vAlign w:val="bottom"/>
          </w:tcPr>
          <w:p>
            <w:pPr>
              <w:spacing w:after="0"/>
              <w:rPr>
                <w:sz w:val="1"/>
                <w:szCs w:val="1"/>
                <w:color w:val="auto"/>
              </w:rPr>
            </w:pPr>
          </w:p>
        </w:tc>
      </w:tr>
      <w:tr>
        <w:trPr>
          <w:trHeight w:val="33"/>
        </w:trPr>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5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OzyMedia, Inc.–Preferred</w:t>
            </w: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58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6"/>
                <w:szCs w:val="16"/>
                <w:color w:val="auto"/>
              </w:rPr>
              <w:t>shares, Series Seed</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500,000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610,000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(373,365)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236,635</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0.12%</w:t>
            </w:r>
          </w:p>
        </w:tc>
        <w:tc>
          <w:tcPr>
            <w:tcW w:w="0" w:type="dxa"/>
            <w:vAlign w:val="bottom"/>
          </w:tcPr>
          <w:p>
            <w:pPr>
              <w:spacing w:after="0"/>
              <w:rPr>
                <w:sz w:val="1"/>
                <w:szCs w:val="1"/>
                <w:color w:val="auto"/>
              </w:rPr>
            </w:pPr>
          </w:p>
        </w:tc>
      </w:tr>
      <w:tr>
        <w:trPr>
          <w:trHeight w:val="231"/>
        </w:trPr>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Total Digital Media Platform</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8"/>
              </w:rPr>
              <w:t>8,609,999</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(4,586,532)</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8"/>
              </w:rPr>
              <w:t>4,023,467</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1.97%</w:t>
            </w:r>
          </w:p>
        </w:tc>
        <w:tc>
          <w:tcPr>
            <w:tcW w:w="0" w:type="dxa"/>
            <w:vAlign w:val="bottom"/>
          </w:tcPr>
          <w:p>
            <w:pPr>
              <w:spacing w:after="0"/>
              <w:rPr>
                <w:sz w:val="1"/>
                <w:szCs w:val="1"/>
                <w:color w:val="auto"/>
              </w:rPr>
            </w:pPr>
          </w:p>
        </w:tc>
      </w:tr>
      <w:tr>
        <w:trPr>
          <w:trHeight w:val="33"/>
        </w:trPr>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i w:val="1"/>
                <w:iCs w:val="1"/>
                <w:color w:val="auto"/>
              </w:rPr>
              <w:t>Social Media</w:t>
            </w: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580" w:type="dxa"/>
            <w:vAlign w:val="bottom"/>
            <w:gridSpan w:val="2"/>
          </w:tcPr>
          <w:p>
            <w:pPr>
              <w:ind w:left="280"/>
              <w:spacing w:after="0"/>
              <w:rPr>
                <w:sz w:val="20"/>
                <w:szCs w:val="20"/>
                <w:color w:val="auto"/>
              </w:rPr>
            </w:pPr>
            <w:r>
              <w:rPr>
                <w:rFonts w:ascii="Arial" w:cs="Arial" w:eastAsia="Arial" w:hAnsi="Arial"/>
                <w:sz w:val="16"/>
                <w:szCs w:val="16"/>
                <w:color w:val="auto"/>
              </w:rPr>
              <w:t>AlwaysOn, Inc.–Preferred</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580" w:type="dxa"/>
            <w:vAlign w:val="bottom"/>
            <w:gridSpan w:val="2"/>
          </w:tcPr>
          <w:p>
            <w:pPr>
              <w:ind w:left="440"/>
              <w:spacing w:after="0" w:line="239" w:lineRule="exact"/>
              <w:rPr>
                <w:sz w:val="20"/>
                <w:szCs w:val="20"/>
                <w:color w:val="auto"/>
              </w:rPr>
            </w:pPr>
            <w:r>
              <w:rPr>
                <w:rFonts w:ascii="Arial" w:cs="Arial" w:eastAsia="Arial" w:hAnsi="Arial"/>
                <w:sz w:val="16"/>
                <w:szCs w:val="16"/>
                <w:color w:val="auto"/>
              </w:rPr>
              <w:t>shares, Series A-1</w:t>
            </w:r>
            <w:r>
              <w:rPr>
                <w:rFonts w:ascii="Arial" w:cs="Arial" w:eastAsia="Arial" w:hAnsi="Arial"/>
                <w:sz w:val="21"/>
                <w:szCs w:val="21"/>
                <w:color w:val="auto"/>
                <w:vertAlign w:val="superscript"/>
              </w:rPr>
              <w:t>(10)</w:t>
            </w: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(876,023)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876,023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25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AlwaysOn, Inc.–Preferred</w:t>
            </w: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580" w:type="dxa"/>
            <w:vAlign w:val="bottom"/>
            <w:gridSpan w:val="2"/>
            <w:shd w:val="clear" w:color="auto" w:fill="CCEEFF"/>
          </w:tcPr>
          <w:p>
            <w:pPr>
              <w:ind w:left="440"/>
              <w:spacing w:after="0" w:line="239" w:lineRule="exact"/>
              <w:rPr>
                <w:sz w:val="20"/>
                <w:szCs w:val="20"/>
                <w:color w:val="auto"/>
              </w:rPr>
            </w:pPr>
            <w:r>
              <w:rPr>
                <w:rFonts w:ascii="Arial" w:cs="Arial" w:eastAsia="Arial" w:hAnsi="Arial"/>
                <w:sz w:val="16"/>
                <w:szCs w:val="16"/>
                <w:color w:val="auto"/>
              </w:rPr>
              <w:t>shares, Series A</w:t>
            </w:r>
            <w:r>
              <w:rPr>
                <w:rFonts w:ascii="Arial" w:cs="Arial" w:eastAsia="Arial" w:hAnsi="Arial"/>
                <w:sz w:val="21"/>
                <w:szCs w:val="21"/>
                <w:color w:val="auto"/>
                <w:vertAlign w:val="superscript"/>
              </w:rPr>
              <w:t>(10)</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0"/>
              </w:rPr>
              <w:t>(1,027,391)</w:t>
            </w:r>
          </w:p>
        </w:tc>
        <w:tc>
          <w:tcPr>
            <w:tcW w:w="1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1,027,391</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1"/>
        </w:trPr>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Total Social Media</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w w:val="90"/>
              </w:rPr>
              <w:t>(1,903,414)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1,903,414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Total Preferred Stock</w:t>
            </w: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7"/>
              </w:rPr>
              <w:t>32,867,776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119,299</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4"/>
              </w:rPr>
              <w:t>$(3,000,000)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0"/>
              </w:rPr>
              <w:t>(4,475,784)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0"/>
              </w:rPr>
              <w:t>(12,488,239)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7"/>
              </w:rPr>
              <w:t>13,023,052</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6.36%</w:t>
            </w:r>
          </w:p>
        </w:tc>
        <w:tc>
          <w:tcPr>
            <w:tcW w:w="0" w:type="dxa"/>
            <w:vAlign w:val="bottom"/>
          </w:tcPr>
          <w:p>
            <w:pPr>
              <w:spacing w:after="0"/>
              <w:rPr>
                <w:sz w:val="1"/>
                <w:szCs w:val="1"/>
                <w:color w:val="auto"/>
              </w:rPr>
            </w:pPr>
          </w:p>
        </w:tc>
      </w:tr>
      <w:tr>
        <w:trPr>
          <w:trHeight w:val="237"/>
        </w:trPr>
        <w:tc>
          <w:tcPr>
            <w:tcW w:w="2580" w:type="dxa"/>
            <w:vAlign w:val="bottom"/>
            <w:gridSpan w:val="2"/>
          </w:tcPr>
          <w:p>
            <w:pPr>
              <w:ind w:left="40"/>
              <w:spacing w:after="0"/>
              <w:rPr>
                <w:sz w:val="20"/>
                <w:szCs w:val="20"/>
                <w:color w:val="auto"/>
              </w:rPr>
            </w:pPr>
            <w:r>
              <w:rPr>
                <w:rFonts w:ascii="Arial" w:cs="Arial" w:eastAsia="Arial" w:hAnsi="Arial"/>
                <w:sz w:val="16"/>
                <w:szCs w:val="16"/>
                <w:b w:val="1"/>
                <w:bCs w:val="1"/>
                <w:color w:val="auto"/>
              </w:rPr>
              <w:t>Common Stock</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i w:val="1"/>
                <w:iCs w:val="1"/>
                <w:color w:val="auto"/>
              </w:rPr>
              <w:t>Big Data Consulting</w:t>
            </w: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580" w:type="dxa"/>
            <w:vAlign w:val="bottom"/>
            <w:gridSpan w:val="2"/>
          </w:tcPr>
          <w:p>
            <w:pPr>
              <w:ind w:left="280"/>
              <w:spacing w:after="0"/>
              <w:rPr>
                <w:sz w:val="20"/>
                <w:szCs w:val="20"/>
                <w:color w:val="auto"/>
              </w:rPr>
            </w:pPr>
            <w:r>
              <w:rPr>
                <w:rFonts w:ascii="Arial" w:cs="Arial" w:eastAsia="Arial" w:hAnsi="Arial"/>
                <w:sz w:val="16"/>
                <w:szCs w:val="16"/>
                <w:color w:val="auto"/>
              </w:rPr>
              <w:t>Strategic Data Command, LLC–</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580" w:type="dxa"/>
            <w:vAlign w:val="bottom"/>
            <w:gridSpan w:val="2"/>
          </w:tcPr>
          <w:p>
            <w:pPr>
              <w:ind w:left="440"/>
              <w:spacing w:after="0" w:line="239" w:lineRule="exact"/>
              <w:rPr>
                <w:sz w:val="20"/>
                <w:szCs w:val="20"/>
                <w:color w:val="auto"/>
              </w:rPr>
            </w:pPr>
            <w:r>
              <w:rPr>
                <w:rFonts w:ascii="Arial" w:cs="Arial" w:eastAsia="Arial" w:hAnsi="Arial"/>
                <w:sz w:val="16"/>
                <w:szCs w:val="16"/>
                <w:color w:val="auto"/>
              </w:rPr>
              <w:t>Common shares</w:t>
            </w:r>
            <w:r>
              <w:rPr>
                <w:rFonts w:ascii="Arial" w:cs="Arial" w:eastAsia="Arial" w:hAnsi="Arial"/>
                <w:sz w:val="21"/>
                <w:szCs w:val="21"/>
                <w:color w:val="auto"/>
                <w:vertAlign w:val="superscript"/>
              </w:rPr>
              <w:t>(7)</w:t>
            </w: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w w:val="98"/>
              </w:rPr>
              <w:t>2,052,555</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w w:val="94"/>
              </w:rPr>
              <w:t>$(2,514,651)</w:t>
            </w:r>
          </w:p>
        </w:tc>
        <w:tc>
          <w:tcPr>
            <w:tcW w:w="12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w w:val="98"/>
              </w:rPr>
              <w:t>1,524,374</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(1,063,278)</w:t>
            </w:r>
          </w:p>
        </w:tc>
        <w:tc>
          <w:tcPr>
            <w:tcW w:w="100" w:type="dxa"/>
            <w:vAlign w:val="bottom"/>
          </w:tcPr>
          <w:p>
            <w:pPr>
              <w:spacing w:after="0"/>
              <w:rPr>
                <w:sz w:val="20"/>
                <w:szCs w:val="20"/>
                <w:color w:val="auto"/>
              </w:rPr>
            </w:pP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2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i w:val="1"/>
                <w:iCs w:val="1"/>
                <w:color w:val="auto"/>
              </w:rPr>
              <w:t>Globally-Focused Private School</w:t>
            </w: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580" w:type="dxa"/>
            <w:vAlign w:val="bottom"/>
            <w:gridSpan w:val="2"/>
          </w:tcPr>
          <w:p>
            <w:pPr>
              <w:ind w:left="280"/>
              <w:spacing w:after="0"/>
              <w:rPr>
                <w:sz w:val="20"/>
                <w:szCs w:val="20"/>
                <w:color w:val="auto"/>
              </w:rPr>
            </w:pPr>
            <w:r>
              <w:rPr>
                <w:rFonts w:ascii="Arial" w:cs="Arial" w:eastAsia="Arial" w:hAnsi="Arial"/>
                <w:sz w:val="16"/>
                <w:szCs w:val="16"/>
                <w:color w:val="auto"/>
              </w:rPr>
              <w:t>Whittle Schools, LLC–Common</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580" w:type="dxa"/>
            <w:vAlign w:val="bottom"/>
            <w:gridSpan w:val="2"/>
          </w:tcPr>
          <w:p>
            <w:pPr>
              <w:ind w:left="440"/>
              <w:spacing w:after="0" w:line="239" w:lineRule="exact"/>
              <w:rPr>
                <w:sz w:val="20"/>
                <w:szCs w:val="20"/>
                <w:color w:val="auto"/>
              </w:rPr>
            </w:pPr>
            <w:r>
              <w:rPr>
                <w:rFonts w:ascii="Arial" w:cs="Arial" w:eastAsia="Arial" w:hAnsi="Arial"/>
                <w:sz w:val="16"/>
                <w:szCs w:val="16"/>
                <w:color w:val="auto"/>
              </w:rPr>
              <w:t>shares</w:t>
            </w:r>
            <w:r>
              <w:rPr>
                <w:rFonts w:ascii="Arial" w:cs="Arial" w:eastAsia="Arial" w:hAnsi="Arial"/>
                <w:sz w:val="21"/>
                <w:szCs w:val="21"/>
                <w:color w:val="auto"/>
                <w:vertAlign w:val="superscript"/>
              </w:rPr>
              <w:t>(5)</w:t>
            </w: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w w:val="98"/>
              </w:rPr>
              <w:t>1,500,000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59,649</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(1,575,000)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(61,746)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77,097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58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Total Common Stock</w:t>
            </w: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3,552,555</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60,649</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$(4,089,651)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98"/>
              </w:rPr>
              <w:t>1,462,628</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(986,181)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20"/>
          </w:cols>
          <w:pgMar w:left="240" w:top="121" w:right="239" w:bottom="1440" w:gutter="0" w:footer="0" w:header="0"/>
          <w:type w:val="continuous"/>
        </w:sectPr>
      </w:pPr>
    </w:p>
    <w:bookmarkStart w:id="45" w:name="page46"/>
    <w:bookmarkEnd w:id="4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2018</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Schedule of Investments In, and Advances to, Affiliates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Interest,</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Purchases,</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Fees, or</w:t>
            </w:r>
          </w:p>
        </w:tc>
        <w:tc>
          <w:tcPr>
            <w:tcW w:w="10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Fair Value at</w:t>
            </w:r>
          </w:p>
        </w:tc>
        <w:tc>
          <w:tcPr>
            <w:tcW w:w="1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Capitalized</w:t>
            </w: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Fair Value at</w:t>
            </w: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Percentage</w:t>
            </w:r>
          </w:p>
        </w:tc>
        <w:tc>
          <w:tcPr>
            <w:tcW w:w="0" w:type="dxa"/>
            <w:vAlign w:val="bottom"/>
          </w:tcPr>
          <w:p>
            <w:pPr>
              <w:spacing w:after="0"/>
              <w:rPr>
                <w:sz w:val="1"/>
                <w:szCs w:val="1"/>
                <w:color w:val="auto"/>
              </w:rPr>
            </w:pPr>
          </w:p>
        </w:tc>
      </w:tr>
      <w:tr>
        <w:trPr>
          <w:trHeight w:val="149"/>
        </w:trPr>
        <w:tc>
          <w:tcPr>
            <w:tcW w:w="26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Type/Industry/Portfolio</w:t>
            </w:r>
          </w:p>
        </w:tc>
        <w:tc>
          <w:tcPr>
            <w:tcW w:w="8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Principal/</w:t>
            </w:r>
          </w:p>
        </w:tc>
        <w:tc>
          <w:tcPr>
            <w:tcW w:w="8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Dividends</w:t>
            </w:r>
          </w:p>
        </w:tc>
        <w:tc>
          <w:tcPr>
            <w:tcW w:w="10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Fees,</w:t>
            </w: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Realized</w:t>
            </w:r>
          </w:p>
        </w:tc>
        <w:tc>
          <w:tcPr>
            <w:tcW w:w="120" w:type="dxa"/>
            <w:vAlign w:val="bottom"/>
          </w:tcPr>
          <w:p>
            <w:pPr>
              <w:spacing w:after="0"/>
              <w:rPr>
                <w:sz w:val="12"/>
                <w:szCs w:val="12"/>
                <w:color w:val="auto"/>
              </w:rPr>
            </w:pPr>
          </w:p>
        </w:tc>
        <w:tc>
          <w:tcPr>
            <w:tcW w:w="10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Unrealized</w:t>
            </w:r>
          </w:p>
        </w:tc>
        <w:tc>
          <w:tcPr>
            <w:tcW w:w="1000" w:type="dxa"/>
            <w:vAlign w:val="bottom"/>
            <w:gridSpan w:val="3"/>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8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Credited</w:t>
            </w:r>
          </w:p>
        </w:tc>
        <w:tc>
          <w:tcPr>
            <w:tcW w:w="10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December 31,</w:t>
            </w:r>
          </w:p>
        </w:tc>
        <w:tc>
          <w:tcPr>
            <w:tcW w:w="10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Interest and</w:t>
            </w:r>
          </w:p>
        </w:tc>
        <w:tc>
          <w:tcPr>
            <w:tcW w:w="100" w:type="dxa"/>
            <w:vAlign w:val="bottom"/>
          </w:tcPr>
          <w:p>
            <w:pPr>
              <w:spacing w:after="0"/>
              <w:rPr>
                <w:sz w:val="12"/>
                <w:szCs w:val="12"/>
                <w:color w:val="auto"/>
              </w:rPr>
            </w:pPr>
          </w:p>
        </w:tc>
        <w:tc>
          <w:tcPr>
            <w:tcW w:w="820" w:type="dxa"/>
            <w:vAlign w:val="bottom"/>
            <w:vMerge w:val="restart"/>
          </w:tcPr>
          <w:p>
            <w:pPr>
              <w:jc w:val="right"/>
              <w:ind w:right="220"/>
              <w:spacing w:after="0"/>
              <w:rPr>
                <w:sz w:val="20"/>
                <w:szCs w:val="20"/>
                <w:color w:val="auto"/>
              </w:rPr>
            </w:pPr>
            <w:r>
              <w:rPr>
                <w:rFonts w:ascii="Arial" w:cs="Arial" w:eastAsia="Arial" w:hAnsi="Arial"/>
                <w:sz w:val="14"/>
                <w:szCs w:val="14"/>
                <w:b w:val="1"/>
                <w:bCs w:val="1"/>
                <w:color w:val="auto"/>
              </w:rPr>
              <w:t>Sales</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December 31,</w:t>
            </w:r>
          </w:p>
        </w:tc>
        <w:tc>
          <w:tcPr>
            <w:tcW w:w="800" w:type="dxa"/>
            <w:vAlign w:val="bottom"/>
          </w:tcPr>
          <w:p>
            <w:pPr>
              <w:jc w:val="right"/>
              <w:ind w:right="141"/>
              <w:spacing w:after="0" w:line="149" w:lineRule="exact"/>
              <w:rPr>
                <w:sz w:val="20"/>
                <w:szCs w:val="20"/>
                <w:color w:val="auto"/>
              </w:rPr>
            </w:pPr>
            <w:r>
              <w:rPr>
                <w:rFonts w:ascii="Arial" w:cs="Arial" w:eastAsia="Arial" w:hAnsi="Arial"/>
                <w:sz w:val="14"/>
                <w:szCs w:val="14"/>
                <w:b w:val="1"/>
                <w:bCs w:val="1"/>
                <w:color w:val="auto"/>
              </w:rPr>
              <w:t>of Net</w:t>
            </w:r>
          </w:p>
        </w:tc>
        <w:tc>
          <w:tcPr>
            <w:tcW w:w="0" w:type="dxa"/>
            <w:vAlign w:val="bottom"/>
          </w:tcPr>
          <w:p>
            <w:pPr>
              <w:spacing w:after="0"/>
              <w:rPr>
                <w:sz w:val="1"/>
                <w:szCs w:val="1"/>
                <w:color w:val="auto"/>
              </w:rPr>
            </w:pPr>
          </w:p>
        </w:tc>
      </w:tr>
      <w:tr>
        <w:trPr>
          <w:trHeight w:val="192"/>
        </w:trPr>
        <w:tc>
          <w:tcPr>
            <w:tcW w:w="2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Company/Investment</w:t>
            </w:r>
          </w:p>
        </w:tc>
        <w:tc>
          <w:tcPr>
            <w:tcW w:w="10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Quantity</w:t>
            </w:r>
          </w:p>
        </w:tc>
        <w:tc>
          <w:tcPr>
            <w:tcW w:w="12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in Income</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Amortization</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1"/>
              </w:rPr>
              <w:t>Gains/(Losses)</w:t>
            </w: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Gains/(Losses)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50"/>
        </w:trPr>
        <w:tc>
          <w:tcPr>
            <w:tcW w:w="2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Warrants</w:t>
            </w: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680" w:type="dxa"/>
            <w:vAlign w:val="bottom"/>
            <w:gridSpan w:val="2"/>
          </w:tcPr>
          <w:p>
            <w:pPr>
              <w:ind w:left="180"/>
              <w:spacing w:after="0"/>
              <w:rPr>
                <w:sz w:val="20"/>
                <w:szCs w:val="20"/>
                <w:color w:val="auto"/>
              </w:rPr>
            </w:pPr>
            <w:r>
              <w:rPr>
                <w:rFonts w:ascii="Arial" w:cs="Arial" w:eastAsia="Arial" w:hAnsi="Arial"/>
                <w:sz w:val="16"/>
                <w:szCs w:val="16"/>
                <w:i w:val="1"/>
                <w:iCs w:val="1"/>
                <w:color w:val="auto"/>
              </w:rPr>
              <w:t>Sports Analytics</w:t>
            </w: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680" w:type="dxa"/>
            <w:vAlign w:val="bottom"/>
            <w:gridSpan w:val="2"/>
            <w:shd w:val="clear" w:color="auto" w:fill="CCEEFF"/>
          </w:tcPr>
          <w:p>
            <w:pPr>
              <w:jc w:val="center"/>
              <w:ind w:right="180"/>
              <w:spacing w:after="0"/>
              <w:rPr>
                <w:sz w:val="20"/>
                <w:szCs w:val="20"/>
                <w:color w:val="auto"/>
              </w:rPr>
            </w:pPr>
            <w:r>
              <w:rPr>
                <w:rFonts w:ascii="Arial" w:cs="Arial" w:eastAsia="Arial" w:hAnsi="Arial"/>
                <w:sz w:val="16"/>
                <w:szCs w:val="16"/>
                <w:color w:val="auto"/>
                <w:w w:val="96"/>
              </w:rPr>
              <w:t>Circle Media (f/k/a S3 Digital</w:t>
            </w: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68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Corp. (d/b/a S3i))–Preferred</w:t>
            </w: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8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warrants, $1.17 Strike Price,</w:t>
            </w: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680" w:type="dxa"/>
            <w:vAlign w:val="bottom"/>
            <w:gridSpan w:val="2"/>
            <w:shd w:val="clear" w:color="auto" w:fill="CCEEFF"/>
          </w:tcPr>
          <w:p>
            <w:pPr>
              <w:ind w:left="440"/>
              <w:spacing w:after="0" w:line="239" w:lineRule="exact"/>
              <w:rPr>
                <w:sz w:val="20"/>
                <w:szCs w:val="20"/>
                <w:color w:val="auto"/>
              </w:rPr>
            </w:pPr>
            <w:r>
              <w:rPr>
                <w:rFonts w:ascii="Arial" w:cs="Arial" w:eastAsia="Arial" w:hAnsi="Arial"/>
                <w:sz w:val="16"/>
                <w:szCs w:val="16"/>
                <w:color w:val="auto"/>
              </w:rPr>
              <w:t>Expiration Date 11/18/2022</w:t>
            </w:r>
            <w:r>
              <w:rPr>
                <w:rFonts w:ascii="Arial" w:cs="Arial" w:eastAsia="Arial" w:hAnsi="Arial"/>
                <w:sz w:val="21"/>
                <w:szCs w:val="21"/>
                <w:color w:val="auto"/>
                <w:vertAlign w:val="superscript"/>
              </w:rPr>
              <w:t>(13)</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576</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2680" w:type="dxa"/>
            <w:vAlign w:val="bottom"/>
            <w:gridSpan w:val="2"/>
          </w:tcPr>
          <w:p>
            <w:pPr>
              <w:jc w:val="center"/>
              <w:ind w:right="180"/>
              <w:spacing w:after="0"/>
              <w:rPr>
                <w:sz w:val="20"/>
                <w:szCs w:val="20"/>
                <w:color w:val="auto"/>
              </w:rPr>
            </w:pPr>
            <w:r>
              <w:rPr>
                <w:rFonts w:ascii="Arial" w:cs="Arial" w:eastAsia="Arial" w:hAnsi="Arial"/>
                <w:sz w:val="16"/>
                <w:szCs w:val="16"/>
                <w:color w:val="auto"/>
                <w:w w:val="96"/>
              </w:rPr>
              <w:t>Circle Media (f/k/a S3 Digital</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680" w:type="dxa"/>
            <w:vAlign w:val="bottom"/>
            <w:gridSpan w:val="2"/>
          </w:tcPr>
          <w:p>
            <w:pPr>
              <w:ind w:left="440"/>
              <w:spacing w:after="0"/>
              <w:rPr>
                <w:sz w:val="20"/>
                <w:szCs w:val="20"/>
                <w:color w:val="auto"/>
              </w:rPr>
            </w:pPr>
            <w:r>
              <w:rPr>
                <w:rFonts w:ascii="Arial" w:cs="Arial" w:eastAsia="Arial" w:hAnsi="Arial"/>
                <w:sz w:val="16"/>
                <w:szCs w:val="16"/>
                <w:color w:val="auto"/>
              </w:rPr>
              <w:t>Corp. (d/b/a S3i))–Preferred</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80" w:type="dxa"/>
            <w:vAlign w:val="bottom"/>
            <w:gridSpan w:val="2"/>
          </w:tcPr>
          <w:p>
            <w:pPr>
              <w:ind w:left="440"/>
              <w:spacing w:after="0"/>
              <w:rPr>
                <w:sz w:val="20"/>
                <w:szCs w:val="20"/>
                <w:color w:val="auto"/>
              </w:rPr>
            </w:pPr>
            <w:r>
              <w:rPr>
                <w:rFonts w:ascii="Arial" w:cs="Arial" w:eastAsia="Arial" w:hAnsi="Arial"/>
                <w:sz w:val="16"/>
                <w:szCs w:val="16"/>
                <w:color w:val="auto"/>
              </w:rPr>
              <w:t>warrants, $1.17 Strike Price,</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680" w:type="dxa"/>
            <w:vAlign w:val="bottom"/>
            <w:gridSpan w:val="2"/>
          </w:tcPr>
          <w:p>
            <w:pPr>
              <w:ind w:left="440"/>
              <w:spacing w:after="0" w:line="239" w:lineRule="exact"/>
              <w:rPr>
                <w:sz w:val="20"/>
                <w:szCs w:val="20"/>
                <w:color w:val="auto"/>
              </w:rPr>
            </w:pPr>
            <w:r>
              <w:rPr>
                <w:rFonts w:ascii="Arial" w:cs="Arial" w:eastAsia="Arial" w:hAnsi="Arial"/>
                <w:sz w:val="16"/>
                <w:szCs w:val="16"/>
                <w:color w:val="auto"/>
              </w:rPr>
              <w:t>Expiration Date 8/29/2021</w:t>
            </w:r>
            <w:r>
              <w:rPr>
                <w:rFonts w:ascii="Arial" w:cs="Arial" w:eastAsia="Arial" w:hAnsi="Arial"/>
                <w:sz w:val="21"/>
                <w:szCs w:val="21"/>
                <w:color w:val="auto"/>
                <w:vertAlign w:val="superscript"/>
              </w:rPr>
              <w:t>(13)</w:t>
            </w: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2680" w:type="dxa"/>
            <w:vAlign w:val="bottom"/>
            <w:gridSpan w:val="2"/>
            <w:shd w:val="clear" w:color="auto" w:fill="CCEEFF"/>
          </w:tcPr>
          <w:p>
            <w:pPr>
              <w:jc w:val="center"/>
              <w:ind w:right="180"/>
              <w:spacing w:after="0"/>
              <w:rPr>
                <w:sz w:val="20"/>
                <w:szCs w:val="20"/>
                <w:color w:val="auto"/>
              </w:rPr>
            </w:pPr>
            <w:r>
              <w:rPr>
                <w:rFonts w:ascii="Arial" w:cs="Arial" w:eastAsia="Arial" w:hAnsi="Arial"/>
                <w:sz w:val="16"/>
                <w:szCs w:val="16"/>
                <w:color w:val="auto"/>
                <w:w w:val="96"/>
              </w:rPr>
              <w:t>Circle Media (f/k/a S3 Digital</w:t>
            </w: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68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Corp. (d/b/a S3i))–Preferred</w:t>
            </w: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8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warrants, $1.17 Strike Price,</w:t>
            </w: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680" w:type="dxa"/>
            <w:vAlign w:val="bottom"/>
            <w:gridSpan w:val="2"/>
            <w:shd w:val="clear" w:color="auto" w:fill="CCEEFF"/>
          </w:tcPr>
          <w:p>
            <w:pPr>
              <w:ind w:left="440"/>
              <w:spacing w:after="0" w:line="239" w:lineRule="exact"/>
              <w:rPr>
                <w:sz w:val="20"/>
                <w:szCs w:val="20"/>
                <w:color w:val="auto"/>
              </w:rPr>
            </w:pPr>
            <w:r>
              <w:rPr>
                <w:rFonts w:ascii="Arial" w:cs="Arial" w:eastAsia="Arial" w:hAnsi="Arial"/>
                <w:sz w:val="16"/>
                <w:szCs w:val="16"/>
                <w:color w:val="auto"/>
              </w:rPr>
              <w:t>Expiration Date 6/26/2021</w:t>
            </w:r>
            <w:r>
              <w:rPr>
                <w:rFonts w:ascii="Arial" w:cs="Arial" w:eastAsia="Arial" w:hAnsi="Arial"/>
                <w:sz w:val="21"/>
                <w:szCs w:val="21"/>
                <w:color w:val="auto"/>
                <w:vertAlign w:val="superscript"/>
              </w:rPr>
              <w:t>(13)</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2680" w:type="dxa"/>
            <w:vAlign w:val="bottom"/>
            <w:gridSpan w:val="2"/>
          </w:tcPr>
          <w:p>
            <w:pPr>
              <w:jc w:val="center"/>
              <w:ind w:right="180"/>
              <w:spacing w:after="0"/>
              <w:rPr>
                <w:sz w:val="20"/>
                <w:szCs w:val="20"/>
                <w:color w:val="auto"/>
              </w:rPr>
            </w:pPr>
            <w:r>
              <w:rPr>
                <w:rFonts w:ascii="Arial" w:cs="Arial" w:eastAsia="Arial" w:hAnsi="Arial"/>
                <w:sz w:val="16"/>
                <w:szCs w:val="16"/>
                <w:color w:val="auto"/>
                <w:w w:val="96"/>
              </w:rPr>
              <w:t>Circle Media (f/k/a S3 Digital</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680" w:type="dxa"/>
            <w:vAlign w:val="bottom"/>
            <w:gridSpan w:val="2"/>
          </w:tcPr>
          <w:p>
            <w:pPr>
              <w:ind w:left="440"/>
              <w:spacing w:after="0"/>
              <w:rPr>
                <w:sz w:val="20"/>
                <w:szCs w:val="20"/>
                <w:color w:val="auto"/>
              </w:rPr>
            </w:pPr>
            <w:r>
              <w:rPr>
                <w:rFonts w:ascii="Arial" w:cs="Arial" w:eastAsia="Arial" w:hAnsi="Arial"/>
                <w:sz w:val="16"/>
                <w:szCs w:val="16"/>
                <w:color w:val="auto"/>
              </w:rPr>
              <w:t>Corp. (d/b/a S3i))–Preferred</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80" w:type="dxa"/>
            <w:vAlign w:val="bottom"/>
            <w:gridSpan w:val="2"/>
          </w:tcPr>
          <w:p>
            <w:pPr>
              <w:ind w:left="440"/>
              <w:spacing w:after="0"/>
              <w:rPr>
                <w:sz w:val="20"/>
                <w:szCs w:val="20"/>
                <w:color w:val="auto"/>
              </w:rPr>
            </w:pPr>
            <w:r>
              <w:rPr>
                <w:rFonts w:ascii="Arial" w:cs="Arial" w:eastAsia="Arial" w:hAnsi="Arial"/>
                <w:sz w:val="16"/>
                <w:szCs w:val="16"/>
                <w:color w:val="auto"/>
              </w:rPr>
              <w:t>warrants, $1.17 Strike Price,</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680" w:type="dxa"/>
            <w:vAlign w:val="bottom"/>
            <w:gridSpan w:val="2"/>
          </w:tcPr>
          <w:p>
            <w:pPr>
              <w:ind w:left="440"/>
              <w:spacing w:after="0" w:line="239" w:lineRule="exact"/>
              <w:rPr>
                <w:sz w:val="20"/>
                <w:szCs w:val="20"/>
                <w:color w:val="auto"/>
              </w:rPr>
            </w:pPr>
            <w:r>
              <w:rPr>
                <w:rFonts w:ascii="Arial" w:cs="Arial" w:eastAsia="Arial" w:hAnsi="Arial"/>
                <w:sz w:val="16"/>
                <w:szCs w:val="16"/>
                <w:color w:val="auto"/>
              </w:rPr>
              <w:t>Expiration Date 9/30/2020</w:t>
            </w:r>
            <w:r>
              <w:rPr>
                <w:rFonts w:ascii="Arial" w:cs="Arial" w:eastAsia="Arial" w:hAnsi="Arial"/>
                <w:sz w:val="21"/>
                <w:szCs w:val="21"/>
                <w:color w:val="auto"/>
                <w:vertAlign w:val="superscript"/>
              </w:rPr>
              <w:t>(13)</w:t>
            </w: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2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Circle Media (f/k/a S3 Digital</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5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Corp. (d/b/a S3i))–Preferred</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warrants, $1.00 Strike Price,</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580" w:type="dxa"/>
            <w:vAlign w:val="bottom"/>
            <w:tcBorders>
              <w:bottom w:val="single" w:sz="8" w:color="CCEEFF"/>
            </w:tcBorders>
            <w:shd w:val="clear" w:color="auto" w:fill="CCEEFF"/>
          </w:tcPr>
          <w:p>
            <w:pPr>
              <w:ind w:left="440"/>
              <w:spacing w:after="0" w:line="239" w:lineRule="exact"/>
              <w:rPr>
                <w:sz w:val="20"/>
                <w:szCs w:val="20"/>
                <w:color w:val="auto"/>
              </w:rPr>
            </w:pPr>
            <w:r>
              <w:rPr>
                <w:rFonts w:ascii="Arial" w:cs="Arial" w:eastAsia="Arial" w:hAnsi="Arial"/>
                <w:sz w:val="16"/>
                <w:szCs w:val="16"/>
                <w:color w:val="auto"/>
                <w:w w:val="96"/>
              </w:rPr>
              <w:t>Expiration Date 11/21/2017</w:t>
            </w:r>
            <w:r>
              <w:rPr>
                <w:rFonts w:ascii="Arial" w:cs="Arial" w:eastAsia="Arial" w:hAnsi="Arial"/>
                <w:sz w:val="21"/>
                <w:szCs w:val="21"/>
                <w:color w:val="auto"/>
                <w:w w:val="96"/>
                <w:vertAlign w:val="superscript"/>
              </w:rPr>
              <w:t>(13)</w:t>
            </w:r>
          </w:p>
        </w:tc>
        <w:tc>
          <w:tcPr>
            <w:tcW w:w="100" w:type="dxa"/>
            <w:vAlign w:val="bottom"/>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(31,354)</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31,354</w:t>
            </w:r>
          </w:p>
        </w:tc>
        <w:tc>
          <w:tcPr>
            <w:tcW w:w="1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1"/>
        </w:trPr>
        <w:tc>
          <w:tcPr>
            <w:tcW w:w="2680" w:type="dxa"/>
            <w:vAlign w:val="bottom"/>
            <w:gridSpan w:val="2"/>
          </w:tcPr>
          <w:p>
            <w:pPr>
              <w:ind w:left="180"/>
              <w:spacing w:after="0"/>
              <w:rPr>
                <w:sz w:val="20"/>
                <w:szCs w:val="20"/>
                <w:color w:val="auto"/>
              </w:rPr>
            </w:pPr>
            <w:r>
              <w:rPr>
                <w:rFonts w:ascii="Arial" w:cs="Arial" w:eastAsia="Arial" w:hAnsi="Arial"/>
                <w:sz w:val="16"/>
                <w:szCs w:val="16"/>
                <w:i w:val="1"/>
                <w:iCs w:val="1"/>
                <w:color w:val="auto"/>
              </w:rPr>
              <w:t>Total Sports Analytics</w:t>
            </w: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(31,930)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31,930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i w:val="1"/>
                <w:iCs w:val="1"/>
                <w:color w:val="auto"/>
              </w:rPr>
              <w:t>Corporate Education</w:t>
            </w: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680" w:type="dxa"/>
            <w:vAlign w:val="bottom"/>
            <w:gridSpan w:val="2"/>
          </w:tcPr>
          <w:p>
            <w:pPr>
              <w:jc w:val="center"/>
              <w:ind w:right="200"/>
              <w:spacing w:after="0"/>
              <w:rPr>
                <w:sz w:val="20"/>
                <w:szCs w:val="20"/>
                <w:color w:val="auto"/>
              </w:rPr>
            </w:pPr>
            <w:r>
              <w:rPr>
                <w:rFonts w:ascii="Arial" w:cs="Arial" w:eastAsia="Arial" w:hAnsi="Arial"/>
                <w:sz w:val="16"/>
                <w:szCs w:val="16"/>
                <w:color w:val="auto"/>
                <w:w w:val="95"/>
              </w:rPr>
              <w:t>CUX, Inc. (d/b/a CorpU) -</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680" w:type="dxa"/>
            <w:vAlign w:val="bottom"/>
            <w:gridSpan w:val="2"/>
          </w:tcPr>
          <w:p>
            <w:pPr>
              <w:ind w:left="540"/>
              <w:spacing w:after="0"/>
              <w:rPr>
                <w:sz w:val="20"/>
                <w:szCs w:val="20"/>
                <w:color w:val="auto"/>
              </w:rPr>
            </w:pPr>
            <w:r>
              <w:rPr>
                <w:rFonts w:ascii="Arial" w:cs="Arial" w:eastAsia="Arial" w:hAnsi="Arial"/>
                <w:sz w:val="16"/>
                <w:szCs w:val="16"/>
                <w:color w:val="auto"/>
              </w:rPr>
              <w:t>Preferred warrants, Series D,</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80" w:type="dxa"/>
            <w:vAlign w:val="bottom"/>
            <w:gridSpan w:val="2"/>
          </w:tcPr>
          <w:p>
            <w:pPr>
              <w:ind w:left="540"/>
              <w:spacing w:after="0"/>
              <w:rPr>
                <w:sz w:val="20"/>
                <w:szCs w:val="20"/>
                <w:color w:val="auto"/>
              </w:rPr>
            </w:pPr>
            <w:r>
              <w:rPr>
                <w:rFonts w:ascii="Arial" w:cs="Arial" w:eastAsia="Arial" w:hAnsi="Arial"/>
                <w:sz w:val="16"/>
                <w:szCs w:val="16"/>
                <w:color w:val="auto"/>
              </w:rPr>
              <w:t>Strike Price $4.59, Expiration</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680" w:type="dxa"/>
            <w:vAlign w:val="bottom"/>
            <w:gridSpan w:val="2"/>
          </w:tcPr>
          <w:p>
            <w:pPr>
              <w:ind w:left="540"/>
              <w:spacing w:after="0"/>
              <w:rPr>
                <w:sz w:val="20"/>
                <w:szCs w:val="20"/>
                <w:color w:val="auto"/>
              </w:rPr>
            </w:pPr>
            <w:r>
              <w:rPr>
                <w:rFonts w:ascii="Arial" w:cs="Arial" w:eastAsia="Arial" w:hAnsi="Arial"/>
                <w:sz w:val="16"/>
                <w:szCs w:val="16"/>
                <w:color w:val="auto"/>
              </w:rPr>
              <w:t>Date 2/25/2018</w:t>
            </w:r>
          </w:p>
        </w:tc>
        <w:tc>
          <w:tcPr>
            <w:tcW w:w="740" w:type="dxa"/>
            <w:vAlign w:val="bottom"/>
          </w:tcPr>
          <w:p>
            <w:pPr>
              <w:jc w:val="right"/>
              <w:ind w:right="21"/>
              <w:spacing w:after="0"/>
              <w:rPr>
                <w:sz w:val="20"/>
                <w:szCs w:val="20"/>
                <w:color w:val="auto"/>
              </w:rPr>
            </w:pPr>
            <w:r>
              <w:rPr>
                <w:rFonts w:ascii="Arial" w:cs="Arial" w:eastAsia="Arial" w:hAnsi="Arial"/>
                <w:sz w:val="16"/>
                <w:szCs w:val="16"/>
                <w:color w:val="auto"/>
              </w:rPr>
              <w:t>16,903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4,395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(2,029)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2,366</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i w:val="1"/>
                <w:iCs w:val="1"/>
                <w:color w:val="auto"/>
              </w:rPr>
              <w:t>Social Media</w:t>
            </w: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680" w:type="dxa"/>
            <w:vAlign w:val="bottom"/>
            <w:gridSpan w:val="2"/>
          </w:tcPr>
          <w:p>
            <w:pPr>
              <w:ind w:left="280"/>
              <w:spacing w:after="0"/>
              <w:rPr>
                <w:sz w:val="20"/>
                <w:szCs w:val="20"/>
                <w:color w:val="auto"/>
              </w:rPr>
            </w:pPr>
            <w:r>
              <w:rPr>
                <w:rFonts w:ascii="Arial" w:cs="Arial" w:eastAsia="Arial" w:hAnsi="Arial"/>
                <w:sz w:val="16"/>
                <w:szCs w:val="16"/>
                <w:color w:val="auto"/>
              </w:rPr>
              <w:t>AlwaysOn, Inc.–Preferred</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680" w:type="dxa"/>
            <w:vAlign w:val="bottom"/>
            <w:gridSpan w:val="2"/>
          </w:tcPr>
          <w:p>
            <w:pPr>
              <w:ind w:left="440"/>
              <w:spacing w:after="0"/>
              <w:rPr>
                <w:sz w:val="20"/>
                <w:szCs w:val="20"/>
                <w:color w:val="auto"/>
              </w:rPr>
            </w:pPr>
            <w:r>
              <w:rPr>
                <w:rFonts w:ascii="Arial" w:cs="Arial" w:eastAsia="Arial" w:hAnsi="Arial"/>
                <w:sz w:val="16"/>
                <w:szCs w:val="16"/>
                <w:color w:val="auto"/>
              </w:rPr>
              <w:t>Warrants Series A, $1.00 strike</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680" w:type="dxa"/>
            <w:vAlign w:val="bottom"/>
            <w:gridSpan w:val="2"/>
          </w:tcPr>
          <w:p>
            <w:pPr>
              <w:ind w:left="440"/>
              <w:spacing w:after="0" w:line="239" w:lineRule="exact"/>
              <w:rPr>
                <w:sz w:val="20"/>
                <w:szCs w:val="20"/>
                <w:color w:val="auto"/>
              </w:rPr>
            </w:pPr>
            <w:r>
              <w:rPr>
                <w:rFonts w:ascii="Arial" w:cs="Arial" w:eastAsia="Arial" w:hAnsi="Arial"/>
                <w:sz w:val="16"/>
                <w:szCs w:val="16"/>
                <w:color w:val="auto"/>
              </w:rPr>
              <w:t xml:space="preserve">price, expire 1/9/2017 </w:t>
            </w:r>
            <w:r>
              <w:rPr>
                <w:rFonts w:ascii="Arial" w:cs="Arial" w:eastAsia="Arial" w:hAnsi="Arial"/>
                <w:sz w:val="21"/>
                <w:szCs w:val="21"/>
                <w:color w:val="auto"/>
                <w:vertAlign w:val="superscript"/>
              </w:rPr>
              <w:t>(10)</w:t>
            </w: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Warrants</w:t>
            </w:r>
          </w:p>
        </w:tc>
        <w:tc>
          <w:tcPr>
            <w:tcW w:w="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4,395</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(31,930)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29,901</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2,366</w:t>
            </w: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580" w:type="dxa"/>
            <w:vAlign w:val="bottom"/>
            <w:tcBorders>
              <w:top w:val="single" w:sz="8" w:color="CCEEFF"/>
            </w:tcBorders>
          </w:tcPr>
          <w:p>
            <w:pPr>
              <w:ind w:left="40"/>
              <w:spacing w:after="0"/>
              <w:rPr>
                <w:sz w:val="20"/>
                <w:szCs w:val="20"/>
                <w:color w:val="auto"/>
              </w:rPr>
            </w:pPr>
            <w:r>
              <w:rPr>
                <w:rFonts w:ascii="Arial" w:cs="Arial" w:eastAsia="Arial" w:hAnsi="Arial"/>
                <w:sz w:val="16"/>
                <w:szCs w:val="16"/>
                <w:b w:val="1"/>
                <w:bCs w:val="1"/>
                <w:color w:val="auto"/>
              </w:rPr>
              <w:t>TOTAL NON-</w:t>
            </w:r>
          </w:p>
        </w:tc>
        <w:tc>
          <w:tcPr>
            <w:tcW w:w="10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6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CONTROLLED/AFFILIATE</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89"/>
              </w:rPr>
              <w:t>$</w:t>
            </w:r>
          </w:p>
        </w:tc>
        <w:tc>
          <w:tcPr>
            <w:tcW w:w="64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59,460</w:t>
            </w:r>
          </w:p>
        </w:tc>
        <w:tc>
          <w:tcPr>
            <w:tcW w:w="100" w:type="dxa"/>
            <w:vAlign w:val="bottom"/>
          </w:tcPr>
          <w:p>
            <w:pPr>
              <w:spacing w:after="0"/>
              <w:rPr>
                <w:sz w:val="17"/>
                <w:szCs w:val="17"/>
                <w:color w:val="auto"/>
              </w:rPr>
            </w:pPr>
          </w:p>
        </w:tc>
        <w:tc>
          <w:tcPr>
            <w:tcW w:w="120" w:type="dxa"/>
            <w:vAlign w:val="bottom"/>
            <w:vMerge w:val="restart"/>
          </w:tcPr>
          <w:p>
            <w:pPr>
              <w:ind w:left="40"/>
              <w:spacing w:after="0"/>
              <w:rPr>
                <w:sz w:val="20"/>
                <w:szCs w:val="20"/>
                <w:color w:val="auto"/>
              </w:rPr>
            </w:pPr>
            <w:r>
              <w:rPr>
                <w:rFonts w:ascii="Arial" w:cs="Arial" w:eastAsia="Arial" w:hAnsi="Arial"/>
                <w:sz w:val="15"/>
                <w:szCs w:val="15"/>
                <w:b w:val="1"/>
                <w:bCs w:val="1"/>
                <w:color w:val="auto"/>
                <w:w w:val="71"/>
              </w:rPr>
              <w:t>$</w:t>
            </w:r>
          </w:p>
        </w:tc>
        <w:tc>
          <w:tcPr>
            <w:tcW w:w="78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87"/>
              </w:rPr>
              <w:t>42,444,690</w:t>
            </w:r>
          </w:p>
        </w:tc>
        <w:tc>
          <w:tcPr>
            <w:tcW w:w="120" w:type="dxa"/>
            <w:vAlign w:val="bottom"/>
          </w:tcPr>
          <w:p>
            <w:pPr>
              <w:spacing w:after="0"/>
              <w:rPr>
                <w:sz w:val="17"/>
                <w:szCs w:val="17"/>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89"/>
              </w:rPr>
              <w:t>$</w:t>
            </w:r>
          </w:p>
        </w:tc>
        <w:tc>
          <w:tcPr>
            <w:tcW w:w="780" w:type="dxa"/>
            <w:vAlign w:val="bottom"/>
            <w:vMerge w:val="restart"/>
          </w:tcPr>
          <w:p>
            <w:pPr>
              <w:jc w:val="right"/>
              <w:ind w:right="20"/>
              <w:spacing w:after="0"/>
              <w:rPr>
                <w:sz w:val="20"/>
                <w:szCs w:val="20"/>
                <w:color w:val="auto"/>
              </w:rPr>
            </w:pPr>
            <w:r>
              <w:rPr>
                <w:rFonts w:ascii="Arial" w:cs="Arial" w:eastAsia="Arial" w:hAnsi="Arial"/>
                <w:sz w:val="16"/>
                <w:szCs w:val="16"/>
                <w:b w:val="1"/>
                <w:bCs w:val="1"/>
                <w:color w:val="auto"/>
              </w:rPr>
              <w:t>278,069</w:t>
            </w:r>
          </w:p>
        </w:tc>
        <w:tc>
          <w:tcPr>
            <w:tcW w:w="120" w:type="dxa"/>
            <w:vAlign w:val="bottom"/>
          </w:tcPr>
          <w:p>
            <w:pPr>
              <w:spacing w:after="0"/>
              <w:rPr>
                <w:sz w:val="17"/>
                <w:szCs w:val="17"/>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0"/>
              </w:rPr>
              <w:t>(7,089,651)</w:t>
            </w:r>
          </w:p>
        </w:tc>
        <w:tc>
          <w:tcPr>
            <w:tcW w:w="100" w:type="dxa"/>
            <w:vAlign w:val="bottom"/>
          </w:tcPr>
          <w:p>
            <w:pPr>
              <w:spacing w:after="0"/>
              <w:rPr>
                <w:sz w:val="17"/>
                <w:szCs w:val="17"/>
                <w:color w:val="auto"/>
              </w:rPr>
            </w:pPr>
          </w:p>
        </w:tc>
        <w:tc>
          <w:tcPr>
            <w:tcW w:w="120" w:type="dxa"/>
            <w:vAlign w:val="bottom"/>
            <w:vMerge w:val="restart"/>
          </w:tcPr>
          <w:p>
            <w:pPr>
              <w:ind w:left="20"/>
              <w:spacing w:after="0"/>
              <w:rPr>
                <w:sz w:val="20"/>
                <w:szCs w:val="20"/>
                <w:color w:val="auto"/>
              </w:rPr>
            </w:pPr>
            <w:r>
              <w:rPr>
                <w:rFonts w:ascii="Arial" w:cs="Arial" w:eastAsia="Arial" w:hAnsi="Arial"/>
                <w:sz w:val="16"/>
                <w:szCs w:val="16"/>
                <w:b w:val="1"/>
                <w:bCs w:val="1"/>
                <w:color w:val="auto"/>
                <w:w w:val="89"/>
              </w:rPr>
              <w:t>$</w:t>
            </w:r>
          </w:p>
        </w:tc>
        <w:tc>
          <w:tcPr>
            <w:tcW w:w="86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2"/>
              </w:rPr>
              <w:t>(3,075,494)</w:t>
            </w:r>
          </w:p>
        </w:tc>
        <w:tc>
          <w:tcPr>
            <w:tcW w:w="100" w:type="dxa"/>
            <w:vAlign w:val="bottom"/>
          </w:tcPr>
          <w:p>
            <w:pPr>
              <w:spacing w:after="0"/>
              <w:rPr>
                <w:sz w:val="17"/>
                <w:szCs w:val="17"/>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88"/>
              </w:rPr>
              <w:t>(16,084,516)</w:t>
            </w:r>
          </w:p>
        </w:tc>
        <w:tc>
          <w:tcPr>
            <w:tcW w:w="120" w:type="dxa"/>
            <w:vAlign w:val="bottom"/>
          </w:tcPr>
          <w:p>
            <w:pPr>
              <w:spacing w:after="0"/>
              <w:rPr>
                <w:sz w:val="17"/>
                <w:szCs w:val="17"/>
                <w:color w:val="auto"/>
              </w:rPr>
            </w:pPr>
          </w:p>
        </w:tc>
        <w:tc>
          <w:tcPr>
            <w:tcW w:w="100" w:type="dxa"/>
            <w:vAlign w:val="bottom"/>
            <w:vMerge w:val="restart"/>
          </w:tcPr>
          <w:p>
            <w:pPr>
              <w:ind w:left="20"/>
              <w:spacing w:after="0"/>
              <w:rPr>
                <w:sz w:val="20"/>
                <w:szCs w:val="20"/>
                <w:color w:val="auto"/>
              </w:rPr>
            </w:pPr>
            <w:r>
              <w:rPr>
                <w:rFonts w:ascii="Arial" w:cs="Arial" w:eastAsia="Arial" w:hAnsi="Arial"/>
                <w:sz w:val="15"/>
                <w:szCs w:val="15"/>
                <w:b w:val="1"/>
                <w:bCs w:val="1"/>
                <w:color w:val="auto"/>
                <w:w w:val="71"/>
              </w:rPr>
              <w:t>$</w:t>
            </w:r>
          </w:p>
        </w:tc>
        <w:tc>
          <w:tcPr>
            <w:tcW w:w="80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87"/>
              </w:rPr>
              <w:t>16,473,098</w:t>
            </w:r>
          </w:p>
        </w:tc>
        <w:tc>
          <w:tcPr>
            <w:tcW w:w="10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8.04%</w:t>
            </w:r>
          </w:p>
        </w:tc>
        <w:tc>
          <w:tcPr>
            <w:tcW w:w="0" w:type="dxa"/>
            <w:vAlign w:val="bottom"/>
          </w:tcPr>
          <w:p>
            <w:pPr>
              <w:spacing w:after="0"/>
              <w:rPr>
                <w:sz w:val="1"/>
                <w:szCs w:val="1"/>
                <w:color w:val="auto"/>
              </w:rPr>
            </w:pPr>
          </w:p>
        </w:tc>
      </w:tr>
      <w:tr>
        <w:trPr>
          <w:trHeight w:val="272"/>
        </w:trPr>
        <w:tc>
          <w:tcPr>
            <w:tcW w:w="2680" w:type="dxa"/>
            <w:vAlign w:val="bottom"/>
            <w:gridSpan w:val="2"/>
          </w:tcPr>
          <w:p>
            <w:pPr>
              <w:ind w:left="200"/>
              <w:spacing w:after="0"/>
              <w:rPr>
                <w:sz w:val="20"/>
                <w:szCs w:val="20"/>
                <w:color w:val="auto"/>
              </w:rPr>
            </w:pPr>
            <w:r>
              <w:rPr>
                <w:rFonts w:ascii="Arial" w:cs="Arial" w:eastAsia="Arial" w:hAnsi="Arial"/>
                <w:sz w:val="16"/>
                <w:szCs w:val="16"/>
                <w:b w:val="1"/>
                <w:bCs w:val="1"/>
                <w:color w:val="auto"/>
              </w:rPr>
              <w:t>INVESTMENTS*</w:t>
            </w:r>
            <w:r>
              <w:rPr>
                <w:rFonts w:ascii="Arial" w:cs="Arial" w:eastAsia="Arial" w:hAnsi="Arial"/>
                <w:sz w:val="21"/>
                <w:szCs w:val="21"/>
                <w:b w:val="1"/>
                <w:bCs w:val="1"/>
                <w:color w:val="auto"/>
                <w:vertAlign w:val="superscript"/>
              </w:rPr>
              <w:t>(1)</w:t>
            </w: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vMerge w:val="continue"/>
          </w:tcPr>
          <w:p>
            <w:pPr>
              <w:spacing w:after="0"/>
              <w:rPr>
                <w:sz w:val="23"/>
                <w:szCs w:val="23"/>
                <w:color w:val="auto"/>
              </w:rPr>
            </w:pPr>
          </w:p>
        </w:tc>
        <w:tc>
          <w:tcPr>
            <w:tcW w:w="640" w:type="dxa"/>
            <w:vAlign w:val="bottom"/>
            <w:vMerge w:val="continue"/>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vMerge w:val="continue"/>
          </w:tcPr>
          <w:p>
            <w:pPr>
              <w:spacing w:after="0"/>
              <w:rPr>
                <w:sz w:val="23"/>
                <w:szCs w:val="23"/>
                <w:color w:val="auto"/>
              </w:rPr>
            </w:pPr>
          </w:p>
        </w:tc>
        <w:tc>
          <w:tcPr>
            <w:tcW w:w="780" w:type="dxa"/>
            <w:vAlign w:val="bottom"/>
            <w:vMerge w:val="continue"/>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vMerge w:val="continue"/>
          </w:tcPr>
          <w:p>
            <w:pPr>
              <w:spacing w:after="0"/>
              <w:rPr>
                <w:sz w:val="23"/>
                <w:szCs w:val="23"/>
                <w:color w:val="auto"/>
              </w:rPr>
            </w:pPr>
          </w:p>
        </w:tc>
        <w:tc>
          <w:tcPr>
            <w:tcW w:w="780" w:type="dxa"/>
            <w:vAlign w:val="bottom"/>
            <w:vMerge w:val="continue"/>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vMerge w:val="continue"/>
          </w:tcPr>
          <w:p>
            <w:pPr>
              <w:spacing w:after="0"/>
              <w:rPr>
                <w:sz w:val="23"/>
                <w:szCs w:val="23"/>
                <w:color w:val="auto"/>
              </w:rPr>
            </w:pPr>
          </w:p>
        </w:tc>
        <w:tc>
          <w:tcPr>
            <w:tcW w:w="820" w:type="dxa"/>
            <w:vAlign w:val="bottom"/>
            <w:vMerge w:val="continue"/>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vMerge w:val="continue"/>
          </w:tcPr>
          <w:p>
            <w:pPr>
              <w:spacing w:after="0"/>
              <w:rPr>
                <w:sz w:val="23"/>
                <w:szCs w:val="23"/>
                <w:color w:val="auto"/>
              </w:rPr>
            </w:pPr>
          </w:p>
        </w:tc>
        <w:tc>
          <w:tcPr>
            <w:tcW w:w="860" w:type="dxa"/>
            <w:vAlign w:val="bottom"/>
            <w:vMerge w:val="continue"/>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vMerge w:val="continue"/>
          </w:tcPr>
          <w:p>
            <w:pPr>
              <w:spacing w:after="0"/>
              <w:rPr>
                <w:sz w:val="23"/>
                <w:szCs w:val="23"/>
                <w:color w:val="auto"/>
              </w:rPr>
            </w:pPr>
          </w:p>
        </w:tc>
        <w:tc>
          <w:tcPr>
            <w:tcW w:w="880" w:type="dxa"/>
            <w:vAlign w:val="bottom"/>
            <w:vMerge w:val="continue"/>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vMerge w:val="continue"/>
          </w:tcPr>
          <w:p>
            <w:pPr>
              <w:spacing w:after="0"/>
              <w:rPr>
                <w:sz w:val="23"/>
                <w:szCs w:val="23"/>
                <w:color w:val="auto"/>
              </w:rPr>
            </w:pPr>
          </w:p>
        </w:tc>
        <w:tc>
          <w:tcPr>
            <w:tcW w:w="800" w:type="dxa"/>
            <w:vAlign w:val="bottom"/>
            <w:vMerge w:val="continue"/>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2243455</wp:posOffset>
            </wp:positionH>
            <wp:positionV relativeFrom="paragraph">
              <wp:posOffset>-26035</wp:posOffset>
            </wp:positionV>
            <wp:extent cx="500824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008245" cy="26035"/>
                    </a:xfrm>
                    <a:prstGeom prst="rect">
                      <a:avLst/>
                    </a:prstGeom>
                    <a:noFill/>
                  </pic:spPr>
                </pic:pic>
              </a:graphicData>
            </a:graphic>
          </wp:anchor>
        </w:drawing>
        <w:drawing>
          <wp:anchor simplePos="0" relativeHeight="251657728" behindDoc="1" locked="0" layoutInCell="0" allowOverlap="1">
            <wp:simplePos x="0" y="0"/>
            <wp:positionH relativeFrom="column">
              <wp:posOffset>3992880</wp:posOffset>
            </wp:positionH>
            <wp:positionV relativeFrom="paragraph">
              <wp:posOffset>-5205730</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____________________</w:t>
      </w:r>
    </w:p>
    <w:p>
      <w:pPr>
        <w:spacing w:after="0" w:line="7" w:lineRule="exact"/>
        <w:rPr>
          <w:sz w:val="20"/>
          <w:szCs w:val="20"/>
          <w:color w:val="auto"/>
        </w:rPr>
      </w:pPr>
    </w:p>
    <w:p>
      <w:pPr>
        <w:ind w:left="340" w:hanging="332"/>
        <w:spacing w:after="0" w:line="257"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 portfolio investments are non-income-producing, unless otherwise identified. Equity investments are subject to lock-up restrictions upon their IPO. Unless otherwise noted, all investments were pledged as collateral under the Credit Facility. The Company’s and GSV Asset Management’s officers and staff, as applicable, may serve on the board of directors of the Company’s portfolio investments. All portfolio investments are considered Level 3 and valued using unobservable inputs, unless otherwise noted. All investments are restricted as to resale, unless otherwise noted, and were valued at fair value as determined in good faith by the Company’s board of directors.</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2" w:right="239" w:bottom="1440" w:gutter="0" w:footer="0" w:header="0"/>
        </w:sectPr>
      </w:pPr>
    </w:p>
    <w:bookmarkStart w:id="46" w:name="page47"/>
    <w:bookmarkEnd w:id="4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2018</w:t>
      </w:r>
    </w:p>
    <w:p>
      <w:pPr>
        <w:spacing w:after="0" w:line="238"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Indicates assets that GSV Capital Corp. believes do not represent “qualifying assets” under Section 55(a) of the 1940 Act.</w:t>
      </w:r>
    </w:p>
    <w:p>
      <w:pPr>
        <w:spacing w:after="0" w:line="265" w:lineRule="exact"/>
        <w:rPr>
          <w:rFonts w:ascii="Arial" w:cs="Arial" w:eastAsia="Arial" w:hAnsi="Arial"/>
          <w:sz w:val="18"/>
          <w:szCs w:val="18"/>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Investment is income-producing.</w:t>
      </w:r>
    </w:p>
    <w:p>
      <w:pPr>
        <w:spacing w:after="0" w:line="266" w:lineRule="exact"/>
        <w:rPr>
          <w:sz w:val="20"/>
          <w:szCs w:val="20"/>
          <w:color w:val="auto"/>
        </w:rPr>
      </w:pPr>
    </w:p>
    <w:p>
      <w:pPr>
        <w:ind w:left="340" w:right="20" w:hanging="332"/>
        <w:spacing w:after="0" w:line="264"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Denotes an Affiliate Investment. “Affiliate Investments” are investments in those companies that are “Affiliated Companies” of GSV Capital Corp., as defined in the 1940 Act. In general, a company is deemed to be an “Affiliate” of GSV Capital Corp. if GSV Capital Corp. owns 5% or more of the voting securities (</w:t>
      </w:r>
      <w:r>
        <w:rPr>
          <w:rFonts w:ascii="Arial" w:cs="Arial" w:eastAsia="Arial" w:hAnsi="Arial"/>
          <w:sz w:val="18"/>
          <w:szCs w:val="18"/>
          <w:i w:val="1"/>
          <w:iCs w:val="1"/>
          <w:color w:val="auto"/>
        </w:rPr>
        <w:t>i.e.</w:t>
      </w:r>
      <w:r>
        <w:rPr>
          <w:rFonts w:ascii="Arial" w:cs="Arial" w:eastAsia="Arial" w:hAnsi="Arial"/>
          <w:sz w:val="18"/>
          <w:szCs w:val="18"/>
          <w:color w:val="auto"/>
        </w:rPr>
        <w:t>, securities with the right to elect directors) of such company.</w:t>
      </w:r>
    </w:p>
    <w:p>
      <w:pPr>
        <w:spacing w:after="0" w:line="221" w:lineRule="exact"/>
        <w:rPr>
          <w:rFonts w:ascii="Arial" w:cs="Arial" w:eastAsia="Arial" w:hAnsi="Arial"/>
          <w:sz w:val="18"/>
          <w:szCs w:val="18"/>
          <w:color w:val="auto"/>
        </w:rPr>
      </w:pPr>
    </w:p>
    <w:p>
      <w:pPr>
        <w:ind w:left="340" w:right="40" w:hanging="332"/>
        <w:spacing w:after="0" w:line="259"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Denotes a Control Investment. “Control Investments” are investments in those companies that are “Controlled Companies” of GSV Capital Corp., as defined in the 1940 Act. In general, under the 1940 Act, the Company would “Control” a portfolio company if the Company owned more than 25% of its outstanding voting securities (i.e., securities with the right to elect directors) and/or had the power to exercise control over the management or policies of such portfolio company.</w:t>
      </w:r>
    </w:p>
    <w:p>
      <w:pPr>
        <w:spacing w:after="0" w:line="186" w:lineRule="exact"/>
        <w:rPr>
          <w:rFonts w:ascii="Arial" w:cs="Arial" w:eastAsia="Arial" w:hAnsi="Arial"/>
          <w:sz w:val="18"/>
          <w:szCs w:val="18"/>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GSV Capital Corp.’s investment in StormWind, LLC is held through its wholly owned subsidiary, GSVC SW Holdings, Inc.</w:t>
      </w:r>
    </w:p>
    <w:p>
      <w:pPr>
        <w:spacing w:after="0" w:line="265" w:lineRule="exact"/>
        <w:rPr>
          <w:rFonts w:ascii="Arial" w:cs="Arial" w:eastAsia="Arial" w:hAnsi="Arial"/>
          <w:sz w:val="18"/>
          <w:szCs w:val="18"/>
          <w:color w:val="auto"/>
        </w:rPr>
      </w:pPr>
    </w:p>
    <w:p>
      <w:pPr>
        <w:ind w:left="340" w:hanging="332"/>
        <w:spacing w:after="0" w:line="302" w:lineRule="auto"/>
        <w:tabs>
          <w:tab w:leader="none" w:pos="3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On May 29, 2017, the maturity date of the unsecured promissory note to NestGSV, Inc. (d/b/a GSV Labs, Inc.) was extended to November 29, 2017 in exchange for 125,000 Series B warrants. For accounting purposes, the extension of the maturity date was treated as an extinguishment of the existing note and creation of a new note. On November 29, 2017, the maturity date of the unsecured promissory note to NestGSV, Inc. (d/b/a GSV Labs, Inc.) was extended to January 15, 2018. On January 12, 2018, the unsecured promissory note to NestGSV, Inc. (d/b/a GSV Labs, Inc.) was repaid, with interest.</w:t>
      </w:r>
    </w:p>
    <w:p>
      <w:pPr>
        <w:spacing w:after="0" w:line="194" w:lineRule="exact"/>
        <w:rPr>
          <w:rFonts w:ascii="Arial" w:cs="Arial" w:eastAsia="Arial" w:hAnsi="Arial"/>
          <w:sz w:val="16"/>
          <w:szCs w:val="16"/>
          <w:color w:val="auto"/>
        </w:rPr>
      </w:pPr>
    </w:p>
    <w:p>
      <w:pPr>
        <w:ind w:left="340" w:right="160" w:hanging="332"/>
        <w:spacing w:after="0" w:line="264"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GSV Capital Corp.’s investment in Whittle Schools, LLC is held through its wholly-owned subsidiary, GSVC WS Holdings, Inc. Whittle Schools, LLC is an investment that is collateralized by Avenues Global Holdings, LLC, as well as the personal collateral of Chris Whittle, the former chairman of Avenues Global Holdings, LLC. In November 2017, the Company sold its entire position in Whittle Schools, LLC.</w:t>
      </w:r>
    </w:p>
    <w:p>
      <w:pPr>
        <w:spacing w:after="0" w:line="221" w:lineRule="exact"/>
        <w:rPr>
          <w:rFonts w:ascii="Arial" w:cs="Arial" w:eastAsia="Arial" w:hAnsi="Arial"/>
          <w:sz w:val="18"/>
          <w:szCs w:val="18"/>
          <w:color w:val="auto"/>
        </w:rPr>
      </w:pPr>
    </w:p>
    <w:p>
      <w:pPr>
        <w:ind w:left="340" w:right="120" w:hanging="332"/>
        <w:spacing w:after="0" w:line="264"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Interest will accrue daily on the unpaid principal balance of the note. Interest began compounding annually on November 26, 2015. Accrued interest is not payable until the earlier of (a) the closing of a subsequent equity offering by CUX, Inc. (d/b/a CorpU), or (b) the maturity of the note (November 26, 2018).</w:t>
      </w:r>
    </w:p>
    <w:p>
      <w:pPr>
        <w:spacing w:after="0" w:line="221" w:lineRule="exact"/>
        <w:rPr>
          <w:rFonts w:ascii="Arial" w:cs="Arial" w:eastAsia="Arial" w:hAnsi="Arial"/>
          <w:sz w:val="18"/>
          <w:szCs w:val="18"/>
          <w:color w:val="auto"/>
        </w:rPr>
      </w:pPr>
    </w:p>
    <w:p>
      <w:pPr>
        <w:ind w:left="340" w:right="760" w:hanging="332"/>
        <w:spacing w:after="0" w:line="277"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GSV Capital Corp.’s investment in Strategic Data Command, LLC is held through its wholly owned subsidiary, GSVC SVDS Holdings, Inc. In November 2017, the Company sold its entire position in Strategic Data Command, LLC.</w:t>
      </w:r>
    </w:p>
    <w:p>
      <w:pPr>
        <w:spacing w:after="0" w:line="210" w:lineRule="exact"/>
        <w:rPr>
          <w:rFonts w:ascii="Arial" w:cs="Arial" w:eastAsia="Arial" w:hAnsi="Arial"/>
          <w:sz w:val="18"/>
          <w:szCs w:val="18"/>
          <w:color w:val="auto"/>
        </w:rPr>
      </w:pPr>
    </w:p>
    <w:p>
      <w:pPr>
        <w:ind w:left="340" w:hanging="332"/>
        <w:spacing w:after="0" w:line="259"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On July 1, 2017, the maturity date of the convertible promissory note to Declara, Inc. was extended to December 31, 2017. The convertible promissory note to Declara, Inc. was further extended until January 31, 2018. The maturity date of the convertible promissory note to Declara, Inc. was then subsequently extended an additional three months to April 30, 2018. On January 31, 2018 the interest rate on the convertible promissory note increased to 12% per annum (including 365 days for the purposes of accrual).</w:t>
      </w:r>
    </w:p>
    <w:p>
      <w:pPr>
        <w:spacing w:after="0" w:line="227" w:lineRule="exact"/>
        <w:rPr>
          <w:rFonts w:ascii="Arial" w:cs="Arial" w:eastAsia="Arial" w:hAnsi="Arial"/>
          <w:sz w:val="18"/>
          <w:szCs w:val="18"/>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Company wrote-off its investment in Global Education Learning (Holdings) Ltd. during the three months ended June 30, 2017.</w:t>
      </w:r>
    </w:p>
    <w:p>
      <w:pPr>
        <w:spacing w:after="0" w:line="265" w:lineRule="exact"/>
        <w:rPr>
          <w:rFonts w:ascii="Arial" w:cs="Arial" w:eastAsia="Arial" w:hAnsi="Arial"/>
          <w:sz w:val="18"/>
          <w:szCs w:val="18"/>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Company wrote-off its investment in AlwaysOn, Inc. during the three months ended March 31, 2017.</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2" w:right="239" w:bottom="1440" w:gutter="0" w:footer="0" w:header="0"/>
        </w:sectPr>
      </w:pPr>
    </w:p>
    <w:bookmarkStart w:id="47" w:name="page48"/>
    <w:bookmarkEnd w:id="4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September 30, 2018</w:t>
      </w:r>
    </w:p>
    <w:p>
      <w:pPr>
        <w:spacing w:after="0" w:line="200" w:lineRule="exact"/>
        <w:rPr>
          <w:sz w:val="20"/>
          <w:szCs w:val="20"/>
          <w:color w:val="auto"/>
        </w:rPr>
      </w:pPr>
    </w:p>
    <w:p>
      <w:pPr>
        <w:spacing w:after="0" w:line="294" w:lineRule="exact"/>
        <w:rPr>
          <w:sz w:val="20"/>
          <w:szCs w:val="20"/>
          <w:color w:val="auto"/>
        </w:rPr>
      </w:pPr>
    </w:p>
    <w:p>
      <w:pPr>
        <w:jc w:val="both"/>
        <w:ind w:left="340" w:right="40" w:hanging="332"/>
        <w:spacing w:after="0" w:line="264"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 the fourth quarter of 2017, NestGSV, Inc. (d/b/a GSV Labs, Inc.) met certain financing qualifications under the Company’s warrant agreement with NestGSV, Inc. (d/b/a GSV Labs, Inc.) and the Company’s Series A-4 warrants with a strike price of $1.33 converted to Series B warrants with a $2.31 strike price.</w:t>
      </w:r>
    </w:p>
    <w:p>
      <w:pPr>
        <w:spacing w:after="0" w:line="221"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Subsequent to period-end, Ozy Media, Inc.’s obligations under its financing arrangements with the Company became past due. The Company and Ozy Media are in the process of renegotiating the terms of the Company’s investment.</w:t>
      </w:r>
    </w:p>
    <w:p>
      <w:pPr>
        <w:spacing w:after="0" w:line="210" w:lineRule="exact"/>
        <w:rPr>
          <w:rFonts w:ascii="Arial" w:cs="Arial" w:eastAsia="Arial" w:hAnsi="Arial"/>
          <w:sz w:val="18"/>
          <w:szCs w:val="18"/>
          <w:color w:val="auto"/>
        </w:rPr>
      </w:pPr>
    </w:p>
    <w:p>
      <w:pPr>
        <w:ind w:left="340" w:hanging="332"/>
        <w:spacing w:after="0"/>
        <w:tabs>
          <w:tab w:leader="none" w:pos="3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Company wrote-off its investment in Circle Media (f/k/a S3 Digital Corp. (d/b/a S3i)) during the three months ended December 31, 2017.</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80"/>
          </w:cols>
          <w:pgMar w:left="240" w:top="122" w:right="479" w:bottom="1440" w:gutter="0" w:footer="0" w:header="0"/>
        </w:sectPr>
      </w:pPr>
    </w:p>
    <w:bookmarkStart w:id="48" w:name="page49"/>
    <w:bookmarkEnd w:id="4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2018</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5—SHARE REPURCHASE PROGRAM, EQUITY OFFERINGS AND RELATED EXPENSES</w:t>
      </w:r>
    </w:p>
    <w:p>
      <w:pPr>
        <w:spacing w:after="0" w:line="229" w:lineRule="exact"/>
        <w:rPr>
          <w:sz w:val="20"/>
          <w:szCs w:val="20"/>
          <w:color w:val="auto"/>
        </w:rPr>
      </w:pPr>
    </w:p>
    <w:p>
      <w:pPr>
        <w:ind w:right="20" w:firstLine="351"/>
        <w:spacing w:after="0" w:line="270" w:lineRule="auto"/>
        <w:rPr>
          <w:sz w:val="20"/>
          <w:szCs w:val="20"/>
          <w:color w:val="auto"/>
        </w:rPr>
      </w:pPr>
      <w:r>
        <w:rPr>
          <w:rFonts w:ascii="Arial" w:cs="Arial" w:eastAsia="Arial" w:hAnsi="Arial"/>
          <w:sz w:val="17"/>
          <w:szCs w:val="17"/>
          <w:color w:val="auto"/>
        </w:rPr>
        <w:t>On August 8, 2017, the Company announced a $5.0 million discretionary open-market share repurchase program of shares of the Company’s common stock, $0.01 par value per share, of up to $5.0 million until the earlier of (i) August 6, 2018 or (ii) the repurchase of $5.0 million in aggregate amount of the Company’s common stock (the “Share Repurchase Program”). On November 7, 2017, the Company’s board of directors authorized an extension of, and an increase in the amount of shares of the Company’s common stock that may be repurchased under the discretionary Share Repurchase Program until the earlier of (i) November 6, 2018 or (ii) the repurchase of $10.0 million in aggregate amount of the Company’s common stock. On May 3, 2018, the Company’s board of directors authorized a $5.0 million increase in the amount of shares of the Company’s common stock that may be repurchased under the discretionary Share Repurchase Program until the earlier of (i) November 6, 2018 or (ii) the repurchase of $15.0 million in aggregate amount of the Company’s common stock. The timing and number of shares to be repurchased will depend on a number of factors, including market conditions and alternative investment opportunities. The Share Repurchase Program may be suspended, terminated or modified at any time for any reason and does not obligate the Company to acquire any specific number of shares of its common stock.</w:t>
      </w:r>
    </w:p>
    <w:p>
      <w:pPr>
        <w:spacing w:after="0" w:line="178"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During the three and nine months ended September 30, 2018, the Company repurchased 575,958 and 1,071,390 shares, respectively, of the Company’s common stock pursuant to the Share Repurchase Program for an average share price of $7.07 and $6.99, respectively, or approximately $4.1 million and $7.5 million, respectively, in aggregate. As of September 30, 2018, the dollar value of shares that remained available to be purchased by the Company under the Share Repurchase Program was approximately $2.6 million.</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 new shares of the Company’s common stock were issued during the three and nine months ended September 30, 2018.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6—NET INCREASE IN NET ASSETS RESULTING FROM OPERATIONS PER COMMON SHARE—BASIC AND DILUTED</w:t>
      </w:r>
    </w:p>
    <w:p>
      <w:pPr>
        <w:spacing w:after="0" w:line="229" w:lineRule="exact"/>
        <w:rPr>
          <w:sz w:val="20"/>
          <w:szCs w:val="20"/>
          <w:color w:val="auto"/>
        </w:rPr>
      </w:pPr>
    </w:p>
    <w:p>
      <w:pPr>
        <w:ind w:right="660" w:firstLine="351"/>
        <w:spacing w:after="0" w:line="277" w:lineRule="auto"/>
        <w:rPr>
          <w:sz w:val="20"/>
          <w:szCs w:val="20"/>
          <w:color w:val="auto"/>
        </w:rPr>
      </w:pPr>
      <w:r>
        <w:rPr>
          <w:rFonts w:ascii="Arial" w:cs="Arial" w:eastAsia="Arial" w:hAnsi="Arial"/>
          <w:sz w:val="18"/>
          <w:szCs w:val="18"/>
          <w:color w:val="auto"/>
        </w:rPr>
        <w:t>The following information sets forth the computation of basic and diluted net increase in net assets resulting from operations per common share, pursuant to ASC 260, for the three and nine months ended September 30, 2018 and 2017.</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8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220" w:type="dxa"/>
            <w:vAlign w:val="bottom"/>
          </w:tcPr>
          <w:p>
            <w:pPr>
              <w:spacing w:after="0"/>
              <w:rPr>
                <w:sz w:val="16"/>
                <w:szCs w:val="16"/>
                <w:color w:val="auto"/>
              </w:rPr>
            </w:pPr>
          </w:p>
        </w:tc>
        <w:tc>
          <w:tcPr>
            <w:tcW w:w="258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w w:val="97"/>
              </w:rPr>
              <w:t>Nine Months Ended September 30,</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2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0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03"/>
        </w:trPr>
        <w:tc>
          <w:tcPr>
            <w:tcW w:w="5620" w:type="dxa"/>
            <w:vAlign w:val="bottom"/>
            <w:gridSpan w:val="4"/>
          </w:tcPr>
          <w:p>
            <w:pPr>
              <w:ind w:left="40"/>
              <w:spacing w:after="0"/>
              <w:rPr>
                <w:sz w:val="20"/>
                <w:szCs w:val="20"/>
                <w:color w:val="auto"/>
              </w:rPr>
            </w:pPr>
            <w:r>
              <w:rPr>
                <w:rFonts w:ascii="Arial" w:cs="Arial" w:eastAsia="Arial" w:hAnsi="Arial"/>
                <w:sz w:val="16"/>
                <w:szCs w:val="16"/>
                <w:b w:val="1"/>
                <w:bCs w:val="1"/>
                <w:color w:val="auto"/>
              </w:rPr>
              <w:t>Earnings per common share–basic:</w:t>
            </w: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244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30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Net increase in net assets resulting from operations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328,810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10,071,004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16,125,108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20,051,965</w:t>
            </w:r>
          </w:p>
        </w:tc>
        <w:tc>
          <w:tcPr>
            <w:tcW w:w="0" w:type="dxa"/>
            <w:vAlign w:val="bottom"/>
          </w:tcPr>
          <w:p>
            <w:pPr>
              <w:spacing w:after="0"/>
              <w:rPr>
                <w:sz w:val="1"/>
                <w:szCs w:val="1"/>
                <w:color w:val="auto"/>
              </w:rPr>
            </w:pPr>
          </w:p>
        </w:tc>
      </w:tr>
      <w:tr>
        <w:trPr>
          <w:trHeight w:val="237"/>
        </w:trPr>
        <w:tc>
          <w:tcPr>
            <w:tcW w:w="5620" w:type="dxa"/>
            <w:vAlign w:val="bottom"/>
            <w:gridSpan w:val="4"/>
          </w:tcPr>
          <w:p>
            <w:pPr>
              <w:ind w:left="40"/>
              <w:spacing w:after="0"/>
              <w:rPr>
                <w:sz w:val="20"/>
                <w:szCs w:val="20"/>
                <w:color w:val="auto"/>
              </w:rPr>
            </w:pPr>
            <w:r>
              <w:rPr>
                <w:rFonts w:ascii="Arial" w:cs="Arial" w:eastAsia="Arial" w:hAnsi="Arial"/>
                <w:sz w:val="16"/>
                <w:szCs w:val="16"/>
                <w:color w:val="auto"/>
              </w:rPr>
              <w:t>Weighted-average common shares–basic</w:t>
            </w:r>
          </w:p>
        </w:tc>
        <w:tc>
          <w:tcPr>
            <w:tcW w:w="220" w:type="dxa"/>
            <w:vAlign w:val="bottom"/>
          </w:tcPr>
          <w:p>
            <w:pPr>
              <w:spacing w:after="0"/>
              <w:rPr>
                <w:sz w:val="20"/>
                <w:szCs w:val="20"/>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20,462,626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22,000,571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20,858,192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22,120,198</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24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b w:val="1"/>
                <w:bCs w:val="1"/>
                <w:color w:val="auto"/>
              </w:rPr>
              <w:t>Earnings per common share–basic</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0.02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0.46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0.77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0.91</w:t>
            </w:r>
          </w:p>
        </w:tc>
        <w:tc>
          <w:tcPr>
            <w:tcW w:w="0" w:type="dxa"/>
            <w:vAlign w:val="bottom"/>
          </w:tcPr>
          <w:p>
            <w:pPr>
              <w:spacing w:after="0"/>
              <w:rPr>
                <w:sz w:val="1"/>
                <w:szCs w:val="1"/>
                <w:color w:val="auto"/>
              </w:rPr>
            </w:pPr>
          </w:p>
        </w:tc>
      </w:tr>
      <w:tr>
        <w:trPr>
          <w:trHeight w:val="20"/>
        </w:trPr>
        <w:tc>
          <w:tcPr>
            <w:tcW w:w="5620" w:type="dxa"/>
            <w:vAlign w:val="bottom"/>
            <w:gridSpan w:val="4"/>
            <w:vMerge w:val="restart"/>
          </w:tcPr>
          <w:p>
            <w:pPr>
              <w:ind w:left="40"/>
              <w:spacing w:after="0"/>
              <w:rPr>
                <w:sz w:val="20"/>
                <w:szCs w:val="20"/>
                <w:color w:val="auto"/>
              </w:rPr>
            </w:pPr>
            <w:r>
              <w:rPr>
                <w:rFonts w:ascii="Arial" w:cs="Arial" w:eastAsia="Arial" w:hAnsi="Arial"/>
                <w:sz w:val="16"/>
                <w:szCs w:val="16"/>
                <w:b w:val="1"/>
                <w:bCs w:val="1"/>
                <w:color w:val="auto"/>
              </w:rPr>
              <w:t>Earnings per common share–diluted:</w:t>
            </w: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620" w:type="dxa"/>
            <w:vAlign w:val="bottom"/>
            <w:gridSpan w:val="4"/>
            <w:vMerge w:val="continue"/>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244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30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Net increase in net assets resulting from operations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328,810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10,071,004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16,125,108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20,051,965</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5580" w:type="dxa"/>
            <w:vAlign w:val="bottom"/>
            <w:gridSpan w:val="3"/>
          </w:tcPr>
          <w:p>
            <w:pPr>
              <w:ind w:left="140"/>
              <w:spacing w:after="0"/>
              <w:rPr>
                <w:sz w:val="20"/>
                <w:szCs w:val="20"/>
                <w:color w:val="auto"/>
              </w:rPr>
            </w:pPr>
            <w:r>
              <w:rPr>
                <w:rFonts w:ascii="Arial" w:cs="Arial" w:eastAsia="Arial" w:hAnsi="Arial"/>
                <w:sz w:val="16"/>
                <w:szCs w:val="16"/>
                <w:color w:val="auto"/>
                <w:w w:val="95"/>
              </w:rPr>
              <w:t>Adjustment for interest and amortization on 5.25% Convertible Senior Notes due</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480" w:type="dxa"/>
            <w:vAlign w:val="bottom"/>
            <w:gridSpan w:val="2"/>
          </w:tcPr>
          <w:p>
            <w:pPr>
              <w:ind w:left="260"/>
              <w:spacing w:after="0" w:line="239" w:lineRule="exact"/>
              <w:rPr>
                <w:sz w:val="20"/>
                <w:szCs w:val="20"/>
                <w:color w:val="auto"/>
              </w:rPr>
            </w:pPr>
            <w:r>
              <w:rPr>
                <w:rFonts w:ascii="Arial" w:cs="Arial" w:eastAsia="Arial" w:hAnsi="Arial"/>
                <w:sz w:val="16"/>
                <w:szCs w:val="16"/>
                <w:color w:val="auto"/>
              </w:rPr>
              <w:t>2018</w:t>
            </w:r>
            <w:r>
              <w:rPr>
                <w:rFonts w:ascii="Arial" w:cs="Arial" w:eastAsia="Arial" w:hAnsi="Arial"/>
                <w:sz w:val="21"/>
                <w:szCs w:val="21"/>
                <w:color w:val="auto"/>
                <w:vertAlign w:val="superscript"/>
              </w:rPr>
              <w:t>(1)</w:t>
            </w:r>
          </w:p>
        </w:tc>
        <w:tc>
          <w:tcPr>
            <w:tcW w:w="14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1,124,917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2,559,682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3,366,801</w:t>
            </w:r>
          </w:p>
        </w:tc>
        <w:tc>
          <w:tcPr>
            <w:tcW w:w="0" w:type="dxa"/>
            <w:vAlign w:val="bottom"/>
          </w:tcPr>
          <w:p>
            <w:pPr>
              <w:spacing w:after="0"/>
              <w:rPr>
                <w:sz w:val="1"/>
                <w:szCs w:val="1"/>
                <w:color w:val="auto"/>
              </w:rPr>
            </w:pPr>
          </w:p>
        </w:tc>
      </w:tr>
      <w:tr>
        <w:trPr>
          <w:trHeight w:val="233"/>
        </w:trPr>
        <w:tc>
          <w:tcPr>
            <w:tcW w:w="40" w:type="dxa"/>
            <w:vAlign w:val="bottom"/>
            <w:shd w:val="clear" w:color="auto" w:fill="CCEEFF"/>
          </w:tcPr>
          <w:p>
            <w:pPr>
              <w:spacing w:after="0"/>
              <w:rPr>
                <w:sz w:val="20"/>
                <w:szCs w:val="20"/>
                <w:color w:val="auto"/>
              </w:rPr>
            </w:pPr>
          </w:p>
        </w:tc>
        <w:tc>
          <w:tcPr>
            <w:tcW w:w="558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w w:val="95"/>
              </w:rPr>
              <w:t>Adjustment for interest and amortization on 4.75% Convertible Senior Notes due</w:t>
            </w: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2480" w:type="dxa"/>
            <w:vAlign w:val="bottom"/>
            <w:gridSpan w:val="2"/>
            <w:shd w:val="clear" w:color="auto" w:fill="CCEEFF"/>
          </w:tcPr>
          <w:p>
            <w:pPr>
              <w:ind w:left="260"/>
              <w:spacing w:after="0" w:line="239" w:lineRule="exact"/>
              <w:rPr>
                <w:sz w:val="20"/>
                <w:szCs w:val="20"/>
                <w:color w:val="auto"/>
              </w:rPr>
            </w:pPr>
            <w:r>
              <w:rPr>
                <w:rFonts w:ascii="Arial" w:cs="Arial" w:eastAsia="Arial" w:hAnsi="Arial"/>
                <w:sz w:val="16"/>
                <w:szCs w:val="16"/>
                <w:color w:val="auto"/>
              </w:rPr>
              <w:t>2023</w:t>
            </w:r>
            <w:r>
              <w:rPr>
                <w:rFonts w:ascii="Arial" w:cs="Arial" w:eastAsia="Arial" w:hAnsi="Arial"/>
                <w:sz w:val="21"/>
                <w:szCs w:val="21"/>
                <w:color w:val="auto"/>
                <w:vertAlign w:val="superscript"/>
              </w:rPr>
              <w:t>(1)</w:t>
            </w:r>
          </w:p>
        </w:tc>
        <w:tc>
          <w:tcPr>
            <w:tcW w:w="140" w:type="dxa"/>
            <w:vAlign w:val="bottom"/>
            <w:shd w:val="clear" w:color="auto" w:fill="CCEEFF"/>
          </w:tcPr>
          <w:p>
            <w:pPr>
              <w:spacing w:after="0"/>
              <w:rPr>
                <w:sz w:val="20"/>
                <w:szCs w:val="20"/>
                <w:color w:val="auto"/>
              </w:rPr>
            </w:pPr>
          </w:p>
        </w:tc>
        <w:tc>
          <w:tcPr>
            <w:tcW w:w="3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1,148,646</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5620" w:type="dxa"/>
            <w:vAlign w:val="bottom"/>
            <w:tcBorders>
              <w:top w:val="single" w:sz="8" w:color="CCEEFF"/>
            </w:tcBorders>
            <w:gridSpan w:val="4"/>
          </w:tcPr>
          <w:p>
            <w:pPr>
              <w:ind w:left="40"/>
              <w:spacing w:after="0"/>
              <w:rPr>
                <w:sz w:val="20"/>
                <w:szCs w:val="20"/>
                <w:color w:val="auto"/>
              </w:rPr>
            </w:pPr>
            <w:r>
              <w:rPr>
                <w:rFonts w:ascii="Arial" w:cs="Arial" w:eastAsia="Arial" w:hAnsi="Arial"/>
                <w:sz w:val="16"/>
                <w:szCs w:val="16"/>
                <w:color w:val="auto"/>
              </w:rPr>
              <w:t>Net increase in net assets resulting from operations, as adjusted</w:t>
            </w: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328,810</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11,195,921</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19,833,436</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23,418,766</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40" w:type="dxa"/>
            <w:vAlign w:val="bottom"/>
            <w:shd w:val="clear" w:color="auto" w:fill="CCEEFF"/>
          </w:tcPr>
          <w:p>
            <w:pPr>
              <w:spacing w:after="0"/>
              <w:rPr>
                <w:sz w:val="24"/>
                <w:szCs w:val="24"/>
                <w:color w:val="auto"/>
              </w:rPr>
            </w:pPr>
          </w:p>
        </w:tc>
        <w:tc>
          <w:tcPr>
            <w:tcW w:w="558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Adjustment for dilutive effect of 5.25% Convertible Senior Notes due 2018</w:t>
            </w:r>
            <w:r>
              <w:rPr>
                <w:rFonts w:ascii="Arial" w:cs="Arial" w:eastAsia="Arial" w:hAnsi="Arial"/>
                <w:sz w:val="21"/>
                <w:szCs w:val="21"/>
                <w:color w:val="auto"/>
                <w:vertAlign w:val="superscript"/>
              </w:rPr>
              <w:t>(1)</w:t>
            </w:r>
          </w:p>
        </w:tc>
        <w:tc>
          <w:tcPr>
            <w:tcW w:w="2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5,751,815</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4,314,340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5,751,815</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5580" w:type="dxa"/>
            <w:vAlign w:val="bottom"/>
            <w:gridSpan w:val="3"/>
          </w:tcPr>
          <w:p>
            <w:pPr>
              <w:ind w:left="140"/>
              <w:spacing w:after="0"/>
              <w:rPr>
                <w:sz w:val="20"/>
                <w:szCs w:val="20"/>
                <w:color w:val="auto"/>
              </w:rPr>
            </w:pPr>
            <w:r>
              <w:rPr>
                <w:rFonts w:ascii="Arial" w:cs="Arial" w:eastAsia="Arial" w:hAnsi="Arial"/>
                <w:sz w:val="16"/>
                <w:szCs w:val="16"/>
                <w:color w:val="auto"/>
              </w:rPr>
              <w:t>Adjustment for dilutive effect of 4.75% Convertible Senior Notes due 2023</w:t>
            </w:r>
            <w:r>
              <w:rPr>
                <w:rFonts w:ascii="Arial" w:cs="Arial" w:eastAsia="Arial" w:hAnsi="Arial"/>
                <w:sz w:val="21"/>
                <w:szCs w:val="21"/>
                <w:color w:val="auto"/>
                <w:vertAlign w:val="superscript"/>
              </w:rPr>
              <w:t>(1)</w:t>
            </w:r>
          </w:p>
        </w:tc>
        <w:tc>
          <w:tcPr>
            <w:tcW w:w="22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2,555,902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5620" w:type="dxa"/>
            <w:vAlign w:val="bottom"/>
            <w:tcBorders>
              <w:top w:val="single" w:sz="8" w:color="CCEEFF"/>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Weighted-average common shares outstanding–diluted</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20,462,626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27,752,386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27,728,434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27,872,013</w:t>
            </w:r>
          </w:p>
        </w:tc>
        <w:tc>
          <w:tcPr>
            <w:tcW w:w="0" w:type="dxa"/>
            <w:vAlign w:val="bottom"/>
          </w:tcPr>
          <w:p>
            <w:pPr>
              <w:spacing w:after="0"/>
              <w:rPr>
                <w:sz w:val="1"/>
                <w:szCs w:val="1"/>
                <w:color w:val="auto"/>
              </w:rPr>
            </w:pPr>
          </w:p>
        </w:tc>
      </w:tr>
      <w:tr>
        <w:trPr>
          <w:trHeight w:val="244"/>
        </w:trPr>
        <w:tc>
          <w:tcPr>
            <w:tcW w:w="5620" w:type="dxa"/>
            <w:vAlign w:val="bottom"/>
            <w:tcBorders>
              <w:top w:val="single" w:sz="8" w:color="CCEEFF"/>
            </w:tcBorders>
            <w:gridSpan w:val="4"/>
          </w:tcPr>
          <w:p>
            <w:pPr>
              <w:ind w:left="40"/>
              <w:spacing w:after="0"/>
              <w:rPr>
                <w:sz w:val="20"/>
                <w:szCs w:val="20"/>
                <w:color w:val="auto"/>
              </w:rPr>
            </w:pPr>
            <w:r>
              <w:rPr>
                <w:rFonts w:ascii="Arial" w:cs="Arial" w:eastAsia="Arial" w:hAnsi="Arial"/>
                <w:sz w:val="16"/>
                <w:szCs w:val="16"/>
                <w:b w:val="1"/>
                <w:bCs w:val="1"/>
                <w:color w:val="auto"/>
              </w:rPr>
              <w:t>Earnings per common share–diluted</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0.02</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0.40</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0.72</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0.84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w:t>
      </w:r>
    </w:p>
    <w:p>
      <w:pPr>
        <w:spacing w:after="0" w:line="40" w:lineRule="exact"/>
        <w:rPr>
          <w:sz w:val="20"/>
          <w:szCs w:val="20"/>
          <w:color w:val="auto"/>
        </w:rPr>
      </w:pPr>
    </w:p>
    <w:p>
      <w:pPr>
        <w:ind w:left="660" w:right="340" w:hanging="490"/>
        <w:spacing w:after="0" w:line="273" w:lineRule="auto"/>
        <w:tabs>
          <w:tab w:leader="none" w:pos="6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For the three months ended September 30, 2018, 7,173,218 potentially dilutive common shares were excluded from the weighted-average common shares outstanding for diluted net increase in net assets resulting from operations per common share because the effect of these shares would have been anti-dilutive.</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2" w:right="239" w:bottom="1440" w:gutter="0" w:footer="0" w:header="0"/>
        </w:sectPr>
      </w:pPr>
    </w:p>
    <w:bookmarkStart w:id="49" w:name="page50"/>
    <w:bookmarkEnd w:id="4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2018</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7—COMMITMENTS AND CONTINGENCIES</w:t>
      </w:r>
    </w:p>
    <w:p>
      <w:pPr>
        <w:spacing w:after="0" w:line="229" w:lineRule="exact"/>
        <w:rPr>
          <w:sz w:val="20"/>
          <w:szCs w:val="20"/>
          <w:color w:val="auto"/>
        </w:rPr>
      </w:pPr>
    </w:p>
    <w:p>
      <w:pPr>
        <w:jc w:val="both"/>
        <w:ind w:right="480" w:firstLine="351"/>
        <w:spacing w:after="0" w:line="264" w:lineRule="auto"/>
        <w:rPr>
          <w:sz w:val="20"/>
          <w:szCs w:val="20"/>
          <w:color w:val="auto"/>
        </w:rPr>
      </w:pPr>
      <w:r>
        <w:rPr>
          <w:rFonts w:ascii="Arial" w:cs="Arial" w:eastAsia="Arial" w:hAnsi="Arial"/>
          <w:sz w:val="18"/>
          <w:szCs w:val="18"/>
          <w:color w:val="auto"/>
        </w:rPr>
        <w:t>In the normal course of business, the Company may enter into investment agreements under which it commits to make an investment in a portfolio company at some future date or over a specified period of time. At September 30, 2018 and December 31, 2017, the Company had not entered into any investment agreements that required it to make a future investment in a portfolio company.</w:t>
      </w:r>
    </w:p>
    <w:p>
      <w:pPr>
        <w:spacing w:after="0" w:line="181" w:lineRule="exact"/>
        <w:rPr>
          <w:sz w:val="20"/>
          <w:szCs w:val="20"/>
          <w:color w:val="auto"/>
        </w:rPr>
      </w:pPr>
    </w:p>
    <w:p>
      <w:pPr>
        <w:ind w:right="260" w:firstLine="351"/>
        <w:spacing w:after="0" w:line="302" w:lineRule="auto"/>
        <w:rPr>
          <w:sz w:val="20"/>
          <w:szCs w:val="20"/>
          <w:color w:val="auto"/>
        </w:rPr>
      </w:pPr>
      <w:r>
        <w:rPr>
          <w:rFonts w:ascii="Arial" w:cs="Arial" w:eastAsia="Arial" w:hAnsi="Arial"/>
          <w:sz w:val="16"/>
          <w:szCs w:val="16"/>
          <w:color w:val="auto"/>
        </w:rPr>
        <w:t>The Company is currently not subject to any material legal proceedings, nor, to its knowledge, is any material legal proceeding threatened against it. From time to time, the Company may be a party to certain legal proceedings in the ordinary course of business, including proceedings relating to the enforcement of its rights under contracts with its portfolio companies. While the outcome of these legal proceedings cannot be predicted with certainty, the Company does not expect that these proceedings will have a material effect upon its business, financial condition or results of operations.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8—FINANCIAL HIGHLIGHTS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6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6"/>
                <w:szCs w:val="16"/>
                <w:color w:val="auto"/>
              </w:rPr>
            </w:pPr>
          </w:p>
        </w:tc>
        <w:tc>
          <w:tcPr>
            <w:tcW w:w="2740" w:type="dxa"/>
            <w:vAlign w:val="bottom"/>
            <w:gridSpan w:val="4"/>
          </w:tcPr>
          <w:p>
            <w:pPr>
              <w:jc w:val="right"/>
              <w:ind w:right="339"/>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64"/>
        </w:trPr>
        <w:tc>
          <w:tcPr>
            <w:tcW w:w="20" w:type="dxa"/>
            <w:vAlign w:val="bottom"/>
          </w:tcPr>
          <w:p>
            <w:pPr>
              <w:spacing w:after="0"/>
              <w:rPr>
                <w:sz w:val="22"/>
                <w:szCs w:val="22"/>
                <w:color w:val="auto"/>
              </w:rPr>
            </w:pPr>
          </w:p>
        </w:tc>
        <w:tc>
          <w:tcPr>
            <w:tcW w:w="53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Per Basic Share Data</w:t>
            </w:r>
          </w:p>
        </w:tc>
        <w:tc>
          <w:tcPr>
            <w:tcW w:w="24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2017</w:t>
            </w:r>
          </w:p>
        </w:tc>
      </w:tr>
      <w:tr>
        <w:trPr>
          <w:trHeight w:val="236"/>
        </w:trPr>
        <w:tc>
          <w:tcPr>
            <w:tcW w:w="20" w:type="dxa"/>
            <w:vAlign w:val="bottom"/>
          </w:tcPr>
          <w:p>
            <w:pPr>
              <w:spacing w:after="0"/>
              <w:rPr>
                <w:sz w:val="20"/>
                <w:szCs w:val="20"/>
                <w:color w:val="auto"/>
              </w:rPr>
            </w:pPr>
          </w:p>
        </w:tc>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asset value at beginning of period</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10.46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9.11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9.64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8.66</w:t>
            </w:r>
          </w:p>
        </w:tc>
      </w:tr>
      <w:tr>
        <w:trPr>
          <w:trHeight w:val="270"/>
        </w:trPr>
        <w:tc>
          <w:tcPr>
            <w:tcW w:w="20" w:type="dxa"/>
            <w:vAlign w:val="bottom"/>
          </w:tcPr>
          <w:p>
            <w:pPr>
              <w:spacing w:after="0"/>
              <w:rPr>
                <w:sz w:val="23"/>
                <w:szCs w:val="23"/>
                <w:color w:val="auto"/>
              </w:rPr>
            </w:pPr>
          </w:p>
        </w:tc>
        <w:tc>
          <w:tcPr>
            <w:tcW w:w="5300" w:type="dxa"/>
            <w:vAlign w:val="bottom"/>
          </w:tcPr>
          <w:p>
            <w:pPr>
              <w:ind w:left="160"/>
              <w:spacing w:after="0"/>
              <w:rPr>
                <w:sz w:val="20"/>
                <w:szCs w:val="20"/>
                <w:color w:val="auto"/>
              </w:rPr>
            </w:pPr>
            <w:r>
              <w:rPr>
                <w:rFonts w:ascii="Arial" w:cs="Arial" w:eastAsia="Arial" w:hAnsi="Arial"/>
                <w:sz w:val="16"/>
                <w:szCs w:val="16"/>
                <w:color w:val="auto"/>
              </w:rPr>
              <w:t>Net investment loss</w:t>
            </w:r>
            <w:r>
              <w:rPr>
                <w:rFonts w:ascii="Arial" w:cs="Arial" w:eastAsia="Arial" w:hAnsi="Arial"/>
                <w:sz w:val="21"/>
                <w:szCs w:val="21"/>
                <w:color w:val="auto"/>
                <w:vertAlign w:val="superscript"/>
              </w:rPr>
              <w:t>(1)</w:t>
            </w:r>
          </w:p>
        </w:tc>
        <w:tc>
          <w:tcPr>
            <w:tcW w:w="240" w:type="dxa"/>
            <w:vAlign w:val="bottom"/>
          </w:tcPr>
          <w:p>
            <w:pPr>
              <w:spacing w:after="0"/>
              <w:rPr>
                <w:sz w:val="23"/>
                <w:szCs w:val="23"/>
                <w:color w:val="auto"/>
              </w:rPr>
            </w:pPr>
          </w:p>
        </w:tc>
        <w:tc>
          <w:tcPr>
            <w:tcW w:w="1200" w:type="dxa"/>
            <w:vAlign w:val="bottom"/>
          </w:tcPr>
          <w:p>
            <w:pPr>
              <w:jc w:val="right"/>
              <w:ind w:right="80"/>
              <w:spacing w:after="0"/>
              <w:rPr>
                <w:sz w:val="20"/>
                <w:szCs w:val="20"/>
                <w:color w:val="auto"/>
              </w:rPr>
            </w:pPr>
            <w:r>
              <w:rPr>
                <w:rFonts w:ascii="Arial" w:cs="Arial" w:eastAsia="Arial" w:hAnsi="Arial"/>
                <w:sz w:val="16"/>
                <w:szCs w:val="16"/>
                <w:color w:val="auto"/>
              </w:rPr>
              <w:t>(0.19)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(0.30)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jc w:val="right"/>
              <w:ind w:right="80"/>
              <w:spacing w:after="0"/>
              <w:rPr>
                <w:sz w:val="20"/>
                <w:szCs w:val="20"/>
                <w:color w:val="auto"/>
              </w:rPr>
            </w:pPr>
            <w:r>
              <w:rPr>
                <w:rFonts w:ascii="Arial" w:cs="Arial" w:eastAsia="Arial" w:hAnsi="Arial"/>
                <w:sz w:val="16"/>
                <w:szCs w:val="16"/>
                <w:color w:val="auto"/>
              </w:rPr>
              <w:t>(0.45)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(0.78)</w:t>
            </w:r>
          </w:p>
        </w:tc>
      </w:tr>
      <w:tr>
        <w:trPr>
          <w:trHeight w:val="270"/>
        </w:trPr>
        <w:tc>
          <w:tcPr>
            <w:tcW w:w="20" w:type="dxa"/>
            <w:vAlign w:val="bottom"/>
          </w:tcPr>
          <w:p>
            <w:pPr>
              <w:spacing w:after="0"/>
              <w:rPr>
                <w:sz w:val="23"/>
                <w:szCs w:val="23"/>
                <w:color w:val="auto"/>
              </w:rPr>
            </w:pPr>
          </w:p>
        </w:tc>
        <w:tc>
          <w:tcPr>
            <w:tcW w:w="53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Net realized gain/(loss) on investments</w:t>
            </w:r>
            <w:r>
              <w:rPr>
                <w:rFonts w:ascii="Arial" w:cs="Arial" w:eastAsia="Arial" w:hAnsi="Arial"/>
                <w:sz w:val="21"/>
                <w:szCs w:val="21"/>
                <w:color w:val="auto"/>
                <w:vertAlign w:val="superscript"/>
              </w:rPr>
              <w:t>(1)</w:t>
            </w: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(0.49)</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0.05</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(0.36)</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(1.10)</w:t>
            </w:r>
          </w:p>
        </w:tc>
      </w:tr>
      <w:tr>
        <w:trPr>
          <w:trHeight w:val="220"/>
        </w:trPr>
        <w:tc>
          <w:tcPr>
            <w:tcW w:w="20" w:type="dxa"/>
            <w:vAlign w:val="bottom"/>
          </w:tcPr>
          <w:p>
            <w:pPr>
              <w:spacing w:after="0"/>
              <w:rPr>
                <w:sz w:val="19"/>
                <w:szCs w:val="19"/>
                <w:color w:val="auto"/>
              </w:rPr>
            </w:pPr>
          </w:p>
        </w:tc>
        <w:tc>
          <w:tcPr>
            <w:tcW w:w="5300" w:type="dxa"/>
            <w:vAlign w:val="bottom"/>
          </w:tcPr>
          <w:p>
            <w:pPr>
              <w:ind w:left="160"/>
              <w:spacing w:after="0"/>
              <w:rPr>
                <w:sz w:val="20"/>
                <w:szCs w:val="20"/>
                <w:color w:val="auto"/>
              </w:rPr>
            </w:pPr>
            <w:r>
              <w:rPr>
                <w:rFonts w:ascii="Arial" w:cs="Arial" w:eastAsia="Arial" w:hAnsi="Arial"/>
                <w:sz w:val="16"/>
                <w:szCs w:val="16"/>
                <w:color w:val="auto"/>
                <w:w w:val="96"/>
              </w:rPr>
              <w:t>Realized loss on partial repurchase of 5.25% Convertible Senior Notes due</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9"/>
        </w:trPr>
        <w:tc>
          <w:tcPr>
            <w:tcW w:w="5320" w:type="dxa"/>
            <w:vAlign w:val="bottom"/>
            <w:gridSpan w:val="2"/>
          </w:tcPr>
          <w:p>
            <w:pPr>
              <w:jc w:val="right"/>
              <w:ind w:right="4459"/>
              <w:spacing w:after="0" w:line="239" w:lineRule="exact"/>
              <w:rPr>
                <w:sz w:val="20"/>
                <w:szCs w:val="20"/>
                <w:color w:val="auto"/>
              </w:rPr>
            </w:pPr>
            <w:r>
              <w:rPr>
                <w:rFonts w:ascii="Arial" w:cs="Arial" w:eastAsia="Arial" w:hAnsi="Arial"/>
                <w:sz w:val="16"/>
                <w:szCs w:val="16"/>
                <w:color w:val="auto"/>
              </w:rPr>
              <w:t>2018</w:t>
            </w:r>
            <w:r>
              <w:rPr>
                <w:rFonts w:ascii="Arial" w:cs="Arial" w:eastAsia="Arial" w:hAnsi="Arial"/>
                <w:sz w:val="21"/>
                <w:szCs w:val="21"/>
                <w:color w:val="auto"/>
                <w:vertAlign w:val="superscript"/>
              </w:rPr>
              <w:t>(1)</w:t>
            </w:r>
          </w:p>
        </w:tc>
        <w:tc>
          <w:tcPr>
            <w:tcW w:w="240" w:type="dxa"/>
            <w:vAlign w:val="bottom"/>
          </w:tcPr>
          <w:p>
            <w:pPr>
              <w:spacing w:after="0"/>
              <w:rPr>
                <w:sz w:val="20"/>
                <w:szCs w:val="20"/>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80" w:type="dxa"/>
            <w:vAlign w:val="bottom"/>
          </w:tcPr>
          <w:p>
            <w:pPr>
              <w:jc w:val="right"/>
              <w:ind w:right="80"/>
              <w:spacing w:after="0"/>
              <w:rPr>
                <w:sz w:val="20"/>
                <w:szCs w:val="20"/>
                <w:color w:val="auto"/>
              </w:rPr>
            </w:pPr>
            <w:r>
              <w:rPr>
                <w:rFonts w:ascii="Arial" w:cs="Arial" w:eastAsia="Arial" w:hAnsi="Arial"/>
                <w:sz w:val="16"/>
                <w:szCs w:val="16"/>
                <w:color w:val="auto"/>
              </w:rPr>
              <w:t>(0.02)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w:t>
            </w:r>
          </w:p>
        </w:tc>
      </w:tr>
      <w:tr>
        <w:trPr>
          <w:trHeight w:val="270"/>
        </w:trPr>
        <w:tc>
          <w:tcPr>
            <w:tcW w:w="20" w:type="dxa"/>
            <w:vAlign w:val="bottom"/>
          </w:tcPr>
          <w:p>
            <w:pPr>
              <w:spacing w:after="0"/>
              <w:rPr>
                <w:sz w:val="23"/>
                <w:szCs w:val="23"/>
                <w:color w:val="auto"/>
              </w:rPr>
            </w:pPr>
          </w:p>
        </w:tc>
        <w:tc>
          <w:tcPr>
            <w:tcW w:w="53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Net change in unrealized appreciation of investments</w:t>
            </w:r>
            <w:r>
              <w:rPr>
                <w:rFonts w:ascii="Arial" w:cs="Arial" w:eastAsia="Arial" w:hAnsi="Arial"/>
                <w:sz w:val="21"/>
                <w:szCs w:val="21"/>
                <w:color w:val="auto"/>
                <w:vertAlign w:val="superscript"/>
              </w:rPr>
              <w:t>(1)</w:t>
            </w: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0.69</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0.71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1.54</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2.79</w:t>
            </w:r>
          </w:p>
        </w:tc>
      </w:tr>
      <w:tr>
        <w:trPr>
          <w:trHeight w:val="270"/>
        </w:trPr>
        <w:tc>
          <w:tcPr>
            <w:tcW w:w="20" w:type="dxa"/>
            <w:vAlign w:val="bottom"/>
          </w:tcPr>
          <w:p>
            <w:pPr>
              <w:spacing w:after="0"/>
              <w:rPr>
                <w:sz w:val="23"/>
                <w:szCs w:val="23"/>
                <w:color w:val="auto"/>
              </w:rPr>
            </w:pPr>
          </w:p>
        </w:tc>
        <w:tc>
          <w:tcPr>
            <w:tcW w:w="5300" w:type="dxa"/>
            <w:vAlign w:val="bottom"/>
          </w:tcPr>
          <w:p>
            <w:pPr>
              <w:ind w:left="160"/>
              <w:spacing w:after="0"/>
              <w:rPr>
                <w:sz w:val="20"/>
                <w:szCs w:val="20"/>
                <w:color w:val="auto"/>
              </w:rPr>
            </w:pPr>
            <w:r>
              <w:rPr>
                <w:rFonts w:ascii="Arial" w:cs="Arial" w:eastAsia="Arial" w:hAnsi="Arial"/>
                <w:sz w:val="16"/>
                <w:szCs w:val="16"/>
                <w:color w:val="auto"/>
              </w:rPr>
              <w:t>Benefit from taxes on unrealized depreciation of investments</w:t>
            </w:r>
            <w:r>
              <w:rPr>
                <w:rFonts w:ascii="Arial" w:cs="Arial" w:eastAsia="Arial" w:hAnsi="Arial"/>
                <w:sz w:val="21"/>
                <w:szCs w:val="21"/>
                <w:color w:val="auto"/>
                <w:vertAlign w:val="superscript"/>
              </w:rPr>
              <w:t>(1)</w:t>
            </w:r>
          </w:p>
        </w:tc>
        <w:tc>
          <w:tcPr>
            <w:tcW w:w="240" w:type="dxa"/>
            <w:vAlign w:val="bottom"/>
          </w:tcPr>
          <w:p>
            <w:pPr>
              <w:spacing w:after="0"/>
              <w:rPr>
                <w:sz w:val="23"/>
                <w:szCs w:val="23"/>
                <w:color w:val="auto"/>
              </w:rPr>
            </w:pPr>
          </w:p>
        </w:tc>
        <w:tc>
          <w:tcPr>
            <w:tcW w:w="1200" w:type="dxa"/>
            <w:vAlign w:val="bottom"/>
          </w:tcPr>
          <w:p>
            <w:pPr>
              <w:jc w:val="right"/>
              <w:ind w:right="140"/>
              <w:spacing w:after="0"/>
              <w:rPr>
                <w:sz w:val="20"/>
                <w:szCs w:val="20"/>
                <w:color w:val="auto"/>
              </w:rPr>
            </w:pPr>
            <w:r>
              <w:rPr>
                <w:rFonts w:ascii="Arial" w:cs="Arial" w:eastAsia="Arial" w:hAnsi="Arial"/>
                <w:sz w:val="16"/>
                <w:szCs w:val="16"/>
                <w:color w:val="auto"/>
              </w:rPr>
              <w:t>0.01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1180" w:type="dxa"/>
            <w:vAlign w:val="bottom"/>
          </w:tcPr>
          <w:p>
            <w:pPr>
              <w:jc w:val="right"/>
              <w:ind w:right="120"/>
              <w:spacing w:after="0"/>
              <w:rPr>
                <w:sz w:val="20"/>
                <w:szCs w:val="20"/>
                <w:color w:val="auto"/>
              </w:rPr>
            </w:pPr>
            <w:r>
              <w:rPr>
                <w:rFonts w:ascii="Arial" w:cs="Arial" w:eastAsia="Arial" w:hAnsi="Arial"/>
                <w:sz w:val="16"/>
                <w:szCs w:val="16"/>
                <w:color w:val="auto"/>
              </w:rPr>
              <w:t>0.06</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w:t>
            </w:r>
          </w:p>
        </w:tc>
      </w:tr>
      <w:tr>
        <w:trPr>
          <w:trHeight w:val="270"/>
        </w:trPr>
        <w:tc>
          <w:tcPr>
            <w:tcW w:w="20" w:type="dxa"/>
            <w:vAlign w:val="bottom"/>
          </w:tcPr>
          <w:p>
            <w:pPr>
              <w:spacing w:after="0"/>
              <w:rPr>
                <w:sz w:val="23"/>
                <w:szCs w:val="23"/>
                <w:color w:val="auto"/>
              </w:rPr>
            </w:pPr>
          </w:p>
        </w:tc>
        <w:tc>
          <w:tcPr>
            <w:tcW w:w="53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Repurchase of common stock</w:t>
            </w:r>
            <w:r>
              <w:rPr>
                <w:rFonts w:ascii="Arial" w:cs="Arial" w:eastAsia="Arial" w:hAnsi="Arial"/>
                <w:sz w:val="21"/>
                <w:szCs w:val="21"/>
                <w:color w:val="auto"/>
                <w:vertAlign w:val="superscript"/>
              </w:rPr>
              <w:t>(1)</w:t>
            </w:r>
          </w:p>
        </w:tc>
        <w:tc>
          <w:tcPr>
            <w:tcW w:w="24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0.10</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0.12</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0.17</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0.12</w:t>
            </w:r>
          </w:p>
        </w:tc>
      </w:tr>
      <w:tr>
        <w:trPr>
          <w:trHeight w:val="284"/>
        </w:trPr>
        <w:tc>
          <w:tcPr>
            <w:tcW w:w="20" w:type="dxa"/>
            <w:vAlign w:val="bottom"/>
          </w:tcPr>
          <w:p>
            <w:pPr>
              <w:spacing w:after="0"/>
              <w:rPr>
                <w:sz w:val="24"/>
                <w:szCs w:val="24"/>
                <w:color w:val="auto"/>
              </w:rPr>
            </w:pPr>
          </w:p>
        </w:tc>
        <w:tc>
          <w:tcPr>
            <w:tcW w:w="53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asset value at end of period</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10.58</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9.69</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10.58</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9.69</w:t>
            </w:r>
          </w:p>
        </w:tc>
      </w:tr>
      <w:tr>
        <w:trPr>
          <w:trHeight w:val="224"/>
        </w:trPr>
        <w:tc>
          <w:tcPr>
            <w:tcW w:w="20" w:type="dxa"/>
            <w:vAlign w:val="bottom"/>
          </w:tcPr>
          <w:p>
            <w:pPr>
              <w:spacing w:after="0"/>
              <w:rPr>
                <w:sz w:val="19"/>
                <w:szCs w:val="19"/>
                <w:color w:val="auto"/>
              </w:rPr>
            </w:pPr>
          </w:p>
        </w:tc>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Per share market value at end of period</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6.91</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5.41</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6.91</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5.41</w:t>
            </w:r>
          </w:p>
        </w:tc>
      </w:tr>
      <w:tr>
        <w:trPr>
          <w:trHeight w:val="270"/>
        </w:trPr>
        <w:tc>
          <w:tcPr>
            <w:tcW w:w="20" w:type="dxa"/>
            <w:vAlign w:val="bottom"/>
          </w:tcPr>
          <w:p>
            <w:pPr>
              <w:spacing w:after="0"/>
              <w:rPr>
                <w:sz w:val="23"/>
                <w:szCs w:val="23"/>
                <w:color w:val="auto"/>
              </w:rPr>
            </w:pPr>
          </w:p>
        </w:tc>
        <w:tc>
          <w:tcPr>
            <w:tcW w:w="5300" w:type="dxa"/>
            <w:vAlign w:val="bottom"/>
          </w:tcPr>
          <w:p>
            <w:pPr>
              <w:ind w:left="20"/>
              <w:spacing w:after="0"/>
              <w:rPr>
                <w:sz w:val="20"/>
                <w:szCs w:val="20"/>
                <w:color w:val="auto"/>
              </w:rPr>
            </w:pPr>
            <w:r>
              <w:rPr>
                <w:rFonts w:ascii="Arial" w:cs="Arial" w:eastAsia="Arial" w:hAnsi="Arial"/>
                <w:sz w:val="16"/>
                <w:szCs w:val="16"/>
                <w:color w:val="auto"/>
              </w:rPr>
              <w:t>Total return based on market value</w:t>
            </w:r>
            <w:r>
              <w:rPr>
                <w:rFonts w:ascii="Arial" w:cs="Arial" w:eastAsia="Arial" w:hAnsi="Arial"/>
                <w:sz w:val="21"/>
                <w:szCs w:val="21"/>
                <w:color w:val="auto"/>
                <w:vertAlign w:val="superscript"/>
              </w:rPr>
              <w:t>(2)</w:t>
            </w:r>
          </w:p>
        </w:tc>
        <w:tc>
          <w:tcPr>
            <w:tcW w:w="2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0.73 %</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24.65 %</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26.79 %</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7.55 %</w:t>
            </w:r>
          </w:p>
        </w:tc>
      </w:tr>
      <w:tr>
        <w:trPr>
          <w:trHeight w:val="270"/>
        </w:trPr>
        <w:tc>
          <w:tcPr>
            <w:tcW w:w="20" w:type="dxa"/>
            <w:vAlign w:val="bottom"/>
          </w:tcPr>
          <w:p>
            <w:pPr>
              <w:spacing w:after="0"/>
              <w:rPr>
                <w:sz w:val="23"/>
                <w:szCs w:val="23"/>
                <w:color w:val="auto"/>
              </w:rPr>
            </w:pPr>
          </w:p>
        </w:tc>
        <w:tc>
          <w:tcPr>
            <w:tcW w:w="5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return based on net asset value</w:t>
            </w:r>
            <w:r>
              <w:rPr>
                <w:rFonts w:ascii="Arial" w:cs="Arial" w:eastAsia="Arial" w:hAnsi="Arial"/>
                <w:sz w:val="21"/>
                <w:szCs w:val="21"/>
                <w:color w:val="auto"/>
                <w:vertAlign w:val="superscript"/>
              </w:rPr>
              <w:t>(2)</w:t>
            </w: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1.15 %</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6.37 %</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9.75 %</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11.89 %</w:t>
            </w:r>
          </w:p>
        </w:tc>
      </w:tr>
      <w:tr>
        <w:trPr>
          <w:trHeight w:val="237"/>
        </w:trPr>
        <w:tc>
          <w:tcPr>
            <w:tcW w:w="20" w:type="dxa"/>
            <w:vAlign w:val="bottom"/>
          </w:tcPr>
          <w:p>
            <w:pPr>
              <w:spacing w:after="0"/>
              <w:rPr>
                <w:sz w:val="20"/>
                <w:szCs w:val="20"/>
                <w:color w:val="auto"/>
              </w:rPr>
            </w:pPr>
          </w:p>
        </w:tc>
        <w:tc>
          <w:tcPr>
            <w:tcW w:w="5300" w:type="dxa"/>
            <w:vAlign w:val="bottom"/>
          </w:tcPr>
          <w:p>
            <w:pPr>
              <w:ind w:left="20"/>
              <w:spacing w:after="0"/>
              <w:rPr>
                <w:sz w:val="20"/>
                <w:szCs w:val="20"/>
                <w:color w:val="auto"/>
              </w:rPr>
            </w:pPr>
            <w:r>
              <w:rPr>
                <w:rFonts w:ascii="Arial" w:cs="Arial" w:eastAsia="Arial" w:hAnsi="Arial"/>
                <w:sz w:val="16"/>
                <w:szCs w:val="16"/>
                <w:color w:val="auto"/>
              </w:rPr>
              <w:t>Shares outstanding at end of period</w:t>
            </w:r>
          </w:p>
        </w:tc>
        <w:tc>
          <w:tcPr>
            <w:tcW w:w="240" w:type="dxa"/>
            <w:vAlign w:val="bottom"/>
          </w:tcPr>
          <w:p>
            <w:pPr>
              <w:spacing w:after="0"/>
              <w:rPr>
                <w:sz w:val="20"/>
                <w:szCs w:val="20"/>
                <w:color w:val="auto"/>
              </w:rPr>
            </w:pPr>
          </w:p>
        </w:tc>
        <w:tc>
          <w:tcPr>
            <w:tcW w:w="1200" w:type="dxa"/>
            <w:vAlign w:val="bottom"/>
          </w:tcPr>
          <w:p>
            <w:pPr>
              <w:jc w:val="right"/>
              <w:ind w:right="140"/>
              <w:spacing w:after="0"/>
              <w:rPr>
                <w:sz w:val="20"/>
                <w:szCs w:val="20"/>
                <w:color w:val="auto"/>
              </w:rPr>
            </w:pPr>
            <w:r>
              <w:rPr>
                <w:rFonts w:ascii="Arial" w:cs="Arial" w:eastAsia="Arial" w:hAnsi="Arial"/>
                <w:sz w:val="16"/>
                <w:szCs w:val="16"/>
                <w:color w:val="auto"/>
              </w:rPr>
              <w:t>20,174,955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21,606,894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ind w:right="120"/>
              <w:spacing w:after="0"/>
              <w:rPr>
                <w:sz w:val="20"/>
                <w:szCs w:val="20"/>
                <w:color w:val="auto"/>
              </w:rPr>
            </w:pPr>
            <w:r>
              <w:rPr>
                <w:rFonts w:ascii="Arial" w:cs="Arial" w:eastAsia="Arial" w:hAnsi="Arial"/>
                <w:sz w:val="16"/>
                <w:szCs w:val="16"/>
                <w:color w:val="auto"/>
              </w:rPr>
              <w:t>20,174,955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21,606,894</w:t>
            </w:r>
          </w:p>
        </w:tc>
      </w:tr>
      <w:tr>
        <w:trPr>
          <w:trHeight w:val="33"/>
        </w:trPr>
        <w:tc>
          <w:tcPr>
            <w:tcW w:w="20" w:type="dxa"/>
            <w:vAlign w:val="bottom"/>
          </w:tcPr>
          <w:p>
            <w:pPr>
              <w:spacing w:after="0"/>
              <w:rPr>
                <w:sz w:val="2"/>
                <w:szCs w:val="2"/>
                <w:color w:val="auto"/>
              </w:rPr>
            </w:pPr>
          </w:p>
        </w:tc>
        <w:tc>
          <w:tcPr>
            <w:tcW w:w="5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Ratios/Supplemental Data:</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5300" w:type="dxa"/>
            <w:vAlign w:val="bottom"/>
          </w:tcPr>
          <w:p>
            <w:pPr>
              <w:ind w:left="20"/>
              <w:spacing w:after="0"/>
              <w:rPr>
                <w:sz w:val="20"/>
                <w:szCs w:val="20"/>
                <w:color w:val="auto"/>
              </w:rPr>
            </w:pPr>
            <w:r>
              <w:rPr>
                <w:rFonts w:ascii="Arial" w:cs="Arial" w:eastAsia="Arial" w:hAnsi="Arial"/>
                <w:sz w:val="16"/>
                <w:szCs w:val="16"/>
                <w:color w:val="auto"/>
              </w:rPr>
              <w:t>Net assets at end of period</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40"/>
              <w:spacing w:after="0"/>
              <w:rPr>
                <w:sz w:val="20"/>
                <w:szCs w:val="20"/>
                <w:color w:val="auto"/>
              </w:rPr>
            </w:pPr>
            <w:r>
              <w:rPr>
                <w:rFonts w:ascii="Arial" w:cs="Arial" w:eastAsia="Arial" w:hAnsi="Arial"/>
                <w:sz w:val="16"/>
                <w:szCs w:val="16"/>
                <w:color w:val="auto"/>
              </w:rPr>
              <w:t>213,403,364</w:t>
            </w:r>
          </w:p>
        </w:tc>
        <w:tc>
          <w:tcPr>
            <w:tcW w:w="10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209,379,965</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20"/>
              <w:spacing w:after="0"/>
              <w:rPr>
                <w:sz w:val="20"/>
                <w:szCs w:val="20"/>
                <w:color w:val="auto"/>
              </w:rPr>
            </w:pPr>
            <w:r>
              <w:rPr>
                <w:rFonts w:ascii="Arial" w:cs="Arial" w:eastAsia="Arial" w:hAnsi="Arial"/>
                <w:sz w:val="16"/>
                <w:szCs w:val="16"/>
                <w:color w:val="auto"/>
              </w:rPr>
              <w:t>213,403,364</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209,379,965</w:t>
            </w:r>
          </w:p>
        </w:tc>
      </w:tr>
      <w:tr>
        <w:trPr>
          <w:trHeight w:val="33"/>
        </w:trPr>
        <w:tc>
          <w:tcPr>
            <w:tcW w:w="20" w:type="dxa"/>
            <w:vAlign w:val="bottom"/>
          </w:tcPr>
          <w:p>
            <w:pPr>
              <w:spacing w:after="0"/>
              <w:rPr>
                <w:sz w:val="2"/>
                <w:szCs w:val="2"/>
                <w:color w:val="auto"/>
              </w:rPr>
            </w:pPr>
          </w:p>
        </w:tc>
        <w:tc>
          <w:tcPr>
            <w:tcW w:w="5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Average net assets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214,704,044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201,557,182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210,108,076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196,478,030</w:t>
            </w:r>
          </w:p>
        </w:tc>
      </w:tr>
      <w:tr>
        <w:trPr>
          <w:trHeight w:val="270"/>
        </w:trPr>
        <w:tc>
          <w:tcPr>
            <w:tcW w:w="20" w:type="dxa"/>
            <w:vAlign w:val="bottom"/>
          </w:tcPr>
          <w:p>
            <w:pPr>
              <w:spacing w:after="0"/>
              <w:rPr>
                <w:sz w:val="23"/>
                <w:szCs w:val="23"/>
                <w:color w:val="auto"/>
              </w:rPr>
            </w:pPr>
          </w:p>
        </w:tc>
        <w:tc>
          <w:tcPr>
            <w:tcW w:w="5300" w:type="dxa"/>
            <w:vAlign w:val="bottom"/>
          </w:tcPr>
          <w:p>
            <w:pPr>
              <w:ind w:left="20"/>
              <w:spacing w:after="0"/>
              <w:rPr>
                <w:sz w:val="20"/>
                <w:szCs w:val="20"/>
                <w:color w:val="auto"/>
              </w:rPr>
            </w:pPr>
            <w:r>
              <w:rPr>
                <w:rFonts w:ascii="Arial" w:cs="Arial" w:eastAsia="Arial" w:hAnsi="Arial"/>
                <w:sz w:val="16"/>
                <w:szCs w:val="16"/>
                <w:color w:val="auto"/>
              </w:rPr>
              <w:t>Ratio of gross operating expenses to average net assets</w:t>
            </w:r>
            <w:r>
              <w:rPr>
                <w:rFonts w:ascii="Arial" w:cs="Arial" w:eastAsia="Arial" w:hAnsi="Arial"/>
                <w:sz w:val="21"/>
                <w:szCs w:val="21"/>
                <w:color w:val="auto"/>
                <w:vertAlign w:val="superscript"/>
              </w:rPr>
              <w:t>(3)</w:t>
            </w:r>
          </w:p>
        </w:tc>
        <w:tc>
          <w:tcPr>
            <w:tcW w:w="2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8.51 %</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13.73 %</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10.18 %</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12.74 %</w:t>
            </w:r>
          </w:p>
        </w:tc>
      </w:tr>
      <w:tr>
        <w:trPr>
          <w:trHeight w:val="270"/>
        </w:trPr>
        <w:tc>
          <w:tcPr>
            <w:tcW w:w="20" w:type="dxa"/>
            <w:vAlign w:val="bottom"/>
          </w:tcPr>
          <w:p>
            <w:pPr>
              <w:spacing w:after="0"/>
              <w:rPr>
                <w:sz w:val="23"/>
                <w:szCs w:val="23"/>
                <w:color w:val="auto"/>
              </w:rPr>
            </w:pPr>
          </w:p>
        </w:tc>
        <w:tc>
          <w:tcPr>
            <w:tcW w:w="5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Ratio of incentive fee waiver to average net assets</w:t>
            </w:r>
            <w:r>
              <w:rPr>
                <w:rFonts w:ascii="Arial" w:cs="Arial" w:eastAsia="Arial" w:hAnsi="Arial"/>
                <w:sz w:val="21"/>
                <w:szCs w:val="21"/>
                <w:color w:val="auto"/>
                <w:vertAlign w:val="superscript"/>
              </w:rPr>
              <w:t>(3)</w:t>
            </w:r>
          </w:p>
        </w:tc>
        <w:tc>
          <w:tcPr>
            <w:tcW w:w="24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 %</w:t>
            </w:r>
          </w:p>
        </w:tc>
        <w:tc>
          <w:tcPr>
            <w:tcW w:w="28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ind w:left="800"/>
              <w:spacing w:after="0"/>
              <w:rPr>
                <w:sz w:val="20"/>
                <w:szCs w:val="20"/>
                <w:color w:val="auto"/>
              </w:rPr>
            </w:pPr>
            <w:r>
              <w:rPr>
                <w:rFonts w:ascii="Arial" w:cs="Arial" w:eastAsia="Arial" w:hAnsi="Arial"/>
                <w:sz w:val="16"/>
                <w:szCs w:val="16"/>
                <w:color w:val="auto"/>
              </w:rPr>
              <w:t>— %</w:t>
            </w: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70"/>
        </w:trPr>
        <w:tc>
          <w:tcPr>
            <w:tcW w:w="20" w:type="dxa"/>
            <w:vAlign w:val="bottom"/>
          </w:tcPr>
          <w:p>
            <w:pPr>
              <w:spacing w:after="0"/>
              <w:rPr>
                <w:sz w:val="23"/>
                <w:szCs w:val="23"/>
                <w:color w:val="auto"/>
              </w:rPr>
            </w:pPr>
          </w:p>
        </w:tc>
        <w:tc>
          <w:tcPr>
            <w:tcW w:w="53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Ratio of management fee waiver to average net assets</w:t>
            </w:r>
            <w:r>
              <w:rPr>
                <w:rFonts w:ascii="Arial" w:cs="Arial" w:eastAsia="Arial" w:hAnsi="Arial"/>
                <w:sz w:val="21"/>
                <w:szCs w:val="21"/>
                <w:color w:val="auto"/>
                <w:vertAlign w:val="superscript"/>
              </w:rPr>
              <w:t>(3)</w:t>
            </w:r>
          </w:p>
        </w:tc>
        <w:tc>
          <w:tcPr>
            <w:tcW w:w="2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(0.19)%</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(0.34)%</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(0.42)%</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(0.36)%</w:t>
            </w:r>
          </w:p>
        </w:tc>
      </w:tr>
      <w:tr>
        <w:trPr>
          <w:trHeight w:val="250"/>
        </w:trPr>
        <w:tc>
          <w:tcPr>
            <w:tcW w:w="20" w:type="dxa"/>
            <w:vAlign w:val="bottom"/>
          </w:tcPr>
          <w:p>
            <w:pPr>
              <w:spacing w:after="0"/>
              <w:rPr>
                <w:sz w:val="21"/>
                <w:szCs w:val="21"/>
                <w:color w:val="auto"/>
              </w:rPr>
            </w:pPr>
          </w:p>
        </w:tc>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Ratio of net operating expenses to average net assets</w:t>
            </w:r>
            <w:r>
              <w:rPr>
                <w:rFonts w:ascii="Arial" w:cs="Arial" w:eastAsia="Arial" w:hAnsi="Arial"/>
                <w:sz w:val="21"/>
                <w:szCs w:val="21"/>
                <w:color w:val="auto"/>
                <w:vertAlign w:val="superscript"/>
              </w:rPr>
              <w:t>(3)</w:t>
            </w:r>
          </w:p>
        </w:tc>
        <w:tc>
          <w:tcPr>
            <w:tcW w:w="2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8.32 %</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13.34 %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7.38 %</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12.36 %</w:t>
            </w: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300" w:type="dxa"/>
            <w:vAlign w:val="bottom"/>
          </w:tcPr>
          <w:p>
            <w:pPr>
              <w:ind w:left="20"/>
              <w:spacing w:after="0" w:line="237" w:lineRule="exact"/>
              <w:rPr>
                <w:sz w:val="20"/>
                <w:szCs w:val="20"/>
                <w:color w:val="auto"/>
              </w:rPr>
            </w:pPr>
            <w:r>
              <w:rPr>
                <w:rFonts w:ascii="Arial" w:cs="Arial" w:eastAsia="Arial" w:hAnsi="Arial"/>
                <w:sz w:val="16"/>
                <w:szCs w:val="16"/>
                <w:color w:val="auto"/>
              </w:rPr>
              <w:t>Ratio of net investment loss to average net assets</w:t>
            </w:r>
            <w:r>
              <w:rPr>
                <w:rFonts w:ascii="Arial" w:cs="Arial" w:eastAsia="Arial" w:hAnsi="Arial"/>
                <w:sz w:val="21"/>
                <w:szCs w:val="21"/>
                <w:color w:val="auto"/>
                <w:vertAlign w:val="superscript"/>
              </w:rPr>
              <w:t>(3)</w:t>
            </w: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(7.30)%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(13.04)%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(5.95)%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(11.78)%</w:t>
            </w:r>
          </w:p>
        </w:tc>
      </w:tr>
      <w:tr>
        <w:trPr>
          <w:trHeight w:val="250"/>
        </w:trPr>
        <w:tc>
          <w:tcPr>
            <w:tcW w:w="20" w:type="dxa"/>
            <w:vAlign w:val="bottom"/>
          </w:tcPr>
          <w:p>
            <w:pPr>
              <w:spacing w:after="0"/>
              <w:rPr>
                <w:sz w:val="21"/>
                <w:szCs w:val="21"/>
                <w:color w:val="auto"/>
              </w:rPr>
            </w:pPr>
          </w:p>
        </w:tc>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Portfolio Turnover Ratio</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2.98 %</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6"/>
                <w:szCs w:val="16"/>
                <w:color w:val="auto"/>
              </w:rPr>
              <w:t>— %</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3.08 %</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31"/>
        </w:trPr>
        <w:tc>
          <w:tcPr>
            <w:tcW w:w="20" w:type="dxa"/>
            <w:vAlign w:val="bottom"/>
          </w:tcPr>
          <w:p>
            <w:pPr>
              <w:spacing w:after="0"/>
              <w:rPr>
                <w:sz w:val="20"/>
                <w:szCs w:val="20"/>
                <w:color w:val="auto"/>
              </w:rPr>
            </w:pPr>
          </w:p>
        </w:tc>
        <w:tc>
          <w:tcPr>
            <w:tcW w:w="5300" w:type="dxa"/>
            <w:vAlign w:val="bottom"/>
          </w:tcPr>
          <w:p>
            <w:pPr>
              <w:spacing w:after="0"/>
              <w:rPr>
                <w:sz w:val="20"/>
                <w:szCs w:val="20"/>
                <w:color w:val="auto"/>
              </w:rPr>
            </w:pPr>
            <w:r>
              <w:rPr>
                <w:rFonts w:ascii="Arial" w:cs="Arial" w:eastAsia="Arial" w:hAnsi="Arial"/>
                <w:sz w:val="18"/>
                <w:szCs w:val="18"/>
                <w:b w:val="1"/>
                <w:bCs w:val="1"/>
                <w:color w:val="auto"/>
              </w:rPr>
              <w:t>__________________</w:t>
            </w: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3307080</wp:posOffset>
            </wp:positionH>
            <wp:positionV relativeFrom="paragraph">
              <wp:posOffset>-678180</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ind w:left="500" w:hanging="492"/>
        <w:spacing w:after="0"/>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weighted-average number of shares outstanding for the relevant period.</w:t>
      </w:r>
    </w:p>
    <w:p>
      <w:pPr>
        <w:spacing w:after="0" w:line="7" w:lineRule="exact"/>
        <w:rPr>
          <w:rFonts w:ascii="Arial" w:cs="Arial" w:eastAsia="Arial" w:hAnsi="Arial"/>
          <w:sz w:val="18"/>
          <w:szCs w:val="18"/>
          <w:color w:val="auto"/>
        </w:rPr>
      </w:pPr>
    </w:p>
    <w:p>
      <w:pPr>
        <w:ind w:left="500" w:right="280" w:hanging="492"/>
        <w:spacing w:after="0" w:line="250" w:lineRule="auto"/>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Total return based on market value is based on the change in market price per share between the opening and ending market values per share in the year. Total return based on net asset value is based upon the change in net asset value per share between the opening and ending net asset values per share.</w:t>
      </w:r>
    </w:p>
    <w:p>
      <w:pPr>
        <w:spacing w:after="0" w:line="1" w:lineRule="exact"/>
        <w:rPr>
          <w:rFonts w:ascii="Arial" w:cs="Arial" w:eastAsia="Arial" w:hAnsi="Arial"/>
          <w:sz w:val="18"/>
          <w:szCs w:val="18"/>
          <w:color w:val="auto"/>
        </w:rPr>
      </w:pPr>
    </w:p>
    <w:p>
      <w:pPr>
        <w:ind w:left="500" w:right="120" w:hanging="492"/>
        <w:spacing w:after="0" w:line="253" w:lineRule="auto"/>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Financial Highlights for periods of less than one year are annualized and the ratios of operating expenses to average net assets and net investment loss to average net assets are adjusted accordingly. Non-recurring expenses, including the $5.0 million accrued incentive fee forfeiture pursuant to the Waiver Agreement, are not annualized. For the three and nine months ended September 30, 2018, the Company excluded $0 and $352,667 of non-recurring expenses, respectively and did not annualize the incentive fee waiver. For the three and nine months ended September 30, 2017, the Company did</w:t>
      </w:r>
    </w:p>
    <w:p>
      <w:pPr>
        <w:sectPr>
          <w:pgSz w:w="11900" w:h="16838" w:orient="portrait"/>
          <w:cols w:equalWidth="0" w:num="1">
            <w:col w:w="11420"/>
          </w:cols>
          <w:pgMar w:left="240" w:top="122" w:right="239"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20"/>
          </w:cols>
          <w:pgMar w:left="240" w:top="122" w:right="239" w:bottom="1440" w:gutter="0" w:footer="0" w:header="0"/>
          <w:type w:val="continuous"/>
        </w:sectPr>
      </w:pPr>
    </w:p>
    <w:bookmarkStart w:id="50" w:name="page51"/>
    <w:bookmarkEnd w:id="5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2018</w:t>
      </w:r>
    </w:p>
    <w:p>
      <w:pPr>
        <w:spacing w:after="0" w:line="265" w:lineRule="exact"/>
        <w:rPr>
          <w:sz w:val="20"/>
          <w:szCs w:val="20"/>
          <w:color w:val="auto"/>
        </w:rPr>
      </w:pPr>
    </w:p>
    <w:p>
      <w:pPr>
        <w:ind w:left="500" w:right="280"/>
        <w:spacing w:after="0" w:line="324" w:lineRule="auto"/>
        <w:rPr>
          <w:sz w:val="20"/>
          <w:szCs w:val="20"/>
          <w:color w:val="auto"/>
        </w:rPr>
      </w:pPr>
      <w:r>
        <w:rPr>
          <w:rFonts w:ascii="Arial" w:cs="Arial" w:eastAsia="Arial" w:hAnsi="Arial"/>
          <w:sz w:val="18"/>
          <w:szCs w:val="18"/>
          <w:color w:val="auto"/>
        </w:rPr>
        <w:t>not incur any non-recurring expenses. Because the ratios are calculated for the Company’s common stock taken as a whole, an individual investor’s ratios may vary from these ratios.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9—INCOME TAXES</w:t>
      </w:r>
    </w:p>
    <w:p>
      <w:pPr>
        <w:spacing w:after="0" w:line="229" w:lineRule="exact"/>
        <w:rPr>
          <w:sz w:val="20"/>
          <w:szCs w:val="20"/>
          <w:color w:val="auto"/>
        </w:rPr>
      </w:pPr>
    </w:p>
    <w:p>
      <w:pPr>
        <w:ind w:right="60" w:firstLine="351"/>
        <w:spacing w:after="0" w:line="342" w:lineRule="auto"/>
        <w:rPr>
          <w:sz w:val="20"/>
          <w:szCs w:val="20"/>
          <w:color w:val="auto"/>
        </w:rPr>
      </w:pPr>
      <w:r>
        <w:rPr>
          <w:rFonts w:ascii="Arial" w:cs="Arial" w:eastAsia="Arial" w:hAnsi="Arial"/>
          <w:sz w:val="16"/>
          <w:szCs w:val="16"/>
          <w:color w:val="auto"/>
        </w:rPr>
        <w:t>The Company elected to be treated as a RIC under Subchapter M of the Code beginning with its taxable year ended December 31, 2014, has qualified to be treated as a RIC for subsequent taxable years and expects to continue to operate in a manner so as to qualify for the tax treatment applicable to RICs.</w:t>
      </w:r>
    </w:p>
    <w:p>
      <w:pPr>
        <w:spacing w:after="0" w:line="124" w:lineRule="exact"/>
        <w:rPr>
          <w:sz w:val="20"/>
          <w:szCs w:val="20"/>
          <w:color w:val="auto"/>
        </w:rPr>
      </w:pPr>
    </w:p>
    <w:p>
      <w:pPr>
        <w:ind w:right="80" w:firstLine="351"/>
        <w:spacing w:after="0" w:line="254" w:lineRule="auto"/>
        <w:rPr>
          <w:sz w:val="20"/>
          <w:szCs w:val="20"/>
          <w:color w:val="auto"/>
        </w:rPr>
      </w:pPr>
      <w:r>
        <w:rPr>
          <w:rFonts w:ascii="Arial" w:cs="Arial" w:eastAsia="Arial" w:hAnsi="Arial"/>
          <w:sz w:val="18"/>
          <w:szCs w:val="18"/>
          <w:color w:val="auto"/>
        </w:rPr>
        <w:t>Due to the Company’s election to be treated as RIC, the associated previously accrued benefits from, and provisions for, taxes from prior periods were reversed for the year ended December 31, 2015. Typically for a taxable entity, a net investment loss would generate a benefit from taxes; however, as a result of our election to be treated as a RIC, we reversed the previously accrued benefits from taxes on net investment loss from prior periods. Typically for a taxable entity, net realized capital gains would generate a provision for taxes; however, as a result of our election to be treated as a RIC, we reversed the previously accrued provisions for taxes on net realized capital gains from prior periods. As a result of our election to be treated as a RIC, we reversed the previously accrued provisions for taxes on unrealized appreciation of investments from prior periods. This reversal resulted in a larger benefit for taxes on unrealized depreciation of investments than would have been accrued solely based on the unrealized depreciation of investments for the year ended December 31, 2015.</w:t>
      </w:r>
    </w:p>
    <w:p>
      <w:pPr>
        <w:spacing w:after="0" w:line="192" w:lineRule="exact"/>
        <w:rPr>
          <w:sz w:val="20"/>
          <w:szCs w:val="20"/>
          <w:color w:val="auto"/>
        </w:rPr>
      </w:pPr>
    </w:p>
    <w:p>
      <w:pPr>
        <w:jc w:val="both"/>
        <w:ind w:right="140" w:firstLine="351"/>
        <w:spacing w:after="0" w:line="276" w:lineRule="auto"/>
        <w:rPr>
          <w:sz w:val="20"/>
          <w:szCs w:val="20"/>
          <w:color w:val="auto"/>
        </w:rPr>
      </w:pPr>
      <w:r>
        <w:rPr>
          <w:rFonts w:ascii="Arial" w:cs="Arial" w:eastAsia="Arial" w:hAnsi="Arial"/>
          <w:sz w:val="17"/>
          <w:szCs w:val="17"/>
          <w:color w:val="auto"/>
        </w:rPr>
        <w:t>As a result of the Company electing to be treated as a RIC for the taxable year ended December 31, 2014 in connection with the filing of its 2014 tax return, it may be required to pay a corporate-level U.S. federal income tax on the amount of the net built-in gains, if any, in its assets (the amount by which the net fair market value of the Company’s assets exceeds the net adjusted basis in its assets) as of the date of conversion to a RIC (</w:t>
      </w:r>
      <w:r>
        <w:rPr>
          <w:rFonts w:ascii="Arial" w:cs="Arial" w:eastAsia="Arial" w:hAnsi="Arial"/>
          <w:sz w:val="17"/>
          <w:szCs w:val="17"/>
          <w:i w:val="1"/>
          <w:iCs w:val="1"/>
          <w:color w:val="auto"/>
        </w:rPr>
        <w:t>i.e.</w:t>
      </w:r>
      <w:r>
        <w:rPr>
          <w:rFonts w:ascii="Arial" w:cs="Arial" w:eastAsia="Arial" w:hAnsi="Arial"/>
          <w:sz w:val="17"/>
          <w:szCs w:val="17"/>
          <w:color w:val="auto"/>
        </w:rPr>
        <w:t>, the beginning of the first taxable year that the Company qualifies as a RIC, which would be January 1, 2014) to the extent that such gains are recognized by the Company during the applicable recognition period, which is the five-year period beginning on the date of conversion.</w:t>
      </w:r>
    </w:p>
    <w:p>
      <w:pPr>
        <w:spacing w:after="0" w:line="173" w:lineRule="exact"/>
        <w:rPr>
          <w:sz w:val="20"/>
          <w:szCs w:val="20"/>
          <w:color w:val="auto"/>
        </w:rPr>
      </w:pPr>
    </w:p>
    <w:p>
      <w:pPr>
        <w:ind w:firstLine="351"/>
        <w:spacing w:after="0" w:line="271" w:lineRule="auto"/>
        <w:rPr>
          <w:sz w:val="20"/>
          <w:szCs w:val="20"/>
          <w:color w:val="auto"/>
        </w:rPr>
      </w:pPr>
      <w:r>
        <w:rPr>
          <w:rFonts w:ascii="Arial" w:cs="Arial" w:eastAsia="Arial" w:hAnsi="Arial"/>
          <w:sz w:val="17"/>
          <w:szCs w:val="17"/>
          <w:color w:val="auto"/>
        </w:rPr>
        <w:t>Any corporate-level built-in-gains tax is payable at the time the built-in gains are recognized (which generally will be the years in which the assets with the built-in-gains are sold in a taxable transaction). The amount of this tax will vary depending on the assets that are actually sold by the Company in this five-year period, the actual amount of net built-in gain or loss present in those assets as of the date of conversion, and the effective tax rates at such times. The payment of any such corporate-level U.S. federal income tax on built-in gains will be a Company expense that will reduce the amount available for distribution to stockholders. The built-in-gains tax is calculated by determining the RIC’s net unrealized built-in gains, if any, by which the fair market value of the assets of the RIC at the beginning of its first RIC year exceeds the aggregate adjusted basis of such assets at that time. As of January 1, 2014, the Company had net unrealized built-in gains. It did not incur a built-in-gains tax for the 2014 tax year due to the fact that there were sufficient net capital loss carryforwards to completely offset recognized built-in gains as well as available net operating losses.</w:t>
      </w:r>
    </w:p>
    <w:p>
      <w:pPr>
        <w:spacing w:after="0" w:line="179" w:lineRule="exact"/>
        <w:rPr>
          <w:sz w:val="20"/>
          <w:szCs w:val="20"/>
          <w:color w:val="auto"/>
        </w:rPr>
      </w:pPr>
    </w:p>
    <w:p>
      <w:pPr>
        <w:ind w:right="120" w:firstLine="351"/>
        <w:spacing w:after="0" w:line="297" w:lineRule="auto"/>
        <w:rPr>
          <w:sz w:val="20"/>
          <w:szCs w:val="20"/>
          <w:color w:val="auto"/>
        </w:rPr>
      </w:pPr>
      <w:r>
        <w:rPr>
          <w:rFonts w:ascii="Arial" w:cs="Arial" w:eastAsia="Arial" w:hAnsi="Arial"/>
          <w:sz w:val="16"/>
          <w:szCs w:val="16"/>
          <w:color w:val="auto"/>
        </w:rPr>
        <w:t>The GSVC Holdings are C corporations for U.S. federal and state income tax purposes. The Company uses the asset and liability method to account for the GSVC Holdings’ income taxes. Using this method, the Company recognizes deferred tax assets and liabilities for the estimated future tax effects attributable to temporary differences between the financial reporting and tax bases of assets and liabilities. In addition, the Company recognizes deferred tax benefits associated with net operating loss carryforwards that it may use to offset future tax obligations. The Company measures deferred tax assets and liabilities using the enacted tax rates expected to apply to taxable income in the years in which it expects to recover or settle those temporary differences.</w:t>
      </w:r>
    </w:p>
    <w:p>
      <w:pPr>
        <w:spacing w:after="0" w:line="158"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As of September 30, 2018 and December 31, 2017, the Company recorded a deferred tax liability of approximately $6.0 million and $7.6 million, respectively, of which approximately $6.1 million and $6.1 million have been recorded in the event that such gains are recognized by December 31, 2018, and approximately $(0.1) million and $1.5 million relate to the difference in the book and tax basis of certain equity investments and net tax operating losses held by the GSVC Holdings.</w:t>
      </w:r>
    </w:p>
    <w:p>
      <w:pPr>
        <w:spacing w:after="0" w:line="187" w:lineRule="exact"/>
        <w:rPr>
          <w:sz w:val="20"/>
          <w:szCs w:val="20"/>
          <w:color w:val="auto"/>
        </w:rPr>
      </w:pPr>
    </w:p>
    <w:p>
      <w:pPr>
        <w:ind w:right="140" w:firstLine="351"/>
        <w:spacing w:after="0" w:line="277" w:lineRule="auto"/>
        <w:rPr>
          <w:sz w:val="20"/>
          <w:szCs w:val="20"/>
          <w:color w:val="auto"/>
        </w:rPr>
      </w:pPr>
      <w:r>
        <w:rPr>
          <w:rFonts w:ascii="Arial" w:cs="Arial" w:eastAsia="Arial" w:hAnsi="Arial"/>
          <w:sz w:val="18"/>
          <w:szCs w:val="18"/>
          <w:color w:val="auto"/>
        </w:rPr>
        <w:t>For U.S. federal and state income tax purposes, a portion of the GSVC Holdings’ net operating loss carryforwards and basis differences may be subject to limitations on annual utilization in case of a change in ownership, as defined by federal and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122" w:right="259" w:bottom="1440" w:gutter="0" w:footer="0" w:header="0"/>
        </w:sectPr>
      </w:pPr>
    </w:p>
    <w:bookmarkStart w:id="51" w:name="page52"/>
    <w:bookmarkEnd w:id="5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2018</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state law. The amount of such limitations, if any, has not been determined. Accordingly, the amount of such tax attributes available to offset future profits may be significantly less than the actual amounts of the tax attributes.</w:t>
      </w:r>
    </w:p>
    <w:p>
      <w:pPr>
        <w:spacing w:after="0" w:line="170" w:lineRule="exact"/>
        <w:rPr>
          <w:sz w:val="20"/>
          <w:szCs w:val="20"/>
          <w:color w:val="auto"/>
        </w:rPr>
      </w:pPr>
    </w:p>
    <w:p>
      <w:pPr>
        <w:jc w:val="both"/>
        <w:ind w:right="20" w:firstLine="351"/>
        <w:spacing w:after="0" w:line="312" w:lineRule="auto"/>
        <w:rPr>
          <w:sz w:val="20"/>
          <w:szCs w:val="20"/>
          <w:color w:val="auto"/>
        </w:rPr>
      </w:pPr>
      <w:r>
        <w:rPr>
          <w:rFonts w:ascii="Arial" w:cs="Arial" w:eastAsia="Arial" w:hAnsi="Arial"/>
          <w:sz w:val="16"/>
          <w:szCs w:val="16"/>
          <w:color w:val="auto"/>
        </w:rPr>
        <w:t>The Company and the GSVC Holdings identified their major tax jurisdictions as U.S. federal and California and may be subject to the taxing authorities’ examination for the tax years 2014–2017 and 2013–2017, respectively. Further, the Company and the GSVC Holdings accrue all interest and penalties related to uncertain tax positions as incurred. As of September 30, 2018, there were no interest or penalties incurred related to uncertain tax positions.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10—DEBT CAPITAL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5.25% Convertible Senior Notes due 2018</w:t>
      </w:r>
    </w:p>
    <w:p>
      <w:pPr>
        <w:spacing w:after="0" w:line="229" w:lineRule="exact"/>
        <w:rPr>
          <w:sz w:val="20"/>
          <w:szCs w:val="20"/>
          <w:color w:val="auto"/>
        </w:rPr>
      </w:pPr>
    </w:p>
    <w:p>
      <w:pPr>
        <w:ind w:right="40" w:firstLine="351"/>
        <w:spacing w:after="0" w:line="270" w:lineRule="auto"/>
        <w:rPr>
          <w:sz w:val="20"/>
          <w:szCs w:val="20"/>
          <w:color w:val="auto"/>
        </w:rPr>
      </w:pPr>
      <w:r>
        <w:rPr>
          <w:rFonts w:ascii="Arial" w:cs="Arial" w:eastAsia="Arial" w:hAnsi="Arial"/>
          <w:sz w:val="17"/>
          <w:szCs w:val="17"/>
          <w:color w:val="auto"/>
        </w:rPr>
        <w:t>On September 17, 2013, the Company issued $69.0 million aggregate principal amount of convertible senior notes, which bear interest at a fixed rate of 5.25% per year, payable semi-annually in arrears on March 15 and September 15 of each year. The 5.25% Convertible Senior Notes mature on September 15, 2018 (the "5.25% Convertible Senior Notes due 2018"), unless previously repurchased or converted in accordance with their terms. The Company does not have the right to redeem the 5.25% Convertible Senior Notes due 2018 prior to maturity. The indenture governing the 5.25% Convertible Senior Notes due 2018 contains customary financial reporting requirements and contains certain restrictions on mergers, consolidations, and asset sales. The indenture also contains certain events of default, the occurrence of which may lead to the 5.25% Convertible Senior Notes due 2018 being due and payable before their maturity or immediately. The 5.25% Convertible Senior Notes due 2018 are convertible into shares of the Company’s common stock based on a conversion rate of 83.3596 shares of the Company’s common stock per $1,000 of principal amount of the 5.25% Convertible Senior Notes due 2018, which is equivalent to a conversion price of approximately $12.00 per share of common stock.</w:t>
      </w:r>
    </w:p>
    <w:p>
      <w:pPr>
        <w:spacing w:after="0" w:line="182" w:lineRule="exact"/>
        <w:rPr>
          <w:sz w:val="20"/>
          <w:szCs w:val="20"/>
          <w:color w:val="auto"/>
        </w:rPr>
      </w:pPr>
    </w:p>
    <w:p>
      <w:pPr>
        <w:ind w:right="20" w:firstLine="351"/>
        <w:spacing w:after="0" w:line="276" w:lineRule="auto"/>
        <w:rPr>
          <w:sz w:val="20"/>
          <w:szCs w:val="20"/>
          <w:color w:val="auto"/>
        </w:rPr>
      </w:pPr>
      <w:r>
        <w:rPr>
          <w:rFonts w:ascii="Arial" w:cs="Arial" w:eastAsia="Arial" w:hAnsi="Arial"/>
          <w:sz w:val="17"/>
          <w:szCs w:val="17"/>
          <w:color w:val="auto"/>
        </w:rPr>
        <w:t>On December 15, 2017, the Company announced the commencement of a cash tender offer (the “Tender Offer”) to purchase any and all of its $69.0 million aggregate principal amount of outstanding 5.25% Convertible Senior Notes due 2018. As of the expiration of the Tender Offer on January 17, 2018, approximately $4.8 million aggregate principal amount of the 5.25% Convertible Senior Notes due 2018, representing approximately 7.0% of the outstanding 5.25% Convertible Senior Notes due 2018, were validly tendered and not validly withdrawn pursuant to the Tender Offer. On March 27, 2018, the Company repurchased an additional $14.2 million aggregate principal amount of the outstanding 5.25% Convertible Senior Notes due 2018.</w:t>
      </w:r>
    </w:p>
    <w:p>
      <w:pPr>
        <w:spacing w:after="0" w:line="173" w:lineRule="exact"/>
        <w:rPr>
          <w:sz w:val="20"/>
          <w:szCs w:val="20"/>
          <w:color w:val="auto"/>
        </w:rPr>
      </w:pPr>
    </w:p>
    <w:p>
      <w:pPr>
        <w:jc w:val="both"/>
        <w:ind w:right="180" w:firstLine="324"/>
        <w:spacing w:after="0" w:line="259" w:lineRule="auto"/>
        <w:rPr>
          <w:sz w:val="20"/>
          <w:szCs w:val="20"/>
          <w:color w:val="auto"/>
        </w:rPr>
      </w:pPr>
      <w:r>
        <w:rPr>
          <w:rFonts w:ascii="Arial" w:cs="Arial" w:eastAsia="Arial" w:hAnsi="Arial"/>
          <w:sz w:val="18"/>
          <w:szCs w:val="18"/>
          <w:color w:val="auto"/>
        </w:rPr>
        <w:t>The 5.25% Convertible Senior Notes due 2018 matured on September 15, 2018 (the “Maturity Date”). Pursuant to the terms of the 5.25% Convertible Senior Notes due 2018 and the indenture related thereto, we repaid the remaining outstanding aggregate principal amount of the 5.25% Convertible Senior Notes due 2018, including accrued but unpaid interest, on the Maturity Date and the 5.25% Convertible Senior Notes were no longer outstanding as of such date.</w:t>
      </w:r>
    </w:p>
    <w:p>
      <w:pPr>
        <w:spacing w:after="0" w:line="187" w:lineRule="exact"/>
        <w:rPr>
          <w:sz w:val="20"/>
          <w:szCs w:val="20"/>
          <w:color w:val="auto"/>
        </w:rPr>
      </w:pPr>
    </w:p>
    <w:p>
      <w:pPr>
        <w:ind w:right="220" w:firstLine="351"/>
        <w:spacing w:after="0" w:line="277" w:lineRule="auto"/>
        <w:rPr>
          <w:sz w:val="20"/>
          <w:szCs w:val="20"/>
          <w:color w:val="auto"/>
        </w:rPr>
      </w:pPr>
      <w:r>
        <w:rPr>
          <w:rFonts w:ascii="Arial" w:cs="Arial" w:eastAsia="Arial" w:hAnsi="Arial"/>
          <w:sz w:val="18"/>
          <w:szCs w:val="18"/>
          <w:color w:val="auto"/>
        </w:rPr>
        <w:t>The table below shows a reconciliation from the aggregate principal amount of 5.25% Convertible Senior Notes due 2018 to the balance shown on the Condensed Consolidated Statements of Assets and Liabilities.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280" w:type="dxa"/>
            <w:vAlign w:val="bottom"/>
          </w:tcPr>
          <w:p>
            <w:pPr>
              <w:jc w:val="right"/>
              <w:ind w:right="255"/>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83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2017</w:t>
            </w: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Aggregate principal amount of 5.25% Convertible Senior Notes due 2018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49,982,000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69,000,000</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Unamortized embedded derivative discount</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(24,269)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(111,143)</w:t>
            </w:r>
          </w:p>
        </w:tc>
      </w:tr>
      <w:tr>
        <w:trPr>
          <w:trHeight w:val="27"/>
        </w:trPr>
        <w:tc>
          <w:tcPr>
            <w:tcW w:w="8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Direct deduction of deferred debt issuance costs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(108,458)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(506,308)</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Repayment upon maturity</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(49,849,273)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5"/>
              <w:spacing w:after="0"/>
              <w:rPr>
                <w:sz w:val="20"/>
                <w:szCs w:val="20"/>
                <w:color w:val="auto"/>
              </w:rPr>
            </w:pPr>
            <w:r>
              <w:rPr>
                <w:rFonts w:ascii="Arial" w:cs="Arial" w:eastAsia="Arial" w:hAnsi="Arial"/>
                <w:sz w:val="18"/>
                <w:szCs w:val="18"/>
                <w:color w:val="auto"/>
              </w:rPr>
              <w:t>—</w:t>
            </w:r>
          </w:p>
        </w:tc>
      </w:tr>
      <w:tr>
        <w:trPr>
          <w:trHeight w:val="27"/>
        </w:trPr>
        <w:tc>
          <w:tcPr>
            <w:tcW w:w="83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5.25% Convertible Senior Notes due 2018 Payable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68,382,549</w:t>
            </w:r>
          </w:p>
        </w:tc>
      </w:tr>
      <w:tr>
        <w:trPr>
          <w:trHeight w:val="20"/>
        </w:trPr>
        <w:tc>
          <w:tcPr>
            <w:tcW w:w="8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-882650</wp:posOffset>
            </wp:positionV>
            <wp:extent cx="528256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282565" cy="8890"/>
                    </a:xfrm>
                    <a:prstGeom prst="rect">
                      <a:avLst/>
                    </a:prstGeom>
                    <a:noFill/>
                  </pic:spPr>
                </pic:pic>
              </a:graphicData>
            </a:graphic>
          </wp:anchor>
        </w:drawing>
      </w:r>
    </w:p>
    <w:p>
      <w:pPr>
        <w:spacing w:after="0" w:line="182" w:lineRule="exact"/>
        <w:rPr>
          <w:sz w:val="20"/>
          <w:szCs w:val="20"/>
          <w:color w:val="auto"/>
        </w:rPr>
      </w:pPr>
    </w:p>
    <w:p>
      <w:pPr>
        <w:ind w:right="380" w:firstLine="351"/>
        <w:spacing w:after="0" w:line="277" w:lineRule="auto"/>
        <w:rPr>
          <w:sz w:val="20"/>
          <w:szCs w:val="20"/>
          <w:color w:val="auto"/>
        </w:rPr>
      </w:pPr>
      <w:r>
        <w:rPr>
          <w:rFonts w:ascii="Arial" w:cs="Arial" w:eastAsia="Arial" w:hAnsi="Arial"/>
          <w:sz w:val="18"/>
          <w:szCs w:val="18"/>
          <w:color w:val="auto"/>
        </w:rPr>
        <w:t>As of September 30, 2018 and December 31, 2017, the principal amount of the 5.25% Convertible Senior Notes due 2018 exceeded the value of the underlying shares multiplied by the per share closing price of the Company’s common stock.</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122" w:right="259" w:bottom="1440" w:gutter="0" w:footer="0" w:header="0"/>
        </w:sectPr>
      </w:pPr>
    </w:p>
    <w:bookmarkStart w:id="52" w:name="page53"/>
    <w:bookmarkEnd w:id="5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2018</w:t>
      </w:r>
    </w:p>
    <w:p>
      <w:pPr>
        <w:spacing w:after="0" w:line="238" w:lineRule="exact"/>
        <w:rPr>
          <w:sz w:val="20"/>
          <w:szCs w:val="20"/>
          <w:color w:val="auto"/>
        </w:rPr>
      </w:pPr>
    </w:p>
    <w:p>
      <w:pPr>
        <w:ind w:right="300" w:firstLine="351"/>
        <w:spacing w:after="0" w:line="255" w:lineRule="auto"/>
        <w:rPr>
          <w:sz w:val="20"/>
          <w:szCs w:val="20"/>
          <w:color w:val="auto"/>
        </w:rPr>
      </w:pPr>
      <w:r>
        <w:rPr>
          <w:rFonts w:ascii="Arial" w:cs="Arial" w:eastAsia="Arial" w:hAnsi="Arial"/>
          <w:sz w:val="18"/>
          <w:szCs w:val="18"/>
          <w:color w:val="auto"/>
        </w:rPr>
        <w:t>The 5.25% Convertible Senior Notes due 2018 were the Company’s senior, unsecured obligations and ranked senior in right of payment to any future indebtedness that was expressly subordinated in right of payment to the 5.25% Convertible Senior Notes due 2018, equal in right of payment to the 4.75% Convertible Senior Notes due 2023 (defined below) and any future unsecured indebtedness that was not so subordinated to the 5.25% Convertible Senior Notes due 2018, effectively junior to any existing and future secured indebtedness to the extent of the value of the assets securing such indebtedness, including, without limitation, any borrowings under the Credit Facility (defined below), and structurally junior to all future indebtedness (including trade payables) incurred by the Company’s subsidiaries.</w:t>
      </w:r>
    </w:p>
    <w:p>
      <w:pPr>
        <w:spacing w:after="0" w:line="193" w:lineRule="exact"/>
        <w:rPr>
          <w:sz w:val="20"/>
          <w:szCs w:val="20"/>
          <w:color w:val="auto"/>
        </w:rPr>
      </w:pPr>
    </w:p>
    <w:p>
      <w:pPr>
        <w:ind w:firstLine="351"/>
        <w:spacing w:after="0" w:line="271" w:lineRule="auto"/>
        <w:rPr>
          <w:sz w:val="20"/>
          <w:szCs w:val="20"/>
          <w:color w:val="auto"/>
        </w:rPr>
      </w:pPr>
      <w:r>
        <w:rPr>
          <w:rFonts w:ascii="Arial" w:cs="Arial" w:eastAsia="Arial" w:hAnsi="Arial"/>
          <w:sz w:val="17"/>
          <w:szCs w:val="17"/>
          <w:color w:val="auto"/>
        </w:rPr>
        <w:t>The 5.25% Convertible Senior Notes due 2018 contained an interest make-whole payment provision pursuant to which holders who converted their notes prior to September 15, 2016, would receive, in addition to a number of shares of the Company’s common stock calculated at the applicable conversion rate for the principal amount of 5.25% Convertible Senior Notes due 2018 being converted, the cash proceeds from the sale by the escrow agent of the portion of the U.S. Treasury strips in the escrow account that were remaining with respect to any of the first six interest payments that had not been made on the 5.25% Convertible Senior Notes due 2018 being converted. Under FASB ASC 815-10-15-74(a), the interest make-whole payment was considered an embedded derivative and was separated from the host contract, the 5.25% Convertible Senior Notes due 2018, and carried at fair value. The interest make-whole payment provision expired on September 15, 2016 rendering the embedded derivative with no value; however the original value of the embedded derivative of $0.7 million continued to be amortized over the life of the 5.25% Convertible Senior Notes due 2018.</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4.75% Convertible Senior Notes due 2023</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7"/>
          <w:szCs w:val="17"/>
          <w:color w:val="auto"/>
        </w:rPr>
        <w:t>On March 28, 2018, the Company issued $40.0 million aggregate principal amount of convertible senior notes, which bear interest at a fixed rate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4.75% per year, payable semi-annually in arrears on March 31 and September 30 of each year, commencing on September 30, 2018. The 4.75% Convertible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Senior Notes mature on March 28, 2023 (the "4.75% Convertible Senior Notes due 2023"), unless previously repurchased or converted in accordance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their terms. The Company does not have the right to redeem the 4.75% Convertible Senior Notes due 2023 prior to March 27, 2021. On or after March 27,</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2021, the Company may redeem the 4.75% Convertible Senior Notes due 2023 for cash, in whole or from time to time in part, at the Company’s option if (i)</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closing sale price of the Company’s common stock for at least 15 trading days (whether or not consecutive) during the period of any 20 consecutive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trading days is greater than or equal to 150% of the conversion price on each applicable trading day, (ii) no public announcement of a pending, proposed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intended fundamental change has occurred which has not been abandoned, terminated or consummated, and (iii) no event of default under the indenture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governing the 4.75% Convertible Senior Notes due 2023, and no event that with the passage of time or giving of notice would constitute an event of default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under such indenture, has occurred or exists.</w:t>
      </w:r>
    </w:p>
    <w:p>
      <w:pPr>
        <w:spacing w:after="0" w:line="211"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The initial conversion rate for the 4.75% Convertible Senior Notes due 2023 is 93.2836 shares of the Company’s common stock for each $1,000 principal amount of 4.75% Convertible Senior Notes due 2023, which represents an initial conversion price of approximately $10.72 per share. Following certain corporate transactions that occur on or prior to the stated maturity date, the Company will, in certain circumstances, increase the conversion rate for a holder that elects to convert its 4.75% Convertible Senior Notes due 2023 in connection with such a corporate transaction. If a fundamental change, as defined in the indenture governing the 4.75% Convertible Senior Notes due 2023, occurs prior to the stated maturity date, holders may require the Company to purchase for cash all or any portion of their 4.75% Convertible Senior Notes due 2023 at a fundamental change purchase price equal to 100% of the principal amount of the Notes to be purchased, plus accrued and unpaid interest to, but excluding, the fundamental change purchase date</w:t>
      </w:r>
    </w:p>
    <w:p>
      <w:pPr>
        <w:spacing w:after="0" w:line="167" w:lineRule="exact"/>
        <w:rPr>
          <w:sz w:val="20"/>
          <w:szCs w:val="20"/>
          <w:color w:val="auto"/>
        </w:rPr>
      </w:pPr>
    </w:p>
    <w:p>
      <w:pPr>
        <w:ind w:right="160" w:firstLine="351"/>
        <w:spacing w:after="0" w:line="264" w:lineRule="auto"/>
        <w:rPr>
          <w:sz w:val="20"/>
          <w:szCs w:val="20"/>
          <w:color w:val="auto"/>
        </w:rPr>
      </w:pPr>
      <w:r>
        <w:rPr>
          <w:rFonts w:ascii="Arial" w:cs="Arial" w:eastAsia="Arial" w:hAnsi="Arial"/>
          <w:sz w:val="18"/>
          <w:szCs w:val="18"/>
          <w:color w:val="auto"/>
        </w:rPr>
        <w:t>The indenture governing the 4.75% Convertible Senior Notes due 2023 contains customary financial reporting requirements and contains certain restrictions on mergers, consolidations, and asset sales. The indenture also contains certain events of default, the occurrence of which may lead to the 4.75% Convertible Senior Notes due 2023 being due and payable before their maturity or immediately.</w:t>
      </w:r>
    </w:p>
    <w:p>
      <w:pPr>
        <w:spacing w:after="0" w:line="181" w:lineRule="exact"/>
        <w:rPr>
          <w:sz w:val="20"/>
          <w:szCs w:val="20"/>
          <w:color w:val="auto"/>
        </w:rPr>
      </w:pPr>
    </w:p>
    <w:p>
      <w:pPr>
        <w:ind w:right="240" w:firstLine="351"/>
        <w:spacing w:after="0" w:line="277" w:lineRule="auto"/>
        <w:rPr>
          <w:sz w:val="20"/>
          <w:szCs w:val="20"/>
          <w:color w:val="auto"/>
        </w:rPr>
      </w:pPr>
      <w:r>
        <w:rPr>
          <w:rFonts w:ascii="Arial" w:cs="Arial" w:eastAsia="Arial" w:hAnsi="Arial"/>
          <w:sz w:val="18"/>
          <w:szCs w:val="18"/>
          <w:color w:val="auto"/>
        </w:rPr>
        <w:t>The table below shows a reconciliation from the aggregate principal amount of 4.75% Convertible Senior Notes due 2023 to the balance shown on the Condensed Consolidated Statements of Assets and Liabilities.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2" w:right="239" w:bottom="1440" w:gutter="0" w:footer="0" w:header="0"/>
        </w:sectPr>
      </w:pPr>
    </w:p>
    <w:bookmarkStart w:id="53" w:name="page54"/>
    <w:bookmarkEnd w:id="5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2018</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280" w:type="dxa"/>
            <w:vAlign w:val="bottom"/>
          </w:tcPr>
          <w:p>
            <w:pPr>
              <w:jc w:val="center"/>
              <w:ind w:right="157"/>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83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2017</w:t>
            </w: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Aggregate principal amount of 4.75% Convertible Senior Notes due 2023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40,000,000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rPr>
              <w:t>—</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Direct deduction of deferred debt issuance costs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(1,658,528)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ind w:left="980"/>
              <w:spacing w:after="0"/>
              <w:rPr>
                <w:sz w:val="20"/>
                <w:szCs w:val="20"/>
                <w:color w:val="auto"/>
              </w:rPr>
            </w:pPr>
            <w:r>
              <w:rPr>
                <w:rFonts w:ascii="Arial" w:cs="Arial" w:eastAsia="Arial" w:hAnsi="Arial"/>
                <w:sz w:val="18"/>
                <w:szCs w:val="18"/>
                <w:color w:val="auto"/>
              </w:rPr>
              <w:t>—</w:t>
            </w:r>
          </w:p>
        </w:tc>
      </w:tr>
      <w:tr>
        <w:trPr>
          <w:trHeight w:val="27"/>
        </w:trPr>
        <w:tc>
          <w:tcPr>
            <w:tcW w:w="83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4.75% Convertible Senior Notes due 2023 Payable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38,341,472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rPr>
              <w:t>—</w:t>
            </w:r>
          </w:p>
        </w:tc>
      </w:tr>
      <w:tr>
        <w:trPr>
          <w:trHeight w:val="20"/>
        </w:trPr>
        <w:tc>
          <w:tcPr>
            <w:tcW w:w="8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-539750</wp:posOffset>
            </wp:positionV>
            <wp:extent cx="528256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282565" cy="8890"/>
                    </a:xfrm>
                    <a:prstGeom prst="rect">
                      <a:avLst/>
                    </a:prstGeom>
                    <a:noFill/>
                  </pic:spPr>
                </pic:pic>
              </a:graphicData>
            </a:graphic>
          </wp:anchor>
        </w:drawing>
      </w:r>
    </w:p>
    <w:p>
      <w:pPr>
        <w:spacing w:after="0" w:line="182" w:lineRule="exact"/>
        <w:rPr>
          <w:sz w:val="20"/>
          <w:szCs w:val="20"/>
          <w:color w:val="auto"/>
        </w:rPr>
      </w:pPr>
    </w:p>
    <w:p>
      <w:pPr>
        <w:ind w:right="80" w:firstLine="351"/>
        <w:spacing w:after="0" w:line="277" w:lineRule="auto"/>
        <w:rPr>
          <w:sz w:val="20"/>
          <w:szCs w:val="20"/>
          <w:color w:val="auto"/>
        </w:rPr>
      </w:pPr>
      <w:r>
        <w:rPr>
          <w:rFonts w:ascii="Arial" w:cs="Arial" w:eastAsia="Arial" w:hAnsi="Arial"/>
          <w:sz w:val="18"/>
          <w:szCs w:val="18"/>
          <w:color w:val="auto"/>
        </w:rPr>
        <w:t>As of September 30, 2018 the principal amount of the 4.75% Convertible Senior Notes due 2023 exceeded the value of the underlying shares multiplied by the per share closing price of the Company’s common stock.</w:t>
      </w:r>
    </w:p>
    <w:p>
      <w:pPr>
        <w:spacing w:after="0" w:line="170" w:lineRule="exact"/>
        <w:rPr>
          <w:sz w:val="20"/>
          <w:szCs w:val="20"/>
          <w:color w:val="auto"/>
        </w:rPr>
      </w:pPr>
    </w:p>
    <w:p>
      <w:pPr>
        <w:ind w:right="100" w:firstLine="351"/>
        <w:spacing w:after="0" w:line="271" w:lineRule="auto"/>
        <w:rPr>
          <w:sz w:val="20"/>
          <w:szCs w:val="20"/>
          <w:color w:val="auto"/>
        </w:rPr>
      </w:pPr>
      <w:r>
        <w:rPr>
          <w:rFonts w:ascii="Arial" w:cs="Arial" w:eastAsia="Arial" w:hAnsi="Arial"/>
          <w:sz w:val="17"/>
          <w:szCs w:val="17"/>
          <w:color w:val="auto"/>
        </w:rPr>
        <w:t>The 4.75% Convertible Senior Notes due 2023 are the Company’s general, unsecured, senior obligations and rank senior in right of payment to any future indebtedness that is expressly subordinated in right of payment to the 4.75% Convertible Senior Notes due 2023, equal in right of payment to any existing and future unsecured indebtedness that is not so subordinated to the 4.75% Convertible Senior Notes due 2023, including, without limitation, the 5.25% Convertible Senior Notes due 2018, effectively junior to any future secured indebtedness to the extent of the value of the assets securing such indebtedness, including, without limitation, any borrowings under the Credit Facility (defined below), and structurally junior to all future indebtedness (including trade payables) incurred by the Company’s subsidiaries. For the period from the initial issuance of the 4.75% Convertible Senior Notes due 2023 to, and including, March 27, 2019, the Company has agreed not to incur any indebtedness other than certain permitted debt, including, without limitation, up to $12.0 million in borrowings under the Credit Facility.</w:t>
      </w:r>
    </w:p>
    <w:p>
      <w:pPr>
        <w:spacing w:after="0" w:line="179"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In connection with the issuance of the 4.75% Convertible Senior Notes due 2023, the Company is required under the terms of the Credit Facility to deposit any proceeds from the 4.75% Convertible Senior Notes due 2023 offering into an account at Western Alliance Bank and is required to maintain at least $65.0 million (or such lesser amount to the extent such funds are used to repay or repurchase a portion of the outstanding 5.25% Convertible Senior Notes due 2018 prior to their maturity and repayment in full) in an account at Western Alliance Bank until such time as the 5.25% Convertible Senior Notes due 2018 are repaid in full.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Western Alliance Bank Credit Facility</w:t>
      </w:r>
    </w:p>
    <w:p>
      <w:pPr>
        <w:spacing w:after="0" w:line="229" w:lineRule="exact"/>
        <w:rPr>
          <w:sz w:val="20"/>
          <w:szCs w:val="20"/>
          <w:color w:val="auto"/>
        </w:rPr>
      </w:pPr>
    </w:p>
    <w:p>
      <w:pPr>
        <w:ind w:firstLine="351"/>
        <w:spacing w:after="0" w:line="264" w:lineRule="auto"/>
        <w:rPr>
          <w:sz w:val="20"/>
          <w:szCs w:val="20"/>
          <w:color w:val="auto"/>
        </w:rPr>
      </w:pPr>
      <w:r>
        <w:rPr>
          <w:rFonts w:ascii="Arial" w:cs="Arial" w:eastAsia="Arial" w:hAnsi="Arial"/>
          <w:sz w:val="18"/>
          <w:szCs w:val="18"/>
          <w:color w:val="auto"/>
        </w:rPr>
        <w:t>The Company entered into a Loan and Security Agreement, effective May 31, 2017 and as amended on March 22, 2018 (the “Loan Agreement”), with Western Alliance Bank, pursuant to which Western Alliance Bank agreed to provide the Company with a $12.0 million senior secured revolving credit facility (the “Credit Facility”).</w:t>
      </w:r>
    </w:p>
    <w:p>
      <w:pPr>
        <w:spacing w:after="0" w:line="181" w:lineRule="exact"/>
        <w:rPr>
          <w:sz w:val="20"/>
          <w:szCs w:val="20"/>
          <w:color w:val="auto"/>
        </w:rPr>
      </w:pPr>
    </w:p>
    <w:p>
      <w:pPr>
        <w:ind w:right="100" w:firstLine="351"/>
        <w:spacing w:after="0" w:line="312" w:lineRule="auto"/>
        <w:rPr>
          <w:sz w:val="20"/>
          <w:szCs w:val="20"/>
          <w:color w:val="auto"/>
        </w:rPr>
      </w:pPr>
      <w:r>
        <w:rPr>
          <w:rFonts w:ascii="Arial" w:cs="Arial" w:eastAsia="Arial" w:hAnsi="Arial"/>
          <w:sz w:val="16"/>
          <w:szCs w:val="16"/>
          <w:color w:val="auto"/>
        </w:rPr>
        <w:t>The Credit Facility, among other things, matures on May 31, 2019 and bears interest at a per annum rate equal to the prime rate plus 3.50%. In addition, a facility fee of $60,000 was charged upon closing of the Credit Facility, and the Loan Agreement requires payment of a fee for unused amounts during the revolving period in an amount equal to 0.50% per annum of the average unused portion of the Credit Facility payable quarterly in arrears.</w:t>
      </w:r>
    </w:p>
    <w:p>
      <w:pPr>
        <w:spacing w:after="0" w:line="147" w:lineRule="exact"/>
        <w:rPr>
          <w:sz w:val="20"/>
          <w:szCs w:val="20"/>
          <w:color w:val="auto"/>
        </w:rPr>
      </w:pPr>
    </w:p>
    <w:p>
      <w:pPr>
        <w:ind w:right="60" w:firstLine="351"/>
        <w:spacing w:after="0" w:line="270" w:lineRule="auto"/>
        <w:rPr>
          <w:sz w:val="20"/>
          <w:szCs w:val="20"/>
          <w:color w:val="auto"/>
        </w:rPr>
      </w:pPr>
      <w:r>
        <w:rPr>
          <w:rFonts w:ascii="Arial" w:cs="Arial" w:eastAsia="Arial" w:hAnsi="Arial"/>
          <w:sz w:val="17"/>
          <w:szCs w:val="17"/>
          <w:color w:val="auto"/>
        </w:rPr>
        <w:t>Under the Loan Agreement, the Company has made certain customary representations and warranties and is required to comply with various affirmative and negative covenants, reporting requirements, and other customary requirements for similar credit facilities, including, without limitation, restrictions on incurring additional indebtedness (with unsecured longer-term indebtedness limited to $111.0 million in the aggregate through maturity of the 5.25% Convertible Senior Notes due 2018 on September 15, 2018, and $70.0 million in the aggregate thereafter), compliance with the asset coverage requirements under the 1940 Act, a minimum net asset value requirement of at least the greater of $60.0 million or five times the amount of the Credit Facility, a limitation on the Company’s net asset value being reduced by more than 15% of its net asset value at December 31, 2016, and maintenance of RIC and business development company status. The Loan Agreement includes usual and customary events of default for credit facilities of this nature, including, without limitation, nonpayment, misrepresentation of representations and warranties in a material respect, breach of covenant, cross-default to certain other indebtedness, bankruptcy, the cessation of the Investment Advisory Agreement, and the occurrence of a material adverse effect. As of September 30, 2018, the Company was in compliance with all covenants of the Credit Facility.</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122" w:right="259" w:bottom="1440" w:gutter="0" w:footer="0" w:header="0"/>
        </w:sectPr>
      </w:pPr>
    </w:p>
    <w:bookmarkStart w:id="54" w:name="page55"/>
    <w:bookmarkEnd w:id="5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2018</w:t>
      </w:r>
    </w:p>
    <w:p>
      <w:pPr>
        <w:spacing w:after="0" w:line="238" w:lineRule="exact"/>
        <w:rPr>
          <w:sz w:val="20"/>
          <w:szCs w:val="20"/>
          <w:color w:val="auto"/>
        </w:rPr>
      </w:pPr>
    </w:p>
    <w:p>
      <w:pPr>
        <w:ind w:right="360" w:firstLine="351"/>
        <w:spacing w:after="0" w:line="277" w:lineRule="auto"/>
        <w:rPr>
          <w:sz w:val="20"/>
          <w:szCs w:val="20"/>
          <w:color w:val="auto"/>
        </w:rPr>
      </w:pPr>
      <w:r>
        <w:rPr>
          <w:rFonts w:ascii="Arial" w:cs="Arial" w:eastAsia="Arial" w:hAnsi="Arial"/>
          <w:sz w:val="18"/>
          <w:szCs w:val="18"/>
          <w:color w:val="auto"/>
        </w:rPr>
        <w:t>The Credit Facility is secured by substantially all of the Company’s property and assets. As of September 30, 2018, the Company had no borrowings outstanding under the Credit Facility.</w:t>
      </w:r>
    </w:p>
    <w:p>
      <w:pPr>
        <w:spacing w:after="0" w:line="170" w:lineRule="exact"/>
        <w:rPr>
          <w:sz w:val="20"/>
          <w:szCs w:val="20"/>
          <w:color w:val="auto"/>
        </w:rPr>
      </w:pPr>
    </w:p>
    <w:p>
      <w:pPr>
        <w:ind w:right="40" w:firstLine="351"/>
        <w:spacing w:after="0" w:line="277" w:lineRule="auto"/>
        <w:rPr>
          <w:sz w:val="20"/>
          <w:szCs w:val="20"/>
          <w:color w:val="auto"/>
        </w:rPr>
      </w:pPr>
      <w:r>
        <w:rPr>
          <w:rFonts w:ascii="Arial" w:cs="Arial" w:eastAsia="Arial" w:hAnsi="Arial"/>
          <w:sz w:val="18"/>
          <w:szCs w:val="18"/>
          <w:color w:val="auto"/>
        </w:rPr>
        <w:t>For the three and nine months ended September 30, 2018, the Company had average borrowings outstanding under the Credit Facility of $0. For the year ended December 31, 2017 the Company had average borrowings outstanding of $460,274.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11—SUBSEQUENT EVENTS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Activity</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From October 1, 2018 through November 7, 2018, the Company did not purchase any investments.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From October 1, 2018 through November 7, 2018, the Company did not exit in any investments.</w:t>
      </w:r>
    </w:p>
    <w:p>
      <w:pPr>
        <w:spacing w:after="0" w:line="225" w:lineRule="exact"/>
        <w:rPr>
          <w:sz w:val="20"/>
          <w:szCs w:val="20"/>
          <w:color w:val="auto"/>
        </w:rPr>
      </w:pPr>
    </w:p>
    <w:p>
      <w:pPr>
        <w:ind w:firstLine="351"/>
        <w:spacing w:after="0" w:line="276" w:lineRule="auto"/>
        <w:rPr>
          <w:sz w:val="20"/>
          <w:szCs w:val="20"/>
          <w:color w:val="auto"/>
        </w:rPr>
      </w:pPr>
      <w:r>
        <w:rPr>
          <w:rFonts w:ascii="Arial" w:cs="Arial" w:eastAsia="Arial" w:hAnsi="Arial"/>
          <w:sz w:val="17"/>
          <w:szCs w:val="17"/>
          <w:color w:val="auto"/>
        </w:rPr>
        <w:t>The Company is frequently in negotiations with various private companies with respect to investments in such companies. Investments in private companies are generally subject to satisfaction of applicable closing conditions. In the case of secondary market transactions, such closing conditions may include approval of the issuer, waiver or failure to exercise rights of first refusal by the issuer and/or its stockholders and termination rights by the seller or the Company. Equity investments made through the secondary market may involve making deposits in escrow accounts until the applicable closing conditions are satisfied, at which time the escrow accounts will close and such equity investments will be effectuated.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229" w:lineRule="exact"/>
        <w:rPr>
          <w:sz w:val="20"/>
          <w:szCs w:val="20"/>
          <w:color w:val="auto"/>
        </w:rPr>
      </w:pPr>
    </w:p>
    <w:p>
      <w:pPr>
        <w:jc w:val="both"/>
        <w:ind w:right="140" w:firstLine="324"/>
        <w:spacing w:after="0" w:line="255" w:lineRule="auto"/>
        <w:rPr>
          <w:sz w:val="20"/>
          <w:szCs w:val="20"/>
          <w:color w:val="auto"/>
        </w:rPr>
      </w:pPr>
      <w:r>
        <w:rPr>
          <w:rFonts w:ascii="Arial" w:cs="Arial" w:eastAsia="Arial" w:hAnsi="Arial"/>
          <w:sz w:val="18"/>
          <w:szCs w:val="18"/>
          <w:color w:val="auto"/>
        </w:rPr>
        <w:t>On November 1, 2018, our board of directors authorized a $5.0 million increase in the amount of shares of our common stock that may be repurchased under the discretionary Share Repurchase Program until the earlier of (i) October 31, 2019 or (ii) the repurchase of $20.0 million in aggregate amount of our common stock. Under the Share Repurchase Program, we may repurchase our outstanding common stock in the open market provided that we comply with the prohibitions under our insider trading policies and procedures and the applicable provisions of the 1940 Act and the Securities Exchange Act of 1934, as amended. Please refer to "Note 5—Share Repurchase Program, Equity Offerings and Related Expenses” for additional information on the Share Repurchase Program.</w:t>
      </w:r>
    </w:p>
    <w:p>
      <w:pPr>
        <w:spacing w:after="0" w:line="193" w:lineRule="exact"/>
        <w:rPr>
          <w:sz w:val="20"/>
          <w:szCs w:val="20"/>
          <w:color w:val="auto"/>
        </w:rPr>
      </w:pPr>
    </w:p>
    <w:p>
      <w:pPr>
        <w:ind w:right="420" w:firstLine="351"/>
        <w:spacing w:after="0" w:line="277" w:lineRule="auto"/>
        <w:rPr>
          <w:sz w:val="20"/>
          <w:szCs w:val="20"/>
          <w:color w:val="auto"/>
        </w:rPr>
      </w:pPr>
      <w:r>
        <w:rPr>
          <w:rFonts w:ascii="Arial" w:cs="Arial" w:eastAsia="Arial" w:hAnsi="Arial"/>
          <w:sz w:val="18"/>
          <w:szCs w:val="18"/>
          <w:color w:val="auto"/>
        </w:rPr>
        <w:t>From October 1, 2018 through November 7, 2018, the Company repurchased 259,954 additional shares under the Share Repurchase Program for an aggregate purchase price of $1.8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12—SUPPLEMENTAL FINANCIAL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Summarized Financial Information of Unconsolidated Subsidiaries</w:t>
      </w:r>
    </w:p>
    <w:p>
      <w:pPr>
        <w:spacing w:after="0" w:line="229" w:lineRule="exact"/>
        <w:rPr>
          <w:sz w:val="20"/>
          <w:szCs w:val="20"/>
          <w:color w:val="auto"/>
        </w:rPr>
      </w:pPr>
    </w:p>
    <w:p>
      <w:pPr>
        <w:ind w:right="220" w:firstLine="351"/>
        <w:spacing w:after="0" w:line="255" w:lineRule="auto"/>
        <w:rPr>
          <w:sz w:val="20"/>
          <w:szCs w:val="20"/>
          <w:color w:val="auto"/>
        </w:rPr>
      </w:pPr>
      <w:r>
        <w:rPr>
          <w:rFonts w:ascii="Arial" w:cs="Arial" w:eastAsia="Arial" w:hAnsi="Arial"/>
          <w:sz w:val="18"/>
          <w:szCs w:val="18"/>
          <w:color w:val="auto"/>
        </w:rPr>
        <w:t>In accordance with the SEC’s Regulation S-X and GAAP, the Company is not permitted to consolidate any subsidiary or other entity that is not an investment company, including those in which the Company has a controlling interest; however, the Company must disclose certain financial information related to any subsidiaries or other entities that are considered to be “significant subsidiaries” under the applicable rules of Regulation S-X. As of September 30, 2018, the Company had investments in at least one portfolio company considered to be a significant subsidiary under SEC Regulation S-X Rule 10-01(b)(1) and Regulation S-X Rule 4-08(g). Below is summarized, unaudited, comparative financial information for the Company’s unconsolidated significant subsidiaries.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2" w:right="239" w:bottom="1440" w:gutter="0" w:footer="0" w:header="0"/>
        </w:sectPr>
      </w:pPr>
    </w:p>
    <w:bookmarkStart w:id="55" w:name="page56"/>
    <w:bookmarkEnd w:id="5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ind w:right="-67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67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ind w:right="-679"/>
        <w:spacing w:after="0"/>
        <w:rPr>
          <w:sz w:val="20"/>
          <w:szCs w:val="20"/>
          <w:color w:val="auto"/>
        </w:rPr>
      </w:pPr>
      <w:r>
        <w:rPr>
          <w:rFonts w:ascii="Arial" w:cs="Arial" w:eastAsia="Arial" w:hAnsi="Arial"/>
          <w:sz w:val="18"/>
          <w:szCs w:val="18"/>
          <w:b w:val="1"/>
          <w:bCs w:val="1"/>
          <w:color w:val="auto"/>
        </w:rPr>
        <w:t>September 30, 2018</w:t>
      </w:r>
    </w:p>
    <w:p>
      <w:pPr>
        <w:spacing w:after="0" w:line="200" w:lineRule="exact"/>
        <w:rPr>
          <w:sz w:val="20"/>
          <w:szCs w:val="20"/>
          <w:color w:val="auto"/>
        </w:rPr>
      </w:pPr>
    </w:p>
    <w:p>
      <w:pPr>
        <w:spacing w:after="0" w:line="259" w:lineRule="exact"/>
        <w:rPr>
          <w:sz w:val="20"/>
          <w:szCs w:val="20"/>
          <w:color w:val="auto"/>
        </w:rPr>
      </w:pPr>
    </w:p>
    <w:tbl>
      <w:tblPr>
        <w:tblLayout w:type="fixed"/>
        <w:tblInd w:w="720" w:type="dxa"/>
        <w:tblCellMar>
          <w:top w:w="0" w:type="dxa"/>
          <w:left w:w="0" w:type="dxa"/>
          <w:bottom w:w="0" w:type="dxa"/>
          <w:right w:w="0" w:type="dxa"/>
        </w:tblCellMar>
      </w:tblPr>
      <w:tr>
        <w:trPr>
          <w:trHeight w:val="192"/>
        </w:trPr>
        <w:tc>
          <w:tcPr>
            <w:tcW w:w="66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Income Statement Data for the Three Months Ended:</w:t>
            </w:r>
          </w:p>
        </w:tc>
        <w:tc>
          <w:tcPr>
            <w:tcW w:w="100" w:type="dxa"/>
            <w:vAlign w:val="bottom"/>
            <w:tcBorders>
              <w:bottom w:val="single" w:sz="8" w:color="CCEEFF"/>
            </w:tcBorders>
            <w:gridSpan w:val="2"/>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w w:val="93"/>
              </w:rPr>
              <w:t>September 30, 2018</w:t>
            </w:r>
          </w:p>
        </w:tc>
        <w:tc>
          <w:tcPr>
            <w:tcW w:w="120" w:type="dxa"/>
            <w:vAlign w:val="bottom"/>
            <w:tcBorders>
              <w:bottom w:val="single" w:sz="8" w:color="CCEEFF"/>
            </w:tcBorders>
            <w:gridSpan w:val="2"/>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September 30, 2017</w:t>
            </w:r>
          </w:p>
        </w:tc>
      </w:tr>
      <w:tr>
        <w:trPr>
          <w:trHeight w:val="236"/>
        </w:trPr>
        <w:tc>
          <w:tcPr>
            <w:tcW w:w="672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4,765,321</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5,745,750</w:t>
            </w:r>
          </w:p>
        </w:tc>
        <w:tc>
          <w:tcPr>
            <w:tcW w:w="20" w:type="dxa"/>
            <w:vAlign w:val="bottom"/>
            <w:tcBorders>
              <w:bottom w:val="single" w:sz="8" w:color="CCEEFF"/>
            </w:tcBorders>
            <w:shd w:val="clear" w:color="auto" w:fill="CCEEFF"/>
          </w:tcPr>
          <w:p>
            <w:pPr>
              <w:spacing w:after="0"/>
              <w:rPr>
                <w:sz w:val="20"/>
                <w:szCs w:val="20"/>
                <w:color w:val="auto"/>
              </w:rPr>
            </w:pPr>
          </w:p>
        </w:tc>
      </w:tr>
      <w:tr>
        <w:trPr>
          <w:trHeight w:val="237"/>
        </w:trPr>
        <w:tc>
          <w:tcPr>
            <w:tcW w:w="6720" w:type="dxa"/>
            <w:vAlign w:val="bottom"/>
            <w:gridSpan w:val="4"/>
          </w:tcPr>
          <w:p>
            <w:pPr>
              <w:ind w:left="20"/>
              <w:spacing w:after="0"/>
              <w:rPr>
                <w:sz w:val="20"/>
                <w:szCs w:val="20"/>
                <w:color w:val="auto"/>
              </w:rPr>
            </w:pPr>
            <w:r>
              <w:rPr>
                <w:rFonts w:ascii="Arial" w:cs="Arial" w:eastAsia="Arial" w:hAnsi="Arial"/>
                <w:sz w:val="16"/>
                <w:szCs w:val="16"/>
                <w:color w:val="auto"/>
              </w:rPr>
              <w:t>Gross profit</w:t>
            </w:r>
          </w:p>
        </w:tc>
        <w:tc>
          <w:tcPr>
            <w:tcW w:w="140" w:type="dxa"/>
            <w:vAlign w:val="bottom"/>
          </w:tcPr>
          <w:p>
            <w:pPr>
              <w:spacing w:after="0"/>
              <w:rPr>
                <w:sz w:val="20"/>
                <w:szCs w:val="20"/>
                <w:color w:val="auto"/>
              </w:rPr>
            </w:pPr>
          </w:p>
        </w:tc>
        <w:tc>
          <w:tcPr>
            <w:tcW w:w="1440" w:type="dxa"/>
            <w:vAlign w:val="bottom"/>
          </w:tcPr>
          <w:p>
            <w:pPr>
              <w:jc w:val="right"/>
              <w:ind w:right="20"/>
              <w:spacing w:after="0"/>
              <w:rPr>
                <w:sz w:val="20"/>
                <w:szCs w:val="20"/>
                <w:color w:val="auto"/>
              </w:rPr>
            </w:pPr>
            <w:r>
              <w:rPr>
                <w:rFonts w:ascii="Arial" w:cs="Arial" w:eastAsia="Arial" w:hAnsi="Arial"/>
                <w:sz w:val="16"/>
                <w:szCs w:val="16"/>
                <w:color w:val="auto"/>
              </w:rPr>
              <w:t>3,062,327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4,623,687</w:t>
            </w:r>
          </w:p>
        </w:tc>
        <w:tc>
          <w:tcPr>
            <w:tcW w:w="20" w:type="dxa"/>
            <w:vAlign w:val="bottom"/>
          </w:tcPr>
          <w:p>
            <w:pPr>
              <w:spacing w:after="0"/>
              <w:rPr>
                <w:sz w:val="20"/>
                <w:szCs w:val="20"/>
                <w:color w:val="auto"/>
              </w:rPr>
            </w:pPr>
          </w:p>
        </w:tc>
      </w:tr>
      <w:tr>
        <w:trPr>
          <w:trHeight w:val="33"/>
        </w:trPr>
        <w:tc>
          <w:tcPr>
            <w:tcW w:w="6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672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6"/>
                <w:szCs w:val="16"/>
                <w:color w:val="auto"/>
              </w:rPr>
              <w:t>Loss from operations</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(3,089,840)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(729,028)</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37"/>
        </w:trPr>
        <w:tc>
          <w:tcPr>
            <w:tcW w:w="6720" w:type="dxa"/>
            <w:vAlign w:val="bottom"/>
            <w:gridSpan w:val="4"/>
          </w:tcPr>
          <w:p>
            <w:pPr>
              <w:ind w:left="20"/>
              <w:spacing w:after="0"/>
              <w:rPr>
                <w:sz w:val="20"/>
                <w:szCs w:val="20"/>
                <w:color w:val="auto"/>
              </w:rPr>
            </w:pPr>
            <w:r>
              <w:rPr>
                <w:rFonts w:ascii="Arial" w:cs="Arial" w:eastAsia="Arial" w:hAnsi="Arial"/>
                <w:sz w:val="16"/>
                <w:szCs w:val="16"/>
                <w:color w:val="auto"/>
              </w:rPr>
              <w:t>Total net loss including net loss attributable to non-controlling interest</w:t>
            </w: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(3,089,840)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(729,028)</w:t>
            </w:r>
          </w:p>
        </w:tc>
        <w:tc>
          <w:tcPr>
            <w:tcW w:w="20" w:type="dxa"/>
            <w:vAlign w:val="bottom"/>
          </w:tcPr>
          <w:p>
            <w:pPr>
              <w:spacing w:after="0"/>
              <w:rPr>
                <w:sz w:val="20"/>
                <w:szCs w:val="20"/>
                <w:color w:val="auto"/>
              </w:rPr>
            </w:pPr>
          </w:p>
        </w:tc>
      </w:tr>
      <w:tr>
        <w:trPr>
          <w:trHeight w:val="33"/>
        </w:trPr>
        <w:tc>
          <w:tcPr>
            <w:tcW w:w="6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672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6"/>
                <w:szCs w:val="16"/>
                <w:color w:val="auto"/>
              </w:rPr>
              <w:t>Net loss attributable to non-controlling interest</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615"/>
        </w:trPr>
        <w:tc>
          <w:tcPr>
            <w:tcW w:w="66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Income Statement Data For the Nine Months Ended:</w:t>
            </w:r>
          </w:p>
        </w:tc>
        <w:tc>
          <w:tcPr>
            <w:tcW w:w="100" w:type="dxa"/>
            <w:vAlign w:val="bottom"/>
            <w:tcBorders>
              <w:bottom w:val="single" w:sz="8" w:color="CCEEFF"/>
            </w:tcBorders>
            <w:gridSpan w:val="2"/>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w w:val="93"/>
              </w:rPr>
              <w:t>September 30, 2018</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September 30, 2017</w:t>
            </w:r>
          </w:p>
        </w:tc>
        <w:tc>
          <w:tcPr>
            <w:tcW w:w="20" w:type="dxa"/>
            <w:vAlign w:val="bottom"/>
          </w:tcPr>
          <w:p>
            <w:pPr>
              <w:spacing w:after="0"/>
              <w:rPr>
                <w:sz w:val="24"/>
                <w:szCs w:val="24"/>
                <w:color w:val="auto"/>
              </w:rPr>
            </w:pPr>
          </w:p>
        </w:tc>
      </w:tr>
      <w:tr>
        <w:trPr>
          <w:trHeight w:val="236"/>
        </w:trPr>
        <w:tc>
          <w:tcPr>
            <w:tcW w:w="672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15,290,445</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17,442,574</w:t>
            </w:r>
          </w:p>
        </w:tc>
        <w:tc>
          <w:tcPr>
            <w:tcW w:w="20" w:type="dxa"/>
            <w:vAlign w:val="bottom"/>
          </w:tcPr>
          <w:p>
            <w:pPr>
              <w:spacing w:after="0"/>
              <w:rPr>
                <w:sz w:val="20"/>
                <w:szCs w:val="20"/>
                <w:color w:val="auto"/>
              </w:rPr>
            </w:pPr>
          </w:p>
        </w:tc>
      </w:tr>
      <w:tr>
        <w:trPr>
          <w:trHeight w:val="237"/>
        </w:trPr>
        <w:tc>
          <w:tcPr>
            <w:tcW w:w="6720" w:type="dxa"/>
            <w:vAlign w:val="bottom"/>
            <w:gridSpan w:val="4"/>
          </w:tcPr>
          <w:p>
            <w:pPr>
              <w:ind w:left="20"/>
              <w:spacing w:after="0"/>
              <w:rPr>
                <w:sz w:val="20"/>
                <w:szCs w:val="20"/>
                <w:color w:val="auto"/>
              </w:rPr>
            </w:pPr>
            <w:r>
              <w:rPr>
                <w:rFonts w:ascii="Arial" w:cs="Arial" w:eastAsia="Arial" w:hAnsi="Arial"/>
                <w:sz w:val="16"/>
                <w:szCs w:val="16"/>
                <w:color w:val="auto"/>
              </w:rPr>
              <w:t>Gross profit</w:t>
            </w:r>
          </w:p>
        </w:tc>
        <w:tc>
          <w:tcPr>
            <w:tcW w:w="140" w:type="dxa"/>
            <w:vAlign w:val="bottom"/>
          </w:tcPr>
          <w:p>
            <w:pPr>
              <w:spacing w:after="0"/>
              <w:rPr>
                <w:sz w:val="20"/>
                <w:szCs w:val="20"/>
                <w:color w:val="auto"/>
              </w:rPr>
            </w:pPr>
          </w:p>
        </w:tc>
        <w:tc>
          <w:tcPr>
            <w:tcW w:w="1440" w:type="dxa"/>
            <w:vAlign w:val="bottom"/>
          </w:tcPr>
          <w:p>
            <w:pPr>
              <w:jc w:val="right"/>
              <w:ind w:right="20"/>
              <w:spacing w:after="0"/>
              <w:rPr>
                <w:sz w:val="20"/>
                <w:szCs w:val="20"/>
                <w:color w:val="auto"/>
              </w:rPr>
            </w:pPr>
            <w:r>
              <w:rPr>
                <w:rFonts w:ascii="Arial" w:cs="Arial" w:eastAsia="Arial" w:hAnsi="Arial"/>
                <w:sz w:val="16"/>
                <w:szCs w:val="16"/>
                <w:color w:val="auto"/>
              </w:rPr>
              <w:t>11,247,642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20"/>
              <w:spacing w:after="0"/>
              <w:rPr>
                <w:sz w:val="20"/>
                <w:szCs w:val="20"/>
                <w:color w:val="auto"/>
              </w:rPr>
            </w:pPr>
            <w:r>
              <w:rPr>
                <w:rFonts w:ascii="Arial" w:cs="Arial" w:eastAsia="Arial" w:hAnsi="Arial"/>
                <w:sz w:val="16"/>
                <w:szCs w:val="16"/>
                <w:color w:val="auto"/>
              </w:rPr>
              <w:t>14,229,837</w:t>
            </w:r>
          </w:p>
        </w:tc>
        <w:tc>
          <w:tcPr>
            <w:tcW w:w="20" w:type="dxa"/>
            <w:vAlign w:val="bottom"/>
          </w:tcPr>
          <w:p>
            <w:pPr>
              <w:spacing w:after="0"/>
              <w:rPr>
                <w:sz w:val="20"/>
                <w:szCs w:val="20"/>
                <w:color w:val="auto"/>
              </w:rPr>
            </w:pPr>
          </w:p>
        </w:tc>
      </w:tr>
      <w:tr>
        <w:trPr>
          <w:trHeight w:val="33"/>
        </w:trPr>
        <w:tc>
          <w:tcPr>
            <w:tcW w:w="660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672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6"/>
                <w:szCs w:val="16"/>
                <w:color w:val="auto"/>
              </w:rPr>
              <w:t>Loss from operations</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(6,145,548)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(2,128,030)</w:t>
            </w:r>
          </w:p>
        </w:tc>
        <w:tc>
          <w:tcPr>
            <w:tcW w:w="20" w:type="dxa"/>
            <w:vAlign w:val="bottom"/>
          </w:tcPr>
          <w:p>
            <w:pPr>
              <w:spacing w:after="0"/>
              <w:rPr>
                <w:sz w:val="21"/>
                <w:szCs w:val="21"/>
                <w:color w:val="auto"/>
              </w:rPr>
            </w:pPr>
          </w:p>
        </w:tc>
      </w:tr>
      <w:tr>
        <w:trPr>
          <w:trHeight w:val="237"/>
        </w:trPr>
        <w:tc>
          <w:tcPr>
            <w:tcW w:w="6720" w:type="dxa"/>
            <w:vAlign w:val="bottom"/>
            <w:gridSpan w:val="4"/>
          </w:tcPr>
          <w:p>
            <w:pPr>
              <w:ind w:left="20"/>
              <w:spacing w:after="0"/>
              <w:rPr>
                <w:sz w:val="20"/>
                <w:szCs w:val="20"/>
                <w:color w:val="auto"/>
              </w:rPr>
            </w:pPr>
            <w:r>
              <w:rPr>
                <w:rFonts w:ascii="Arial" w:cs="Arial" w:eastAsia="Arial" w:hAnsi="Arial"/>
                <w:sz w:val="16"/>
                <w:szCs w:val="16"/>
                <w:color w:val="auto"/>
              </w:rPr>
              <w:t>Total net loss including net loss attributable to non-controlling interest</w:t>
            </w: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(6,145,548)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(2,128,030)</w:t>
            </w:r>
          </w:p>
        </w:tc>
        <w:tc>
          <w:tcPr>
            <w:tcW w:w="20" w:type="dxa"/>
            <w:vAlign w:val="bottom"/>
          </w:tcPr>
          <w:p>
            <w:pPr>
              <w:spacing w:after="0"/>
              <w:rPr>
                <w:sz w:val="20"/>
                <w:szCs w:val="20"/>
                <w:color w:val="auto"/>
              </w:rPr>
            </w:pPr>
          </w:p>
        </w:tc>
      </w:tr>
      <w:tr>
        <w:trPr>
          <w:trHeight w:val="33"/>
        </w:trPr>
        <w:tc>
          <w:tcPr>
            <w:tcW w:w="660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r>
      <w:tr>
        <w:trPr>
          <w:trHeight w:val="237"/>
        </w:trPr>
        <w:tc>
          <w:tcPr>
            <w:tcW w:w="672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Net loss attributable to non-controlling interest</w:t>
            </w:r>
          </w:p>
        </w:tc>
        <w:tc>
          <w:tcPr>
            <w:tcW w:w="140" w:type="dxa"/>
            <w:vAlign w:val="bottom"/>
            <w:shd w:val="clear" w:color="auto" w:fill="CCEEFF"/>
          </w:tcPr>
          <w:p>
            <w:pPr>
              <w:spacing w:after="0"/>
              <w:rPr>
                <w:sz w:val="20"/>
                <w:szCs w:val="20"/>
                <w:color w:val="auto"/>
              </w:rPr>
            </w:pPr>
          </w:p>
        </w:tc>
        <w:tc>
          <w:tcPr>
            <w:tcW w:w="156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r>
      <w:tr>
        <w:trPr>
          <w:trHeight w:val="33"/>
        </w:trPr>
        <w:tc>
          <w:tcPr>
            <w:tcW w:w="66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r>
    </w:tbl>
    <w:p>
      <w:pPr>
        <w:spacing w:after="0" w:line="200" w:lineRule="exact"/>
        <w:rPr>
          <w:sz w:val="20"/>
          <w:szCs w:val="20"/>
          <w:color w:val="auto"/>
        </w:rPr>
      </w:pPr>
    </w:p>
    <w:p>
      <w:pPr>
        <w:spacing w:after="0" w:line="24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0740"/>
          </w:cols>
          <w:pgMar w:left="240" w:top="122" w:right="919" w:bottom="1440" w:gutter="0" w:footer="0" w:header="0"/>
        </w:sectPr>
      </w:pPr>
    </w:p>
    <w:bookmarkStart w:id="56" w:name="page57"/>
    <w:bookmarkEnd w:id="56"/>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40" w:firstLine="351"/>
        <w:spacing w:after="0" w:line="257" w:lineRule="auto"/>
        <w:rPr>
          <w:sz w:val="20"/>
          <w:szCs w:val="20"/>
          <w:color w:val="auto"/>
        </w:rPr>
      </w:pPr>
      <w:r>
        <w:rPr>
          <w:rFonts w:ascii="Arial" w:cs="Arial" w:eastAsia="Arial" w:hAnsi="Arial"/>
          <w:sz w:val="18"/>
          <w:szCs w:val="18"/>
          <w:color w:val="auto"/>
        </w:rPr>
        <w:t>This quarterly report on Form 10-Q contains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“will,” “may,” “continue,” “believes,” “seeks,” “estimates,” “would,” “could,” “should,” “targets,” “projects,” and variations of these words and similar expressions are intended to identify forward-looking statements.</w:t>
      </w:r>
    </w:p>
    <w:p>
      <w:pPr>
        <w:spacing w:after="0" w:line="188" w:lineRule="exact"/>
        <w:rPr>
          <w:sz w:val="20"/>
          <w:szCs w:val="20"/>
          <w:color w:val="auto"/>
        </w:rPr>
      </w:pPr>
    </w:p>
    <w:p>
      <w:pPr>
        <w:ind w:firstLine="351"/>
        <w:spacing w:after="0" w:line="277" w:lineRule="auto"/>
        <w:rPr>
          <w:sz w:val="20"/>
          <w:szCs w:val="20"/>
          <w:color w:val="auto"/>
        </w:rPr>
      </w:pPr>
      <w:r>
        <w:rPr>
          <w:rFonts w:ascii="Arial" w:cs="Arial" w:eastAsia="Arial" w:hAnsi="Arial"/>
          <w:sz w:val="18"/>
          <w:szCs w:val="18"/>
          <w:color w:val="auto"/>
        </w:rPr>
        <w:t>The forward-looking statements contained in this quarterly report on Form 10-Q involve risks and uncertainties, including, without limitation, statements as to:</w:t>
      </w:r>
    </w:p>
    <w:p>
      <w:pPr>
        <w:spacing w:after="0" w:line="170"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26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business prospects and the prospects of our portfolio companies;</w:t>
      </w:r>
    </w:p>
    <w:p>
      <w:pPr>
        <w:spacing w:after="0" w:line="26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26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26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26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ability of our portfolio companies to achieve their objectives;</w:t>
      </w:r>
    </w:p>
    <w:p>
      <w:pPr>
        <w:spacing w:after="0" w:line="26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26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 and</w:t>
      </w:r>
    </w:p>
    <w:p>
      <w:pPr>
        <w:spacing w:after="0" w:line="26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portfolio companies.</w:t>
      </w:r>
    </w:p>
    <w:p>
      <w:pPr>
        <w:spacing w:after="0" w:line="266" w:lineRule="exact"/>
        <w:rPr>
          <w:sz w:val="20"/>
          <w:szCs w:val="20"/>
          <w:color w:val="auto"/>
        </w:rPr>
      </w:pPr>
    </w:p>
    <w:p>
      <w:pPr>
        <w:ind w:firstLine="351"/>
        <w:spacing w:after="0" w:line="264" w:lineRule="auto"/>
        <w:rPr>
          <w:sz w:val="20"/>
          <w:szCs w:val="20"/>
          <w:color w:val="auto"/>
        </w:rPr>
      </w:pPr>
      <w:r>
        <w:rPr>
          <w:rFonts w:ascii="Arial" w:cs="Arial" w:eastAsia="Arial" w:hAnsi="Arial"/>
          <w:sz w:val="18"/>
          <w:szCs w:val="18"/>
          <w:color w:val="auto"/>
        </w:rPr>
        <w:t>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spacing w:after="0" w:line="181" w:lineRule="exact"/>
        <w:rPr>
          <w:sz w:val="20"/>
          <w:szCs w:val="20"/>
          <w:color w:val="auto"/>
        </w:rPr>
      </w:pPr>
    </w:p>
    <w:p>
      <w:pPr>
        <w:ind w:left="660" w:right="58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 economic downturn could impair our portfolio companies’ ability to continue to operate, which could lead to the loss of some or all of our investments in such portfolio companies;</w:t>
      </w:r>
    </w:p>
    <w:p>
      <w:pPr>
        <w:spacing w:after="0" w:line="210"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 economic downturn could disproportionately impact the market sectors in which a significant portion of our portfolio is concentrated, causing us to suffer losses in our portfolio;</w:t>
      </w:r>
    </w:p>
    <w:p>
      <w:pPr>
        <w:spacing w:after="0" w:line="210"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contraction of available credit and/or an inability to access the equity markets could impair our investment activities;</w:t>
      </w:r>
    </w:p>
    <w:p>
      <w:pPr>
        <w:spacing w:after="0" w:line="265"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interest rate volatility could adversely affect our results, particularly because we use leverage as part of our investment strategy; and</w:t>
      </w:r>
    </w:p>
    <w:p>
      <w:pPr>
        <w:spacing w:after="0" w:line="265"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risks, uncertainties and other factors we identify in the sections entitled “Risk Factors” in our quarterly reports on Form 10-Q, our annual report on Form 10-K, and in our other filings with the SEC.</w:t>
      </w:r>
    </w:p>
    <w:p>
      <w:pPr>
        <w:spacing w:after="0" w:line="211" w:lineRule="exact"/>
        <w:rPr>
          <w:sz w:val="20"/>
          <w:szCs w:val="20"/>
          <w:color w:val="auto"/>
        </w:rPr>
      </w:pPr>
    </w:p>
    <w:p>
      <w:pPr>
        <w:ind w:right="60" w:firstLine="351"/>
        <w:spacing w:after="0" w:line="297" w:lineRule="auto"/>
        <w:rPr>
          <w:sz w:val="20"/>
          <w:szCs w:val="20"/>
          <w:color w:val="auto"/>
        </w:rPr>
      </w:pPr>
      <w:r>
        <w:rPr>
          <w:rFonts w:ascii="Arial" w:cs="Arial" w:eastAsia="Arial" w:hAnsi="Arial"/>
          <w:sz w:val="16"/>
          <w:szCs w:val="16"/>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investments, certain margins and levels of profitability and the availability of additional capital. In light of these and other uncertainties, the inclusion of a projection or forward-looking statement in this quarterly report on Form 10-Q should not be regarded as a representation by us that our plans and objectives will be achieved. These risks and uncertainties include those described or identified in our quarterly reports on</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122" w:right="259" w:bottom="1440" w:gutter="0" w:footer="0" w:header="0"/>
        </w:sectPr>
      </w:pPr>
    </w:p>
    <w:bookmarkStart w:id="57" w:name="page58"/>
    <w:bookmarkEnd w:id="57"/>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48"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Form 10-Q and our annual report on Form 10-K, in the “Risk Factors” sections. You should not place undue reliance on these forward-looking statements, which apply only as of the date of this quarterly report on Form 10-Q. The following analysis of our financial condition and results of operations should be read in conjunction with our condensed consolidated financial statements and the related notes thereto contained elsewhere in this quarterly report on Form 10-Q.</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0" w:firstLine="351"/>
        <w:spacing w:after="0" w:line="269" w:lineRule="auto"/>
        <w:rPr>
          <w:sz w:val="20"/>
          <w:szCs w:val="20"/>
          <w:color w:val="auto"/>
        </w:rPr>
      </w:pPr>
      <w:r>
        <w:rPr>
          <w:rFonts w:ascii="Arial" w:cs="Arial" w:eastAsia="Arial" w:hAnsi="Arial"/>
          <w:sz w:val="17"/>
          <w:szCs w:val="17"/>
          <w:color w:val="auto"/>
        </w:rPr>
        <w:t>We are an externally managed, non-diversified closed-end management investment company that has elected to be regulated as a business development company (or "BDC") under the 1940 Act. Our investment objective is to maximize our portfolio’s total return, principally by seeking capital gains on our equity and equity-related investments. We invest principally in the equity securities of what we believe to be rapidly growing venture-capital-backed emerging companies. We have also invested, on an opportunistic basis, in select publicly traded equity securities of rapidly growing companies that otherwise meet our investment criteria and may continue to do so in the future. In addition, while we invest primarily in U.S. companies, we may invest on an opportunistic basis in certain non-U.S. companies that otherwise meet our investment criteria. In regard to the regulatory requirements for BDCs under the 1940 Act, some of these investments may not qualify as investments in “eligible portfolio companies,” and thus may not be considered “qualifying assets.” “Eligible portfolio companies” generally include U.S. companies that are not investment companies and that do not have securities listed on a national exchange. If at any time less than 70% of our gross assets are comprised of qualifying assets, including as a result of an increase in the value of any on-qualifying assets or decrease in the value of any qualifying assets, we would generally not be permitted to acquire any additional non-qualifying assets until such time as 70% of our then-current gross assets were comprised of qualifying assets. We would not be required, however, to dispose of any non-qualifying assets in such circumstances.</w:t>
      </w:r>
    </w:p>
    <w:p>
      <w:pPr>
        <w:spacing w:after="0" w:line="180" w:lineRule="exact"/>
        <w:rPr>
          <w:sz w:val="20"/>
          <w:szCs w:val="20"/>
          <w:color w:val="auto"/>
        </w:rPr>
      </w:pPr>
    </w:p>
    <w:p>
      <w:pPr>
        <w:ind w:right="40" w:firstLine="351"/>
        <w:spacing w:after="0" w:line="264" w:lineRule="auto"/>
        <w:rPr>
          <w:sz w:val="20"/>
          <w:szCs w:val="20"/>
          <w:color w:val="auto"/>
        </w:rPr>
      </w:pPr>
      <w:r>
        <w:rPr>
          <w:rFonts w:ascii="Arial" w:cs="Arial" w:eastAsia="Arial" w:hAnsi="Arial"/>
          <w:sz w:val="18"/>
          <w:szCs w:val="18"/>
          <w:color w:val="auto"/>
        </w:rPr>
        <w:t>We acquire our investments in portfolio companies through offerings of the prospective portfolio companies, transactions on secondary marketplaces for private companies and negotiations with selling stockholders. Our investment activities are managed by GSV Asset Management. GSV Capital Service Company provides the administrative services necessary for us to operate.</w:t>
      </w:r>
    </w:p>
    <w:p>
      <w:pPr>
        <w:spacing w:after="0" w:line="181" w:lineRule="exact"/>
        <w:rPr>
          <w:sz w:val="20"/>
          <w:szCs w:val="20"/>
          <w:color w:val="auto"/>
        </w:rPr>
      </w:pPr>
    </w:p>
    <w:p>
      <w:pPr>
        <w:ind w:right="260" w:firstLine="351"/>
        <w:spacing w:after="0" w:line="273" w:lineRule="auto"/>
        <w:rPr>
          <w:sz w:val="20"/>
          <w:szCs w:val="20"/>
          <w:color w:val="auto"/>
        </w:rPr>
      </w:pPr>
      <w:r>
        <w:rPr>
          <w:rFonts w:ascii="Arial" w:cs="Arial" w:eastAsia="Arial" w:hAnsi="Arial"/>
          <w:sz w:val="17"/>
          <w:szCs w:val="17"/>
          <w:color w:val="auto"/>
        </w:rPr>
        <w:t>Our investment philosophy is premised on a disciplined approach of identifying high-growth emerging companies across several key industry themes that may include, among others, social mobile, cloud computing and big data, internet commerce, sustainability and education technology. GSV Asset Management’s investment decisions are based on a disciplined analysis of available information regarding each potential portfolio company’s business operations, focusing on the company’s growth potential, the quality of recurring revenues and cash flow and cost structures, as well as an understanding of key market fundamentals. Many of the companies that our investment adviser, GSV Asset Management, evaluates have financial backing from top-tier venture capital funds or other financial or strategic sponsors.</w:t>
      </w:r>
    </w:p>
    <w:p>
      <w:pPr>
        <w:spacing w:after="0" w:line="178" w:lineRule="exact"/>
        <w:rPr>
          <w:sz w:val="20"/>
          <w:szCs w:val="20"/>
          <w:color w:val="auto"/>
        </w:rPr>
      </w:pPr>
    </w:p>
    <w:p>
      <w:pPr>
        <w:ind w:firstLine="351"/>
        <w:spacing w:after="0" w:line="276" w:lineRule="auto"/>
        <w:rPr>
          <w:sz w:val="20"/>
          <w:szCs w:val="20"/>
          <w:color w:val="auto"/>
        </w:rPr>
      </w:pPr>
      <w:r>
        <w:rPr>
          <w:rFonts w:ascii="Arial" w:cs="Arial" w:eastAsia="Arial" w:hAnsi="Arial"/>
          <w:sz w:val="17"/>
          <w:szCs w:val="17"/>
          <w:color w:val="auto"/>
        </w:rPr>
        <w:t>We seek to deploy capital primarily in the form of non-controlling equity and equity-related investments, including common stock, warrants, preferred stock and similar forms of senior equity, which may or may not be convertible into a portfolio company’s common equity, and convertible debt securities with a significant equity component. Typically, our preferred stock investments are non-income-producing, have different voting rights than common stock and are generally convertible into common stock at our discretion. Our investments generally do not produce current income and, therefore, we may be dependent on future capital raising to meet our operating needs if no other source of liquidity is available.</w:t>
      </w:r>
    </w:p>
    <w:p>
      <w:pPr>
        <w:spacing w:after="0" w:line="173"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Starting in 2017, we began to focus our investment strategy to increase the size of our investments in individual portfolio companies. While this will likely have the effect of reducing the number of companies in which we hold investments, we believe that the shift towards larger positions will better allow GSV Asset Management’s investment professionals to focus our investments in companies and industries that are more likely to result in beneficial returns to our stockholders.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and Incentive Fee Waiver Agreement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On February 2, 2018, GSV Asset Management voluntarily agreed to reduce the fees payable under the Investment Advisory Agreement pursuant to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Waiver Agreement. The Waiver Agreement is effective February 1, 2018 and changes the fee structure set forth in the Investment Advisory Agreement by:</w:t>
      </w:r>
    </w:p>
    <w:p>
      <w:pPr>
        <w:spacing w:after="0" w:line="32" w:lineRule="exact"/>
        <w:rPr>
          <w:sz w:val="20"/>
          <w:szCs w:val="20"/>
          <w:color w:val="auto"/>
        </w:rPr>
      </w:pPr>
    </w:p>
    <w:p>
      <w:pPr>
        <w:ind w:right="140" w:firstLine="8"/>
        <w:spacing w:after="0" w:line="254" w:lineRule="auto"/>
        <w:tabs>
          <w:tab w:leader="none" w:pos="215"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reducing the base management fee from 2.00% to 1.75%; and (ii) creating certain high-water marks that must be reached before we pay any incentive fee to GSV Asset Management. In addition to the foregoing changes to the fee structure, GSV Asset Management also agreed to a one-time forfeiture of $5.0 million of previously accrued but unpaid incentive fees. “Note 3 - Related-Party Arrangements” to our condensed consolidated financial statements as of September 30, 2018 for more information regarding the Waiver Agreement.</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122" w:right="259" w:bottom="1440" w:gutter="0" w:footer="0" w:header="0"/>
        </w:sectPr>
      </w:pPr>
    </w:p>
    <w:bookmarkStart w:id="58" w:name="page59"/>
    <w:bookmarkEnd w:id="58"/>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Transition</w:t>
      </w:r>
    </w:p>
    <w:p>
      <w:pPr>
        <w:spacing w:after="0" w:line="225"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On May 22, 2018, William Tanona resigned from his positions as our President, Chief Financial Officer, Treasurer and Secretary, effective June 12, 2018. In addition, Michael Moe, the former Executive Chairman of our board of directors, transitioned to the role of Chairman of the board of directors effective May 29, 2018.</w:t>
      </w:r>
    </w:p>
    <w:p>
      <w:pPr>
        <w:spacing w:after="0" w:line="181" w:lineRule="exact"/>
        <w:rPr>
          <w:sz w:val="20"/>
          <w:szCs w:val="20"/>
          <w:color w:val="auto"/>
        </w:rPr>
      </w:pPr>
    </w:p>
    <w:p>
      <w:pPr>
        <w:ind w:firstLine="374"/>
        <w:spacing w:after="0" w:line="277" w:lineRule="auto"/>
        <w:rPr>
          <w:sz w:val="20"/>
          <w:szCs w:val="20"/>
          <w:color w:val="auto"/>
        </w:rPr>
      </w:pPr>
      <w:r>
        <w:rPr>
          <w:rFonts w:ascii="Arial" w:cs="Arial" w:eastAsia="Arial" w:hAnsi="Arial"/>
          <w:sz w:val="18"/>
          <w:szCs w:val="18"/>
          <w:color w:val="auto"/>
        </w:rPr>
        <w:t>On May 29, 2018, our board of directors appointed Mark Klein to serve as our President, effective June 12, 2018, in order to fill the vacancy created by Mr. Tanona’s resignation. Mr. Klein continues to also serve as our Chief Executive Officer.</w:t>
      </w:r>
    </w:p>
    <w:p>
      <w:pPr>
        <w:spacing w:after="0" w:line="170"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On May 29, 2018, our board of directors appointed Allison Green to serve as our Senior Vice President of Finance, effective May 29, 2018, and our Treasurer and Secretary, effective June 12, 2018. Ms. Green continues to also serve as our Controller.</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For more information regarding Mr. Klein and Ms. Green, please refer to our current report on Form 8-K filed with the SEC on May 29, 2018.</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229" w:lineRule="exact"/>
        <w:rPr>
          <w:sz w:val="20"/>
          <w:szCs w:val="20"/>
          <w:color w:val="auto"/>
        </w:rPr>
      </w:pPr>
    </w:p>
    <w:p>
      <w:pPr>
        <w:ind w:right="400" w:firstLine="324"/>
        <w:spacing w:after="0" w:line="264" w:lineRule="auto"/>
        <w:rPr>
          <w:sz w:val="20"/>
          <w:szCs w:val="20"/>
          <w:color w:val="auto"/>
        </w:rPr>
      </w:pPr>
      <w:r>
        <w:rPr>
          <w:rFonts w:ascii="Arial" w:cs="Arial" w:eastAsia="Arial" w:hAnsi="Arial"/>
          <w:sz w:val="18"/>
          <w:szCs w:val="18"/>
          <w:color w:val="auto"/>
        </w:rPr>
        <w:t>The value of our investment portfolio will change over time due to changes in the fair value of our underlying investments, as well as changes in the composition of our portfolio resulting from purchases of new and follow-on investments and the sales of existing investments. The fair value, as of September 30, 2018, of all of our portfolio investments, excluding U.S. Treasury bills, was $217,191,170.</w:t>
      </w:r>
    </w:p>
    <w:p>
      <w:pPr>
        <w:spacing w:after="0" w:line="181"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During the nine months ended September 30, 2018, we funded investments in an aggregate amount of $6,661,416 (not including capitalized transaction costs) as shown in the following table:</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92"/>
        </w:trPr>
        <w:tc>
          <w:tcPr>
            <w:tcW w:w="18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Portfolio Company</w:t>
            </w:r>
          </w:p>
        </w:tc>
        <w:tc>
          <w:tcPr>
            <w:tcW w:w="120" w:type="dxa"/>
            <w:vAlign w:val="bottom"/>
            <w:tcBorders>
              <w:bottom w:val="single" w:sz="8" w:color="CCEEFF"/>
            </w:tcBorders>
          </w:tcPr>
          <w:p>
            <w:pPr>
              <w:spacing w:after="0"/>
              <w:rPr>
                <w:sz w:val="16"/>
                <w:szCs w:val="16"/>
                <w:color w:val="auto"/>
              </w:rPr>
            </w:pPr>
          </w:p>
        </w:tc>
        <w:tc>
          <w:tcPr>
            <w:tcW w:w="5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Investment</w:t>
            </w:r>
          </w:p>
        </w:tc>
        <w:tc>
          <w:tcPr>
            <w:tcW w:w="1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Transaction Date</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w w:val="92"/>
              </w:rPr>
              <w:t>Gross Payments</w:t>
            </w:r>
          </w:p>
        </w:tc>
      </w:tr>
      <w:tr>
        <w:trPr>
          <w:trHeight w:val="256"/>
        </w:trPr>
        <w:tc>
          <w:tcPr>
            <w:tcW w:w="19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Ozy Media, Inc.</w:t>
            </w:r>
            <w:r>
              <w:rPr>
                <w:rFonts w:ascii="Arial" w:cs="Arial" w:eastAsia="Arial" w:hAnsi="Arial"/>
                <w:sz w:val="21"/>
                <w:szCs w:val="21"/>
                <w:color w:val="auto"/>
                <w:vertAlign w:val="superscript"/>
              </w:rPr>
              <w:t>(1)</w:t>
            </w:r>
          </w:p>
        </w:tc>
        <w:tc>
          <w:tcPr>
            <w:tcW w:w="55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2"/>
              </w:rPr>
              <w:t>Promissory Note 10% Due 2/12/2018</w:t>
            </w:r>
          </w:p>
        </w:tc>
        <w:tc>
          <w:tcPr>
            <w:tcW w:w="14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1/12/2018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100,000</w:t>
            </w:r>
          </w:p>
        </w:tc>
      </w:tr>
      <w:tr>
        <w:trPr>
          <w:trHeight w:val="270"/>
        </w:trPr>
        <w:tc>
          <w:tcPr>
            <w:tcW w:w="1920" w:type="dxa"/>
            <w:vAlign w:val="bottom"/>
            <w:gridSpan w:val="2"/>
          </w:tcPr>
          <w:p>
            <w:pPr>
              <w:ind w:left="40"/>
              <w:spacing w:after="0"/>
              <w:rPr>
                <w:sz w:val="20"/>
                <w:szCs w:val="20"/>
                <w:color w:val="auto"/>
              </w:rPr>
            </w:pPr>
            <w:r>
              <w:rPr>
                <w:rFonts w:ascii="Arial" w:cs="Arial" w:eastAsia="Arial" w:hAnsi="Arial"/>
                <w:sz w:val="16"/>
                <w:szCs w:val="16"/>
                <w:color w:val="auto"/>
              </w:rPr>
              <w:t>SharesPost, Inc.</w:t>
            </w:r>
            <w:r>
              <w:rPr>
                <w:rFonts w:ascii="Arial" w:cs="Arial" w:eastAsia="Arial" w:hAnsi="Arial"/>
                <w:sz w:val="21"/>
                <w:szCs w:val="21"/>
                <w:color w:val="auto"/>
                <w:vertAlign w:val="superscript"/>
              </w:rPr>
              <w:t>(2)</w:t>
            </w:r>
          </w:p>
        </w:tc>
        <w:tc>
          <w:tcPr>
            <w:tcW w:w="5560" w:type="dxa"/>
            <w:vAlign w:val="bottom"/>
            <w:gridSpan w:val="2"/>
          </w:tcPr>
          <w:p>
            <w:pPr>
              <w:jc w:val="center"/>
              <w:ind w:right="120"/>
              <w:spacing w:after="0"/>
              <w:rPr>
                <w:sz w:val="20"/>
                <w:szCs w:val="20"/>
                <w:color w:val="auto"/>
              </w:rPr>
            </w:pPr>
            <w:r>
              <w:rPr>
                <w:rFonts w:ascii="Arial" w:cs="Arial" w:eastAsia="Arial" w:hAnsi="Arial"/>
                <w:sz w:val="16"/>
                <w:szCs w:val="16"/>
                <w:color w:val="auto"/>
                <w:w w:val="88"/>
              </w:rPr>
              <w:t>Common shares</w:t>
            </w:r>
          </w:p>
        </w:tc>
        <w:tc>
          <w:tcPr>
            <w:tcW w:w="1460" w:type="dxa"/>
            <w:vAlign w:val="bottom"/>
          </w:tcPr>
          <w:p>
            <w:pPr>
              <w:jc w:val="center"/>
              <w:spacing w:after="0"/>
              <w:rPr>
                <w:sz w:val="20"/>
                <w:szCs w:val="20"/>
                <w:color w:val="auto"/>
              </w:rPr>
            </w:pPr>
            <w:r>
              <w:rPr>
                <w:rFonts w:ascii="Arial" w:cs="Arial" w:eastAsia="Arial" w:hAnsi="Arial"/>
                <w:sz w:val="16"/>
                <w:szCs w:val="16"/>
                <w:color w:val="auto"/>
                <w:w w:val="92"/>
              </w:rPr>
              <w:t>6/15/2018</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100,221</w:t>
            </w:r>
          </w:p>
        </w:tc>
      </w:tr>
      <w:tr>
        <w:trPr>
          <w:trHeight w:val="250"/>
        </w:trPr>
        <w:tc>
          <w:tcPr>
            <w:tcW w:w="1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Knewton, Inc.</w:t>
            </w:r>
          </w:p>
        </w:tc>
        <w:tc>
          <w:tcPr>
            <w:tcW w:w="55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2"/>
              </w:rPr>
              <w:t>Unsecured Convertible Promissory Note 8% due 12/31/2019</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7/23/2018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134,405</w:t>
            </w:r>
          </w:p>
        </w:tc>
      </w:tr>
      <w:tr>
        <w:trPr>
          <w:trHeight w:val="237"/>
        </w:trPr>
        <w:tc>
          <w:tcPr>
            <w:tcW w:w="1920" w:type="dxa"/>
            <w:vAlign w:val="bottom"/>
            <w:gridSpan w:val="2"/>
          </w:tcPr>
          <w:p>
            <w:pPr>
              <w:ind w:left="40"/>
              <w:spacing w:after="0"/>
              <w:rPr>
                <w:sz w:val="20"/>
                <w:szCs w:val="20"/>
                <w:color w:val="auto"/>
              </w:rPr>
            </w:pPr>
            <w:r>
              <w:rPr>
                <w:rFonts w:ascii="Arial" w:cs="Arial" w:eastAsia="Arial" w:hAnsi="Arial"/>
                <w:sz w:val="16"/>
                <w:szCs w:val="16"/>
                <w:color w:val="auto"/>
              </w:rPr>
              <w:t>Nextdoor.com, Inc.</w:t>
            </w:r>
          </w:p>
        </w:tc>
        <w:tc>
          <w:tcPr>
            <w:tcW w:w="5560" w:type="dxa"/>
            <w:vAlign w:val="bottom"/>
            <w:gridSpan w:val="2"/>
          </w:tcPr>
          <w:p>
            <w:pPr>
              <w:jc w:val="center"/>
              <w:ind w:right="120"/>
              <w:spacing w:after="0"/>
              <w:rPr>
                <w:sz w:val="20"/>
                <w:szCs w:val="20"/>
                <w:color w:val="auto"/>
              </w:rPr>
            </w:pPr>
            <w:r>
              <w:rPr>
                <w:rFonts w:ascii="Arial" w:cs="Arial" w:eastAsia="Arial" w:hAnsi="Arial"/>
                <w:sz w:val="16"/>
                <w:szCs w:val="16"/>
                <w:color w:val="auto"/>
                <w:w w:val="88"/>
              </w:rPr>
              <w:t>Common shares</w:t>
            </w:r>
          </w:p>
        </w:tc>
        <w:tc>
          <w:tcPr>
            <w:tcW w:w="1460" w:type="dxa"/>
            <w:vAlign w:val="bottom"/>
          </w:tcPr>
          <w:p>
            <w:pPr>
              <w:jc w:val="center"/>
              <w:spacing w:after="0"/>
              <w:rPr>
                <w:sz w:val="20"/>
                <w:szCs w:val="20"/>
                <w:color w:val="auto"/>
              </w:rPr>
            </w:pPr>
            <w:r>
              <w:rPr>
                <w:rFonts w:ascii="Arial" w:cs="Arial" w:eastAsia="Arial" w:hAnsi="Arial"/>
                <w:sz w:val="16"/>
                <w:szCs w:val="16"/>
                <w:color w:val="auto"/>
                <w:w w:val="92"/>
              </w:rPr>
              <w:t>9/27/2018</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6,326,790</w:t>
            </w:r>
          </w:p>
        </w:tc>
      </w:tr>
      <w:tr>
        <w:trPr>
          <w:trHeight w:val="33"/>
        </w:trPr>
        <w:tc>
          <w:tcPr>
            <w:tcW w:w="1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19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b w:val="1"/>
                <w:bCs w:val="1"/>
                <w:color w:val="auto"/>
              </w:rPr>
              <w:t>Total</w:t>
            </w:r>
          </w:p>
        </w:tc>
        <w:tc>
          <w:tcPr>
            <w:tcW w:w="5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6,661,416</w:t>
            </w:r>
          </w:p>
        </w:tc>
      </w:tr>
      <w:tr>
        <w:trPr>
          <w:trHeight w:val="20"/>
        </w:trPr>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6"/>
          <w:szCs w:val="16"/>
          <w:b w:val="1"/>
          <w:bCs w:val="1"/>
          <w:color w:val="auto"/>
        </w:rPr>
        <w:t>__________________</w:t>
      </w:r>
    </w:p>
    <w:p>
      <w:pPr>
        <w:spacing w:after="0" w:line="23" w:lineRule="exact"/>
        <w:rPr>
          <w:sz w:val="20"/>
          <w:szCs w:val="20"/>
          <w:color w:val="auto"/>
        </w:rPr>
      </w:pPr>
    </w:p>
    <w:p>
      <w:pPr>
        <w:ind w:left="500" w:right="60" w:hanging="492"/>
        <w:spacing w:after="0" w:line="281" w:lineRule="auto"/>
        <w:tabs>
          <w:tab w:leader="none" w:pos="500" w:val="left"/>
        </w:tabs>
        <w:numPr>
          <w:ilvl w:val="0"/>
          <w:numId w:val="38"/>
        </w:numPr>
        <w:rPr>
          <w:rFonts w:ascii="Arial" w:cs="Arial" w:eastAsia="Arial" w:hAnsi="Arial"/>
          <w:sz w:val="14"/>
          <w:szCs w:val="14"/>
          <w:color w:val="auto"/>
        </w:rPr>
      </w:pPr>
      <w:r>
        <w:rPr>
          <w:rFonts w:ascii="Arial" w:cs="Arial" w:eastAsia="Arial" w:hAnsi="Arial"/>
          <w:sz w:val="14"/>
          <w:szCs w:val="14"/>
          <w:color w:val="auto"/>
        </w:rPr>
        <w:t>During the period, Ozy Media, Inc.’s obligations under its financing arrangements with us became past due. Effective April 9, 2018, the term of Ozy Media Inc.'s notes were extended through the issuance of a new convertible promissory note, which extended the maturity date of the existing notes to October 31, 2018, or December 31, 2018 if certain conditions are satisfied. Effective August 17, 2018, Ozy Media Inc. executed an additional debt amendment, which expanded its borrowing limit. In consideration for amending and restating the existing notes, we were issued warrants exercisable for 295,565 shares of Ozy Media Inc.'s common stock.</w:t>
      </w:r>
    </w:p>
    <w:p>
      <w:pPr>
        <w:spacing w:after="0" w:line="2" w:lineRule="exact"/>
        <w:rPr>
          <w:rFonts w:ascii="Arial" w:cs="Arial" w:eastAsia="Arial" w:hAnsi="Arial"/>
          <w:sz w:val="14"/>
          <w:szCs w:val="14"/>
          <w:color w:val="auto"/>
        </w:rPr>
      </w:pPr>
    </w:p>
    <w:p>
      <w:pPr>
        <w:ind w:left="500" w:hanging="492"/>
        <w:spacing w:after="0"/>
        <w:tabs>
          <w:tab w:leader="none" w:pos="5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On June 15, 2018 we exercised our 770,934 warrants to purchase shares of SharesPost, Inc.'s common stock, with a $0.13 strike price.</w:t>
      </w:r>
    </w:p>
    <w:p>
      <w:pPr>
        <w:spacing w:after="0" w:line="20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During the nine months ended September 30, 2018, we capitalized fees of $15,174.</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2" w:right="239" w:bottom="1440" w:gutter="0" w:footer="0" w:header="0"/>
        </w:sectPr>
      </w:pPr>
    </w:p>
    <w:bookmarkStart w:id="59" w:name="page60"/>
    <w:bookmarkEnd w:id="59"/>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48" w:lineRule="exact"/>
        <w:rPr>
          <w:sz w:val="20"/>
          <w:szCs w:val="20"/>
          <w:color w:val="auto"/>
        </w:rPr>
      </w:pPr>
    </w:p>
    <w:p>
      <w:pPr>
        <w:ind w:firstLine="351"/>
        <w:spacing w:after="0" w:line="264" w:lineRule="auto"/>
        <w:rPr>
          <w:sz w:val="20"/>
          <w:szCs w:val="20"/>
          <w:color w:val="auto"/>
        </w:rPr>
      </w:pPr>
      <w:r>
        <w:rPr>
          <w:rFonts w:ascii="Arial" w:cs="Arial" w:eastAsia="Arial" w:hAnsi="Arial"/>
          <w:sz w:val="18"/>
          <w:szCs w:val="18"/>
          <w:color w:val="auto"/>
        </w:rPr>
        <w:t>During the nine months ended September 30, 2018, we sold investments or received repayments from portfolio companies in an amount of $32,395,839, net of transaction costs, and realized a net loss on investments of approximately $7,533,163 (including U.S. Treasury investments) as shown in following table:</w:t>
      </w:r>
    </w:p>
    <w:p>
      <w:pPr>
        <w:spacing w:after="0" w:line="106" w:lineRule="exact"/>
        <w:rPr>
          <w:sz w:val="20"/>
          <w:szCs w:val="20"/>
          <w:color w:val="auto"/>
        </w:rPr>
      </w:pPr>
    </w:p>
    <w:tbl>
      <w:tblPr>
        <w:tblLayout w:type="fixed"/>
        <w:tblInd w:w="620" w:type="dxa"/>
        <w:tblCellMar>
          <w:top w:w="0" w:type="dxa"/>
          <w:left w:w="0" w:type="dxa"/>
          <w:bottom w:w="0" w:type="dxa"/>
          <w:right w:w="0" w:type="dxa"/>
        </w:tblCellMar>
      </w:tblPr>
      <w:tr>
        <w:trPr>
          <w:trHeight w:val="161"/>
        </w:trPr>
        <w:tc>
          <w:tcPr>
            <w:tcW w:w="32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Portfolio Investment</w:t>
            </w:r>
          </w:p>
        </w:tc>
        <w:tc>
          <w:tcPr>
            <w:tcW w:w="120" w:type="dxa"/>
            <w:vAlign w:val="bottom"/>
            <w:vMerge w:val="restart"/>
          </w:tcPr>
          <w:p>
            <w:pPr>
              <w:spacing w:after="0"/>
              <w:rPr>
                <w:sz w:val="14"/>
                <w:szCs w:val="14"/>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Transaction</w:t>
            </w:r>
          </w:p>
        </w:tc>
        <w:tc>
          <w:tcPr>
            <w:tcW w:w="13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Shares Sold</w:t>
            </w:r>
          </w:p>
        </w:tc>
        <w:tc>
          <w:tcPr>
            <w:tcW w:w="120" w:type="dxa"/>
            <w:vAlign w:val="bottom"/>
            <w:vMerge w:val="restart"/>
          </w:tcPr>
          <w:p>
            <w:pPr>
              <w:spacing w:after="0"/>
              <w:rPr>
                <w:sz w:val="14"/>
                <w:szCs w:val="14"/>
                <w:color w:val="auto"/>
              </w:rPr>
            </w:pPr>
          </w:p>
        </w:tc>
        <w:tc>
          <w:tcPr>
            <w:tcW w:w="1320" w:type="dxa"/>
            <w:vAlign w:val="bottom"/>
            <w:gridSpan w:val="3"/>
          </w:tcPr>
          <w:p>
            <w:pPr>
              <w:ind w:left="20"/>
              <w:spacing w:after="0"/>
              <w:rPr>
                <w:sz w:val="20"/>
                <w:szCs w:val="20"/>
                <w:color w:val="auto"/>
              </w:rPr>
            </w:pPr>
            <w:r>
              <w:rPr>
                <w:rFonts w:ascii="Arial" w:cs="Arial" w:eastAsia="Arial" w:hAnsi="Arial"/>
                <w:sz w:val="14"/>
                <w:szCs w:val="14"/>
                <w:b w:val="1"/>
                <w:bCs w:val="1"/>
                <w:color w:val="auto"/>
              </w:rPr>
              <w:t>Average Net Share</w:t>
            </w:r>
          </w:p>
        </w:tc>
        <w:tc>
          <w:tcPr>
            <w:tcW w:w="180" w:type="dxa"/>
            <w:vAlign w:val="bottom"/>
          </w:tcPr>
          <w:p>
            <w:pPr>
              <w:spacing w:after="0"/>
              <w:rPr>
                <w:sz w:val="14"/>
                <w:szCs w:val="14"/>
                <w:color w:val="auto"/>
              </w:rPr>
            </w:pPr>
          </w:p>
        </w:tc>
        <w:tc>
          <w:tcPr>
            <w:tcW w:w="114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w w:val="96"/>
              </w:rPr>
              <w:t>Net Proceeds</w:t>
            </w:r>
          </w:p>
        </w:tc>
        <w:tc>
          <w:tcPr>
            <w:tcW w:w="10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ind w:right="320"/>
              <w:spacing w:after="0"/>
              <w:rPr>
                <w:sz w:val="20"/>
                <w:szCs w:val="20"/>
                <w:color w:val="auto"/>
              </w:rPr>
            </w:pPr>
            <w:r>
              <w:rPr>
                <w:rFonts w:ascii="Arial" w:cs="Arial" w:eastAsia="Arial" w:hAnsi="Arial"/>
                <w:sz w:val="14"/>
                <w:szCs w:val="14"/>
                <w:b w:val="1"/>
                <w:bCs w:val="1"/>
                <w:color w:val="auto"/>
              </w:rPr>
              <w:t>Realized</w:t>
            </w:r>
          </w:p>
        </w:tc>
        <w:tc>
          <w:tcPr>
            <w:tcW w:w="0" w:type="dxa"/>
            <w:vAlign w:val="bottom"/>
          </w:tcPr>
          <w:p>
            <w:pPr>
              <w:spacing w:after="0"/>
              <w:rPr>
                <w:sz w:val="1"/>
                <w:szCs w:val="1"/>
                <w:color w:val="auto"/>
              </w:rPr>
            </w:pPr>
          </w:p>
        </w:tc>
      </w:tr>
      <w:tr>
        <w:trPr>
          <w:trHeight w:val="192"/>
        </w:trPr>
        <w:tc>
          <w:tcPr>
            <w:tcW w:w="32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 xml:space="preserve">Price </w:t>
            </w:r>
            <w:r>
              <w:rPr>
                <w:rFonts w:ascii="Arial" w:cs="Arial" w:eastAsia="Arial" w:hAnsi="Arial"/>
                <w:sz w:val="8"/>
                <w:szCs w:val="8"/>
                <w:b w:val="1"/>
                <w:bCs w:val="1"/>
                <w:color w:val="auto"/>
              </w:rPr>
              <w:t>(1)</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Gain/(Loss)</w:t>
            </w:r>
            <w:r>
              <w:rPr>
                <w:rFonts w:ascii="Arial" w:cs="Arial" w:eastAsia="Arial" w:hAnsi="Arial"/>
                <w:sz w:val="8"/>
                <w:szCs w:val="8"/>
                <w:b w:val="1"/>
                <w:bCs w:val="1"/>
                <w:color w:val="auto"/>
              </w:rPr>
              <w:t>(4)</w:t>
            </w:r>
          </w:p>
        </w:tc>
        <w:tc>
          <w:tcPr>
            <w:tcW w:w="0" w:type="dxa"/>
            <w:vAlign w:val="bottom"/>
          </w:tcPr>
          <w:p>
            <w:pPr>
              <w:spacing w:after="0"/>
              <w:rPr>
                <w:sz w:val="1"/>
                <w:szCs w:val="1"/>
                <w:color w:val="auto"/>
              </w:rPr>
            </w:pPr>
          </w:p>
        </w:tc>
      </w:tr>
      <w:tr>
        <w:trPr>
          <w:trHeight w:val="236"/>
        </w:trPr>
        <w:tc>
          <w:tcPr>
            <w:tcW w:w="3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Chegg, Inc.</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1/3/2018</w:t>
            </w: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1,897</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16.78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31,831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9,018</w:t>
            </w:r>
          </w:p>
        </w:tc>
        <w:tc>
          <w:tcPr>
            <w:tcW w:w="0" w:type="dxa"/>
            <w:vAlign w:val="bottom"/>
          </w:tcPr>
          <w:p>
            <w:pPr>
              <w:spacing w:after="0"/>
              <w:rPr>
                <w:sz w:val="1"/>
                <w:szCs w:val="1"/>
                <w:color w:val="auto"/>
              </w:rPr>
            </w:pPr>
          </w:p>
        </w:tc>
      </w:tr>
      <w:tr>
        <w:trPr>
          <w:trHeight w:val="237"/>
        </w:trPr>
        <w:tc>
          <w:tcPr>
            <w:tcW w:w="3380" w:type="dxa"/>
            <w:vAlign w:val="bottom"/>
            <w:gridSpan w:val="2"/>
          </w:tcPr>
          <w:p>
            <w:pPr>
              <w:ind w:left="20"/>
              <w:spacing w:after="0"/>
              <w:rPr>
                <w:sz w:val="20"/>
                <w:szCs w:val="20"/>
                <w:color w:val="auto"/>
              </w:rPr>
            </w:pPr>
            <w:r>
              <w:rPr>
                <w:rFonts w:ascii="Arial" w:cs="Arial" w:eastAsia="Arial" w:hAnsi="Arial"/>
                <w:sz w:val="16"/>
                <w:szCs w:val="16"/>
                <w:color w:val="auto"/>
              </w:rPr>
              <w:t>Chegg, Inc.</w:t>
            </w:r>
          </w:p>
        </w:tc>
        <w:tc>
          <w:tcPr>
            <w:tcW w:w="1200" w:type="dxa"/>
            <w:vAlign w:val="bottom"/>
          </w:tcPr>
          <w:p>
            <w:pPr>
              <w:jc w:val="center"/>
              <w:spacing w:after="0"/>
              <w:rPr>
                <w:sz w:val="20"/>
                <w:szCs w:val="20"/>
                <w:color w:val="auto"/>
              </w:rPr>
            </w:pPr>
            <w:r>
              <w:rPr>
                <w:rFonts w:ascii="Arial" w:cs="Arial" w:eastAsia="Arial" w:hAnsi="Arial"/>
                <w:sz w:val="16"/>
                <w:szCs w:val="16"/>
                <w:color w:val="auto"/>
                <w:w w:val="89"/>
              </w:rPr>
              <w:t>1/4/2018</w:t>
            </w: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9,103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16.79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152,799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43,327</w:t>
            </w:r>
          </w:p>
        </w:tc>
        <w:tc>
          <w:tcPr>
            <w:tcW w:w="0" w:type="dxa"/>
            <w:vAlign w:val="bottom"/>
          </w:tcPr>
          <w:p>
            <w:pPr>
              <w:spacing w:after="0"/>
              <w:rPr>
                <w:sz w:val="1"/>
                <w:szCs w:val="1"/>
                <w:color w:val="auto"/>
              </w:rPr>
            </w:pPr>
          </w:p>
        </w:tc>
      </w:tr>
      <w:tr>
        <w:trPr>
          <w:trHeight w:val="33"/>
        </w:trPr>
        <w:tc>
          <w:tcPr>
            <w:tcW w:w="3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Chegg, Inc.</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1/5/2018</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36,212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16.78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607,623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172,139</w:t>
            </w:r>
          </w:p>
        </w:tc>
        <w:tc>
          <w:tcPr>
            <w:tcW w:w="0" w:type="dxa"/>
            <w:vAlign w:val="bottom"/>
          </w:tcPr>
          <w:p>
            <w:pPr>
              <w:spacing w:after="0"/>
              <w:rPr>
                <w:sz w:val="1"/>
                <w:szCs w:val="1"/>
                <w:color w:val="auto"/>
              </w:rPr>
            </w:pPr>
          </w:p>
        </w:tc>
      </w:tr>
      <w:tr>
        <w:trPr>
          <w:trHeight w:val="237"/>
        </w:trPr>
        <w:tc>
          <w:tcPr>
            <w:tcW w:w="3380" w:type="dxa"/>
            <w:vAlign w:val="bottom"/>
            <w:gridSpan w:val="2"/>
          </w:tcPr>
          <w:p>
            <w:pPr>
              <w:ind w:left="20"/>
              <w:spacing w:after="0"/>
              <w:rPr>
                <w:sz w:val="20"/>
                <w:szCs w:val="20"/>
                <w:color w:val="auto"/>
              </w:rPr>
            </w:pPr>
            <w:r>
              <w:rPr>
                <w:rFonts w:ascii="Arial" w:cs="Arial" w:eastAsia="Arial" w:hAnsi="Arial"/>
                <w:sz w:val="16"/>
                <w:szCs w:val="16"/>
                <w:color w:val="auto"/>
              </w:rPr>
              <w:t>Chegg, Inc.</w:t>
            </w:r>
          </w:p>
        </w:tc>
        <w:tc>
          <w:tcPr>
            <w:tcW w:w="1200" w:type="dxa"/>
            <w:vAlign w:val="bottom"/>
          </w:tcPr>
          <w:p>
            <w:pPr>
              <w:jc w:val="center"/>
              <w:spacing w:after="0"/>
              <w:rPr>
                <w:sz w:val="20"/>
                <w:szCs w:val="20"/>
                <w:color w:val="auto"/>
              </w:rPr>
            </w:pPr>
            <w:r>
              <w:rPr>
                <w:rFonts w:ascii="Arial" w:cs="Arial" w:eastAsia="Arial" w:hAnsi="Arial"/>
                <w:sz w:val="16"/>
                <w:szCs w:val="16"/>
                <w:color w:val="auto"/>
                <w:w w:val="89"/>
              </w:rPr>
              <w:t>1/8/2018</w:t>
            </w: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15,888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16.86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267,905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76,837</w:t>
            </w:r>
          </w:p>
        </w:tc>
        <w:tc>
          <w:tcPr>
            <w:tcW w:w="0" w:type="dxa"/>
            <w:vAlign w:val="bottom"/>
          </w:tcPr>
          <w:p>
            <w:pPr>
              <w:spacing w:after="0"/>
              <w:rPr>
                <w:sz w:val="1"/>
                <w:szCs w:val="1"/>
                <w:color w:val="auto"/>
              </w:rPr>
            </w:pPr>
          </w:p>
        </w:tc>
      </w:tr>
      <w:tr>
        <w:trPr>
          <w:trHeight w:val="33"/>
        </w:trPr>
        <w:tc>
          <w:tcPr>
            <w:tcW w:w="3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Chegg, Inc.</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1/9/2018</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36,900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16.78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619,356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175,598</w:t>
            </w:r>
          </w:p>
        </w:tc>
        <w:tc>
          <w:tcPr>
            <w:tcW w:w="0" w:type="dxa"/>
            <w:vAlign w:val="bottom"/>
          </w:tcPr>
          <w:p>
            <w:pPr>
              <w:spacing w:after="0"/>
              <w:rPr>
                <w:sz w:val="1"/>
                <w:szCs w:val="1"/>
                <w:color w:val="auto"/>
              </w:rPr>
            </w:pPr>
          </w:p>
        </w:tc>
      </w:tr>
      <w:tr>
        <w:trPr>
          <w:trHeight w:val="237"/>
        </w:trPr>
        <w:tc>
          <w:tcPr>
            <w:tcW w:w="3380" w:type="dxa"/>
            <w:vAlign w:val="bottom"/>
            <w:gridSpan w:val="2"/>
          </w:tcPr>
          <w:p>
            <w:pPr>
              <w:ind w:left="20"/>
              <w:spacing w:after="0"/>
              <w:rPr>
                <w:sz w:val="20"/>
                <w:szCs w:val="20"/>
                <w:color w:val="auto"/>
              </w:rPr>
            </w:pPr>
            <w:r>
              <w:rPr>
                <w:rFonts w:ascii="Arial" w:cs="Arial" w:eastAsia="Arial" w:hAnsi="Arial"/>
                <w:sz w:val="16"/>
                <w:szCs w:val="16"/>
                <w:color w:val="auto"/>
              </w:rPr>
              <w:t>Chegg, Inc.</w:t>
            </w:r>
          </w:p>
        </w:tc>
        <w:tc>
          <w:tcPr>
            <w:tcW w:w="1200" w:type="dxa"/>
            <w:vAlign w:val="bottom"/>
          </w:tcPr>
          <w:p>
            <w:pPr>
              <w:jc w:val="center"/>
              <w:spacing w:after="0"/>
              <w:rPr>
                <w:sz w:val="20"/>
                <w:szCs w:val="20"/>
                <w:color w:val="auto"/>
              </w:rPr>
            </w:pPr>
            <w:r>
              <w:rPr>
                <w:rFonts w:ascii="Arial" w:cs="Arial" w:eastAsia="Arial" w:hAnsi="Arial"/>
                <w:sz w:val="16"/>
                <w:szCs w:val="16"/>
                <w:color w:val="auto"/>
                <w:w w:val="89"/>
              </w:rPr>
              <w:t>2/13/2018</w:t>
            </w: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200,000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19.31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3,861,271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1,457,883</w:t>
            </w:r>
          </w:p>
        </w:tc>
        <w:tc>
          <w:tcPr>
            <w:tcW w:w="0" w:type="dxa"/>
            <w:vAlign w:val="bottom"/>
          </w:tcPr>
          <w:p>
            <w:pPr>
              <w:spacing w:after="0"/>
              <w:rPr>
                <w:sz w:val="1"/>
                <w:szCs w:val="1"/>
                <w:color w:val="auto"/>
              </w:rPr>
            </w:pPr>
          </w:p>
        </w:tc>
      </w:tr>
      <w:tr>
        <w:trPr>
          <w:trHeight w:val="33"/>
        </w:trPr>
        <w:tc>
          <w:tcPr>
            <w:tcW w:w="3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Chegg, Inc.</w:t>
            </w:r>
            <w:r>
              <w:rPr>
                <w:rFonts w:ascii="Arial" w:cs="Arial" w:eastAsia="Arial" w:hAnsi="Arial"/>
                <w:sz w:val="21"/>
                <w:szCs w:val="21"/>
                <w:color w:val="auto"/>
                <w:vertAlign w:val="superscript"/>
              </w:rPr>
              <w:t>(2)</w:t>
            </w:r>
          </w:p>
        </w:tc>
        <w:tc>
          <w:tcPr>
            <w:tcW w:w="120" w:type="dxa"/>
            <w:vAlign w:val="bottom"/>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2/20/2018</w:t>
            </w:r>
          </w:p>
        </w:tc>
        <w:tc>
          <w:tcPr>
            <w:tcW w:w="120" w:type="dxa"/>
            <w:vAlign w:val="bottom"/>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200,000</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19.53</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3,905,530</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1,503,045</w:t>
            </w:r>
          </w:p>
        </w:tc>
        <w:tc>
          <w:tcPr>
            <w:tcW w:w="0" w:type="dxa"/>
            <w:vAlign w:val="bottom"/>
          </w:tcPr>
          <w:p>
            <w:pPr>
              <w:spacing w:after="0"/>
              <w:rPr>
                <w:sz w:val="1"/>
                <w:szCs w:val="1"/>
                <w:color w:val="auto"/>
              </w:rPr>
            </w:pPr>
          </w:p>
        </w:tc>
      </w:tr>
      <w:tr>
        <w:trPr>
          <w:trHeight w:val="231"/>
        </w:trPr>
        <w:tc>
          <w:tcPr>
            <w:tcW w:w="3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500,000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18.89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9,446,315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3,437,847</w:t>
            </w:r>
          </w:p>
        </w:tc>
        <w:tc>
          <w:tcPr>
            <w:tcW w:w="0" w:type="dxa"/>
            <w:vAlign w:val="bottom"/>
          </w:tcPr>
          <w:p>
            <w:pPr>
              <w:spacing w:after="0"/>
              <w:rPr>
                <w:sz w:val="1"/>
                <w:szCs w:val="1"/>
                <w:color w:val="auto"/>
              </w:rPr>
            </w:pPr>
          </w:p>
        </w:tc>
      </w:tr>
      <w:tr>
        <w:trPr>
          <w:trHeight w:val="33"/>
        </w:trPr>
        <w:tc>
          <w:tcPr>
            <w:tcW w:w="3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NestGSV, Inc. (d/b/a GSV Labs, Inc.)</w:t>
            </w:r>
            <w:r>
              <w:rPr>
                <w:rFonts w:ascii="Arial" w:cs="Arial" w:eastAsia="Arial" w:hAnsi="Arial"/>
                <w:sz w:val="21"/>
                <w:szCs w:val="21"/>
                <w:color w:val="auto"/>
                <w:vertAlign w:val="superscript"/>
              </w:rPr>
              <w:t>(3)</w:t>
            </w:r>
          </w:p>
        </w:tc>
        <w:tc>
          <w:tcPr>
            <w:tcW w:w="12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1/12/2018</w:t>
            </w:r>
          </w:p>
        </w:tc>
        <w:tc>
          <w:tcPr>
            <w:tcW w:w="12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N/A</w:t>
            </w:r>
          </w:p>
        </w:tc>
        <w:tc>
          <w:tcPr>
            <w:tcW w:w="24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N/A</w:t>
            </w:r>
          </w:p>
        </w:tc>
        <w:tc>
          <w:tcPr>
            <w:tcW w:w="18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592,129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(680)</w:t>
            </w:r>
          </w:p>
        </w:tc>
        <w:tc>
          <w:tcPr>
            <w:tcW w:w="0" w:type="dxa"/>
            <w:vAlign w:val="bottom"/>
          </w:tcPr>
          <w:p>
            <w:pPr>
              <w:spacing w:after="0"/>
              <w:rPr>
                <w:sz w:val="1"/>
                <w:szCs w:val="1"/>
                <w:color w:val="auto"/>
              </w:rPr>
            </w:pPr>
          </w:p>
        </w:tc>
      </w:tr>
      <w:tr>
        <w:trPr>
          <w:trHeight w:val="237"/>
        </w:trPr>
        <w:tc>
          <w:tcPr>
            <w:tcW w:w="3380" w:type="dxa"/>
            <w:vAlign w:val="bottom"/>
            <w:gridSpan w:val="2"/>
          </w:tcPr>
          <w:p>
            <w:pPr>
              <w:ind w:left="20"/>
              <w:spacing w:after="0"/>
              <w:rPr>
                <w:sz w:val="20"/>
                <w:szCs w:val="20"/>
                <w:color w:val="auto"/>
              </w:rPr>
            </w:pPr>
            <w:r>
              <w:rPr>
                <w:rFonts w:ascii="Arial" w:cs="Arial" w:eastAsia="Arial" w:hAnsi="Arial"/>
                <w:sz w:val="16"/>
                <w:szCs w:val="16"/>
                <w:color w:val="auto"/>
              </w:rPr>
              <w:t>Avenues Global Holdings, LLC</w:t>
            </w:r>
          </w:p>
        </w:tc>
        <w:tc>
          <w:tcPr>
            <w:tcW w:w="1200" w:type="dxa"/>
            <w:vAlign w:val="bottom"/>
          </w:tcPr>
          <w:p>
            <w:pPr>
              <w:jc w:val="center"/>
              <w:spacing w:after="0"/>
              <w:rPr>
                <w:sz w:val="20"/>
                <w:szCs w:val="20"/>
                <w:color w:val="auto"/>
              </w:rPr>
            </w:pPr>
            <w:r>
              <w:rPr>
                <w:rFonts w:ascii="Arial" w:cs="Arial" w:eastAsia="Arial" w:hAnsi="Arial"/>
                <w:sz w:val="16"/>
                <w:szCs w:val="16"/>
                <w:color w:val="auto"/>
                <w:w w:val="89"/>
              </w:rPr>
              <w:t>1/22/2018</w:t>
            </w: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10,014,270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0.59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5,923,795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(4,228,059)</w:t>
            </w:r>
          </w:p>
        </w:tc>
        <w:tc>
          <w:tcPr>
            <w:tcW w:w="0" w:type="dxa"/>
            <w:vAlign w:val="bottom"/>
          </w:tcPr>
          <w:p>
            <w:pPr>
              <w:spacing w:after="0"/>
              <w:rPr>
                <w:sz w:val="1"/>
                <w:szCs w:val="1"/>
                <w:color w:val="auto"/>
              </w:rPr>
            </w:pPr>
          </w:p>
        </w:tc>
      </w:tr>
      <w:tr>
        <w:trPr>
          <w:trHeight w:val="33"/>
        </w:trPr>
        <w:tc>
          <w:tcPr>
            <w:tcW w:w="3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General Assembly Space, Inc.</w:t>
            </w:r>
            <w:r>
              <w:rPr>
                <w:rFonts w:ascii="Arial" w:cs="Arial" w:eastAsia="Arial" w:hAnsi="Arial"/>
                <w:sz w:val="21"/>
                <w:szCs w:val="21"/>
                <w:color w:val="auto"/>
                <w:vertAlign w:val="superscript"/>
              </w:rPr>
              <w:t>(5)</w:t>
            </w:r>
          </w:p>
        </w:tc>
        <w:tc>
          <w:tcPr>
            <w:tcW w:w="12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6/12/2018</w:t>
            </w:r>
          </w:p>
        </w:tc>
        <w:tc>
          <w:tcPr>
            <w:tcW w:w="12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259,765</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7,820,191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3,331,890</w:t>
            </w:r>
          </w:p>
        </w:tc>
        <w:tc>
          <w:tcPr>
            <w:tcW w:w="0" w:type="dxa"/>
            <w:vAlign w:val="bottom"/>
          </w:tcPr>
          <w:p>
            <w:pPr>
              <w:spacing w:after="0"/>
              <w:rPr>
                <w:sz w:val="1"/>
                <w:szCs w:val="1"/>
                <w:color w:val="auto"/>
              </w:rPr>
            </w:pPr>
          </w:p>
        </w:tc>
      </w:tr>
      <w:tr>
        <w:trPr>
          <w:trHeight w:val="270"/>
        </w:trPr>
        <w:tc>
          <w:tcPr>
            <w:tcW w:w="3380" w:type="dxa"/>
            <w:vAlign w:val="bottom"/>
            <w:gridSpan w:val="2"/>
          </w:tcPr>
          <w:p>
            <w:pPr>
              <w:ind w:left="20"/>
              <w:spacing w:after="0"/>
              <w:rPr>
                <w:sz w:val="20"/>
                <w:szCs w:val="20"/>
                <w:color w:val="auto"/>
              </w:rPr>
            </w:pPr>
            <w:r>
              <w:rPr>
                <w:rFonts w:ascii="Arial" w:cs="Arial" w:eastAsia="Arial" w:hAnsi="Arial"/>
                <w:sz w:val="16"/>
                <w:szCs w:val="16"/>
                <w:color w:val="auto"/>
              </w:rPr>
              <w:t>Lytro, Inc.</w:t>
            </w:r>
            <w:r>
              <w:rPr>
                <w:rFonts w:ascii="Arial" w:cs="Arial" w:eastAsia="Arial" w:hAnsi="Arial"/>
                <w:sz w:val="21"/>
                <w:szCs w:val="21"/>
                <w:color w:val="auto"/>
                <w:vertAlign w:val="superscript"/>
              </w:rPr>
              <w:t>(6)</w:t>
            </w:r>
          </w:p>
        </w:tc>
        <w:tc>
          <w:tcPr>
            <w:tcW w:w="1200" w:type="dxa"/>
            <w:vAlign w:val="bottom"/>
          </w:tcPr>
          <w:p>
            <w:pPr>
              <w:jc w:val="center"/>
              <w:spacing w:after="0"/>
              <w:rPr>
                <w:sz w:val="20"/>
                <w:szCs w:val="20"/>
                <w:color w:val="auto"/>
              </w:rPr>
            </w:pPr>
            <w:r>
              <w:rPr>
                <w:rFonts w:ascii="Arial" w:cs="Arial" w:eastAsia="Arial" w:hAnsi="Arial"/>
                <w:sz w:val="16"/>
                <w:szCs w:val="16"/>
                <w:color w:val="auto"/>
                <w:w w:val="89"/>
              </w:rPr>
              <w:t>8/1/2018</w:t>
            </w:r>
          </w:p>
        </w:tc>
        <w:tc>
          <w:tcPr>
            <w:tcW w:w="1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3,537,539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0.22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791,596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(9,711,762)</w:t>
            </w:r>
          </w:p>
        </w:tc>
        <w:tc>
          <w:tcPr>
            <w:tcW w:w="0" w:type="dxa"/>
            <w:vAlign w:val="bottom"/>
          </w:tcPr>
          <w:p>
            <w:pPr>
              <w:spacing w:after="0"/>
              <w:rPr>
                <w:sz w:val="1"/>
                <w:szCs w:val="1"/>
                <w:color w:val="auto"/>
              </w:rPr>
            </w:pPr>
          </w:p>
        </w:tc>
      </w:tr>
      <w:tr>
        <w:trPr>
          <w:trHeight w:val="270"/>
        </w:trPr>
        <w:tc>
          <w:tcPr>
            <w:tcW w:w="3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SugarCRM, Inc.</w:t>
            </w:r>
            <w:r>
              <w:rPr>
                <w:rFonts w:ascii="Arial" w:cs="Arial" w:eastAsia="Arial" w:hAnsi="Arial"/>
                <w:sz w:val="21"/>
                <w:szCs w:val="21"/>
                <w:color w:val="auto"/>
                <w:vertAlign w:val="superscript"/>
              </w:rPr>
              <w:t>(7)</w:t>
            </w:r>
          </w:p>
        </w:tc>
        <w:tc>
          <w:tcPr>
            <w:tcW w:w="12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8/30/2018</w:t>
            </w:r>
          </w:p>
        </w:tc>
        <w:tc>
          <w:tcPr>
            <w:tcW w:w="12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1,897,933</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2,645,183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(4,332,777)</w:t>
            </w:r>
          </w:p>
        </w:tc>
        <w:tc>
          <w:tcPr>
            <w:tcW w:w="0" w:type="dxa"/>
            <w:vAlign w:val="bottom"/>
          </w:tcPr>
          <w:p>
            <w:pPr>
              <w:spacing w:after="0"/>
              <w:rPr>
                <w:sz w:val="1"/>
                <w:szCs w:val="1"/>
                <w:color w:val="auto"/>
              </w:rPr>
            </w:pPr>
          </w:p>
        </w:tc>
      </w:tr>
      <w:tr>
        <w:trPr>
          <w:trHeight w:val="270"/>
        </w:trPr>
        <w:tc>
          <w:tcPr>
            <w:tcW w:w="33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DreamBox Learning, Inc.</w:t>
            </w:r>
            <w:r>
              <w:rPr>
                <w:rFonts w:ascii="Arial" w:cs="Arial" w:eastAsia="Arial" w:hAnsi="Arial"/>
                <w:sz w:val="21"/>
                <w:szCs w:val="21"/>
                <w:color w:val="auto"/>
                <w:vertAlign w:val="superscript"/>
              </w:rPr>
              <w:t>(8)</w:t>
            </w:r>
          </w:p>
        </w:tc>
        <w:tc>
          <w:tcPr>
            <w:tcW w:w="120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w w:val="89"/>
              </w:rPr>
              <w:t>9/5/2018</w:t>
            </w:r>
          </w:p>
        </w:tc>
        <w:tc>
          <w:tcPr>
            <w:tcW w:w="120" w:type="dxa"/>
            <w:vAlign w:val="bottom"/>
            <w:tcBorders>
              <w:bottom w:val="single" w:sz="8" w:color="CCEEFF"/>
            </w:tcBorders>
          </w:tcPr>
          <w:p>
            <w:pPr>
              <w:spacing w:after="0"/>
              <w:rPr>
                <w:sz w:val="23"/>
                <w:szCs w:val="23"/>
                <w:color w:val="auto"/>
              </w:rPr>
            </w:pPr>
          </w:p>
        </w:tc>
        <w:tc>
          <w:tcPr>
            <w:tcW w:w="13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10,738,831</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CCEEFF"/>
            </w:tcBorders>
          </w:tcPr>
          <w:p>
            <w:pPr>
              <w:spacing w:after="0"/>
              <w:rPr>
                <w:sz w:val="23"/>
                <w:szCs w:val="23"/>
                <w:color w:val="auto"/>
              </w:rPr>
            </w:pP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0.48</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5,176,630</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2,916,251</w:t>
            </w:r>
          </w:p>
        </w:tc>
        <w:tc>
          <w:tcPr>
            <w:tcW w:w="0" w:type="dxa"/>
            <w:vAlign w:val="bottom"/>
          </w:tcPr>
          <w:p>
            <w:pPr>
              <w:spacing w:after="0"/>
              <w:rPr>
                <w:sz w:val="1"/>
                <w:szCs w:val="1"/>
                <w:color w:val="auto"/>
              </w:rPr>
            </w:pPr>
          </w:p>
        </w:tc>
      </w:tr>
      <w:tr>
        <w:trPr>
          <w:trHeight w:val="244"/>
        </w:trPr>
        <w:tc>
          <w:tcPr>
            <w:tcW w:w="3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32,395,839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(8,587,290)</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-539750</wp:posOffset>
            </wp:positionV>
            <wp:extent cx="77152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71525" cy="8890"/>
                    </a:xfrm>
                    <a:prstGeom prst="rect">
                      <a:avLst/>
                    </a:prstGeom>
                    <a:noFill/>
                  </pic:spPr>
                </pic:pic>
              </a:graphicData>
            </a:graphic>
          </wp:anchor>
        </w:drawing>
        <w:drawing>
          <wp:anchor simplePos="0" relativeHeight="251657728" behindDoc="1" locked="0" layoutInCell="0" allowOverlap="1">
            <wp:simplePos x="0" y="0"/>
            <wp:positionH relativeFrom="column">
              <wp:posOffset>391160</wp:posOffset>
            </wp:positionH>
            <wp:positionV relativeFrom="paragraph">
              <wp:posOffset>-882650</wp:posOffset>
            </wp:positionV>
            <wp:extent cx="465645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656455" cy="889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__________________</w:t>
      </w:r>
    </w:p>
    <w:p>
      <w:pPr>
        <w:spacing w:after="0" w:line="23" w:lineRule="exact"/>
        <w:rPr>
          <w:sz w:val="20"/>
          <w:szCs w:val="20"/>
          <w:color w:val="auto"/>
        </w:rPr>
      </w:pPr>
    </w:p>
    <w:p>
      <w:pPr>
        <w:ind w:left="500" w:hanging="492"/>
        <w:spacing w:after="0"/>
        <w:tabs>
          <w:tab w:leader="none" w:pos="5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average net share price is the net share price realized after deducting all commissions and fees on the sale(s), if applicable.</w:t>
      </w:r>
    </w:p>
    <w:p>
      <w:pPr>
        <w:spacing w:after="0" w:line="5" w:lineRule="exact"/>
        <w:rPr>
          <w:rFonts w:ascii="Arial" w:cs="Arial" w:eastAsia="Arial" w:hAnsi="Arial"/>
          <w:sz w:val="16"/>
          <w:szCs w:val="16"/>
          <w:color w:val="auto"/>
        </w:rPr>
      </w:pPr>
    </w:p>
    <w:p>
      <w:pPr>
        <w:ind w:left="500" w:hanging="492"/>
        <w:spacing w:after="0"/>
        <w:tabs>
          <w:tab w:leader="none" w:pos="5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As of February 22, 2018, all remaining shares of Chegg, Inc. held by us had been sold.</w:t>
      </w:r>
    </w:p>
    <w:p>
      <w:pPr>
        <w:spacing w:after="0" w:line="5" w:lineRule="exact"/>
        <w:rPr>
          <w:rFonts w:ascii="Arial" w:cs="Arial" w:eastAsia="Arial" w:hAnsi="Arial"/>
          <w:sz w:val="16"/>
          <w:szCs w:val="16"/>
          <w:color w:val="auto"/>
        </w:rPr>
      </w:pPr>
    </w:p>
    <w:p>
      <w:pPr>
        <w:ind w:left="500" w:hanging="492"/>
        <w:spacing w:after="0"/>
        <w:tabs>
          <w:tab w:leader="none" w:pos="5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Represents repayment of the 12% Unsecured Promissory Note Due 1/15/2018</w:t>
      </w:r>
    </w:p>
    <w:p>
      <w:pPr>
        <w:spacing w:after="0" w:line="5" w:lineRule="exact"/>
        <w:rPr>
          <w:rFonts w:ascii="Arial" w:cs="Arial" w:eastAsia="Arial" w:hAnsi="Arial"/>
          <w:sz w:val="16"/>
          <w:szCs w:val="16"/>
          <w:color w:val="auto"/>
        </w:rPr>
      </w:pPr>
    </w:p>
    <w:p>
      <w:pPr>
        <w:ind w:left="500" w:hanging="492"/>
        <w:spacing w:after="0"/>
        <w:tabs>
          <w:tab w:leader="none" w:pos="5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Realized gain/(loss) does not include amounts held in escrow or any realized gain/(loss) incurred on the maturity of our U.S. Treasury investments.</w:t>
      </w:r>
    </w:p>
    <w:p>
      <w:pPr>
        <w:spacing w:after="0" w:line="5" w:lineRule="exact"/>
        <w:rPr>
          <w:rFonts w:ascii="Arial" w:cs="Arial" w:eastAsia="Arial" w:hAnsi="Arial"/>
          <w:sz w:val="16"/>
          <w:szCs w:val="16"/>
          <w:color w:val="auto"/>
        </w:rPr>
      </w:pPr>
    </w:p>
    <w:p>
      <w:pPr>
        <w:ind w:left="500" w:right="40" w:hanging="492"/>
        <w:spacing w:after="0" w:line="246" w:lineRule="auto"/>
        <w:tabs>
          <w:tab w:leader="none" w:pos="5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On April 16, 2018, Adecco Group, a Swiss staffing company, announced that it was acquiring technology education provider General Assembly Space, Inc. for $412.5 million, including debt financing. We have received approximately $7.8 million in net proceeds as a result of the transaction, with approximately $1.5 million of additional proceeds currently being held in escrow. We expect to receive the escrow in 2019.</w:t>
      </w:r>
    </w:p>
    <w:p>
      <w:pPr>
        <w:spacing w:after="0" w:line="1" w:lineRule="exact"/>
        <w:rPr>
          <w:rFonts w:ascii="Arial" w:cs="Arial" w:eastAsia="Arial" w:hAnsi="Arial"/>
          <w:sz w:val="16"/>
          <w:szCs w:val="16"/>
          <w:color w:val="auto"/>
        </w:rPr>
      </w:pPr>
    </w:p>
    <w:p>
      <w:pPr>
        <w:ind w:left="500" w:right="240" w:hanging="492"/>
        <w:spacing w:after="0" w:line="248" w:lineRule="auto"/>
        <w:tabs>
          <w:tab w:leader="none" w:pos="5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On March 27, 2018, Lytro, Inc. announced that it was preparing to wind down the company over an unspecified period of time. Google LLC acquired Lytro, Inc.’s intellectual property and certain other assets. As a result of the transaction, we have received $0.8 million in net proceeds and expects to receive approximately $0.4 million in additional proceeds currently held in escrow. We expect to receive the proceeds held in escrow in 2019.</w:t>
      </w:r>
    </w:p>
    <w:p>
      <w:pPr>
        <w:jc w:val="both"/>
        <w:ind w:left="500" w:right="240" w:hanging="492"/>
        <w:spacing w:after="0" w:line="264" w:lineRule="auto"/>
        <w:tabs>
          <w:tab w:leader="none" w:pos="500" w:val="left"/>
        </w:tabs>
        <w:numPr>
          <w:ilvl w:val="0"/>
          <w:numId w:val="39"/>
        </w:numPr>
        <w:rPr>
          <w:rFonts w:ascii="Arial" w:cs="Arial" w:eastAsia="Arial" w:hAnsi="Arial"/>
          <w:sz w:val="18"/>
          <w:szCs w:val="18"/>
          <w:color w:val="auto"/>
        </w:rPr>
      </w:pPr>
      <w:r>
        <w:rPr>
          <w:rFonts w:ascii="Arial" w:cs="Arial" w:eastAsia="Arial" w:hAnsi="Arial"/>
          <w:sz w:val="16"/>
          <w:szCs w:val="16"/>
          <w:color w:val="auto"/>
        </w:rPr>
        <w:t>On June 14, 2018, SugarCRM, Inc. entered into an agreement to be purchased by AKKR Candy Holdings, Inc. As a result of the transaction, we have received $2.6 million in net proceeds and expects to receive approximately $0.3 million in additional proceeds currently held in escrow. We expect to receive the proceeds held in escrow in 2019.</w:t>
      </w:r>
    </w:p>
    <w:p>
      <w:pPr>
        <w:spacing w:after="0" w:line="2" w:lineRule="exact"/>
        <w:rPr>
          <w:rFonts w:ascii="Arial" w:cs="Arial" w:eastAsia="Arial" w:hAnsi="Arial"/>
          <w:sz w:val="18"/>
          <w:szCs w:val="18"/>
          <w:color w:val="auto"/>
        </w:rPr>
      </w:pPr>
    </w:p>
    <w:p>
      <w:pPr>
        <w:jc w:val="both"/>
        <w:ind w:left="500" w:right="20" w:hanging="492"/>
        <w:spacing w:after="0" w:line="258" w:lineRule="auto"/>
        <w:tabs>
          <w:tab w:leader="none" w:pos="5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On July 18, 2018, DreamBox Learning, Inc. entered into a definitive agreement to be acquired by a wholly owned subsidiary of DreamBox Learning Holding, LLC, an entity owned by The Rise Fund Deneb, LP. As a result of the transaction, we have received $5.2 million in proceeds and expects to receive approximately $0.3 million in additional proceeds currently held in escrow. We expect to receive the proceeds held in escrow in 2019.</w:t>
      </w:r>
    </w:p>
    <w:p>
      <w:pPr>
        <w:spacing w:after="0" w:line="181" w:lineRule="exact"/>
        <w:rPr>
          <w:rFonts w:ascii="Arial" w:cs="Arial" w:eastAsia="Arial" w:hAnsi="Arial"/>
          <w:sz w:val="16"/>
          <w:szCs w:val="16"/>
          <w:color w:val="auto"/>
        </w:rPr>
      </w:pPr>
    </w:p>
    <w:p>
      <w:pPr>
        <w:ind w:left="500"/>
        <w:spacing w:after="0"/>
        <w:rPr>
          <w:rFonts w:ascii="Arial" w:cs="Arial" w:eastAsia="Arial" w:hAnsi="Arial"/>
          <w:sz w:val="16"/>
          <w:szCs w:val="16"/>
          <w:color w:val="auto"/>
        </w:rPr>
      </w:pPr>
      <w:r>
        <w:rPr>
          <w:rFonts w:ascii="Arial" w:cs="Arial" w:eastAsia="Arial" w:hAnsi="Arial"/>
          <w:sz w:val="18"/>
          <w:szCs w:val="18"/>
          <w:color w:val="auto"/>
        </w:rPr>
        <w:t>During the nine months ended September 30, 2018 we did not write-off any investments.</w:t>
      </w:r>
    </w:p>
    <w:p>
      <w:pPr>
        <w:spacing w:after="0" w:line="200" w:lineRule="exact"/>
        <w:rPr>
          <w:sz w:val="20"/>
          <w:szCs w:val="20"/>
          <w:color w:val="auto"/>
        </w:rPr>
      </w:pPr>
    </w:p>
    <w:p>
      <w:pPr>
        <w:spacing w:after="0" w:line="26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60"/>
          </w:cols>
          <w:pgMar w:left="240" w:top="122" w:right="299" w:bottom="1440" w:gutter="0" w:footer="0" w:header="0"/>
        </w:sectPr>
      </w:pPr>
    </w:p>
    <w:bookmarkStart w:id="60" w:name="page61"/>
    <w:bookmarkEnd w:id="60"/>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48" w:lineRule="exact"/>
        <w:rPr>
          <w:sz w:val="20"/>
          <w:szCs w:val="20"/>
          <w:color w:val="auto"/>
        </w:rPr>
      </w:pPr>
    </w:p>
    <w:p>
      <w:pPr>
        <w:ind w:right="240" w:firstLine="351"/>
        <w:spacing w:after="0" w:line="342" w:lineRule="auto"/>
        <w:rPr>
          <w:sz w:val="20"/>
          <w:szCs w:val="20"/>
          <w:color w:val="auto"/>
        </w:rPr>
      </w:pPr>
      <w:r>
        <w:rPr>
          <w:rFonts w:ascii="Arial" w:cs="Arial" w:eastAsia="Arial" w:hAnsi="Arial"/>
          <w:sz w:val="16"/>
          <w:szCs w:val="16"/>
          <w:color w:val="auto"/>
        </w:rPr>
        <w:t>During the three and nine months ended September 30, 2017, we did not purchase or close on any investments. We did, however, pay $2,080 in capitalized fees. The table below summarizes the portfolio investments we wrote-off and sold during the three and nine months ended September 30, 2017:</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4"/>
          </w:tcPr>
          <w:p>
            <w:pPr>
              <w:jc w:val="center"/>
              <w:ind w:right="123"/>
              <w:spacing w:after="0"/>
              <w:rPr>
                <w:sz w:val="20"/>
                <w:szCs w:val="20"/>
                <w:color w:val="auto"/>
              </w:rPr>
            </w:pPr>
            <w:r>
              <w:rPr>
                <w:rFonts w:ascii="Arial" w:cs="Arial" w:eastAsia="Arial" w:hAnsi="Arial"/>
                <w:sz w:val="14"/>
                <w:szCs w:val="14"/>
                <w:b w:val="1"/>
                <w:bCs w:val="1"/>
                <w:color w:val="auto"/>
                <w:w w:val="93"/>
              </w:rPr>
              <w:t>Three Months Ended September 30, 2017</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4"/>
          </w:tcPr>
          <w:p>
            <w:pPr>
              <w:jc w:val="right"/>
              <w:ind w:right="420"/>
              <w:spacing w:after="0"/>
              <w:rPr>
                <w:sz w:val="20"/>
                <w:szCs w:val="20"/>
                <w:color w:val="auto"/>
              </w:rPr>
            </w:pPr>
            <w:r>
              <w:rPr>
                <w:rFonts w:ascii="Arial" w:cs="Arial" w:eastAsia="Arial" w:hAnsi="Arial"/>
                <w:sz w:val="14"/>
                <w:szCs w:val="14"/>
                <w:b w:val="1"/>
                <w:bCs w:val="1"/>
                <w:color w:val="auto"/>
              </w:rPr>
              <w:t>Nine Months Ended September 30, 2017</w:t>
            </w:r>
          </w:p>
        </w:tc>
        <w:tc>
          <w:tcPr>
            <w:tcW w:w="0" w:type="dxa"/>
            <w:vAlign w:val="bottom"/>
          </w:tcPr>
          <w:p>
            <w:pPr>
              <w:spacing w:after="0"/>
              <w:rPr>
                <w:sz w:val="1"/>
                <w:szCs w:val="1"/>
                <w:color w:val="auto"/>
              </w:rPr>
            </w:pPr>
          </w:p>
        </w:tc>
      </w:tr>
      <w:tr>
        <w:trPr>
          <w:trHeight w:val="152"/>
        </w:trPr>
        <w:tc>
          <w:tcPr>
            <w:tcW w:w="38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Portfolio Company</w:t>
            </w:r>
          </w:p>
        </w:tc>
        <w:tc>
          <w:tcPr>
            <w:tcW w:w="12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vMerge w:val="restart"/>
          </w:tcPr>
          <w:p>
            <w:pPr>
              <w:jc w:val="right"/>
              <w:ind w:right="303"/>
              <w:spacing w:after="0"/>
              <w:rPr>
                <w:sz w:val="20"/>
                <w:szCs w:val="20"/>
                <w:color w:val="auto"/>
              </w:rPr>
            </w:pPr>
            <w:r>
              <w:rPr>
                <w:rFonts w:ascii="Arial" w:cs="Arial" w:eastAsia="Arial" w:hAnsi="Arial"/>
                <w:sz w:val="14"/>
                <w:szCs w:val="14"/>
                <w:b w:val="1"/>
                <w:bCs w:val="1"/>
                <w:color w:val="auto"/>
              </w:rPr>
              <w:t>Net Proceeds</w:t>
            </w:r>
          </w:p>
        </w:tc>
        <w:tc>
          <w:tcPr>
            <w:tcW w:w="100" w:type="dxa"/>
            <w:vAlign w:val="bottom"/>
            <w:vMerge w:val="restart"/>
          </w:tcPr>
          <w:p>
            <w:pPr>
              <w:spacing w:after="0"/>
              <w:rPr>
                <w:sz w:val="13"/>
                <w:szCs w:val="13"/>
                <w:color w:val="auto"/>
              </w:rPr>
            </w:pPr>
          </w:p>
        </w:tc>
        <w:tc>
          <w:tcPr>
            <w:tcW w:w="280" w:type="dxa"/>
            <w:vAlign w:val="bottom"/>
          </w:tcPr>
          <w:p>
            <w:pPr>
              <w:spacing w:after="0"/>
              <w:rPr>
                <w:sz w:val="13"/>
                <w:szCs w:val="13"/>
                <w:color w:val="auto"/>
              </w:rPr>
            </w:pPr>
          </w:p>
        </w:tc>
        <w:tc>
          <w:tcPr>
            <w:tcW w:w="1580" w:type="dxa"/>
            <w:vAlign w:val="bottom"/>
            <w:gridSpan w:val="2"/>
          </w:tcPr>
          <w:p>
            <w:pPr>
              <w:ind w:left="340"/>
              <w:spacing w:after="0" w:line="153" w:lineRule="exact"/>
              <w:rPr>
                <w:sz w:val="20"/>
                <w:szCs w:val="20"/>
                <w:color w:val="auto"/>
              </w:rPr>
            </w:pPr>
            <w:r>
              <w:rPr>
                <w:rFonts w:ascii="Arial" w:cs="Arial" w:eastAsia="Arial" w:hAnsi="Arial"/>
                <w:sz w:val="14"/>
                <w:szCs w:val="14"/>
                <w:b w:val="1"/>
                <w:bCs w:val="1"/>
                <w:color w:val="auto"/>
              </w:rPr>
              <w:t>Realized</w:t>
            </w:r>
          </w:p>
        </w:tc>
        <w:tc>
          <w:tcPr>
            <w:tcW w:w="260" w:type="dxa"/>
            <w:vAlign w:val="bottom"/>
          </w:tcPr>
          <w:p>
            <w:pPr>
              <w:spacing w:after="0"/>
              <w:rPr>
                <w:sz w:val="13"/>
                <w:szCs w:val="13"/>
                <w:color w:val="auto"/>
              </w:rPr>
            </w:pPr>
          </w:p>
        </w:tc>
        <w:tc>
          <w:tcPr>
            <w:tcW w:w="138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Net Proceeds</w:t>
            </w:r>
          </w:p>
        </w:tc>
        <w:tc>
          <w:tcPr>
            <w:tcW w:w="100" w:type="dxa"/>
            <w:vAlign w:val="bottom"/>
            <w:vMerge w:val="restart"/>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tcPr>
          <w:p>
            <w:pPr>
              <w:jc w:val="right"/>
              <w:ind w:right="520"/>
              <w:spacing w:after="0" w:line="153" w:lineRule="exact"/>
              <w:rPr>
                <w:sz w:val="20"/>
                <w:szCs w:val="20"/>
                <w:color w:val="auto"/>
              </w:rPr>
            </w:pPr>
            <w:r>
              <w:rPr>
                <w:rFonts w:ascii="Arial" w:cs="Arial" w:eastAsia="Arial" w:hAnsi="Arial"/>
                <w:sz w:val="14"/>
                <w:szCs w:val="14"/>
                <w:b w:val="1"/>
                <w:bCs w:val="1"/>
                <w:color w:val="auto"/>
              </w:rPr>
              <w:t>Realized</w:t>
            </w:r>
          </w:p>
        </w:tc>
        <w:tc>
          <w:tcPr>
            <w:tcW w:w="0" w:type="dxa"/>
            <w:vAlign w:val="bottom"/>
          </w:tcPr>
          <w:p>
            <w:pPr>
              <w:spacing w:after="0"/>
              <w:rPr>
                <w:sz w:val="1"/>
                <w:szCs w:val="1"/>
                <w:color w:val="auto"/>
              </w:rPr>
            </w:pPr>
          </w:p>
        </w:tc>
      </w:tr>
      <w:tr>
        <w:trPr>
          <w:trHeight w:val="192"/>
        </w:trPr>
        <w:tc>
          <w:tcPr>
            <w:tcW w:w="38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Gain/(Loss)</w:t>
            </w:r>
            <w:r>
              <w:rPr>
                <w:rFonts w:ascii="Arial" w:cs="Arial" w:eastAsia="Arial" w:hAnsi="Arial"/>
                <w:sz w:val="8"/>
                <w:szCs w:val="8"/>
                <w:b w:val="1"/>
                <w:bCs w:val="1"/>
                <w:color w:val="auto"/>
              </w:rPr>
              <w:t>(1)</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Gain/(Loss)</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250"/>
        </w:trPr>
        <w:tc>
          <w:tcPr>
            <w:tcW w:w="3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AliphCom, Inc. (d/b/a Jawbone)</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(793,152)</w:t>
            </w:r>
          </w:p>
        </w:tc>
        <w:tc>
          <w:tcPr>
            <w:tcW w:w="0" w:type="dxa"/>
            <w:vAlign w:val="bottom"/>
          </w:tcPr>
          <w:p>
            <w:pPr>
              <w:spacing w:after="0"/>
              <w:rPr>
                <w:sz w:val="1"/>
                <w:szCs w:val="1"/>
                <w:color w:val="auto"/>
              </w:rPr>
            </w:pPr>
          </w:p>
        </w:tc>
      </w:tr>
      <w:tr>
        <w:trPr>
          <w:trHeight w:val="237"/>
        </w:trPr>
        <w:tc>
          <w:tcPr>
            <w:tcW w:w="3960" w:type="dxa"/>
            <w:vAlign w:val="bottom"/>
            <w:gridSpan w:val="2"/>
          </w:tcPr>
          <w:p>
            <w:pPr>
              <w:ind w:left="40"/>
              <w:spacing w:after="0"/>
              <w:rPr>
                <w:sz w:val="20"/>
                <w:szCs w:val="20"/>
                <w:color w:val="auto"/>
              </w:rPr>
            </w:pPr>
            <w:r>
              <w:rPr>
                <w:rFonts w:ascii="Arial" w:cs="Arial" w:eastAsia="Arial" w:hAnsi="Arial"/>
                <w:sz w:val="16"/>
                <w:szCs w:val="16"/>
                <w:color w:val="auto"/>
              </w:rPr>
              <w:t>AlwaysOn, Inc.</w:t>
            </w: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(1,903,414)</w:t>
            </w:r>
          </w:p>
        </w:tc>
        <w:tc>
          <w:tcPr>
            <w:tcW w:w="0" w:type="dxa"/>
            <w:vAlign w:val="bottom"/>
          </w:tcPr>
          <w:p>
            <w:pPr>
              <w:spacing w:after="0"/>
              <w:rPr>
                <w:sz w:val="1"/>
                <w:szCs w:val="1"/>
                <w:color w:val="auto"/>
              </w:rPr>
            </w:pPr>
          </w:p>
        </w:tc>
      </w:tr>
      <w:tr>
        <w:trPr>
          <w:trHeight w:val="33"/>
        </w:trPr>
        <w:tc>
          <w:tcPr>
            <w:tcW w:w="3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Beamreach Solar, Inc. (f/k/a Solexel, Inc.)</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(14,272,840)</w:t>
            </w:r>
          </w:p>
        </w:tc>
        <w:tc>
          <w:tcPr>
            <w:tcW w:w="0" w:type="dxa"/>
            <w:vAlign w:val="bottom"/>
          </w:tcPr>
          <w:p>
            <w:pPr>
              <w:spacing w:after="0"/>
              <w:rPr>
                <w:sz w:val="1"/>
                <w:szCs w:val="1"/>
                <w:color w:val="auto"/>
              </w:rPr>
            </w:pPr>
          </w:p>
        </w:tc>
      </w:tr>
      <w:tr>
        <w:trPr>
          <w:trHeight w:val="237"/>
        </w:trPr>
        <w:tc>
          <w:tcPr>
            <w:tcW w:w="3960" w:type="dxa"/>
            <w:vAlign w:val="bottom"/>
            <w:gridSpan w:val="2"/>
          </w:tcPr>
          <w:p>
            <w:pPr>
              <w:ind w:left="40"/>
              <w:spacing w:after="0"/>
              <w:rPr>
                <w:sz w:val="20"/>
                <w:szCs w:val="20"/>
                <w:color w:val="auto"/>
              </w:rPr>
            </w:pPr>
            <w:r>
              <w:rPr>
                <w:rFonts w:ascii="Arial" w:cs="Arial" w:eastAsia="Arial" w:hAnsi="Arial"/>
                <w:sz w:val="16"/>
                <w:szCs w:val="16"/>
                <w:color w:val="auto"/>
              </w:rPr>
              <w:t>Cricket Media (f/k/a ePals Corporation)</w:t>
            </w: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(2,448,959)</w:t>
            </w:r>
          </w:p>
        </w:tc>
        <w:tc>
          <w:tcPr>
            <w:tcW w:w="0" w:type="dxa"/>
            <w:vAlign w:val="bottom"/>
          </w:tcPr>
          <w:p>
            <w:pPr>
              <w:spacing w:after="0"/>
              <w:rPr>
                <w:sz w:val="1"/>
                <w:szCs w:val="1"/>
                <w:color w:val="auto"/>
              </w:rPr>
            </w:pPr>
          </w:p>
        </w:tc>
      </w:tr>
      <w:tr>
        <w:trPr>
          <w:trHeight w:val="33"/>
        </w:trPr>
        <w:tc>
          <w:tcPr>
            <w:tcW w:w="3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EarlyShares.com, Inc.</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(312,438)</w:t>
            </w:r>
          </w:p>
        </w:tc>
        <w:tc>
          <w:tcPr>
            <w:tcW w:w="0" w:type="dxa"/>
            <w:vAlign w:val="bottom"/>
          </w:tcPr>
          <w:p>
            <w:pPr>
              <w:spacing w:after="0"/>
              <w:rPr>
                <w:sz w:val="1"/>
                <w:szCs w:val="1"/>
                <w:color w:val="auto"/>
              </w:rPr>
            </w:pPr>
          </w:p>
        </w:tc>
      </w:tr>
      <w:tr>
        <w:trPr>
          <w:trHeight w:val="237"/>
        </w:trPr>
        <w:tc>
          <w:tcPr>
            <w:tcW w:w="3960" w:type="dxa"/>
            <w:vAlign w:val="bottom"/>
            <w:gridSpan w:val="2"/>
          </w:tcPr>
          <w:p>
            <w:pPr>
              <w:ind w:left="40"/>
              <w:spacing w:after="0"/>
              <w:rPr>
                <w:sz w:val="20"/>
                <w:szCs w:val="20"/>
                <w:color w:val="auto"/>
              </w:rPr>
            </w:pPr>
            <w:r>
              <w:rPr>
                <w:rFonts w:ascii="Arial" w:cs="Arial" w:eastAsia="Arial" w:hAnsi="Arial"/>
                <w:sz w:val="16"/>
                <w:szCs w:val="16"/>
                <w:color w:val="auto"/>
              </w:rPr>
              <w:t>Orchestra One, Inc. (f/k/a Learnist, Inc.)</w:t>
            </w: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(4,959,614)</w:t>
            </w:r>
          </w:p>
        </w:tc>
        <w:tc>
          <w:tcPr>
            <w:tcW w:w="0" w:type="dxa"/>
            <w:vAlign w:val="bottom"/>
          </w:tcPr>
          <w:p>
            <w:pPr>
              <w:spacing w:after="0"/>
              <w:rPr>
                <w:sz w:val="1"/>
                <w:szCs w:val="1"/>
                <w:color w:val="auto"/>
              </w:rPr>
            </w:pPr>
          </w:p>
        </w:tc>
      </w:tr>
      <w:tr>
        <w:trPr>
          <w:trHeight w:val="33"/>
        </w:trPr>
        <w:tc>
          <w:tcPr>
            <w:tcW w:w="3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Global Education Learning (Holdings) Ltd.</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(675,495)</w:t>
            </w:r>
          </w:p>
        </w:tc>
        <w:tc>
          <w:tcPr>
            <w:tcW w:w="0" w:type="dxa"/>
            <w:vAlign w:val="bottom"/>
          </w:tcPr>
          <w:p>
            <w:pPr>
              <w:spacing w:after="0"/>
              <w:rPr>
                <w:sz w:val="1"/>
                <w:szCs w:val="1"/>
                <w:color w:val="auto"/>
              </w:rPr>
            </w:pPr>
          </w:p>
        </w:tc>
      </w:tr>
      <w:tr>
        <w:trPr>
          <w:trHeight w:val="237"/>
        </w:trPr>
        <w:tc>
          <w:tcPr>
            <w:tcW w:w="3960" w:type="dxa"/>
            <w:vAlign w:val="bottom"/>
            <w:gridSpan w:val="2"/>
          </w:tcPr>
          <w:p>
            <w:pPr>
              <w:ind w:left="40"/>
              <w:spacing w:after="0"/>
              <w:rPr>
                <w:sz w:val="20"/>
                <w:szCs w:val="20"/>
                <w:color w:val="auto"/>
              </w:rPr>
            </w:pPr>
            <w:r>
              <w:rPr>
                <w:rFonts w:ascii="Arial" w:cs="Arial" w:eastAsia="Arial" w:hAnsi="Arial"/>
                <w:sz w:val="16"/>
                <w:szCs w:val="16"/>
                <w:color w:val="auto"/>
              </w:rPr>
              <w:t>Snap, Inc.</w:t>
            </w:r>
          </w:p>
        </w:tc>
        <w:tc>
          <w:tcPr>
            <w:tcW w:w="240" w:type="dxa"/>
            <w:vAlign w:val="bottom"/>
          </w:tcPr>
          <w:p>
            <w:pPr>
              <w:spacing w:after="0"/>
              <w:rPr>
                <w:sz w:val="20"/>
                <w:szCs w:val="20"/>
                <w:color w:val="auto"/>
              </w:rPr>
            </w:pPr>
          </w:p>
        </w:tc>
        <w:tc>
          <w:tcPr>
            <w:tcW w:w="1320" w:type="dxa"/>
            <w:vAlign w:val="bottom"/>
          </w:tcPr>
          <w:p>
            <w:pPr>
              <w:jc w:val="right"/>
              <w:ind w:right="23"/>
              <w:spacing w:after="0"/>
              <w:rPr>
                <w:sz w:val="20"/>
                <w:szCs w:val="20"/>
                <w:color w:val="auto"/>
              </w:rPr>
            </w:pPr>
            <w:r>
              <w:rPr>
                <w:rFonts w:ascii="Arial" w:cs="Arial" w:eastAsia="Arial" w:hAnsi="Arial"/>
                <w:sz w:val="16"/>
                <w:szCs w:val="16"/>
                <w:color w:val="auto"/>
              </w:rPr>
              <w:t>4,033,360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60" w:type="dxa"/>
            <w:vAlign w:val="bottom"/>
          </w:tcPr>
          <w:p>
            <w:pPr>
              <w:jc w:val="right"/>
              <w:ind w:right="23"/>
              <w:spacing w:after="0"/>
              <w:rPr>
                <w:sz w:val="20"/>
                <w:szCs w:val="20"/>
                <w:color w:val="auto"/>
              </w:rPr>
            </w:pPr>
            <w:r>
              <w:rPr>
                <w:rFonts w:ascii="Arial" w:cs="Arial" w:eastAsia="Arial" w:hAnsi="Arial"/>
                <w:sz w:val="16"/>
                <w:szCs w:val="16"/>
                <w:color w:val="auto"/>
              </w:rPr>
              <w:t>31,090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4,033,360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60" w:type="dxa"/>
            <w:vAlign w:val="bottom"/>
          </w:tcPr>
          <w:p>
            <w:pPr>
              <w:jc w:val="right"/>
              <w:ind w:right="20"/>
              <w:spacing w:after="0"/>
              <w:rPr>
                <w:sz w:val="20"/>
                <w:szCs w:val="20"/>
                <w:color w:val="auto"/>
              </w:rPr>
            </w:pPr>
            <w:r>
              <w:rPr>
                <w:rFonts w:ascii="Arial" w:cs="Arial" w:eastAsia="Arial" w:hAnsi="Arial"/>
                <w:sz w:val="16"/>
                <w:szCs w:val="16"/>
                <w:color w:val="auto"/>
              </w:rPr>
              <w:t>31,090</w:t>
            </w:r>
          </w:p>
        </w:tc>
        <w:tc>
          <w:tcPr>
            <w:tcW w:w="0" w:type="dxa"/>
            <w:vAlign w:val="bottom"/>
          </w:tcPr>
          <w:p>
            <w:pPr>
              <w:spacing w:after="0"/>
              <w:rPr>
                <w:sz w:val="1"/>
                <w:szCs w:val="1"/>
                <w:color w:val="auto"/>
              </w:rPr>
            </w:pPr>
          </w:p>
        </w:tc>
      </w:tr>
      <w:tr>
        <w:trPr>
          <w:trHeight w:val="33"/>
        </w:trPr>
        <w:tc>
          <w:tcPr>
            <w:tcW w:w="3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Chegg, Inc.</w:t>
            </w:r>
          </w:p>
        </w:tc>
        <w:tc>
          <w:tcPr>
            <w:tcW w:w="2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5,739,897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990,489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5,739,897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990,489</w:t>
            </w:r>
          </w:p>
        </w:tc>
        <w:tc>
          <w:tcPr>
            <w:tcW w:w="0" w:type="dxa"/>
            <w:vAlign w:val="bottom"/>
          </w:tcPr>
          <w:p>
            <w:pPr>
              <w:spacing w:after="0"/>
              <w:rPr>
                <w:sz w:val="1"/>
                <w:szCs w:val="1"/>
                <w:color w:val="auto"/>
              </w:rPr>
            </w:pPr>
          </w:p>
        </w:tc>
      </w:tr>
      <w:tr>
        <w:trPr>
          <w:trHeight w:val="244"/>
        </w:trPr>
        <w:tc>
          <w:tcPr>
            <w:tcW w:w="3960" w:type="dxa"/>
            <w:vAlign w:val="bottom"/>
            <w:gridSpan w:val="2"/>
          </w:tcPr>
          <w:p>
            <w:pPr>
              <w:ind w:left="180"/>
              <w:spacing w:after="0"/>
              <w:rPr>
                <w:sz w:val="20"/>
                <w:szCs w:val="20"/>
                <w:color w:val="auto"/>
              </w:rPr>
            </w:pPr>
            <w:r>
              <w:rPr>
                <w:rFonts w:ascii="Arial" w:cs="Arial" w:eastAsia="Arial" w:hAnsi="Arial"/>
                <w:sz w:val="16"/>
                <w:szCs w:val="16"/>
                <w:color w:val="auto"/>
              </w:rPr>
              <w:t>Total Disposals</w:t>
            </w: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6"/>
                <w:szCs w:val="16"/>
                <w:color w:val="auto"/>
              </w:rPr>
              <w:t>9,773,257</w:t>
            </w:r>
          </w:p>
        </w:tc>
        <w:tc>
          <w:tcPr>
            <w:tcW w:w="10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6"/>
                <w:szCs w:val="16"/>
                <w:color w:val="auto"/>
              </w:rPr>
              <w:t>1,021,579</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9,773,257</w:t>
            </w:r>
          </w:p>
        </w:tc>
        <w:tc>
          <w:tcPr>
            <w:tcW w:w="10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(24,344,333)</w:t>
            </w:r>
          </w:p>
        </w:tc>
        <w:tc>
          <w:tcPr>
            <w:tcW w:w="0" w:type="dxa"/>
            <w:vAlign w:val="bottom"/>
          </w:tcPr>
          <w:p>
            <w:pPr>
              <w:spacing w:after="0"/>
              <w:rPr>
                <w:sz w:val="1"/>
                <w:szCs w:val="1"/>
                <w:color w:val="auto"/>
              </w:rPr>
            </w:pPr>
          </w:p>
        </w:tc>
      </w:tr>
      <w:tr>
        <w:trPr>
          <w:trHeight w:val="20"/>
        </w:trPr>
        <w:tc>
          <w:tcPr>
            <w:tcW w:w="3840" w:type="dxa"/>
            <w:vAlign w:val="bottom"/>
            <w:vMerge w:val="restart"/>
          </w:tcPr>
          <w:p>
            <w:pPr>
              <w:spacing w:after="0"/>
              <w:rPr>
                <w:sz w:val="20"/>
                <w:szCs w:val="20"/>
                <w:color w:val="auto"/>
              </w:rPr>
            </w:pPr>
            <w:r>
              <w:rPr>
                <w:rFonts w:ascii="Arial" w:cs="Arial" w:eastAsia="Arial" w:hAnsi="Arial"/>
                <w:sz w:val="16"/>
                <w:szCs w:val="16"/>
                <w:color w:val="auto"/>
              </w:rPr>
              <w:t>_______________________</w:t>
            </w: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tabs>
          <w:tab w:leader="none" w:pos="32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Realized gain/(loss) exclude any realized gain/(loss) incurred on the maturity of our U.S. Treasury investments.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Results of Operations - </w:t>
      </w:r>
      <w:r>
        <w:rPr>
          <w:rFonts w:ascii="Arial" w:cs="Arial" w:eastAsia="Arial" w:hAnsi="Arial"/>
          <w:sz w:val="18"/>
          <w:szCs w:val="18"/>
          <w:b w:val="1"/>
          <w:bCs w:val="1"/>
          <w:i w:val="1"/>
          <w:iCs w:val="1"/>
          <w:color w:val="auto"/>
        </w:rPr>
        <w:t>Comparison of the three and nine months ended September 30, 2018 and 2017</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Operating results for the three and nine months ended September 30, 2018, and 2017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60" w:type="dxa"/>
            <w:vAlign w:val="bottom"/>
            <w:gridSpan w:val="5"/>
          </w:tcPr>
          <w:p>
            <w:pPr>
              <w:ind w:left="60"/>
              <w:spacing w:after="0"/>
              <w:rPr>
                <w:sz w:val="20"/>
                <w:szCs w:val="20"/>
                <w:color w:val="auto"/>
              </w:rPr>
            </w:pPr>
            <w:r>
              <w:rPr>
                <w:rFonts w:ascii="Arial" w:cs="Arial" w:eastAsia="Arial" w:hAnsi="Arial"/>
                <w:sz w:val="16"/>
                <w:szCs w:val="16"/>
                <w:b w:val="1"/>
                <w:bCs w:val="1"/>
                <w:color w:val="auto"/>
              </w:rPr>
              <w:t>Three Months Ended September 30,</w:t>
            </w:r>
          </w:p>
        </w:tc>
        <w:tc>
          <w:tcPr>
            <w:tcW w:w="140" w:type="dxa"/>
            <w:vAlign w:val="bottom"/>
          </w:tcPr>
          <w:p>
            <w:pPr>
              <w:spacing w:after="0"/>
              <w:rPr>
                <w:sz w:val="18"/>
                <w:szCs w:val="18"/>
                <w:color w:val="auto"/>
              </w:rPr>
            </w:pPr>
          </w:p>
        </w:tc>
        <w:tc>
          <w:tcPr>
            <w:tcW w:w="2660" w:type="dxa"/>
            <w:vAlign w:val="bottom"/>
            <w:gridSpan w:val="4"/>
          </w:tcPr>
          <w:p>
            <w:pPr>
              <w:jc w:val="right"/>
              <w:ind w:right="99"/>
              <w:spacing w:after="0"/>
              <w:rPr>
                <w:sz w:val="20"/>
                <w:szCs w:val="20"/>
                <w:color w:val="auto"/>
              </w:rPr>
            </w:pPr>
            <w:r>
              <w:rPr>
                <w:rFonts w:ascii="Arial" w:cs="Arial" w:eastAsia="Arial" w:hAnsi="Arial"/>
                <w:sz w:val="16"/>
                <w:szCs w:val="16"/>
                <w:b w:val="1"/>
                <w:bCs w:val="1"/>
                <w:color w:val="auto"/>
                <w:w w:val="93"/>
              </w:rPr>
              <w:t>Nine Months Ended September 30,</w:t>
            </w:r>
          </w:p>
        </w:tc>
      </w:tr>
      <w:tr>
        <w:trPr>
          <w:trHeight w:val="33"/>
        </w:trPr>
        <w:tc>
          <w:tcPr>
            <w:tcW w:w="56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1"/>
        </w:trPr>
        <w:tc>
          <w:tcPr>
            <w:tcW w:w="5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3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39"/>
              <w:spacing w:after="0"/>
              <w:rPr>
                <w:sz w:val="20"/>
                <w:szCs w:val="20"/>
                <w:color w:val="auto"/>
              </w:rPr>
            </w:pPr>
            <w:r>
              <w:rPr>
                <w:rFonts w:ascii="Arial" w:cs="Arial" w:eastAsia="Arial" w:hAnsi="Arial"/>
                <w:sz w:val="16"/>
                <w:szCs w:val="16"/>
                <w:b w:val="1"/>
                <w:bCs w:val="1"/>
                <w:color w:val="auto"/>
              </w:rPr>
              <w:t>2017</w:t>
            </w:r>
          </w:p>
        </w:tc>
      </w:tr>
      <w:tr>
        <w:trPr>
          <w:trHeight w:val="33"/>
        </w:trPr>
        <w:tc>
          <w:tcPr>
            <w:tcW w:w="5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Investment Income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246,352</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174,912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1,087,760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883,964</w:t>
            </w:r>
          </w:p>
        </w:tc>
      </w:tr>
      <w:tr>
        <w:trPr>
          <w:trHeight w:val="237"/>
        </w:trPr>
        <w:tc>
          <w:tcPr>
            <w:tcW w:w="5620" w:type="dxa"/>
            <w:vAlign w:val="bottom"/>
          </w:tcPr>
          <w:p>
            <w:pPr>
              <w:ind w:left="180"/>
              <w:spacing w:after="0"/>
              <w:rPr>
                <w:sz w:val="20"/>
                <w:szCs w:val="20"/>
                <w:color w:val="auto"/>
              </w:rPr>
            </w:pPr>
            <w:r>
              <w:rPr>
                <w:rFonts w:ascii="Arial" w:cs="Arial" w:eastAsia="Arial" w:hAnsi="Arial"/>
                <w:sz w:val="16"/>
                <w:szCs w:val="16"/>
                <w:color w:val="auto"/>
              </w:rPr>
              <w:t>Interest income</w:t>
            </w:r>
          </w:p>
        </w:tc>
        <w:tc>
          <w:tcPr>
            <w:tcW w:w="14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246,352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737,760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335,868</w:t>
            </w:r>
          </w:p>
        </w:tc>
      </w:tr>
      <w:tr>
        <w:trPr>
          <w:trHeight w:val="33"/>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Dividend income</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175,000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350,000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475,000</w:t>
            </w:r>
          </w:p>
        </w:tc>
      </w:tr>
      <w:tr>
        <w:trPr>
          <w:trHeight w:val="237"/>
        </w:trPr>
        <w:tc>
          <w:tcPr>
            <w:tcW w:w="5620" w:type="dxa"/>
            <w:vAlign w:val="bottom"/>
          </w:tcPr>
          <w:p>
            <w:pPr>
              <w:ind w:left="180"/>
              <w:spacing w:after="0"/>
              <w:rPr>
                <w:sz w:val="20"/>
                <w:szCs w:val="20"/>
                <w:color w:val="auto"/>
              </w:rPr>
            </w:pPr>
            <w:r>
              <w:rPr>
                <w:rFonts w:ascii="Arial" w:cs="Arial" w:eastAsia="Arial" w:hAnsi="Arial"/>
                <w:sz w:val="16"/>
                <w:szCs w:val="16"/>
                <w:color w:val="auto"/>
              </w:rPr>
              <w:t>Other income</w:t>
            </w:r>
          </w:p>
        </w:tc>
        <w:tc>
          <w:tcPr>
            <w:tcW w:w="14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73,096</w:t>
            </w:r>
          </w:p>
        </w:tc>
      </w:tr>
      <w:tr>
        <w:trPr>
          <w:trHeight w:val="33"/>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Gross Operating Expenses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4,556,625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6,975,539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16,297,703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18,727,464</w:t>
            </w:r>
          </w:p>
        </w:tc>
      </w:tr>
      <w:tr>
        <w:trPr>
          <w:trHeight w:val="237"/>
        </w:trPr>
        <w:tc>
          <w:tcPr>
            <w:tcW w:w="5620" w:type="dxa"/>
            <w:vAlign w:val="bottom"/>
          </w:tcPr>
          <w:p>
            <w:pPr>
              <w:ind w:left="180"/>
              <w:spacing w:after="0"/>
              <w:rPr>
                <w:sz w:val="20"/>
                <w:szCs w:val="20"/>
                <w:color w:val="auto"/>
              </w:rPr>
            </w:pPr>
            <w:r>
              <w:rPr>
                <w:rFonts w:ascii="Arial" w:cs="Arial" w:eastAsia="Arial" w:hAnsi="Arial"/>
                <w:sz w:val="16"/>
                <w:szCs w:val="16"/>
                <w:color w:val="auto"/>
              </w:rPr>
              <w:t>Incentive fee waiver</w:t>
            </w:r>
          </w:p>
        </w:tc>
        <w:tc>
          <w:tcPr>
            <w:tcW w:w="14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(5,000,000)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Management fee waiver</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(402,074)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(174,666)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(892,421)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(526,366)</w:t>
            </w: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Net Operating Expenses</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Pr>
          <w:p>
            <w:pPr>
              <w:jc w:val="right"/>
              <w:ind w:right="39"/>
              <w:spacing w:after="0"/>
              <w:rPr>
                <w:sz w:val="20"/>
                <w:szCs w:val="20"/>
                <w:color w:val="auto"/>
              </w:rPr>
            </w:pPr>
            <w:r>
              <w:rPr>
                <w:rFonts w:ascii="Arial" w:cs="Arial" w:eastAsia="Arial" w:hAnsi="Arial"/>
                <w:sz w:val="16"/>
                <w:szCs w:val="16"/>
                <w:b w:val="1"/>
                <w:bCs w:val="1"/>
                <w:color w:val="auto"/>
              </w:rPr>
              <w:t>4,154,551</w:t>
            </w:r>
          </w:p>
        </w:tc>
        <w:tc>
          <w:tcPr>
            <w:tcW w:w="12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b w:val="1"/>
                <w:bCs w:val="1"/>
                <w:color w:val="auto"/>
              </w:rPr>
              <w:t>6,800,873</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Pr>
          <w:p>
            <w:pPr>
              <w:jc w:val="right"/>
              <w:ind w:right="19"/>
              <w:spacing w:after="0"/>
              <w:rPr>
                <w:sz w:val="20"/>
                <w:szCs w:val="20"/>
                <w:color w:val="auto"/>
              </w:rPr>
            </w:pPr>
            <w:r>
              <w:rPr>
                <w:rFonts w:ascii="Arial" w:cs="Arial" w:eastAsia="Arial" w:hAnsi="Arial"/>
                <w:sz w:val="16"/>
                <w:szCs w:val="16"/>
                <w:b w:val="1"/>
                <w:bCs w:val="1"/>
                <w:color w:val="auto"/>
              </w:rPr>
              <w:t>10,405,282</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b w:val="1"/>
                <w:bCs w:val="1"/>
                <w:color w:val="auto"/>
              </w:rPr>
              <w:t>18,201,098</w:t>
            </w:r>
          </w:p>
        </w:tc>
      </w:tr>
      <w:tr>
        <w:trPr>
          <w:trHeight w:val="33"/>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Management fees</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1,345,090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1,397,332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3,954,732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4,210,932</w:t>
            </w:r>
          </w:p>
        </w:tc>
      </w:tr>
      <w:tr>
        <w:trPr>
          <w:trHeight w:val="237"/>
        </w:trPr>
        <w:tc>
          <w:tcPr>
            <w:tcW w:w="5620" w:type="dxa"/>
            <w:vAlign w:val="bottom"/>
          </w:tcPr>
          <w:p>
            <w:pPr>
              <w:ind w:left="180"/>
              <w:spacing w:after="0"/>
              <w:rPr>
                <w:sz w:val="20"/>
                <w:szCs w:val="20"/>
                <w:color w:val="auto"/>
              </w:rPr>
            </w:pPr>
            <w:r>
              <w:rPr>
                <w:rFonts w:ascii="Arial" w:cs="Arial" w:eastAsia="Arial" w:hAnsi="Arial"/>
                <w:sz w:val="16"/>
                <w:szCs w:val="16"/>
                <w:color w:val="auto"/>
              </w:rPr>
              <w:t>Incentive fees</w:t>
            </w:r>
          </w:p>
        </w:tc>
        <w:tc>
          <w:tcPr>
            <w:tcW w:w="14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804,520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3,334,052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4,863,939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7,482,185</w:t>
            </w:r>
          </w:p>
        </w:tc>
      </w:tr>
      <w:tr>
        <w:trPr>
          <w:trHeight w:val="33"/>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Costs incurred under Administration Agreement</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355,599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472,413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1,176,857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1,453,007</w:t>
            </w:r>
          </w:p>
        </w:tc>
      </w:tr>
      <w:tr>
        <w:trPr>
          <w:trHeight w:val="237"/>
        </w:trPr>
        <w:tc>
          <w:tcPr>
            <w:tcW w:w="5620" w:type="dxa"/>
            <w:vAlign w:val="bottom"/>
          </w:tcPr>
          <w:p>
            <w:pPr>
              <w:ind w:left="180"/>
              <w:spacing w:after="0"/>
              <w:rPr>
                <w:sz w:val="20"/>
                <w:szCs w:val="20"/>
                <w:color w:val="auto"/>
              </w:rPr>
            </w:pPr>
            <w:r>
              <w:rPr>
                <w:rFonts w:ascii="Arial" w:cs="Arial" w:eastAsia="Arial" w:hAnsi="Arial"/>
                <w:sz w:val="16"/>
                <w:szCs w:val="16"/>
                <w:color w:val="auto"/>
              </w:rPr>
              <w:t>Directors’ fees</w:t>
            </w:r>
          </w:p>
        </w:tc>
        <w:tc>
          <w:tcPr>
            <w:tcW w:w="14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86,250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86,250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258,750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242,230</w:t>
            </w:r>
          </w:p>
        </w:tc>
      </w:tr>
      <w:tr>
        <w:trPr>
          <w:trHeight w:val="33"/>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Professional fees</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552,179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353,933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1,218,875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1,318,931</w:t>
            </w:r>
          </w:p>
        </w:tc>
      </w:tr>
      <w:tr>
        <w:trPr>
          <w:trHeight w:val="237"/>
        </w:trPr>
        <w:tc>
          <w:tcPr>
            <w:tcW w:w="5620" w:type="dxa"/>
            <w:vAlign w:val="bottom"/>
          </w:tcPr>
          <w:p>
            <w:pPr>
              <w:ind w:left="180"/>
              <w:spacing w:after="0"/>
              <w:rPr>
                <w:sz w:val="20"/>
                <w:szCs w:val="20"/>
                <w:color w:val="auto"/>
              </w:rPr>
            </w:pPr>
            <w:r>
              <w:rPr>
                <w:rFonts w:ascii="Arial" w:cs="Arial" w:eastAsia="Arial" w:hAnsi="Arial"/>
                <w:sz w:val="16"/>
                <w:szCs w:val="16"/>
                <w:color w:val="auto"/>
              </w:rPr>
              <w:t>Interest expense</w:t>
            </w:r>
          </w:p>
        </w:tc>
        <w:tc>
          <w:tcPr>
            <w:tcW w:w="14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1,311,534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1,207,548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3,925,292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3,489,381</w:t>
            </w:r>
          </w:p>
        </w:tc>
      </w:tr>
      <w:tr>
        <w:trPr>
          <w:trHeight w:val="33"/>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Income tax expense</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(6,235)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4,889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142,264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51,379</w:t>
            </w:r>
          </w:p>
        </w:tc>
      </w:tr>
      <w:tr>
        <w:trPr>
          <w:trHeight w:val="237"/>
        </w:trPr>
        <w:tc>
          <w:tcPr>
            <w:tcW w:w="5620" w:type="dxa"/>
            <w:vAlign w:val="bottom"/>
          </w:tcPr>
          <w:p>
            <w:pPr>
              <w:ind w:left="180"/>
              <w:spacing w:after="0"/>
              <w:rPr>
                <w:sz w:val="20"/>
                <w:szCs w:val="20"/>
                <w:color w:val="auto"/>
              </w:rPr>
            </w:pPr>
            <w:r>
              <w:rPr>
                <w:rFonts w:ascii="Arial" w:cs="Arial" w:eastAsia="Arial" w:hAnsi="Arial"/>
                <w:sz w:val="16"/>
                <w:szCs w:val="16"/>
                <w:color w:val="auto"/>
              </w:rPr>
              <w:t>Other expenses</w:t>
            </w:r>
          </w:p>
        </w:tc>
        <w:tc>
          <w:tcPr>
            <w:tcW w:w="14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107,688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119,122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756,994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479,419</w:t>
            </w:r>
          </w:p>
        </w:tc>
      </w:tr>
      <w:tr>
        <w:trPr>
          <w:trHeight w:val="33"/>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Investment Loss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(3,908,199)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(6,625,961)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(9,317,522)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(17,317,134)</w:t>
            </w:r>
          </w:p>
        </w:tc>
      </w:tr>
      <w:tr>
        <w:trPr>
          <w:trHeight w:val="237"/>
        </w:trPr>
        <w:tc>
          <w:tcPr>
            <w:tcW w:w="5620" w:type="dxa"/>
            <w:vAlign w:val="bottom"/>
          </w:tcPr>
          <w:p>
            <w:pPr>
              <w:ind w:left="180"/>
              <w:spacing w:after="0"/>
              <w:rPr>
                <w:sz w:val="20"/>
                <w:szCs w:val="20"/>
                <w:color w:val="auto"/>
              </w:rPr>
            </w:pPr>
            <w:r>
              <w:rPr>
                <w:rFonts w:ascii="Arial" w:cs="Arial" w:eastAsia="Arial" w:hAnsi="Arial"/>
                <w:sz w:val="16"/>
                <w:szCs w:val="16"/>
                <w:color w:val="auto"/>
              </w:rPr>
              <w:t>Net realized gain/(loss) on investments</w:t>
            </w: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(10,119,771)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1,033,577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(7,533,163)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(24,327,082)</w:t>
            </w:r>
          </w:p>
        </w:tc>
      </w:tr>
      <w:tr>
        <w:trPr>
          <w:trHeight w:val="33"/>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w w:val="95"/>
              </w:rPr>
              <w:t>Realized loss on partial repurchase of 5.25% Convertible Senior Notes due 2018</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(397,846)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5620" w:type="dxa"/>
            <w:vAlign w:val="bottom"/>
          </w:tcPr>
          <w:p>
            <w:pPr>
              <w:ind w:left="180"/>
              <w:spacing w:after="0"/>
              <w:rPr>
                <w:sz w:val="20"/>
                <w:szCs w:val="20"/>
                <w:color w:val="auto"/>
              </w:rPr>
            </w:pPr>
            <w:r>
              <w:rPr>
                <w:rFonts w:ascii="Arial" w:cs="Arial" w:eastAsia="Arial" w:hAnsi="Arial"/>
                <w:sz w:val="16"/>
                <w:szCs w:val="16"/>
                <w:color w:val="auto"/>
              </w:rPr>
              <w:t>Net change in unrealized appreciation of investments</w:t>
            </w:r>
          </w:p>
        </w:tc>
        <w:tc>
          <w:tcPr>
            <w:tcW w:w="14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14,142,375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15,636,683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32,148,365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61,669,476</w:t>
            </w:r>
          </w:p>
        </w:tc>
      </w:tr>
      <w:tr>
        <w:trPr>
          <w:trHeight w:val="33"/>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Benefit from taxes on unrealized depreciation of investments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214,404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26,705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1,225,275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26,705</w:t>
            </w: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Net Increase in Net Assets Resulting from Operations</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Pr>
          <w:p>
            <w:pPr>
              <w:jc w:val="right"/>
              <w:ind w:right="39"/>
              <w:spacing w:after="0"/>
              <w:rPr>
                <w:sz w:val="20"/>
                <w:szCs w:val="20"/>
                <w:color w:val="auto"/>
              </w:rPr>
            </w:pPr>
            <w:r>
              <w:rPr>
                <w:rFonts w:ascii="Arial" w:cs="Arial" w:eastAsia="Arial" w:hAnsi="Arial"/>
                <w:sz w:val="16"/>
                <w:szCs w:val="16"/>
                <w:b w:val="1"/>
                <w:bCs w:val="1"/>
                <w:color w:val="auto"/>
              </w:rPr>
              <w:t>328,810</w:t>
            </w:r>
          </w:p>
        </w:tc>
        <w:tc>
          <w:tcPr>
            <w:tcW w:w="12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b w:val="1"/>
                <w:bCs w:val="1"/>
                <w:color w:val="auto"/>
              </w:rPr>
              <w:t>10,071,004</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Pr>
          <w:p>
            <w:pPr>
              <w:jc w:val="right"/>
              <w:ind w:right="19"/>
              <w:spacing w:after="0"/>
              <w:rPr>
                <w:sz w:val="20"/>
                <w:szCs w:val="20"/>
                <w:color w:val="auto"/>
              </w:rPr>
            </w:pPr>
            <w:r>
              <w:rPr>
                <w:rFonts w:ascii="Arial" w:cs="Arial" w:eastAsia="Arial" w:hAnsi="Arial"/>
                <w:sz w:val="16"/>
                <w:szCs w:val="16"/>
                <w:b w:val="1"/>
                <w:bCs w:val="1"/>
                <w:color w:val="auto"/>
              </w:rPr>
              <w:t>16,125,108</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b w:val="1"/>
                <w:bCs w:val="1"/>
                <w:color w:val="auto"/>
              </w:rPr>
              <w:t>20,051,965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-3751580</wp:posOffset>
            </wp:positionV>
            <wp:extent cx="355917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2" w:right="239" w:bottom="1440" w:gutter="0" w:footer="0" w:header="0"/>
        </w:sectPr>
      </w:pPr>
    </w:p>
    <w:bookmarkStart w:id="61" w:name="page62"/>
    <w:bookmarkEnd w:id="61"/>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225"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Investment income increased to $246,352 for the three months ended September 30, 2018 from $174,912 for the three months ended September 30, 2017. The increase between periods was primarily due to increased interest income related to our debt investments in Ozy Media, Inc., NestGSV, Inc. (d.b.a. GSV Labs, Inc.) and CUX, Inc. (d/b/a CorpU) and interest on cash balances. The increase was partially offset by a decrease between periods in dividend income from our investment in SPBRX, Inc.</w:t>
      </w:r>
    </w:p>
    <w:p>
      <w:pPr>
        <w:spacing w:after="0" w:line="187"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Investment income increased to $1,087,760 for the nine months ended September 30, 2018, from $883,964 for the nine months ended September 30, 2017. The increase between periods was primarily due to increased interest income related to our debt investments in Ozy Media, Inc., NestGSV, Inc. (d.b.a. GSV Labs, Inc.) and CUX, Inc. (d/b/a CorpU) and interest on cash balances. The increase was partially offset by a decrease between periods in dividend income from our investment in SPBRX, Inc.</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right="60" w:firstLine="351"/>
        <w:spacing w:after="0" w:line="293" w:lineRule="auto"/>
        <w:rPr>
          <w:sz w:val="20"/>
          <w:szCs w:val="20"/>
          <w:color w:val="auto"/>
        </w:rPr>
      </w:pPr>
      <w:r>
        <w:rPr>
          <w:rFonts w:ascii="Arial" w:cs="Arial" w:eastAsia="Arial" w:hAnsi="Arial"/>
          <w:sz w:val="16"/>
          <w:szCs w:val="16"/>
          <w:color w:val="auto"/>
        </w:rPr>
        <w:t>Total operating expenses, net of waiver of management and incentive fees, decreased to $4,154,551 for the three months ended September 30, 2018, from $6,800,873 for the three months ended September 30, 2017. The decrease between periods was primarily due to a decrease in the accrued incentive fees and to a lesser extent, an increase in GSV Asset Management’s management fee waiver and costs incurred under Administration Agreement. The increase in GSV Asset Management’s management fee waiver under the Waiver Agreement during the three months ended September 30, 2018 resulted primarily from the exclusion of our cash balance from the calculation of the base management fee. The decrease in total operating expenses between periods was partially offset by an increase in interest expense between periods due to the issuance of the 4.75% Convertible Senior Notes due 2023 and professional fees.</w:t>
      </w:r>
    </w:p>
    <w:p>
      <w:pPr>
        <w:spacing w:after="0" w:line="165" w:lineRule="exact"/>
        <w:rPr>
          <w:sz w:val="20"/>
          <w:szCs w:val="20"/>
          <w:color w:val="auto"/>
        </w:rPr>
      </w:pPr>
    </w:p>
    <w:p>
      <w:pPr>
        <w:jc w:val="both"/>
        <w:ind w:right="220" w:firstLine="351"/>
        <w:spacing w:after="0" w:line="259" w:lineRule="auto"/>
        <w:rPr>
          <w:sz w:val="20"/>
          <w:szCs w:val="20"/>
          <w:color w:val="auto"/>
        </w:rPr>
      </w:pPr>
      <w:r>
        <w:rPr>
          <w:rFonts w:ascii="Arial" w:cs="Arial" w:eastAsia="Arial" w:hAnsi="Arial"/>
          <w:sz w:val="18"/>
          <w:szCs w:val="18"/>
          <w:color w:val="auto"/>
        </w:rPr>
        <w:t>Total operating expenses, net of waiver of management and incentive fees, decreased to $10,405,282 for the nine months ended September 30, 2018, from $18,201,098 for the nine months ended September 30, 2017. The decrease between periods was primarily due to GSV Asset Management’s one-time forfeiture of $5.0 million of previously accrued but unpaid incentive fees pursuant to the Waiver Agreement, as well as lower accrued incentive fees for the nine months ended September 30, 2018.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Loss</w:t>
      </w:r>
    </w:p>
    <w:p>
      <w:pPr>
        <w:spacing w:after="0" w:line="225" w:lineRule="exact"/>
        <w:rPr>
          <w:sz w:val="20"/>
          <w:szCs w:val="20"/>
          <w:color w:val="auto"/>
        </w:rPr>
      </w:pPr>
    </w:p>
    <w:p>
      <w:pPr>
        <w:ind w:firstLine="351"/>
        <w:spacing w:after="0" w:line="264" w:lineRule="auto"/>
        <w:rPr>
          <w:sz w:val="20"/>
          <w:szCs w:val="20"/>
          <w:color w:val="auto"/>
        </w:rPr>
      </w:pPr>
      <w:r>
        <w:rPr>
          <w:rFonts w:ascii="Arial" w:cs="Arial" w:eastAsia="Arial" w:hAnsi="Arial"/>
          <w:sz w:val="18"/>
          <w:szCs w:val="18"/>
          <w:color w:val="auto"/>
        </w:rPr>
        <w:t>For the three months ended September 30, 2018, we recognized a net investment loss of $3,908,199, compared to a net investment loss of $6,625,961 for the three months ended September 30, 2017. The change between periods resulted from the decrease in operating expenses, net of waiver of management fees, as discussed above, and an increase in total investment income between periods.</w:t>
      </w:r>
    </w:p>
    <w:p>
      <w:pPr>
        <w:spacing w:after="0" w:line="181" w:lineRule="exact"/>
        <w:rPr>
          <w:sz w:val="20"/>
          <w:szCs w:val="20"/>
          <w:color w:val="auto"/>
        </w:rPr>
      </w:pPr>
    </w:p>
    <w:p>
      <w:pPr>
        <w:jc w:val="both"/>
        <w:ind w:right="140" w:firstLine="351"/>
        <w:spacing w:after="0" w:line="286" w:lineRule="auto"/>
        <w:rPr>
          <w:sz w:val="20"/>
          <w:szCs w:val="20"/>
          <w:color w:val="auto"/>
        </w:rPr>
      </w:pPr>
      <w:r>
        <w:rPr>
          <w:rFonts w:ascii="Arial" w:cs="Arial" w:eastAsia="Arial" w:hAnsi="Arial"/>
          <w:sz w:val="17"/>
          <w:szCs w:val="17"/>
          <w:color w:val="auto"/>
        </w:rPr>
        <w:t>For the nine months ended September 30, 2018, we recognized a net investment loss of $9,317,522, compared to a net investment loss of $17,317,134 for the nine months ended September 30, 2017. The change between periods resulted from the decrease in operating expenses, net of waiver of management and incentive fees, as discussed above, and an increase in total investment income between periods.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Gain/(Loss) on Investments</w:t>
      </w:r>
    </w:p>
    <w:p>
      <w:pPr>
        <w:spacing w:after="0" w:line="225"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For the three months ended September 30, 2018, we recognized a net realized loss of $10,119,771 on our investments, compared to a net realized gain of $1,033,577 for the three months ended September 30, 2017. The components of our net realized gains and losses on portfolio investments for the three months ended September 30, 2018 and 2017, excluding U.S. Treasury investments, are reflected in the tables above, under “—Portfolio and Investment Activity.”</w:t>
      </w:r>
    </w:p>
    <w:p>
      <w:pPr>
        <w:spacing w:after="0" w:line="187"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For the nine months ended September 30, 2018, we recognized a net realized loss of $7,533,163 on our investments, compared to a net realized loss of $24,327,082 for the nine months ended September 30, 2017. The components of our net realized gains and losses on portfolio investments for the nine months ended September 30, 2018 and 2017, excluding U.S. Treasury investments, are reflected in the tables above, under “—Portfolio and Investment Activity.”</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122" w:right="259" w:bottom="1440" w:gutter="0" w:footer="0" w:header="0"/>
        </w:sectPr>
      </w:pPr>
    </w:p>
    <w:bookmarkStart w:id="62" w:name="page63"/>
    <w:bookmarkEnd w:id="62"/>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Change in Unrealized Appreciation/(Depreciation) of Investments</w:t>
      </w:r>
    </w:p>
    <w:p>
      <w:pPr>
        <w:spacing w:after="0" w:line="225" w:lineRule="exact"/>
        <w:rPr>
          <w:sz w:val="20"/>
          <w:szCs w:val="20"/>
          <w:color w:val="auto"/>
        </w:rPr>
      </w:pPr>
    </w:p>
    <w:p>
      <w:pPr>
        <w:jc w:val="both"/>
        <w:ind w:right="160" w:firstLine="324"/>
        <w:spacing w:after="0" w:line="312" w:lineRule="auto"/>
        <w:rPr>
          <w:sz w:val="20"/>
          <w:szCs w:val="20"/>
          <w:color w:val="auto"/>
        </w:rPr>
      </w:pPr>
      <w:r>
        <w:rPr>
          <w:rFonts w:ascii="Arial" w:cs="Arial" w:eastAsia="Arial" w:hAnsi="Arial"/>
          <w:sz w:val="16"/>
          <w:szCs w:val="16"/>
          <w:color w:val="auto"/>
        </w:rPr>
        <w:t>For the three months ended September 30, 2018, we had a net change in unrealized appreciation of $14,142,375. For the three months ended September 30, 2017, we had a net change in unrealized appreciation of $15,636,683. The following tables summarize, by portfolio company, the significant changes in unrealized appreciation and/or depreciation of our investment portfolio for the three months ended September 30, 2018 and 2017.</w:t>
      </w:r>
    </w:p>
    <w:p>
      <w:pPr>
        <w:spacing w:after="0" w:line="72"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Net Change in Unrealized</w:t>
            </w:r>
          </w:p>
        </w:tc>
        <w:tc>
          <w:tcPr>
            <w:tcW w:w="10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Net Change in Unrealized</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Appreciation/(Depreciation)</w:t>
            </w:r>
          </w:p>
        </w:tc>
        <w:tc>
          <w:tcPr>
            <w:tcW w:w="1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Appreciation/(Depreciation)</w:t>
            </w:r>
          </w:p>
        </w:tc>
        <w:tc>
          <w:tcPr>
            <w:tcW w:w="0" w:type="dxa"/>
            <w:vAlign w:val="bottom"/>
          </w:tcPr>
          <w:p>
            <w:pPr>
              <w:spacing w:after="0"/>
              <w:rPr>
                <w:sz w:val="1"/>
                <w:szCs w:val="1"/>
                <w:color w:val="auto"/>
              </w:rPr>
            </w:pPr>
          </w:p>
        </w:tc>
      </w:tr>
      <w:tr>
        <w:trPr>
          <w:trHeight w:val="149"/>
        </w:trPr>
        <w:tc>
          <w:tcPr>
            <w:tcW w:w="35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Portfolio Company</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For the Three Months</w:t>
            </w:r>
          </w:p>
        </w:tc>
        <w:tc>
          <w:tcPr>
            <w:tcW w:w="100" w:type="dxa"/>
            <w:vAlign w:val="bottom"/>
          </w:tcPr>
          <w:p>
            <w:pPr>
              <w:spacing w:after="0"/>
              <w:rPr>
                <w:sz w:val="12"/>
                <w:szCs w:val="12"/>
                <w:color w:val="auto"/>
              </w:rPr>
            </w:pPr>
          </w:p>
        </w:tc>
        <w:tc>
          <w:tcPr>
            <w:tcW w:w="36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Portfolio Company</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For the Three Months</w:t>
            </w:r>
          </w:p>
        </w:tc>
        <w:tc>
          <w:tcPr>
            <w:tcW w:w="0" w:type="dxa"/>
            <w:vAlign w:val="bottom"/>
          </w:tcPr>
          <w:p>
            <w:pPr>
              <w:spacing w:after="0"/>
              <w:rPr>
                <w:sz w:val="1"/>
                <w:szCs w:val="1"/>
                <w:color w:val="auto"/>
              </w:rPr>
            </w:pPr>
          </w:p>
        </w:tc>
      </w:tr>
      <w:tr>
        <w:trPr>
          <w:trHeight w:val="192"/>
        </w:trPr>
        <w:tc>
          <w:tcPr>
            <w:tcW w:w="35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7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Ended September 30, 2018</w:t>
            </w:r>
          </w:p>
        </w:tc>
        <w:tc>
          <w:tcPr>
            <w:tcW w:w="100" w:type="dxa"/>
            <w:vAlign w:val="bottom"/>
          </w:tcPr>
          <w:p>
            <w:pPr>
              <w:spacing w:after="0"/>
              <w:rPr>
                <w:sz w:val="16"/>
                <w:szCs w:val="16"/>
                <w:color w:val="auto"/>
              </w:rPr>
            </w:pPr>
          </w:p>
        </w:tc>
        <w:tc>
          <w:tcPr>
            <w:tcW w:w="36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7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Ended September 30, 2017</w:t>
            </w:r>
          </w:p>
        </w:tc>
        <w:tc>
          <w:tcPr>
            <w:tcW w:w="0" w:type="dxa"/>
            <w:vAlign w:val="bottom"/>
          </w:tcPr>
          <w:p>
            <w:pPr>
              <w:spacing w:after="0"/>
              <w:rPr>
                <w:sz w:val="1"/>
                <w:szCs w:val="1"/>
                <w:color w:val="auto"/>
              </w:rPr>
            </w:pPr>
          </w:p>
        </w:tc>
      </w:tr>
      <w:tr>
        <w:trPr>
          <w:trHeight w:val="256"/>
        </w:trPr>
        <w:tc>
          <w:tcPr>
            <w:tcW w:w="36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Lytro, Inc.</w:t>
            </w:r>
            <w:r>
              <w:rPr>
                <w:rFonts w:ascii="Arial" w:cs="Arial" w:eastAsia="Arial" w:hAnsi="Arial"/>
                <w:sz w:val="21"/>
                <w:szCs w:val="21"/>
                <w:color w:val="auto"/>
                <w:vertAlign w:val="superscript"/>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9,528,386</w:t>
            </w:r>
          </w:p>
        </w:tc>
        <w:tc>
          <w:tcPr>
            <w:tcW w:w="100" w:type="dxa"/>
            <w:vAlign w:val="bottom"/>
          </w:tcPr>
          <w:p>
            <w:pPr>
              <w:spacing w:after="0"/>
              <w:rPr>
                <w:sz w:val="22"/>
                <w:szCs w:val="22"/>
                <w:color w:val="auto"/>
              </w:rPr>
            </w:pPr>
          </w:p>
        </w:tc>
        <w:tc>
          <w:tcPr>
            <w:tcW w:w="3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JAMF Holdings, Inc.</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14,601,826</w:t>
            </w:r>
          </w:p>
        </w:tc>
        <w:tc>
          <w:tcPr>
            <w:tcW w:w="0" w:type="dxa"/>
            <w:vAlign w:val="bottom"/>
          </w:tcPr>
          <w:p>
            <w:pPr>
              <w:spacing w:after="0"/>
              <w:rPr>
                <w:sz w:val="1"/>
                <w:szCs w:val="1"/>
                <w:color w:val="auto"/>
              </w:rPr>
            </w:pPr>
          </w:p>
        </w:tc>
      </w:tr>
      <w:tr>
        <w:trPr>
          <w:trHeight w:val="270"/>
        </w:trPr>
        <w:tc>
          <w:tcPr>
            <w:tcW w:w="3660" w:type="dxa"/>
            <w:vAlign w:val="bottom"/>
            <w:gridSpan w:val="2"/>
          </w:tcPr>
          <w:p>
            <w:pPr>
              <w:ind w:left="20"/>
              <w:spacing w:after="0"/>
              <w:rPr>
                <w:sz w:val="20"/>
                <w:szCs w:val="20"/>
                <w:color w:val="auto"/>
              </w:rPr>
            </w:pPr>
            <w:r>
              <w:rPr>
                <w:rFonts w:ascii="Arial" w:cs="Arial" w:eastAsia="Arial" w:hAnsi="Arial"/>
                <w:sz w:val="16"/>
                <w:szCs w:val="16"/>
                <w:color w:val="auto"/>
              </w:rPr>
              <w:t>SugarCRM, Inc.</w:t>
            </w:r>
            <w:r>
              <w:rPr>
                <w:rFonts w:ascii="Arial" w:cs="Arial" w:eastAsia="Arial" w:hAnsi="Arial"/>
                <w:sz w:val="21"/>
                <w:szCs w:val="21"/>
                <w:color w:val="auto"/>
                <w:vertAlign w:val="superscript"/>
              </w:rPr>
              <w:t>(1)</w:t>
            </w:r>
          </w:p>
        </w:tc>
        <w:tc>
          <w:tcPr>
            <w:tcW w:w="160" w:type="dxa"/>
            <w:vAlign w:val="bottom"/>
          </w:tcPr>
          <w:p>
            <w:pPr>
              <w:spacing w:after="0"/>
              <w:rPr>
                <w:sz w:val="23"/>
                <w:szCs w:val="23"/>
                <w:color w:val="auto"/>
              </w:rPr>
            </w:pPr>
          </w:p>
        </w:tc>
        <w:tc>
          <w:tcPr>
            <w:tcW w:w="1620" w:type="dxa"/>
            <w:vAlign w:val="bottom"/>
          </w:tcPr>
          <w:p>
            <w:pPr>
              <w:jc w:val="right"/>
              <w:ind w:right="40"/>
              <w:spacing w:after="0"/>
              <w:rPr>
                <w:sz w:val="20"/>
                <w:szCs w:val="20"/>
                <w:color w:val="auto"/>
              </w:rPr>
            </w:pPr>
            <w:r>
              <w:rPr>
                <w:rFonts w:ascii="Arial" w:cs="Arial" w:eastAsia="Arial" w:hAnsi="Arial"/>
                <w:sz w:val="16"/>
                <w:szCs w:val="16"/>
                <w:color w:val="auto"/>
              </w:rPr>
              <w:t>3,899,110</w:t>
            </w:r>
          </w:p>
        </w:tc>
        <w:tc>
          <w:tcPr>
            <w:tcW w:w="100" w:type="dxa"/>
            <w:vAlign w:val="bottom"/>
          </w:tcPr>
          <w:p>
            <w:pPr>
              <w:spacing w:after="0"/>
              <w:rPr>
                <w:sz w:val="23"/>
                <w:szCs w:val="23"/>
                <w:color w:val="auto"/>
              </w:rPr>
            </w:pPr>
          </w:p>
        </w:tc>
        <w:tc>
          <w:tcPr>
            <w:tcW w:w="3760" w:type="dxa"/>
            <w:vAlign w:val="bottom"/>
            <w:gridSpan w:val="2"/>
          </w:tcPr>
          <w:p>
            <w:pPr>
              <w:ind w:left="20"/>
              <w:spacing w:after="0"/>
              <w:rPr>
                <w:sz w:val="20"/>
                <w:szCs w:val="20"/>
                <w:color w:val="auto"/>
              </w:rPr>
            </w:pPr>
            <w:r>
              <w:rPr>
                <w:rFonts w:ascii="Arial" w:cs="Arial" w:eastAsia="Arial" w:hAnsi="Arial"/>
                <w:sz w:val="16"/>
                <w:szCs w:val="16"/>
                <w:color w:val="auto"/>
              </w:rPr>
              <w:t>Spotify Technology S.A.</w:t>
            </w:r>
          </w:p>
        </w:tc>
        <w:tc>
          <w:tcPr>
            <w:tcW w:w="160" w:type="dxa"/>
            <w:vAlign w:val="bottom"/>
          </w:tcPr>
          <w:p>
            <w:pPr>
              <w:spacing w:after="0"/>
              <w:rPr>
                <w:sz w:val="23"/>
                <w:szCs w:val="23"/>
                <w:color w:val="auto"/>
              </w:rPr>
            </w:pPr>
          </w:p>
        </w:tc>
        <w:tc>
          <w:tcPr>
            <w:tcW w:w="1620" w:type="dxa"/>
            <w:vAlign w:val="bottom"/>
          </w:tcPr>
          <w:p>
            <w:pPr>
              <w:jc w:val="right"/>
              <w:ind w:right="20"/>
              <w:spacing w:after="0"/>
              <w:rPr>
                <w:sz w:val="20"/>
                <w:szCs w:val="20"/>
                <w:color w:val="auto"/>
              </w:rPr>
            </w:pPr>
            <w:r>
              <w:rPr>
                <w:rFonts w:ascii="Arial" w:cs="Arial" w:eastAsia="Arial" w:hAnsi="Arial"/>
                <w:sz w:val="16"/>
                <w:szCs w:val="16"/>
                <w:color w:val="auto"/>
              </w:rPr>
              <w:t>5,250,385</w:t>
            </w: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Spotify Technology S.A.</w:t>
            </w: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2,963,182</w:t>
            </w:r>
          </w:p>
        </w:tc>
        <w:tc>
          <w:tcPr>
            <w:tcW w:w="100" w:type="dxa"/>
            <w:vAlign w:val="bottom"/>
          </w:tcPr>
          <w:p>
            <w:pPr>
              <w:spacing w:after="0"/>
              <w:rPr>
                <w:sz w:val="21"/>
                <w:szCs w:val="21"/>
                <w:color w:val="auto"/>
              </w:rPr>
            </w:pPr>
          </w:p>
        </w:tc>
        <w:tc>
          <w:tcPr>
            <w:tcW w:w="3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StormWind, LLC</w:t>
            </w: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4,743,771</w:t>
            </w:r>
          </w:p>
        </w:tc>
        <w:tc>
          <w:tcPr>
            <w:tcW w:w="0" w:type="dxa"/>
            <w:vAlign w:val="bottom"/>
          </w:tcPr>
          <w:p>
            <w:pPr>
              <w:spacing w:after="0"/>
              <w:rPr>
                <w:sz w:val="1"/>
                <w:szCs w:val="1"/>
                <w:color w:val="auto"/>
              </w:rPr>
            </w:pPr>
          </w:p>
        </w:tc>
      </w:tr>
      <w:tr>
        <w:trPr>
          <w:trHeight w:val="237"/>
        </w:trPr>
        <w:tc>
          <w:tcPr>
            <w:tcW w:w="3660" w:type="dxa"/>
            <w:vAlign w:val="bottom"/>
            <w:gridSpan w:val="2"/>
          </w:tcPr>
          <w:p>
            <w:pPr>
              <w:ind w:left="20"/>
              <w:spacing w:after="0"/>
              <w:rPr>
                <w:sz w:val="20"/>
                <w:szCs w:val="20"/>
                <w:color w:val="auto"/>
              </w:rPr>
            </w:pPr>
            <w:r>
              <w:rPr>
                <w:rFonts w:ascii="Arial" w:cs="Arial" w:eastAsia="Arial" w:hAnsi="Arial"/>
                <w:sz w:val="16"/>
                <w:szCs w:val="16"/>
                <w:color w:val="auto"/>
              </w:rPr>
              <w:t>Coursera, Inc.</w:t>
            </w:r>
          </w:p>
        </w:tc>
        <w:tc>
          <w:tcPr>
            <w:tcW w:w="160" w:type="dxa"/>
            <w:vAlign w:val="bottom"/>
          </w:tcPr>
          <w:p>
            <w:pPr>
              <w:spacing w:after="0"/>
              <w:rPr>
                <w:sz w:val="20"/>
                <w:szCs w:val="20"/>
                <w:color w:val="auto"/>
              </w:rPr>
            </w:pPr>
          </w:p>
        </w:tc>
        <w:tc>
          <w:tcPr>
            <w:tcW w:w="1620" w:type="dxa"/>
            <w:vAlign w:val="bottom"/>
          </w:tcPr>
          <w:p>
            <w:pPr>
              <w:jc w:val="right"/>
              <w:ind w:right="40"/>
              <w:spacing w:after="0"/>
              <w:rPr>
                <w:sz w:val="20"/>
                <w:szCs w:val="20"/>
                <w:color w:val="auto"/>
              </w:rPr>
            </w:pPr>
            <w:r>
              <w:rPr>
                <w:rFonts w:ascii="Arial" w:cs="Arial" w:eastAsia="Arial" w:hAnsi="Arial"/>
                <w:sz w:val="16"/>
                <w:szCs w:val="16"/>
                <w:color w:val="auto"/>
              </w:rPr>
              <w:t>2,280,277</w:t>
            </w:r>
          </w:p>
        </w:tc>
        <w:tc>
          <w:tcPr>
            <w:tcW w:w="100" w:type="dxa"/>
            <w:vAlign w:val="bottom"/>
          </w:tcPr>
          <w:p>
            <w:pPr>
              <w:spacing w:after="0"/>
              <w:rPr>
                <w:sz w:val="20"/>
                <w:szCs w:val="20"/>
                <w:color w:val="auto"/>
              </w:rPr>
            </w:pPr>
          </w:p>
        </w:tc>
        <w:tc>
          <w:tcPr>
            <w:tcW w:w="3760" w:type="dxa"/>
            <w:vAlign w:val="bottom"/>
            <w:gridSpan w:val="2"/>
          </w:tcPr>
          <w:p>
            <w:pPr>
              <w:ind w:left="20"/>
              <w:spacing w:after="0"/>
              <w:rPr>
                <w:sz w:val="20"/>
                <w:szCs w:val="20"/>
                <w:color w:val="auto"/>
              </w:rPr>
            </w:pPr>
            <w:r>
              <w:rPr>
                <w:rFonts w:ascii="Arial" w:cs="Arial" w:eastAsia="Arial" w:hAnsi="Arial"/>
                <w:sz w:val="16"/>
                <w:szCs w:val="16"/>
                <w:color w:val="auto"/>
              </w:rPr>
              <w:t>Chegg, Inc.</w:t>
            </w:r>
          </w:p>
        </w:tc>
        <w:tc>
          <w:tcPr>
            <w:tcW w:w="160" w:type="dxa"/>
            <w:vAlign w:val="bottom"/>
          </w:tcPr>
          <w:p>
            <w:pPr>
              <w:spacing w:after="0"/>
              <w:rPr>
                <w:sz w:val="20"/>
                <w:szCs w:val="20"/>
                <w:color w:val="auto"/>
              </w:rPr>
            </w:pPr>
          </w:p>
        </w:tc>
        <w:tc>
          <w:tcPr>
            <w:tcW w:w="1620" w:type="dxa"/>
            <w:vAlign w:val="bottom"/>
          </w:tcPr>
          <w:p>
            <w:pPr>
              <w:jc w:val="right"/>
              <w:ind w:right="20"/>
              <w:spacing w:after="0"/>
              <w:rPr>
                <w:sz w:val="20"/>
                <w:szCs w:val="20"/>
                <w:color w:val="auto"/>
              </w:rPr>
            </w:pPr>
            <w:r>
              <w:rPr>
                <w:rFonts w:ascii="Arial" w:cs="Arial" w:eastAsia="Arial" w:hAnsi="Arial"/>
                <w:sz w:val="16"/>
                <w:szCs w:val="16"/>
                <w:color w:val="auto"/>
              </w:rPr>
              <w:t>1,820,621</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Enjoy, Inc.</w:t>
            </w: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1,617,887</w:t>
            </w:r>
          </w:p>
        </w:tc>
        <w:tc>
          <w:tcPr>
            <w:tcW w:w="100" w:type="dxa"/>
            <w:vAlign w:val="bottom"/>
          </w:tcPr>
          <w:p>
            <w:pPr>
              <w:spacing w:after="0"/>
              <w:rPr>
                <w:sz w:val="21"/>
                <w:szCs w:val="21"/>
                <w:color w:val="auto"/>
              </w:rPr>
            </w:pPr>
          </w:p>
        </w:tc>
        <w:tc>
          <w:tcPr>
            <w:tcW w:w="3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Dropbox, Inc.</w:t>
            </w: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1,584,490</w:t>
            </w:r>
          </w:p>
        </w:tc>
        <w:tc>
          <w:tcPr>
            <w:tcW w:w="0" w:type="dxa"/>
            <w:vAlign w:val="bottom"/>
          </w:tcPr>
          <w:p>
            <w:pPr>
              <w:spacing w:after="0"/>
              <w:rPr>
                <w:sz w:val="1"/>
                <w:szCs w:val="1"/>
                <w:color w:val="auto"/>
              </w:rPr>
            </w:pPr>
          </w:p>
        </w:tc>
      </w:tr>
      <w:tr>
        <w:trPr>
          <w:trHeight w:val="237"/>
        </w:trPr>
        <w:tc>
          <w:tcPr>
            <w:tcW w:w="3660" w:type="dxa"/>
            <w:vAlign w:val="bottom"/>
            <w:gridSpan w:val="2"/>
          </w:tcPr>
          <w:p>
            <w:pPr>
              <w:ind w:left="20"/>
              <w:spacing w:after="0"/>
              <w:rPr>
                <w:sz w:val="20"/>
                <w:szCs w:val="20"/>
                <w:color w:val="auto"/>
              </w:rPr>
            </w:pPr>
            <w:r>
              <w:rPr>
                <w:rFonts w:ascii="Arial" w:cs="Arial" w:eastAsia="Arial" w:hAnsi="Arial"/>
                <w:sz w:val="16"/>
                <w:szCs w:val="16"/>
                <w:color w:val="auto"/>
              </w:rPr>
              <w:t>Lyft, Inc.</w:t>
            </w:r>
          </w:p>
        </w:tc>
        <w:tc>
          <w:tcPr>
            <w:tcW w:w="160" w:type="dxa"/>
            <w:vAlign w:val="bottom"/>
          </w:tcPr>
          <w:p>
            <w:pPr>
              <w:spacing w:after="0"/>
              <w:rPr>
                <w:sz w:val="20"/>
                <w:szCs w:val="20"/>
                <w:color w:val="auto"/>
              </w:rPr>
            </w:pPr>
          </w:p>
        </w:tc>
        <w:tc>
          <w:tcPr>
            <w:tcW w:w="1620" w:type="dxa"/>
            <w:vAlign w:val="bottom"/>
          </w:tcPr>
          <w:p>
            <w:pPr>
              <w:jc w:val="right"/>
              <w:ind w:right="40"/>
              <w:spacing w:after="0"/>
              <w:rPr>
                <w:sz w:val="20"/>
                <w:szCs w:val="20"/>
                <w:color w:val="auto"/>
              </w:rPr>
            </w:pPr>
            <w:r>
              <w:rPr>
                <w:rFonts w:ascii="Arial" w:cs="Arial" w:eastAsia="Arial" w:hAnsi="Arial"/>
                <w:sz w:val="16"/>
                <w:szCs w:val="16"/>
                <w:color w:val="auto"/>
              </w:rPr>
              <w:t>1,192,014</w:t>
            </w:r>
          </w:p>
        </w:tc>
        <w:tc>
          <w:tcPr>
            <w:tcW w:w="100" w:type="dxa"/>
            <w:vAlign w:val="bottom"/>
          </w:tcPr>
          <w:p>
            <w:pPr>
              <w:spacing w:after="0"/>
              <w:rPr>
                <w:sz w:val="20"/>
                <w:szCs w:val="20"/>
                <w:color w:val="auto"/>
              </w:rPr>
            </w:pPr>
          </w:p>
        </w:tc>
        <w:tc>
          <w:tcPr>
            <w:tcW w:w="3760" w:type="dxa"/>
            <w:vAlign w:val="bottom"/>
            <w:gridSpan w:val="2"/>
          </w:tcPr>
          <w:p>
            <w:pPr>
              <w:ind w:left="20"/>
              <w:spacing w:after="0"/>
              <w:rPr>
                <w:sz w:val="20"/>
                <w:szCs w:val="20"/>
                <w:color w:val="auto"/>
              </w:rPr>
            </w:pPr>
            <w:r>
              <w:rPr>
                <w:rFonts w:ascii="Arial" w:cs="Arial" w:eastAsia="Arial" w:hAnsi="Arial"/>
                <w:sz w:val="16"/>
                <w:szCs w:val="16"/>
                <w:color w:val="auto"/>
              </w:rPr>
              <w:t>Ozy Media, Inc.</w:t>
            </w:r>
          </w:p>
        </w:tc>
        <w:tc>
          <w:tcPr>
            <w:tcW w:w="16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(1,036,364)</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Course Hero, Inc.</w:t>
            </w: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1,112,032</w:t>
            </w:r>
          </w:p>
        </w:tc>
        <w:tc>
          <w:tcPr>
            <w:tcW w:w="100" w:type="dxa"/>
            <w:vAlign w:val="bottom"/>
          </w:tcPr>
          <w:p>
            <w:pPr>
              <w:spacing w:after="0"/>
              <w:rPr>
                <w:sz w:val="21"/>
                <w:szCs w:val="21"/>
                <w:color w:val="auto"/>
              </w:rPr>
            </w:pPr>
          </w:p>
        </w:tc>
        <w:tc>
          <w:tcPr>
            <w:tcW w:w="3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General Assembly Space, Inc.</w:t>
            </w: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(1,077,414)</w:t>
            </w:r>
          </w:p>
        </w:tc>
        <w:tc>
          <w:tcPr>
            <w:tcW w:w="0" w:type="dxa"/>
            <w:vAlign w:val="bottom"/>
          </w:tcPr>
          <w:p>
            <w:pPr>
              <w:spacing w:after="0"/>
              <w:rPr>
                <w:sz w:val="1"/>
                <w:szCs w:val="1"/>
                <w:color w:val="auto"/>
              </w:rPr>
            </w:pPr>
          </w:p>
        </w:tc>
      </w:tr>
      <w:tr>
        <w:trPr>
          <w:trHeight w:val="237"/>
        </w:trPr>
        <w:tc>
          <w:tcPr>
            <w:tcW w:w="3660" w:type="dxa"/>
            <w:vAlign w:val="bottom"/>
            <w:gridSpan w:val="2"/>
          </w:tcPr>
          <w:p>
            <w:pPr>
              <w:ind w:left="20"/>
              <w:spacing w:after="0"/>
              <w:rPr>
                <w:sz w:val="20"/>
                <w:szCs w:val="20"/>
                <w:color w:val="auto"/>
              </w:rPr>
            </w:pPr>
            <w:r>
              <w:rPr>
                <w:rFonts w:ascii="Arial" w:cs="Arial" w:eastAsia="Arial" w:hAnsi="Arial"/>
                <w:sz w:val="16"/>
                <w:szCs w:val="16"/>
                <w:color w:val="auto"/>
              </w:rPr>
              <w:t>Dropbox, Inc.</w:t>
            </w:r>
          </w:p>
        </w:tc>
        <w:tc>
          <w:tcPr>
            <w:tcW w:w="16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(2,054,477)</w:t>
            </w:r>
          </w:p>
        </w:tc>
        <w:tc>
          <w:tcPr>
            <w:tcW w:w="100" w:type="dxa"/>
            <w:vAlign w:val="bottom"/>
          </w:tcPr>
          <w:p>
            <w:pPr>
              <w:spacing w:after="0"/>
              <w:rPr>
                <w:sz w:val="20"/>
                <w:szCs w:val="20"/>
                <w:color w:val="auto"/>
              </w:rPr>
            </w:pPr>
          </w:p>
        </w:tc>
        <w:tc>
          <w:tcPr>
            <w:tcW w:w="3760" w:type="dxa"/>
            <w:vAlign w:val="bottom"/>
            <w:gridSpan w:val="2"/>
          </w:tcPr>
          <w:p>
            <w:pPr>
              <w:ind w:left="20"/>
              <w:spacing w:after="0"/>
              <w:rPr>
                <w:sz w:val="20"/>
                <w:szCs w:val="20"/>
                <w:color w:val="auto"/>
              </w:rPr>
            </w:pPr>
            <w:r>
              <w:rPr>
                <w:rFonts w:ascii="Arial" w:cs="Arial" w:eastAsia="Arial" w:hAnsi="Arial"/>
                <w:sz w:val="16"/>
                <w:szCs w:val="16"/>
                <w:color w:val="auto"/>
              </w:rPr>
              <w:t>Avenues Global Holdings, LLC</w:t>
            </w:r>
          </w:p>
        </w:tc>
        <w:tc>
          <w:tcPr>
            <w:tcW w:w="16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(1,358,960)</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Ozy Media, Inc.</w:t>
            </w: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(2,205,441)</w:t>
            </w:r>
          </w:p>
        </w:tc>
        <w:tc>
          <w:tcPr>
            <w:tcW w:w="100" w:type="dxa"/>
            <w:vAlign w:val="bottom"/>
          </w:tcPr>
          <w:p>
            <w:pPr>
              <w:spacing w:after="0"/>
              <w:rPr>
                <w:sz w:val="21"/>
                <w:szCs w:val="21"/>
                <w:color w:val="auto"/>
              </w:rPr>
            </w:pPr>
          </w:p>
        </w:tc>
        <w:tc>
          <w:tcPr>
            <w:tcW w:w="3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Maven Research, Inc.</w:t>
            </w: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(1,600,515)</w:t>
            </w:r>
          </w:p>
        </w:tc>
        <w:tc>
          <w:tcPr>
            <w:tcW w:w="0" w:type="dxa"/>
            <w:vAlign w:val="bottom"/>
          </w:tcPr>
          <w:p>
            <w:pPr>
              <w:spacing w:after="0"/>
              <w:rPr>
                <w:sz w:val="1"/>
                <w:szCs w:val="1"/>
                <w:color w:val="auto"/>
              </w:rPr>
            </w:pPr>
          </w:p>
        </w:tc>
      </w:tr>
      <w:tr>
        <w:trPr>
          <w:trHeight w:val="270"/>
        </w:trPr>
        <w:tc>
          <w:tcPr>
            <w:tcW w:w="3660" w:type="dxa"/>
            <w:vAlign w:val="bottom"/>
            <w:gridSpan w:val="2"/>
          </w:tcPr>
          <w:p>
            <w:pPr>
              <w:ind w:left="20"/>
              <w:spacing w:after="0"/>
              <w:rPr>
                <w:sz w:val="20"/>
                <w:szCs w:val="20"/>
                <w:color w:val="auto"/>
              </w:rPr>
            </w:pPr>
            <w:r>
              <w:rPr>
                <w:rFonts w:ascii="Arial" w:cs="Arial" w:eastAsia="Arial" w:hAnsi="Arial"/>
                <w:sz w:val="16"/>
                <w:szCs w:val="16"/>
                <w:color w:val="auto"/>
              </w:rPr>
              <w:t>DreamBox Learning, Inc.</w:t>
            </w:r>
            <w:r>
              <w:rPr>
                <w:rFonts w:ascii="Arial" w:cs="Arial" w:eastAsia="Arial" w:hAnsi="Arial"/>
                <w:sz w:val="21"/>
                <w:szCs w:val="21"/>
                <w:color w:val="auto"/>
                <w:vertAlign w:val="superscript"/>
              </w:rPr>
              <w:t>(1)</w:t>
            </w:r>
          </w:p>
        </w:tc>
        <w:tc>
          <w:tcPr>
            <w:tcW w:w="16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(3,424,488)</w:t>
            </w:r>
          </w:p>
        </w:tc>
        <w:tc>
          <w:tcPr>
            <w:tcW w:w="100" w:type="dxa"/>
            <w:vAlign w:val="bottom"/>
          </w:tcPr>
          <w:p>
            <w:pPr>
              <w:spacing w:after="0"/>
              <w:rPr>
                <w:sz w:val="23"/>
                <w:szCs w:val="23"/>
                <w:color w:val="auto"/>
              </w:rPr>
            </w:pPr>
          </w:p>
        </w:tc>
        <w:tc>
          <w:tcPr>
            <w:tcW w:w="3760" w:type="dxa"/>
            <w:vAlign w:val="bottom"/>
            <w:gridSpan w:val="2"/>
          </w:tcPr>
          <w:p>
            <w:pPr>
              <w:ind w:left="20"/>
              <w:spacing w:after="0"/>
              <w:rPr>
                <w:sz w:val="20"/>
                <w:szCs w:val="20"/>
                <w:color w:val="auto"/>
              </w:rPr>
            </w:pPr>
            <w:r>
              <w:rPr>
                <w:rFonts w:ascii="Arial" w:cs="Arial" w:eastAsia="Arial" w:hAnsi="Arial"/>
                <w:sz w:val="16"/>
                <w:szCs w:val="16"/>
                <w:color w:val="auto"/>
              </w:rPr>
              <w:t>Curious.com Inc.</w:t>
            </w:r>
          </w:p>
        </w:tc>
        <w:tc>
          <w:tcPr>
            <w:tcW w:w="16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(2,973,142)</w:t>
            </w: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3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Declara, Inc.</w:t>
            </w: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(4,216,360)</w:t>
            </w:r>
          </w:p>
        </w:tc>
        <w:tc>
          <w:tcPr>
            <w:tcW w:w="0" w:type="dxa"/>
            <w:vAlign w:val="bottom"/>
          </w:tcPr>
          <w:p>
            <w:pPr>
              <w:spacing w:after="0"/>
              <w:rPr>
                <w:sz w:val="1"/>
                <w:szCs w:val="1"/>
                <w:color w:val="auto"/>
              </w:rPr>
            </w:pPr>
          </w:p>
        </w:tc>
      </w:tr>
      <w:tr>
        <w:trPr>
          <w:trHeight w:val="270"/>
        </w:trPr>
        <w:tc>
          <w:tcPr>
            <w:tcW w:w="36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(2)</w:t>
            </w:r>
          </w:p>
        </w:tc>
        <w:tc>
          <w:tcPr>
            <w:tcW w:w="16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(766,107)</w:t>
            </w:r>
          </w:p>
        </w:tc>
        <w:tc>
          <w:tcPr>
            <w:tcW w:w="100" w:type="dxa"/>
            <w:vAlign w:val="bottom"/>
          </w:tcPr>
          <w:p>
            <w:pPr>
              <w:spacing w:after="0"/>
              <w:rPr>
                <w:sz w:val="23"/>
                <w:szCs w:val="23"/>
                <w:color w:val="auto"/>
              </w:rPr>
            </w:pPr>
          </w:p>
        </w:tc>
        <w:tc>
          <w:tcPr>
            <w:tcW w:w="37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(2)</w:t>
            </w:r>
          </w:p>
        </w:tc>
        <w:tc>
          <w:tcPr>
            <w:tcW w:w="16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(101,655)</w:t>
            </w:r>
          </w:p>
        </w:tc>
        <w:tc>
          <w:tcPr>
            <w:tcW w:w="0" w:type="dxa"/>
            <w:vAlign w:val="bottom"/>
          </w:tcPr>
          <w:p>
            <w:pPr>
              <w:spacing w:after="0"/>
              <w:rPr>
                <w:sz w:val="1"/>
                <w:szCs w:val="1"/>
                <w:color w:val="auto"/>
              </w:rPr>
            </w:pPr>
          </w:p>
        </w:tc>
      </w:tr>
      <w:tr>
        <w:trPr>
          <w:trHeight w:val="284"/>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14,142,375</w:t>
            </w:r>
          </w:p>
        </w:tc>
        <w:tc>
          <w:tcPr>
            <w:tcW w:w="100" w:type="dxa"/>
            <w:vAlign w:val="bottom"/>
          </w:tcPr>
          <w:p>
            <w:pPr>
              <w:spacing w:after="0"/>
              <w:rPr>
                <w:sz w:val="24"/>
                <w:szCs w:val="24"/>
                <w:color w:val="auto"/>
              </w:rPr>
            </w:pPr>
          </w:p>
        </w:tc>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15,636,683</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_______________________</w:t>
      </w:r>
    </w:p>
    <w:p>
      <w:pPr>
        <w:spacing w:after="0" w:line="9" w:lineRule="exact"/>
        <w:rPr>
          <w:sz w:val="20"/>
          <w:szCs w:val="20"/>
          <w:color w:val="auto"/>
        </w:rPr>
      </w:pPr>
    </w:p>
    <w:p>
      <w:pPr>
        <w:ind w:left="500" w:right="200" w:hanging="492"/>
        <w:spacing w:after="0" w:line="249" w:lineRule="auto"/>
        <w:tabs>
          <w:tab w:leader="none" w:pos="5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change in unrealized appreciation/(depreciation) reflected for these investments resulted from the full or partial sale of the relevant investment, which resulted in the reversal of previously accrued unrealized appreciation/(depreciation), as applicable.</w:t>
      </w:r>
    </w:p>
    <w:p>
      <w:pPr>
        <w:ind w:left="500" w:right="140" w:hanging="492"/>
        <w:spacing w:after="0" w:line="257" w:lineRule="auto"/>
        <w:tabs>
          <w:tab w:leader="none" w:pos="5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“Other” represents investments (including U.S. Treasury bills) for which individual change in unrealized appreciation/(depreciation) was less than $1.0 million for the three months ended September 30, 2018 or 2017.</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2" w:right="239" w:bottom="1440" w:gutter="0" w:footer="0" w:header="0"/>
        </w:sectPr>
      </w:pPr>
    </w:p>
    <w:bookmarkStart w:id="63" w:name="page64"/>
    <w:bookmarkEnd w:id="63"/>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48" w:lineRule="exact"/>
        <w:rPr>
          <w:sz w:val="20"/>
          <w:szCs w:val="20"/>
          <w:color w:val="auto"/>
        </w:rPr>
      </w:pPr>
    </w:p>
    <w:p>
      <w:pPr>
        <w:jc w:val="both"/>
        <w:ind w:right="200" w:firstLine="324"/>
        <w:spacing w:after="0" w:line="312" w:lineRule="auto"/>
        <w:rPr>
          <w:sz w:val="20"/>
          <w:szCs w:val="20"/>
          <w:color w:val="auto"/>
        </w:rPr>
      </w:pPr>
      <w:r>
        <w:rPr>
          <w:rFonts w:ascii="Arial" w:cs="Arial" w:eastAsia="Arial" w:hAnsi="Arial"/>
          <w:sz w:val="16"/>
          <w:szCs w:val="16"/>
          <w:color w:val="auto"/>
        </w:rPr>
        <w:t>For the nine months ended September 30, 2018, we had a net change in unrealized appreciation of $32,148,365. For the nine months ended September 30, 2017, we had a net change in unrealized appreciation of $61,669,476. The following tables summarize, by portfolio company, the significant changes in unrealized appreciation and/or depreciation of our investment portfolio for the nine months ended September 30, 2018 and 2017.</w:t>
      </w:r>
    </w:p>
    <w:p>
      <w:pPr>
        <w:spacing w:after="0" w:line="72"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2"/>
          </w:tcPr>
          <w:p>
            <w:pPr>
              <w:jc w:val="right"/>
              <w:ind w:right="19"/>
              <w:spacing w:after="0"/>
              <w:rPr>
                <w:sz w:val="20"/>
                <w:szCs w:val="20"/>
                <w:color w:val="auto"/>
              </w:rPr>
            </w:pPr>
            <w:r>
              <w:rPr>
                <w:rFonts w:ascii="Arial" w:cs="Arial" w:eastAsia="Arial" w:hAnsi="Arial"/>
                <w:sz w:val="14"/>
                <w:szCs w:val="14"/>
                <w:b w:val="1"/>
                <w:bCs w:val="1"/>
                <w:color w:val="auto"/>
                <w:w w:val="98"/>
              </w:rPr>
              <w:t>Net Change in Unrealized</w:t>
            </w:r>
          </w:p>
        </w:tc>
        <w:tc>
          <w:tcPr>
            <w:tcW w:w="10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2"/>
          </w:tcPr>
          <w:p>
            <w:pPr>
              <w:jc w:val="right"/>
              <w:ind w:right="19"/>
              <w:spacing w:after="0"/>
              <w:rPr>
                <w:sz w:val="20"/>
                <w:szCs w:val="20"/>
                <w:color w:val="auto"/>
              </w:rPr>
            </w:pPr>
            <w:r>
              <w:rPr>
                <w:rFonts w:ascii="Arial" w:cs="Arial" w:eastAsia="Arial" w:hAnsi="Arial"/>
                <w:sz w:val="14"/>
                <w:szCs w:val="14"/>
                <w:b w:val="1"/>
                <w:bCs w:val="1"/>
                <w:color w:val="auto"/>
                <w:w w:val="98"/>
              </w:rPr>
              <w:t>Net Change in Unrealized</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4"/>
              </w:rPr>
              <w:t>Appreciation/(Depreciation)</w:t>
            </w:r>
          </w:p>
        </w:tc>
        <w:tc>
          <w:tcPr>
            <w:tcW w:w="1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4"/>
              </w:rPr>
              <w:t>Appreciation/(Depreciation)</w:t>
            </w:r>
          </w:p>
        </w:tc>
        <w:tc>
          <w:tcPr>
            <w:tcW w:w="0" w:type="dxa"/>
            <w:vAlign w:val="bottom"/>
          </w:tcPr>
          <w:p>
            <w:pPr>
              <w:spacing w:after="0"/>
              <w:rPr>
                <w:sz w:val="1"/>
                <w:szCs w:val="1"/>
                <w:color w:val="auto"/>
              </w:rPr>
            </w:pPr>
          </w:p>
        </w:tc>
      </w:tr>
      <w:tr>
        <w:trPr>
          <w:trHeight w:val="149"/>
        </w:trPr>
        <w:tc>
          <w:tcPr>
            <w:tcW w:w="35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Portfolio Company</w:t>
            </w:r>
          </w:p>
        </w:tc>
        <w:tc>
          <w:tcPr>
            <w:tcW w:w="120" w:type="dxa"/>
            <w:vAlign w:val="bottom"/>
            <w:vMerge w:val="restart"/>
          </w:tcPr>
          <w:p>
            <w:pPr>
              <w:spacing w:after="0"/>
              <w:rPr>
                <w:sz w:val="12"/>
                <w:szCs w:val="12"/>
                <w:color w:val="auto"/>
              </w:rPr>
            </w:pPr>
          </w:p>
        </w:tc>
        <w:tc>
          <w:tcPr>
            <w:tcW w:w="17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5"/>
              </w:rPr>
              <w:t>For the Nine Months Ended</w:t>
            </w:r>
          </w:p>
        </w:tc>
        <w:tc>
          <w:tcPr>
            <w:tcW w:w="100" w:type="dxa"/>
            <w:vAlign w:val="bottom"/>
          </w:tcPr>
          <w:p>
            <w:pPr>
              <w:spacing w:after="0"/>
              <w:rPr>
                <w:sz w:val="12"/>
                <w:szCs w:val="12"/>
                <w:color w:val="auto"/>
              </w:rPr>
            </w:pPr>
          </w:p>
        </w:tc>
        <w:tc>
          <w:tcPr>
            <w:tcW w:w="36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Portfolio Company</w:t>
            </w:r>
          </w:p>
        </w:tc>
        <w:tc>
          <w:tcPr>
            <w:tcW w:w="120" w:type="dxa"/>
            <w:vAlign w:val="bottom"/>
            <w:vMerge w:val="restart"/>
          </w:tcPr>
          <w:p>
            <w:pPr>
              <w:spacing w:after="0"/>
              <w:rPr>
                <w:sz w:val="12"/>
                <w:szCs w:val="12"/>
                <w:color w:val="auto"/>
              </w:rPr>
            </w:pPr>
          </w:p>
        </w:tc>
        <w:tc>
          <w:tcPr>
            <w:tcW w:w="17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5"/>
              </w:rPr>
              <w:t>For the Nine Months Ended</w:t>
            </w:r>
          </w:p>
        </w:tc>
        <w:tc>
          <w:tcPr>
            <w:tcW w:w="0" w:type="dxa"/>
            <w:vAlign w:val="bottom"/>
          </w:tcPr>
          <w:p>
            <w:pPr>
              <w:spacing w:after="0"/>
              <w:rPr>
                <w:sz w:val="1"/>
                <w:szCs w:val="1"/>
                <w:color w:val="auto"/>
              </w:rPr>
            </w:pPr>
          </w:p>
        </w:tc>
      </w:tr>
      <w:tr>
        <w:trPr>
          <w:trHeight w:val="192"/>
        </w:trPr>
        <w:tc>
          <w:tcPr>
            <w:tcW w:w="35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w w:val="96"/>
              </w:rPr>
              <w:t>September 30, 2018</w:t>
            </w:r>
          </w:p>
        </w:tc>
        <w:tc>
          <w:tcPr>
            <w:tcW w:w="100" w:type="dxa"/>
            <w:vAlign w:val="bottom"/>
          </w:tcPr>
          <w:p>
            <w:pPr>
              <w:spacing w:after="0"/>
              <w:rPr>
                <w:sz w:val="16"/>
                <w:szCs w:val="16"/>
                <w:color w:val="auto"/>
              </w:rPr>
            </w:pPr>
          </w:p>
        </w:tc>
        <w:tc>
          <w:tcPr>
            <w:tcW w:w="36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w w:val="97"/>
              </w:rPr>
              <w:t>September 30, 2017</w:t>
            </w:r>
          </w:p>
        </w:tc>
        <w:tc>
          <w:tcPr>
            <w:tcW w:w="0" w:type="dxa"/>
            <w:vAlign w:val="bottom"/>
          </w:tcPr>
          <w:p>
            <w:pPr>
              <w:spacing w:after="0"/>
              <w:rPr>
                <w:sz w:val="1"/>
                <w:szCs w:val="1"/>
                <w:color w:val="auto"/>
              </w:rPr>
            </w:pPr>
          </w:p>
        </w:tc>
      </w:tr>
      <w:tr>
        <w:trPr>
          <w:trHeight w:val="236"/>
        </w:trPr>
        <w:tc>
          <w:tcPr>
            <w:tcW w:w="3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Spotify Technology S.A.</w:t>
            </w: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11,831,081</w:t>
            </w:r>
          </w:p>
        </w:tc>
        <w:tc>
          <w:tcPr>
            <w:tcW w:w="100" w:type="dxa"/>
            <w:vAlign w:val="bottom"/>
          </w:tcPr>
          <w:p>
            <w:pPr>
              <w:spacing w:after="0"/>
              <w:rPr>
                <w:sz w:val="20"/>
                <w:szCs w:val="20"/>
                <w:color w:val="auto"/>
              </w:rPr>
            </w:pPr>
          </w:p>
        </w:tc>
        <w:tc>
          <w:tcPr>
            <w:tcW w:w="3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JAMF Holdings, Inc.</w:t>
            </w: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21,321,024</w:t>
            </w:r>
          </w:p>
        </w:tc>
        <w:tc>
          <w:tcPr>
            <w:tcW w:w="0" w:type="dxa"/>
            <w:vAlign w:val="bottom"/>
          </w:tcPr>
          <w:p>
            <w:pPr>
              <w:spacing w:after="0"/>
              <w:rPr>
                <w:sz w:val="1"/>
                <w:szCs w:val="1"/>
                <w:color w:val="auto"/>
              </w:rPr>
            </w:pPr>
          </w:p>
        </w:tc>
      </w:tr>
      <w:tr>
        <w:trPr>
          <w:trHeight w:val="270"/>
        </w:trPr>
        <w:tc>
          <w:tcPr>
            <w:tcW w:w="3660" w:type="dxa"/>
            <w:vAlign w:val="bottom"/>
            <w:gridSpan w:val="2"/>
          </w:tcPr>
          <w:p>
            <w:pPr>
              <w:ind w:left="20"/>
              <w:spacing w:after="0"/>
              <w:rPr>
                <w:sz w:val="20"/>
                <w:szCs w:val="20"/>
                <w:color w:val="auto"/>
              </w:rPr>
            </w:pPr>
            <w:r>
              <w:rPr>
                <w:rFonts w:ascii="Arial" w:cs="Arial" w:eastAsia="Arial" w:hAnsi="Arial"/>
                <w:sz w:val="16"/>
                <w:szCs w:val="16"/>
                <w:color w:val="auto"/>
              </w:rPr>
              <w:t>Lytro, Inc.</w:t>
            </w:r>
            <w:r>
              <w:rPr>
                <w:rFonts w:ascii="Arial" w:cs="Arial" w:eastAsia="Arial" w:hAnsi="Arial"/>
                <w:sz w:val="21"/>
                <w:szCs w:val="21"/>
                <w:color w:val="auto"/>
                <w:vertAlign w:val="superscript"/>
              </w:rPr>
              <w:t>(2)</w:t>
            </w:r>
          </w:p>
        </w:tc>
        <w:tc>
          <w:tcPr>
            <w:tcW w:w="200" w:type="dxa"/>
            <w:vAlign w:val="bottom"/>
          </w:tcPr>
          <w:p>
            <w:pPr>
              <w:spacing w:after="0"/>
              <w:rPr>
                <w:sz w:val="23"/>
                <w:szCs w:val="23"/>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8,387,816</w:t>
            </w:r>
          </w:p>
        </w:tc>
        <w:tc>
          <w:tcPr>
            <w:tcW w:w="100" w:type="dxa"/>
            <w:vAlign w:val="bottom"/>
          </w:tcPr>
          <w:p>
            <w:pPr>
              <w:spacing w:after="0"/>
              <w:rPr>
                <w:sz w:val="23"/>
                <w:szCs w:val="23"/>
                <w:color w:val="auto"/>
              </w:rPr>
            </w:pPr>
          </w:p>
        </w:tc>
        <w:tc>
          <w:tcPr>
            <w:tcW w:w="3760" w:type="dxa"/>
            <w:vAlign w:val="bottom"/>
            <w:gridSpan w:val="2"/>
          </w:tcPr>
          <w:p>
            <w:pPr>
              <w:ind w:left="20"/>
              <w:spacing w:after="0"/>
              <w:rPr>
                <w:sz w:val="20"/>
                <w:szCs w:val="20"/>
                <w:color w:val="auto"/>
              </w:rPr>
            </w:pPr>
            <w:r>
              <w:rPr>
                <w:rFonts w:ascii="Arial" w:cs="Arial" w:eastAsia="Arial" w:hAnsi="Arial"/>
                <w:sz w:val="16"/>
                <w:szCs w:val="16"/>
                <w:color w:val="auto"/>
              </w:rPr>
              <w:t>Beamreach Solar, Inc. (f/k/a Solexel, Inc.)</w:t>
            </w:r>
            <w:r>
              <w:rPr>
                <w:rFonts w:ascii="Arial" w:cs="Arial" w:eastAsia="Arial" w:hAnsi="Arial"/>
                <w:sz w:val="21"/>
                <w:szCs w:val="21"/>
                <w:color w:val="auto"/>
                <w:vertAlign w:val="superscript"/>
              </w:rPr>
              <w:t>(1)</w:t>
            </w:r>
          </w:p>
        </w:tc>
        <w:tc>
          <w:tcPr>
            <w:tcW w:w="200" w:type="dxa"/>
            <w:vAlign w:val="bottom"/>
          </w:tcPr>
          <w:p>
            <w:pPr>
              <w:spacing w:after="0"/>
              <w:rPr>
                <w:sz w:val="23"/>
                <w:szCs w:val="23"/>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14,272,843</w:t>
            </w: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NestGSV, Inc. (d.b.a. GSV Labs, Inc.)</w:t>
            </w: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5,053,374</w:t>
            </w:r>
          </w:p>
        </w:tc>
        <w:tc>
          <w:tcPr>
            <w:tcW w:w="100" w:type="dxa"/>
            <w:vAlign w:val="bottom"/>
          </w:tcPr>
          <w:p>
            <w:pPr>
              <w:spacing w:after="0"/>
              <w:rPr>
                <w:sz w:val="21"/>
                <w:szCs w:val="21"/>
                <w:color w:val="auto"/>
              </w:rPr>
            </w:pPr>
          </w:p>
        </w:tc>
        <w:tc>
          <w:tcPr>
            <w:tcW w:w="3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Spotify Technology S.A.</w:t>
            </w: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13,351,893</w:t>
            </w:r>
          </w:p>
        </w:tc>
        <w:tc>
          <w:tcPr>
            <w:tcW w:w="0" w:type="dxa"/>
            <w:vAlign w:val="bottom"/>
          </w:tcPr>
          <w:p>
            <w:pPr>
              <w:spacing w:after="0"/>
              <w:rPr>
                <w:sz w:val="1"/>
                <w:szCs w:val="1"/>
                <w:color w:val="auto"/>
              </w:rPr>
            </w:pPr>
          </w:p>
        </w:tc>
      </w:tr>
      <w:tr>
        <w:trPr>
          <w:trHeight w:val="270"/>
        </w:trPr>
        <w:tc>
          <w:tcPr>
            <w:tcW w:w="3660" w:type="dxa"/>
            <w:vAlign w:val="bottom"/>
            <w:gridSpan w:val="2"/>
          </w:tcPr>
          <w:p>
            <w:pPr>
              <w:ind w:left="20"/>
              <w:spacing w:after="0"/>
              <w:rPr>
                <w:sz w:val="20"/>
                <w:szCs w:val="20"/>
                <w:color w:val="auto"/>
              </w:rPr>
            </w:pPr>
            <w:r>
              <w:rPr>
                <w:rFonts w:ascii="Arial" w:cs="Arial" w:eastAsia="Arial" w:hAnsi="Arial"/>
                <w:sz w:val="16"/>
                <w:szCs w:val="16"/>
                <w:color w:val="auto"/>
              </w:rPr>
              <w:t>Dropbox, Inc.</w:t>
            </w:r>
          </w:p>
        </w:tc>
        <w:tc>
          <w:tcPr>
            <w:tcW w:w="200" w:type="dxa"/>
            <w:vAlign w:val="bottom"/>
          </w:tcPr>
          <w:p>
            <w:pPr>
              <w:spacing w:after="0"/>
              <w:rPr>
                <w:sz w:val="23"/>
                <w:szCs w:val="23"/>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5,600,285</w:t>
            </w:r>
          </w:p>
        </w:tc>
        <w:tc>
          <w:tcPr>
            <w:tcW w:w="100" w:type="dxa"/>
            <w:vAlign w:val="bottom"/>
          </w:tcPr>
          <w:p>
            <w:pPr>
              <w:spacing w:after="0"/>
              <w:rPr>
                <w:sz w:val="23"/>
                <w:szCs w:val="23"/>
                <w:color w:val="auto"/>
              </w:rPr>
            </w:pPr>
          </w:p>
        </w:tc>
        <w:tc>
          <w:tcPr>
            <w:tcW w:w="3760" w:type="dxa"/>
            <w:vAlign w:val="bottom"/>
            <w:gridSpan w:val="2"/>
          </w:tcPr>
          <w:p>
            <w:pPr>
              <w:ind w:left="20"/>
              <w:spacing w:after="0"/>
              <w:rPr>
                <w:sz w:val="20"/>
                <w:szCs w:val="20"/>
                <w:color w:val="auto"/>
              </w:rPr>
            </w:pPr>
            <w:r>
              <w:rPr>
                <w:rFonts w:ascii="Arial" w:cs="Arial" w:eastAsia="Arial" w:hAnsi="Arial"/>
                <w:sz w:val="16"/>
                <w:szCs w:val="16"/>
                <w:color w:val="auto"/>
              </w:rPr>
              <w:t>Chegg, Inc.</w:t>
            </w:r>
            <w:r>
              <w:rPr>
                <w:rFonts w:ascii="Arial" w:cs="Arial" w:eastAsia="Arial" w:hAnsi="Arial"/>
                <w:sz w:val="21"/>
                <w:szCs w:val="21"/>
                <w:color w:val="auto"/>
                <w:vertAlign w:val="superscript"/>
              </w:rPr>
              <w:t>(2)</w:t>
            </w:r>
          </w:p>
        </w:tc>
        <w:tc>
          <w:tcPr>
            <w:tcW w:w="200" w:type="dxa"/>
            <w:vAlign w:val="bottom"/>
          </w:tcPr>
          <w:p>
            <w:pPr>
              <w:spacing w:after="0"/>
              <w:rPr>
                <w:sz w:val="23"/>
                <w:szCs w:val="23"/>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7,628,129</w:t>
            </w:r>
          </w:p>
        </w:tc>
        <w:tc>
          <w:tcPr>
            <w:tcW w:w="0" w:type="dxa"/>
            <w:vAlign w:val="bottom"/>
          </w:tcPr>
          <w:p>
            <w:pPr>
              <w:spacing w:after="0"/>
              <w:rPr>
                <w:sz w:val="1"/>
                <w:szCs w:val="1"/>
                <w:color w:val="auto"/>
              </w:rPr>
            </w:pPr>
          </w:p>
        </w:tc>
      </w:tr>
      <w:tr>
        <w:trPr>
          <w:trHeight w:val="270"/>
        </w:trPr>
        <w:tc>
          <w:tcPr>
            <w:tcW w:w="36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Lyft, Inc.</w:t>
            </w:r>
          </w:p>
        </w:tc>
        <w:tc>
          <w:tcPr>
            <w:tcW w:w="20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4,571,494</w:t>
            </w:r>
          </w:p>
        </w:tc>
        <w:tc>
          <w:tcPr>
            <w:tcW w:w="100" w:type="dxa"/>
            <w:vAlign w:val="bottom"/>
          </w:tcPr>
          <w:p>
            <w:pPr>
              <w:spacing w:after="0"/>
              <w:rPr>
                <w:sz w:val="23"/>
                <w:szCs w:val="23"/>
                <w:color w:val="auto"/>
              </w:rPr>
            </w:pPr>
          </w:p>
        </w:tc>
        <w:tc>
          <w:tcPr>
            <w:tcW w:w="3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Orchestra One, Inc. (f/k/a Learnist, Inc.)</w:t>
            </w:r>
            <w:r>
              <w:rPr>
                <w:rFonts w:ascii="Arial" w:cs="Arial" w:eastAsia="Arial" w:hAnsi="Arial"/>
                <w:sz w:val="21"/>
                <w:szCs w:val="21"/>
                <w:color w:val="auto"/>
                <w:vertAlign w:val="superscript"/>
              </w:rPr>
              <w:t>(1)</w:t>
            </w:r>
          </w:p>
        </w:tc>
        <w:tc>
          <w:tcPr>
            <w:tcW w:w="20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4,959,614</w:t>
            </w:r>
          </w:p>
        </w:tc>
        <w:tc>
          <w:tcPr>
            <w:tcW w:w="0" w:type="dxa"/>
            <w:vAlign w:val="bottom"/>
          </w:tcPr>
          <w:p>
            <w:pPr>
              <w:spacing w:after="0"/>
              <w:rPr>
                <w:sz w:val="1"/>
                <w:szCs w:val="1"/>
                <w:color w:val="auto"/>
              </w:rPr>
            </w:pPr>
          </w:p>
        </w:tc>
      </w:tr>
      <w:tr>
        <w:trPr>
          <w:trHeight w:val="270"/>
        </w:trPr>
        <w:tc>
          <w:tcPr>
            <w:tcW w:w="3660" w:type="dxa"/>
            <w:vAlign w:val="bottom"/>
            <w:gridSpan w:val="2"/>
          </w:tcPr>
          <w:p>
            <w:pPr>
              <w:ind w:left="20"/>
              <w:spacing w:after="0"/>
              <w:rPr>
                <w:sz w:val="20"/>
                <w:szCs w:val="20"/>
                <w:color w:val="auto"/>
              </w:rPr>
            </w:pPr>
            <w:r>
              <w:rPr>
                <w:rFonts w:ascii="Arial" w:cs="Arial" w:eastAsia="Arial" w:hAnsi="Arial"/>
                <w:sz w:val="16"/>
                <w:szCs w:val="16"/>
                <w:color w:val="auto"/>
              </w:rPr>
              <w:t>Avenues Global Holdings, LLC</w:t>
            </w:r>
            <w:r>
              <w:rPr>
                <w:rFonts w:ascii="Arial" w:cs="Arial" w:eastAsia="Arial" w:hAnsi="Arial"/>
                <w:sz w:val="21"/>
                <w:szCs w:val="21"/>
                <w:color w:val="auto"/>
                <w:vertAlign w:val="superscript"/>
              </w:rPr>
              <w:t>(2)</w:t>
            </w:r>
          </w:p>
        </w:tc>
        <w:tc>
          <w:tcPr>
            <w:tcW w:w="200" w:type="dxa"/>
            <w:vAlign w:val="bottom"/>
          </w:tcPr>
          <w:p>
            <w:pPr>
              <w:spacing w:after="0"/>
              <w:rPr>
                <w:sz w:val="23"/>
                <w:szCs w:val="23"/>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4,243,435</w:t>
            </w:r>
          </w:p>
        </w:tc>
        <w:tc>
          <w:tcPr>
            <w:tcW w:w="100" w:type="dxa"/>
            <w:vAlign w:val="bottom"/>
          </w:tcPr>
          <w:p>
            <w:pPr>
              <w:spacing w:after="0"/>
              <w:rPr>
                <w:sz w:val="23"/>
                <w:szCs w:val="23"/>
                <w:color w:val="auto"/>
              </w:rPr>
            </w:pPr>
          </w:p>
        </w:tc>
        <w:tc>
          <w:tcPr>
            <w:tcW w:w="3760" w:type="dxa"/>
            <w:vAlign w:val="bottom"/>
            <w:gridSpan w:val="2"/>
          </w:tcPr>
          <w:p>
            <w:pPr>
              <w:ind w:left="20"/>
              <w:spacing w:after="0"/>
              <w:rPr>
                <w:sz w:val="20"/>
                <w:szCs w:val="20"/>
                <w:color w:val="auto"/>
              </w:rPr>
            </w:pPr>
            <w:r>
              <w:rPr>
                <w:rFonts w:ascii="Arial" w:cs="Arial" w:eastAsia="Arial" w:hAnsi="Arial"/>
                <w:sz w:val="16"/>
                <w:szCs w:val="16"/>
                <w:color w:val="auto"/>
              </w:rPr>
              <w:t>StormWind, LLC</w:t>
            </w:r>
          </w:p>
        </w:tc>
        <w:tc>
          <w:tcPr>
            <w:tcW w:w="200" w:type="dxa"/>
            <w:vAlign w:val="bottom"/>
          </w:tcPr>
          <w:p>
            <w:pPr>
              <w:spacing w:after="0"/>
              <w:rPr>
                <w:sz w:val="23"/>
                <w:szCs w:val="23"/>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4,743,772</w:t>
            </w:r>
          </w:p>
        </w:tc>
        <w:tc>
          <w:tcPr>
            <w:tcW w:w="0" w:type="dxa"/>
            <w:vAlign w:val="bottom"/>
          </w:tcPr>
          <w:p>
            <w:pPr>
              <w:spacing w:after="0"/>
              <w:rPr>
                <w:sz w:val="1"/>
                <w:szCs w:val="1"/>
                <w:color w:val="auto"/>
              </w:rPr>
            </w:pPr>
          </w:p>
        </w:tc>
      </w:tr>
      <w:tr>
        <w:trPr>
          <w:trHeight w:val="270"/>
        </w:trPr>
        <w:tc>
          <w:tcPr>
            <w:tcW w:w="36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SugarCRM, Inc.</w:t>
            </w:r>
            <w:r>
              <w:rPr>
                <w:rFonts w:ascii="Arial" w:cs="Arial" w:eastAsia="Arial" w:hAnsi="Arial"/>
                <w:sz w:val="21"/>
                <w:szCs w:val="21"/>
                <w:color w:val="auto"/>
                <w:vertAlign w:val="superscript"/>
              </w:rPr>
              <w:t>(2)</w:t>
            </w:r>
          </w:p>
        </w:tc>
        <w:tc>
          <w:tcPr>
            <w:tcW w:w="20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3,753,157</w:t>
            </w:r>
          </w:p>
        </w:tc>
        <w:tc>
          <w:tcPr>
            <w:tcW w:w="100" w:type="dxa"/>
            <w:vAlign w:val="bottom"/>
          </w:tcPr>
          <w:p>
            <w:pPr>
              <w:spacing w:after="0"/>
              <w:rPr>
                <w:sz w:val="23"/>
                <w:szCs w:val="23"/>
                <w:color w:val="auto"/>
              </w:rPr>
            </w:pPr>
          </w:p>
        </w:tc>
        <w:tc>
          <w:tcPr>
            <w:tcW w:w="3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NestGSV, Inc. (d/b/a GSV Labs, Inc.)</w:t>
            </w:r>
          </w:p>
        </w:tc>
        <w:tc>
          <w:tcPr>
            <w:tcW w:w="20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4,019,767</w:t>
            </w:r>
          </w:p>
        </w:tc>
        <w:tc>
          <w:tcPr>
            <w:tcW w:w="0" w:type="dxa"/>
            <w:vAlign w:val="bottom"/>
          </w:tcPr>
          <w:p>
            <w:pPr>
              <w:spacing w:after="0"/>
              <w:rPr>
                <w:sz w:val="1"/>
                <w:szCs w:val="1"/>
                <w:color w:val="auto"/>
              </w:rPr>
            </w:pPr>
          </w:p>
        </w:tc>
      </w:tr>
      <w:tr>
        <w:trPr>
          <w:trHeight w:val="237"/>
        </w:trPr>
        <w:tc>
          <w:tcPr>
            <w:tcW w:w="3660" w:type="dxa"/>
            <w:vAlign w:val="bottom"/>
            <w:gridSpan w:val="2"/>
          </w:tcPr>
          <w:p>
            <w:pPr>
              <w:ind w:left="20"/>
              <w:spacing w:after="0"/>
              <w:rPr>
                <w:sz w:val="20"/>
                <w:szCs w:val="20"/>
                <w:color w:val="auto"/>
              </w:rPr>
            </w:pPr>
            <w:r>
              <w:rPr>
                <w:rFonts w:ascii="Arial" w:cs="Arial" w:eastAsia="Arial" w:hAnsi="Arial"/>
                <w:sz w:val="16"/>
                <w:szCs w:val="16"/>
                <w:color w:val="auto"/>
              </w:rPr>
              <w:t>Course Hero, Inc.</w:t>
            </w:r>
          </w:p>
        </w:tc>
        <w:tc>
          <w:tcPr>
            <w:tcW w:w="200" w:type="dxa"/>
            <w:vAlign w:val="bottom"/>
          </w:tcPr>
          <w:p>
            <w:pPr>
              <w:spacing w:after="0"/>
              <w:rPr>
                <w:sz w:val="20"/>
                <w:szCs w:val="20"/>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2,369,460</w:t>
            </w:r>
          </w:p>
        </w:tc>
        <w:tc>
          <w:tcPr>
            <w:tcW w:w="100" w:type="dxa"/>
            <w:vAlign w:val="bottom"/>
          </w:tcPr>
          <w:p>
            <w:pPr>
              <w:spacing w:after="0"/>
              <w:rPr>
                <w:sz w:val="20"/>
                <w:szCs w:val="20"/>
                <w:color w:val="auto"/>
              </w:rPr>
            </w:pPr>
          </w:p>
        </w:tc>
        <w:tc>
          <w:tcPr>
            <w:tcW w:w="3760" w:type="dxa"/>
            <w:vAlign w:val="bottom"/>
            <w:gridSpan w:val="2"/>
          </w:tcPr>
          <w:p>
            <w:pPr>
              <w:ind w:left="20"/>
              <w:spacing w:after="0"/>
              <w:rPr>
                <w:sz w:val="20"/>
                <w:szCs w:val="20"/>
                <w:color w:val="auto"/>
              </w:rPr>
            </w:pPr>
            <w:r>
              <w:rPr>
                <w:rFonts w:ascii="Arial" w:cs="Arial" w:eastAsia="Arial" w:hAnsi="Arial"/>
                <w:sz w:val="16"/>
                <w:szCs w:val="16"/>
                <w:color w:val="auto"/>
              </w:rPr>
              <w:t>Coursera, Inc.</w:t>
            </w:r>
          </w:p>
        </w:tc>
        <w:tc>
          <w:tcPr>
            <w:tcW w:w="20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3,854,113</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Coursera, Inc.</w:t>
            </w: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2,280,277</w:t>
            </w:r>
          </w:p>
        </w:tc>
        <w:tc>
          <w:tcPr>
            <w:tcW w:w="100" w:type="dxa"/>
            <w:vAlign w:val="bottom"/>
          </w:tcPr>
          <w:p>
            <w:pPr>
              <w:spacing w:after="0"/>
              <w:rPr>
                <w:sz w:val="21"/>
                <w:szCs w:val="21"/>
                <w:color w:val="auto"/>
              </w:rPr>
            </w:pPr>
          </w:p>
        </w:tc>
        <w:tc>
          <w:tcPr>
            <w:tcW w:w="3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Dropbox, Inc.</w:t>
            </w: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3,331,446</w:t>
            </w:r>
          </w:p>
        </w:tc>
        <w:tc>
          <w:tcPr>
            <w:tcW w:w="0" w:type="dxa"/>
            <w:vAlign w:val="bottom"/>
          </w:tcPr>
          <w:p>
            <w:pPr>
              <w:spacing w:after="0"/>
              <w:rPr>
                <w:sz w:val="1"/>
                <w:szCs w:val="1"/>
                <w:color w:val="auto"/>
              </w:rPr>
            </w:pPr>
          </w:p>
        </w:tc>
      </w:tr>
      <w:tr>
        <w:trPr>
          <w:trHeight w:val="270"/>
        </w:trPr>
        <w:tc>
          <w:tcPr>
            <w:tcW w:w="3660" w:type="dxa"/>
            <w:vAlign w:val="bottom"/>
            <w:gridSpan w:val="2"/>
          </w:tcPr>
          <w:p>
            <w:pPr>
              <w:ind w:left="20"/>
              <w:spacing w:after="0"/>
              <w:rPr>
                <w:sz w:val="20"/>
                <w:szCs w:val="20"/>
                <w:color w:val="auto"/>
              </w:rPr>
            </w:pPr>
            <w:r>
              <w:rPr>
                <w:rFonts w:ascii="Arial" w:cs="Arial" w:eastAsia="Arial" w:hAnsi="Arial"/>
                <w:sz w:val="16"/>
                <w:szCs w:val="16"/>
                <w:color w:val="auto"/>
              </w:rPr>
              <w:t>StormWind, LLC</w:t>
            </w:r>
          </w:p>
        </w:tc>
        <w:tc>
          <w:tcPr>
            <w:tcW w:w="200" w:type="dxa"/>
            <w:vAlign w:val="bottom"/>
          </w:tcPr>
          <w:p>
            <w:pPr>
              <w:spacing w:after="0"/>
              <w:rPr>
                <w:sz w:val="23"/>
                <w:szCs w:val="23"/>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1,529,880</w:t>
            </w:r>
          </w:p>
        </w:tc>
        <w:tc>
          <w:tcPr>
            <w:tcW w:w="100" w:type="dxa"/>
            <w:vAlign w:val="bottom"/>
          </w:tcPr>
          <w:p>
            <w:pPr>
              <w:spacing w:after="0"/>
              <w:rPr>
                <w:sz w:val="23"/>
                <w:szCs w:val="23"/>
                <w:color w:val="auto"/>
              </w:rPr>
            </w:pPr>
          </w:p>
        </w:tc>
        <w:tc>
          <w:tcPr>
            <w:tcW w:w="3760" w:type="dxa"/>
            <w:vAlign w:val="bottom"/>
            <w:gridSpan w:val="2"/>
          </w:tcPr>
          <w:p>
            <w:pPr>
              <w:ind w:left="20"/>
              <w:spacing w:after="0"/>
              <w:rPr>
                <w:sz w:val="20"/>
                <w:szCs w:val="20"/>
                <w:color w:val="auto"/>
              </w:rPr>
            </w:pPr>
            <w:r>
              <w:rPr>
                <w:rFonts w:ascii="Arial" w:cs="Arial" w:eastAsia="Arial" w:hAnsi="Arial"/>
                <w:sz w:val="16"/>
                <w:szCs w:val="16"/>
                <w:color w:val="auto"/>
              </w:rPr>
              <w:t>Cricket Media (f/k/a ePals, Inc.)</w:t>
            </w:r>
            <w:r>
              <w:rPr>
                <w:rFonts w:ascii="Arial" w:cs="Arial" w:eastAsia="Arial" w:hAnsi="Arial"/>
                <w:sz w:val="21"/>
                <w:szCs w:val="21"/>
                <w:color w:val="auto"/>
                <w:vertAlign w:val="superscript"/>
              </w:rPr>
              <w:t>(1)</w:t>
            </w:r>
          </w:p>
        </w:tc>
        <w:tc>
          <w:tcPr>
            <w:tcW w:w="200" w:type="dxa"/>
            <w:vAlign w:val="bottom"/>
          </w:tcPr>
          <w:p>
            <w:pPr>
              <w:spacing w:after="0"/>
              <w:rPr>
                <w:sz w:val="23"/>
                <w:szCs w:val="23"/>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2,448,959</w:t>
            </w:r>
          </w:p>
        </w:tc>
        <w:tc>
          <w:tcPr>
            <w:tcW w:w="0" w:type="dxa"/>
            <w:vAlign w:val="bottom"/>
          </w:tcPr>
          <w:p>
            <w:pPr>
              <w:spacing w:after="0"/>
              <w:rPr>
                <w:sz w:val="1"/>
                <w:szCs w:val="1"/>
                <w:color w:val="auto"/>
              </w:rPr>
            </w:pPr>
          </w:p>
        </w:tc>
      </w:tr>
      <w:tr>
        <w:trPr>
          <w:trHeight w:val="270"/>
        </w:trPr>
        <w:tc>
          <w:tcPr>
            <w:tcW w:w="36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 Place for Rover Inc. (f/k/a DogVacay, Inc.)</w:t>
            </w:r>
          </w:p>
        </w:tc>
        <w:tc>
          <w:tcPr>
            <w:tcW w:w="20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1,091,195</w:t>
            </w:r>
          </w:p>
        </w:tc>
        <w:tc>
          <w:tcPr>
            <w:tcW w:w="100" w:type="dxa"/>
            <w:vAlign w:val="bottom"/>
          </w:tcPr>
          <w:p>
            <w:pPr>
              <w:spacing w:after="0"/>
              <w:rPr>
                <w:sz w:val="23"/>
                <w:szCs w:val="23"/>
                <w:color w:val="auto"/>
              </w:rPr>
            </w:pPr>
          </w:p>
        </w:tc>
        <w:tc>
          <w:tcPr>
            <w:tcW w:w="3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AlwaysOn, Inc.</w:t>
            </w:r>
            <w:r>
              <w:rPr>
                <w:rFonts w:ascii="Arial" w:cs="Arial" w:eastAsia="Arial" w:hAnsi="Arial"/>
                <w:sz w:val="21"/>
                <w:szCs w:val="21"/>
                <w:color w:val="auto"/>
                <w:vertAlign w:val="superscript"/>
              </w:rPr>
              <w:t>(1)</w:t>
            </w:r>
          </w:p>
        </w:tc>
        <w:tc>
          <w:tcPr>
            <w:tcW w:w="20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1,903,414</w:t>
            </w:r>
          </w:p>
        </w:tc>
        <w:tc>
          <w:tcPr>
            <w:tcW w:w="0" w:type="dxa"/>
            <w:vAlign w:val="bottom"/>
          </w:tcPr>
          <w:p>
            <w:pPr>
              <w:spacing w:after="0"/>
              <w:rPr>
                <w:sz w:val="1"/>
                <w:szCs w:val="1"/>
                <w:color w:val="auto"/>
              </w:rPr>
            </w:pPr>
          </w:p>
        </w:tc>
      </w:tr>
      <w:tr>
        <w:trPr>
          <w:trHeight w:val="237"/>
        </w:trPr>
        <w:tc>
          <w:tcPr>
            <w:tcW w:w="3660" w:type="dxa"/>
            <w:vAlign w:val="bottom"/>
            <w:gridSpan w:val="2"/>
          </w:tcPr>
          <w:p>
            <w:pPr>
              <w:ind w:left="20"/>
              <w:spacing w:after="0"/>
              <w:rPr>
                <w:sz w:val="20"/>
                <w:szCs w:val="20"/>
                <w:color w:val="auto"/>
              </w:rPr>
            </w:pPr>
            <w:r>
              <w:rPr>
                <w:rFonts w:ascii="Arial" w:cs="Arial" w:eastAsia="Arial" w:hAnsi="Arial"/>
                <w:sz w:val="16"/>
                <w:szCs w:val="16"/>
                <w:color w:val="auto"/>
              </w:rPr>
              <w:t>Aspiration Partners, Inc.</w:t>
            </w:r>
          </w:p>
        </w:tc>
        <w:tc>
          <w:tcPr>
            <w:tcW w:w="2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(1,360,049)</w:t>
            </w:r>
          </w:p>
        </w:tc>
        <w:tc>
          <w:tcPr>
            <w:tcW w:w="100" w:type="dxa"/>
            <w:vAlign w:val="bottom"/>
          </w:tcPr>
          <w:p>
            <w:pPr>
              <w:spacing w:after="0"/>
              <w:rPr>
                <w:sz w:val="20"/>
                <w:szCs w:val="20"/>
                <w:color w:val="auto"/>
              </w:rPr>
            </w:pPr>
          </w:p>
        </w:tc>
        <w:tc>
          <w:tcPr>
            <w:tcW w:w="3760" w:type="dxa"/>
            <w:vAlign w:val="bottom"/>
            <w:gridSpan w:val="2"/>
          </w:tcPr>
          <w:p>
            <w:pPr>
              <w:ind w:left="20"/>
              <w:spacing w:after="0"/>
              <w:rPr>
                <w:sz w:val="20"/>
                <w:szCs w:val="20"/>
                <w:color w:val="auto"/>
              </w:rPr>
            </w:pPr>
            <w:r>
              <w:rPr>
                <w:rFonts w:ascii="Arial" w:cs="Arial" w:eastAsia="Arial" w:hAnsi="Arial"/>
                <w:sz w:val="16"/>
                <w:szCs w:val="16"/>
                <w:color w:val="auto"/>
              </w:rPr>
              <w:t>Aspiration Partners, Inc.</w:t>
            </w:r>
          </w:p>
        </w:tc>
        <w:tc>
          <w:tcPr>
            <w:tcW w:w="20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1,451,623</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Declara Inc.</w:t>
            </w: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(1,715,261)</w:t>
            </w:r>
          </w:p>
        </w:tc>
        <w:tc>
          <w:tcPr>
            <w:tcW w:w="100" w:type="dxa"/>
            <w:vAlign w:val="bottom"/>
          </w:tcPr>
          <w:p>
            <w:pPr>
              <w:spacing w:after="0"/>
              <w:rPr>
                <w:sz w:val="21"/>
                <w:szCs w:val="21"/>
                <w:color w:val="auto"/>
              </w:rPr>
            </w:pPr>
          </w:p>
        </w:tc>
        <w:tc>
          <w:tcPr>
            <w:tcW w:w="3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Lyft, Inc.</w:t>
            </w: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1,343,714</w:t>
            </w:r>
          </w:p>
        </w:tc>
        <w:tc>
          <w:tcPr>
            <w:tcW w:w="0" w:type="dxa"/>
            <w:vAlign w:val="bottom"/>
          </w:tcPr>
          <w:p>
            <w:pPr>
              <w:spacing w:after="0"/>
              <w:rPr>
                <w:sz w:val="1"/>
                <w:szCs w:val="1"/>
                <w:color w:val="auto"/>
              </w:rPr>
            </w:pPr>
          </w:p>
        </w:tc>
      </w:tr>
      <w:tr>
        <w:trPr>
          <w:trHeight w:val="237"/>
        </w:trPr>
        <w:tc>
          <w:tcPr>
            <w:tcW w:w="3660" w:type="dxa"/>
            <w:vAlign w:val="bottom"/>
            <w:gridSpan w:val="2"/>
          </w:tcPr>
          <w:p>
            <w:pPr>
              <w:ind w:left="20"/>
              <w:spacing w:after="0"/>
              <w:rPr>
                <w:sz w:val="20"/>
                <w:szCs w:val="20"/>
                <w:color w:val="auto"/>
              </w:rPr>
            </w:pPr>
            <w:r>
              <w:rPr>
                <w:rFonts w:ascii="Arial" w:cs="Arial" w:eastAsia="Arial" w:hAnsi="Arial"/>
                <w:sz w:val="16"/>
                <w:szCs w:val="16"/>
                <w:color w:val="auto"/>
              </w:rPr>
              <w:t>Ozy Media, Inc.</w:t>
            </w:r>
          </w:p>
        </w:tc>
        <w:tc>
          <w:tcPr>
            <w:tcW w:w="2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(2,065,822)</w:t>
            </w:r>
          </w:p>
        </w:tc>
        <w:tc>
          <w:tcPr>
            <w:tcW w:w="100" w:type="dxa"/>
            <w:vAlign w:val="bottom"/>
          </w:tcPr>
          <w:p>
            <w:pPr>
              <w:spacing w:after="0"/>
              <w:rPr>
                <w:sz w:val="20"/>
                <w:szCs w:val="20"/>
                <w:color w:val="auto"/>
              </w:rPr>
            </w:pPr>
          </w:p>
        </w:tc>
        <w:tc>
          <w:tcPr>
            <w:tcW w:w="3760" w:type="dxa"/>
            <w:vAlign w:val="bottom"/>
            <w:gridSpan w:val="2"/>
          </w:tcPr>
          <w:p>
            <w:pPr>
              <w:ind w:left="20"/>
              <w:spacing w:after="0"/>
              <w:rPr>
                <w:sz w:val="20"/>
                <w:szCs w:val="20"/>
                <w:color w:val="auto"/>
              </w:rPr>
            </w:pPr>
            <w:r>
              <w:rPr>
                <w:rFonts w:ascii="Arial" w:cs="Arial" w:eastAsia="Arial" w:hAnsi="Arial"/>
                <w:sz w:val="16"/>
                <w:szCs w:val="16"/>
                <w:color w:val="auto"/>
              </w:rPr>
              <w:t>Ozy Media, Inc.</w:t>
            </w:r>
          </w:p>
        </w:tc>
        <w:tc>
          <w:tcPr>
            <w:tcW w:w="2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(1,146,364)</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Chegg, Inc.</w:t>
            </w:r>
            <w:r>
              <w:rPr>
                <w:rFonts w:ascii="Arial" w:cs="Arial" w:eastAsia="Arial" w:hAnsi="Arial"/>
                <w:sz w:val="21"/>
                <w:szCs w:val="21"/>
                <w:color w:val="auto"/>
                <w:vertAlign w:val="superscript"/>
              </w:rPr>
              <w:t>(2)</w:t>
            </w:r>
          </w:p>
        </w:tc>
        <w:tc>
          <w:tcPr>
            <w:tcW w:w="200" w:type="dxa"/>
            <w:vAlign w:val="bottom"/>
            <w:shd w:val="clear" w:color="auto" w:fill="CCEEFF"/>
          </w:tcPr>
          <w:p>
            <w:pPr>
              <w:spacing w:after="0"/>
              <w:rPr>
                <w:sz w:val="23"/>
                <w:szCs w:val="23"/>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(2,151,532)</w:t>
            </w:r>
          </w:p>
        </w:tc>
        <w:tc>
          <w:tcPr>
            <w:tcW w:w="100" w:type="dxa"/>
            <w:vAlign w:val="bottom"/>
          </w:tcPr>
          <w:p>
            <w:pPr>
              <w:spacing w:after="0"/>
              <w:rPr>
                <w:sz w:val="23"/>
                <w:szCs w:val="23"/>
                <w:color w:val="auto"/>
              </w:rPr>
            </w:pPr>
          </w:p>
        </w:tc>
        <w:tc>
          <w:tcPr>
            <w:tcW w:w="3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Avenues Global Holdings, LLC</w:t>
            </w:r>
          </w:p>
        </w:tc>
        <w:tc>
          <w:tcPr>
            <w:tcW w:w="200" w:type="dxa"/>
            <w:vAlign w:val="bottom"/>
            <w:shd w:val="clear" w:color="auto" w:fill="CCEEFF"/>
          </w:tcPr>
          <w:p>
            <w:pPr>
              <w:spacing w:after="0"/>
              <w:rPr>
                <w:sz w:val="23"/>
                <w:szCs w:val="23"/>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(1,614,324)</w:t>
            </w:r>
          </w:p>
        </w:tc>
        <w:tc>
          <w:tcPr>
            <w:tcW w:w="0" w:type="dxa"/>
            <w:vAlign w:val="bottom"/>
          </w:tcPr>
          <w:p>
            <w:pPr>
              <w:spacing w:after="0"/>
              <w:rPr>
                <w:sz w:val="1"/>
                <w:szCs w:val="1"/>
                <w:color w:val="auto"/>
              </w:rPr>
            </w:pPr>
          </w:p>
        </w:tc>
      </w:tr>
      <w:tr>
        <w:trPr>
          <w:trHeight w:val="270"/>
        </w:trPr>
        <w:tc>
          <w:tcPr>
            <w:tcW w:w="3660" w:type="dxa"/>
            <w:vAlign w:val="bottom"/>
            <w:gridSpan w:val="2"/>
          </w:tcPr>
          <w:p>
            <w:pPr>
              <w:ind w:left="20"/>
              <w:spacing w:after="0"/>
              <w:rPr>
                <w:sz w:val="20"/>
                <w:szCs w:val="20"/>
                <w:color w:val="auto"/>
              </w:rPr>
            </w:pPr>
            <w:r>
              <w:rPr>
                <w:rFonts w:ascii="Arial" w:cs="Arial" w:eastAsia="Arial" w:hAnsi="Arial"/>
                <w:sz w:val="16"/>
                <w:szCs w:val="16"/>
                <w:color w:val="auto"/>
              </w:rPr>
              <w:t>General Assembly Space, Inc.</w:t>
            </w:r>
            <w:r>
              <w:rPr>
                <w:rFonts w:ascii="Arial" w:cs="Arial" w:eastAsia="Arial" w:hAnsi="Arial"/>
                <w:sz w:val="21"/>
                <w:szCs w:val="21"/>
                <w:color w:val="auto"/>
                <w:vertAlign w:val="superscript"/>
              </w:rPr>
              <w:t>(2)</w:t>
            </w:r>
          </w:p>
        </w:tc>
        <w:tc>
          <w:tcPr>
            <w:tcW w:w="20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(4,840,905)</w:t>
            </w:r>
          </w:p>
        </w:tc>
        <w:tc>
          <w:tcPr>
            <w:tcW w:w="100" w:type="dxa"/>
            <w:vAlign w:val="bottom"/>
          </w:tcPr>
          <w:p>
            <w:pPr>
              <w:spacing w:after="0"/>
              <w:rPr>
                <w:sz w:val="23"/>
                <w:szCs w:val="23"/>
                <w:color w:val="auto"/>
              </w:rPr>
            </w:pPr>
          </w:p>
        </w:tc>
        <w:tc>
          <w:tcPr>
            <w:tcW w:w="3760" w:type="dxa"/>
            <w:vAlign w:val="bottom"/>
            <w:gridSpan w:val="2"/>
          </w:tcPr>
          <w:p>
            <w:pPr>
              <w:ind w:left="20"/>
              <w:spacing w:after="0"/>
              <w:rPr>
                <w:sz w:val="20"/>
                <w:szCs w:val="20"/>
                <w:color w:val="auto"/>
              </w:rPr>
            </w:pPr>
            <w:r>
              <w:rPr>
                <w:rFonts w:ascii="Arial" w:cs="Arial" w:eastAsia="Arial" w:hAnsi="Arial"/>
                <w:sz w:val="16"/>
                <w:szCs w:val="16"/>
                <w:color w:val="auto"/>
              </w:rPr>
              <w:t>Maven Research, Inc.</w:t>
            </w:r>
          </w:p>
        </w:tc>
        <w:tc>
          <w:tcPr>
            <w:tcW w:w="20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(1,673,885)</w:t>
            </w: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Curious.com Inc.</w:t>
            </w: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(5,514,077)</w:t>
            </w:r>
          </w:p>
        </w:tc>
        <w:tc>
          <w:tcPr>
            <w:tcW w:w="100" w:type="dxa"/>
            <w:vAlign w:val="bottom"/>
          </w:tcPr>
          <w:p>
            <w:pPr>
              <w:spacing w:after="0"/>
              <w:rPr>
                <w:sz w:val="21"/>
                <w:szCs w:val="21"/>
                <w:color w:val="auto"/>
              </w:rPr>
            </w:pPr>
          </w:p>
        </w:tc>
        <w:tc>
          <w:tcPr>
            <w:tcW w:w="3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General Assembly Space, Inc.</w:t>
            </w: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(1,861,905)</w:t>
            </w:r>
          </w:p>
        </w:tc>
        <w:tc>
          <w:tcPr>
            <w:tcW w:w="0" w:type="dxa"/>
            <w:vAlign w:val="bottom"/>
          </w:tcPr>
          <w:p>
            <w:pPr>
              <w:spacing w:after="0"/>
              <w:rPr>
                <w:sz w:val="1"/>
                <w:szCs w:val="1"/>
                <w:color w:val="auto"/>
              </w:rPr>
            </w:pPr>
          </w:p>
        </w:tc>
      </w:tr>
      <w:tr>
        <w:trPr>
          <w:trHeight w:val="237"/>
        </w:trPr>
        <w:tc>
          <w:tcPr>
            <w:tcW w:w="3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60" w:type="dxa"/>
            <w:vAlign w:val="bottom"/>
            <w:gridSpan w:val="2"/>
          </w:tcPr>
          <w:p>
            <w:pPr>
              <w:ind w:left="20"/>
              <w:spacing w:after="0"/>
              <w:rPr>
                <w:sz w:val="20"/>
                <w:szCs w:val="20"/>
                <w:color w:val="auto"/>
              </w:rPr>
            </w:pPr>
            <w:r>
              <w:rPr>
                <w:rFonts w:ascii="Arial" w:cs="Arial" w:eastAsia="Arial" w:hAnsi="Arial"/>
                <w:sz w:val="16"/>
                <w:szCs w:val="16"/>
                <w:color w:val="auto"/>
                <w:w w:val="98"/>
              </w:rPr>
              <w:t>SPBRX, INC. (f/k/a GSV Sustainability Partners, Inc.)</w:t>
            </w:r>
          </w:p>
        </w:tc>
        <w:tc>
          <w:tcPr>
            <w:tcW w:w="2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(2,942,585)</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3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Curious.com, Inc.</w:t>
            </w: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(4,024,767)</w:t>
            </w:r>
          </w:p>
        </w:tc>
        <w:tc>
          <w:tcPr>
            <w:tcW w:w="0" w:type="dxa"/>
            <w:vAlign w:val="bottom"/>
          </w:tcPr>
          <w:p>
            <w:pPr>
              <w:spacing w:after="0"/>
              <w:rPr>
                <w:sz w:val="1"/>
                <w:szCs w:val="1"/>
                <w:color w:val="auto"/>
              </w:rPr>
            </w:pPr>
          </w:p>
        </w:tc>
      </w:tr>
      <w:tr>
        <w:trPr>
          <w:trHeight w:val="237"/>
        </w:trPr>
        <w:tc>
          <w:tcPr>
            <w:tcW w:w="3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60" w:type="dxa"/>
            <w:vAlign w:val="bottom"/>
            <w:gridSpan w:val="2"/>
          </w:tcPr>
          <w:p>
            <w:pPr>
              <w:ind w:left="20"/>
              <w:spacing w:after="0"/>
              <w:rPr>
                <w:sz w:val="20"/>
                <w:szCs w:val="20"/>
                <w:color w:val="auto"/>
              </w:rPr>
            </w:pPr>
            <w:r>
              <w:rPr>
                <w:rFonts w:ascii="Arial" w:cs="Arial" w:eastAsia="Arial" w:hAnsi="Arial"/>
                <w:sz w:val="16"/>
                <w:szCs w:val="16"/>
                <w:color w:val="auto"/>
              </w:rPr>
              <w:t>Declara, Inc.</w:t>
            </w:r>
          </w:p>
        </w:tc>
        <w:tc>
          <w:tcPr>
            <w:tcW w:w="2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(4,609,294)</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3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Palantir Technologies, Inc.</w:t>
            </w: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(5,008,564)</w:t>
            </w:r>
          </w:p>
        </w:tc>
        <w:tc>
          <w:tcPr>
            <w:tcW w:w="0" w:type="dxa"/>
            <w:vAlign w:val="bottom"/>
          </w:tcPr>
          <w:p>
            <w:pPr>
              <w:spacing w:after="0"/>
              <w:rPr>
                <w:sz w:val="1"/>
                <w:szCs w:val="1"/>
                <w:color w:val="auto"/>
              </w:rPr>
            </w:pPr>
          </w:p>
        </w:tc>
      </w:tr>
      <w:tr>
        <w:trPr>
          <w:trHeight w:val="270"/>
        </w:trPr>
        <w:tc>
          <w:tcPr>
            <w:tcW w:w="36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(3)</w:t>
            </w:r>
          </w:p>
        </w:tc>
        <w:tc>
          <w:tcPr>
            <w:tcW w:w="20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(915,444)</w:t>
            </w:r>
          </w:p>
        </w:tc>
        <w:tc>
          <w:tcPr>
            <w:tcW w:w="100" w:type="dxa"/>
            <w:vAlign w:val="bottom"/>
          </w:tcPr>
          <w:p>
            <w:pPr>
              <w:spacing w:after="0"/>
              <w:rPr>
                <w:sz w:val="23"/>
                <w:szCs w:val="23"/>
                <w:color w:val="auto"/>
              </w:rPr>
            </w:pPr>
          </w:p>
        </w:tc>
        <w:tc>
          <w:tcPr>
            <w:tcW w:w="37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(3)</w:t>
            </w:r>
          </w:p>
        </w:tc>
        <w:tc>
          <w:tcPr>
            <w:tcW w:w="20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(79,147)</w:t>
            </w:r>
          </w:p>
        </w:tc>
        <w:tc>
          <w:tcPr>
            <w:tcW w:w="0" w:type="dxa"/>
            <w:vAlign w:val="bottom"/>
          </w:tcPr>
          <w:p>
            <w:pPr>
              <w:spacing w:after="0"/>
              <w:rPr>
                <w:sz w:val="1"/>
                <w:szCs w:val="1"/>
                <w:color w:val="auto"/>
              </w:rPr>
            </w:pPr>
          </w:p>
        </w:tc>
      </w:tr>
      <w:tr>
        <w:trPr>
          <w:trHeight w:val="284"/>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32,148,364</w:t>
            </w:r>
          </w:p>
        </w:tc>
        <w:tc>
          <w:tcPr>
            <w:tcW w:w="100" w:type="dxa"/>
            <w:vAlign w:val="bottom"/>
          </w:tcPr>
          <w:p>
            <w:pPr>
              <w:spacing w:after="0"/>
              <w:rPr>
                <w:sz w:val="24"/>
                <w:szCs w:val="24"/>
                <w:color w:val="auto"/>
              </w:rPr>
            </w:pPr>
          </w:p>
        </w:tc>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61,669,476</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_______________________</w:t>
      </w:r>
    </w:p>
    <w:p>
      <w:pPr>
        <w:spacing w:after="0" w:line="9" w:lineRule="exact"/>
        <w:rPr>
          <w:sz w:val="20"/>
          <w:szCs w:val="20"/>
          <w:color w:val="auto"/>
        </w:rPr>
      </w:pPr>
    </w:p>
    <w:p>
      <w:pPr>
        <w:ind w:left="500" w:hanging="492"/>
        <w:spacing w:after="0"/>
        <w:tabs>
          <w:tab w:leader="none" w:pos="5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change in unrealized appreciation for these investments resulted from writing off an investment that was previously reduced in value to zero.</w:t>
      </w:r>
    </w:p>
    <w:p>
      <w:pPr>
        <w:spacing w:after="0" w:line="9" w:lineRule="exact"/>
        <w:rPr>
          <w:rFonts w:ascii="Arial" w:cs="Arial" w:eastAsia="Arial" w:hAnsi="Arial"/>
          <w:sz w:val="16"/>
          <w:szCs w:val="16"/>
          <w:color w:val="auto"/>
        </w:rPr>
      </w:pPr>
    </w:p>
    <w:p>
      <w:pPr>
        <w:ind w:left="500" w:right="200" w:hanging="492"/>
        <w:spacing w:after="0" w:line="246" w:lineRule="auto"/>
        <w:tabs>
          <w:tab w:leader="none" w:pos="5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change in unrealized appreciation/(depreciation) reflected for these investments resulted from the full or partial sale of the relevant investment, which resulted in the reversal of previously accrued unrealized appreciation/(depreciation), as applicable.</w:t>
      </w:r>
    </w:p>
    <w:p>
      <w:pPr>
        <w:ind w:left="500" w:right="140" w:hanging="492"/>
        <w:spacing w:after="0" w:line="257" w:lineRule="auto"/>
        <w:tabs>
          <w:tab w:leader="none" w:pos="5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“Other” represents investments (including U.S. Treasury bills) for which individual change in unrealized appreciation/(depreciation) was less than $1.0 million for the nine months ended September 30, 2018 or 2017.</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Activity</w:t>
      </w:r>
    </w:p>
    <w:p>
      <w:pPr>
        <w:spacing w:after="0" w:line="225" w:lineRule="exact"/>
        <w:rPr>
          <w:sz w:val="20"/>
          <w:szCs w:val="20"/>
          <w:color w:val="auto"/>
        </w:rPr>
      </w:pPr>
    </w:p>
    <w:p>
      <w:pPr>
        <w:ind w:right="40" w:firstLine="351"/>
        <w:spacing w:after="0" w:line="277" w:lineRule="auto"/>
        <w:rPr>
          <w:sz w:val="20"/>
          <w:szCs w:val="20"/>
          <w:color w:val="auto"/>
        </w:rPr>
      </w:pPr>
      <w:r>
        <w:rPr>
          <w:rFonts w:ascii="Arial" w:cs="Arial" w:eastAsia="Arial" w:hAnsi="Arial"/>
          <w:sz w:val="18"/>
          <w:szCs w:val="18"/>
          <w:color w:val="auto"/>
        </w:rPr>
        <w:t>Please refer to “Note 11—Subsequent Events” to our condensed consolidated financial statements as of September 30, 2018 for details regarding activity in our investment portfolio from October 1, 2018 through November 7, 2018.</w:t>
      </w:r>
    </w:p>
    <w:p>
      <w:pPr>
        <w:spacing w:after="0" w:line="170" w:lineRule="exact"/>
        <w:rPr>
          <w:sz w:val="20"/>
          <w:szCs w:val="20"/>
          <w:color w:val="auto"/>
        </w:rPr>
      </w:pPr>
    </w:p>
    <w:p>
      <w:pPr>
        <w:ind w:right="140" w:firstLine="351"/>
        <w:spacing w:after="0" w:line="276" w:lineRule="auto"/>
        <w:rPr>
          <w:sz w:val="20"/>
          <w:szCs w:val="20"/>
          <w:color w:val="auto"/>
        </w:rPr>
      </w:pPr>
      <w:r>
        <w:rPr>
          <w:rFonts w:ascii="Arial" w:cs="Arial" w:eastAsia="Arial" w:hAnsi="Arial"/>
          <w:sz w:val="17"/>
          <w:szCs w:val="17"/>
          <w:color w:val="auto"/>
        </w:rPr>
        <w:t>We are frequently in negotiations with various private companies with respect to investments in such companies. Investments in private companies are generally subject to satisfaction of applicable closing conditions. In the case of secondary market transactions, such closing conditions may include approval of the issuer, waiver or failure to exercise rights of first refusal by the issuer and/or its stockholders and termination rights by the seller or us. Equity investments made through the secondary market may involve making deposits in escrow accounts until the applicable closing conditions are satisfied, at which time the escrow accounts will close and such equity investments will be effectuated.</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2" w:right="239" w:bottom="1440" w:gutter="0" w:footer="0" w:header="0"/>
        </w:sectPr>
      </w:pPr>
    </w:p>
    <w:bookmarkStart w:id="64" w:name="page65"/>
    <w:bookmarkEnd w:id="64"/>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225" w:lineRule="exact"/>
        <w:rPr>
          <w:sz w:val="20"/>
          <w:szCs w:val="20"/>
          <w:color w:val="auto"/>
        </w:rPr>
      </w:pPr>
    </w:p>
    <w:p>
      <w:pPr>
        <w:jc w:val="both"/>
        <w:ind w:right="60" w:firstLine="324"/>
        <w:spacing w:after="0" w:line="293" w:lineRule="auto"/>
        <w:rPr>
          <w:sz w:val="20"/>
          <w:szCs w:val="20"/>
          <w:color w:val="auto"/>
        </w:rPr>
      </w:pPr>
      <w:r>
        <w:rPr>
          <w:rFonts w:ascii="Arial" w:cs="Arial" w:eastAsia="Arial" w:hAnsi="Arial"/>
          <w:sz w:val="16"/>
          <w:szCs w:val="16"/>
          <w:color w:val="auto"/>
        </w:rPr>
        <w:t>On November 1, 2018, our board of directors authorized a $5.0 million increase in the amount of shares of our common stock that may be repurchased under the discretionary Share Repurchase Program until the earlier of (i) October 31, 2019 or (ii) the repurchase of $20.0 million in aggregate amount of our common stock. Under the Share Repurchase Program, we may repurchase our outstanding common stock in the open market provided that we comply with the prohibitions under our insider trading policies and procedures and the applicable provisions of the 1940 Act and the Securities Exchange Act of 1934, as amended. Please refer to "Note 5—Share Repurchase Program, Equity Offerings and Related Expenses” to our condensed consolidated financial statements as of September 30, 2018 for additional information on the Share Repurchase Program.</w:t>
      </w:r>
    </w:p>
    <w:p>
      <w:pPr>
        <w:spacing w:after="0" w:line="165" w:lineRule="exact"/>
        <w:rPr>
          <w:sz w:val="20"/>
          <w:szCs w:val="20"/>
          <w:color w:val="auto"/>
        </w:rPr>
      </w:pPr>
    </w:p>
    <w:p>
      <w:pPr>
        <w:ind w:right="340" w:firstLine="351"/>
        <w:spacing w:after="0" w:line="277" w:lineRule="auto"/>
        <w:rPr>
          <w:sz w:val="20"/>
          <w:szCs w:val="20"/>
          <w:color w:val="auto"/>
        </w:rPr>
      </w:pPr>
      <w:r>
        <w:rPr>
          <w:rFonts w:ascii="Arial" w:cs="Arial" w:eastAsia="Arial" w:hAnsi="Arial"/>
          <w:sz w:val="18"/>
          <w:szCs w:val="18"/>
          <w:color w:val="auto"/>
        </w:rPr>
        <w:t>From October 1, 2018 through November 7, 2018, we repurchased 259,954 additional shares under the Share Repurchase Program for an aggregate purchase price of $1.8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right="280" w:firstLine="351"/>
        <w:spacing w:after="0" w:line="312" w:lineRule="auto"/>
        <w:rPr>
          <w:sz w:val="20"/>
          <w:szCs w:val="20"/>
          <w:color w:val="auto"/>
        </w:rPr>
      </w:pPr>
      <w:r>
        <w:rPr>
          <w:rFonts w:ascii="Arial" w:cs="Arial" w:eastAsia="Arial" w:hAnsi="Arial"/>
          <w:sz w:val="16"/>
          <w:szCs w:val="16"/>
          <w:color w:val="auto"/>
        </w:rPr>
        <w:t>Our liquidity and capital resources are generated primarily from the sales of our investments and advances from our $12.0 million Credit Facility. In addition, during the nine months ended September 30, 2018, we issued $40.0 million aggregate principal amount of 4.75% Convertible Senior Notes due 2023,as discussed further below and in “Note 10—Debt Capital Activities” to our condensed consolidated financial statements as of September 30, 2018.</w:t>
      </w:r>
    </w:p>
    <w:p>
      <w:pPr>
        <w:spacing w:after="0" w:line="147" w:lineRule="exact"/>
        <w:rPr>
          <w:sz w:val="20"/>
          <w:szCs w:val="20"/>
          <w:color w:val="auto"/>
        </w:rPr>
      </w:pPr>
    </w:p>
    <w:p>
      <w:pPr>
        <w:jc w:val="both"/>
        <w:ind w:right="120" w:firstLine="405"/>
        <w:spacing w:after="0" w:line="259" w:lineRule="auto"/>
        <w:rPr>
          <w:sz w:val="20"/>
          <w:szCs w:val="20"/>
          <w:color w:val="auto"/>
        </w:rPr>
      </w:pPr>
      <w:r>
        <w:rPr>
          <w:rFonts w:ascii="Arial" w:cs="Arial" w:eastAsia="Arial" w:hAnsi="Arial"/>
          <w:sz w:val="18"/>
          <w:szCs w:val="18"/>
          <w:color w:val="auto"/>
        </w:rPr>
        <w:t>The 5.25% Convertible Senior Notes due 2018 matured on September 15, 2018 (the “Maturity Date”). Pursuant to the terms of the 5.25% Convertible Senior Notes due 2018 and the indenture related thereto, we repaid the remaining outstanding aggregate principal amount of the 5.25% Convertible Senior Notes due 2018, including accrued but unpaid interest, on the Maturity Date and the 5.25% Convertible Senior Notes were no longer outstanding as of such date.</w:t>
      </w:r>
    </w:p>
    <w:p>
      <w:pPr>
        <w:spacing w:after="0" w:line="187" w:lineRule="exact"/>
        <w:rPr>
          <w:sz w:val="20"/>
          <w:szCs w:val="20"/>
          <w:color w:val="auto"/>
        </w:rPr>
      </w:pPr>
    </w:p>
    <w:p>
      <w:pPr>
        <w:ind w:right="200" w:firstLine="351"/>
        <w:spacing w:after="0" w:line="308" w:lineRule="auto"/>
        <w:rPr>
          <w:sz w:val="20"/>
          <w:szCs w:val="20"/>
          <w:color w:val="auto"/>
        </w:rPr>
      </w:pPr>
      <w:r>
        <w:rPr>
          <w:rFonts w:ascii="Arial" w:cs="Arial" w:eastAsia="Arial" w:hAnsi="Arial"/>
          <w:sz w:val="17"/>
          <w:szCs w:val="17"/>
          <w:color w:val="auto"/>
        </w:rPr>
        <w:t>Our primary uses of cash are to make investments, pay our operating expenses and make distributions to our stockholders. For the nine months ended September 30, 2018 and 2017, our operating expenses, net of any fee waivers, were $10,405,282 and $18,201,098, respectively.</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Cash Reserves and Liquid Securities</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September 30, 2018</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236"/>
        </w:trPr>
        <w:tc>
          <w:tcPr>
            <w:tcW w:w="6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Cash</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36,623,050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59,838,600</w:t>
            </w:r>
          </w:p>
        </w:tc>
        <w:tc>
          <w:tcPr>
            <w:tcW w:w="0" w:type="dxa"/>
            <w:vAlign w:val="bottom"/>
          </w:tcPr>
          <w:p>
            <w:pPr>
              <w:spacing w:after="0"/>
              <w:rPr>
                <w:sz w:val="1"/>
                <w:szCs w:val="1"/>
                <w:color w:val="auto"/>
              </w:rPr>
            </w:pPr>
          </w:p>
        </w:tc>
      </w:tr>
      <w:tr>
        <w:trPr>
          <w:trHeight w:val="270"/>
        </w:trPr>
        <w:tc>
          <w:tcPr>
            <w:tcW w:w="6900" w:type="dxa"/>
            <w:vAlign w:val="bottom"/>
            <w:gridSpan w:val="2"/>
          </w:tcPr>
          <w:p>
            <w:pPr>
              <w:ind w:left="40"/>
              <w:spacing w:after="0"/>
              <w:rPr>
                <w:sz w:val="20"/>
                <w:szCs w:val="20"/>
                <w:color w:val="auto"/>
              </w:rPr>
            </w:pPr>
            <w:r>
              <w:rPr>
                <w:rFonts w:ascii="Arial" w:cs="Arial" w:eastAsia="Arial" w:hAnsi="Arial"/>
                <w:sz w:val="16"/>
                <w:szCs w:val="16"/>
                <w:color w:val="auto"/>
              </w:rPr>
              <w:t>Borrowing availability under the Credit Facility</w:t>
            </w:r>
            <w:r>
              <w:rPr>
                <w:rFonts w:ascii="Arial" w:cs="Arial" w:eastAsia="Arial" w:hAnsi="Arial"/>
                <w:sz w:val="21"/>
                <w:szCs w:val="21"/>
                <w:color w:val="auto"/>
                <w:vertAlign w:val="superscript"/>
              </w:rPr>
              <w:t>(1)</w:t>
            </w:r>
          </w:p>
        </w:tc>
        <w:tc>
          <w:tcPr>
            <w:tcW w:w="300" w:type="dxa"/>
            <w:vAlign w:val="bottom"/>
          </w:tcPr>
          <w:p>
            <w:pPr>
              <w:spacing w:after="0"/>
              <w:rPr>
                <w:sz w:val="23"/>
                <w:szCs w:val="23"/>
                <w:color w:val="auto"/>
              </w:rPr>
            </w:pPr>
          </w:p>
        </w:tc>
        <w:tc>
          <w:tcPr>
            <w:tcW w:w="1860" w:type="dxa"/>
            <w:vAlign w:val="bottom"/>
          </w:tcPr>
          <w:p>
            <w:pPr>
              <w:jc w:val="right"/>
              <w:ind w:right="40"/>
              <w:spacing w:after="0"/>
              <w:rPr>
                <w:sz w:val="20"/>
                <w:szCs w:val="20"/>
                <w:color w:val="auto"/>
              </w:rPr>
            </w:pPr>
            <w:r>
              <w:rPr>
                <w:rFonts w:ascii="Arial" w:cs="Arial" w:eastAsia="Arial" w:hAnsi="Arial"/>
                <w:sz w:val="16"/>
                <w:szCs w:val="16"/>
                <w:color w:val="auto"/>
              </w:rPr>
              <w:t>12,000,000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840" w:type="dxa"/>
            <w:vAlign w:val="bottom"/>
          </w:tcPr>
          <w:p>
            <w:pPr>
              <w:jc w:val="right"/>
              <w:ind w:right="20"/>
              <w:spacing w:after="0"/>
              <w:rPr>
                <w:sz w:val="20"/>
                <w:szCs w:val="20"/>
                <w:color w:val="auto"/>
              </w:rPr>
            </w:pPr>
            <w:r>
              <w:rPr>
                <w:rFonts w:ascii="Arial" w:cs="Arial" w:eastAsia="Arial" w:hAnsi="Arial"/>
                <w:sz w:val="16"/>
                <w:szCs w:val="16"/>
                <w:color w:val="auto"/>
              </w:rPr>
              <w:t>12,000,000</w:t>
            </w:r>
          </w:p>
        </w:tc>
        <w:tc>
          <w:tcPr>
            <w:tcW w:w="0" w:type="dxa"/>
            <w:vAlign w:val="bottom"/>
          </w:tcPr>
          <w:p>
            <w:pPr>
              <w:spacing w:after="0"/>
              <w:rPr>
                <w:sz w:val="1"/>
                <w:szCs w:val="1"/>
                <w:color w:val="auto"/>
              </w:rPr>
            </w:pPr>
          </w:p>
        </w:tc>
      </w:tr>
      <w:tr>
        <w:trPr>
          <w:trHeight w:val="250"/>
        </w:trPr>
        <w:tc>
          <w:tcPr>
            <w:tcW w:w="6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Securities of publicly traded portfolio companies:</w:t>
            </w:r>
          </w:p>
        </w:tc>
        <w:tc>
          <w:tcPr>
            <w:tcW w:w="3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900" w:type="dxa"/>
            <w:vAlign w:val="bottom"/>
            <w:gridSpan w:val="2"/>
          </w:tcPr>
          <w:p>
            <w:pPr>
              <w:ind w:left="220"/>
              <w:spacing w:after="0"/>
              <w:rPr>
                <w:sz w:val="20"/>
                <w:szCs w:val="20"/>
                <w:color w:val="auto"/>
              </w:rPr>
            </w:pPr>
            <w:r>
              <w:rPr>
                <w:rFonts w:ascii="Arial" w:cs="Arial" w:eastAsia="Arial" w:hAnsi="Arial"/>
                <w:sz w:val="16"/>
                <w:szCs w:val="16"/>
                <w:color w:val="auto"/>
              </w:rPr>
              <w:t>Unrestricted securities</w:t>
            </w:r>
            <w:r>
              <w:rPr>
                <w:rFonts w:ascii="Arial" w:cs="Arial" w:eastAsia="Arial" w:hAnsi="Arial"/>
                <w:sz w:val="21"/>
                <w:szCs w:val="21"/>
                <w:color w:val="auto"/>
                <w:vertAlign w:val="superscript"/>
              </w:rPr>
              <w:t>(2)</w:t>
            </w:r>
          </w:p>
        </w:tc>
        <w:tc>
          <w:tcPr>
            <w:tcW w:w="300" w:type="dxa"/>
            <w:vAlign w:val="bottom"/>
          </w:tcPr>
          <w:p>
            <w:pPr>
              <w:spacing w:after="0"/>
              <w:rPr>
                <w:sz w:val="23"/>
                <w:szCs w:val="23"/>
                <w:color w:val="auto"/>
              </w:rPr>
            </w:pPr>
          </w:p>
        </w:tc>
        <w:tc>
          <w:tcPr>
            <w:tcW w:w="1860" w:type="dxa"/>
            <w:vAlign w:val="bottom"/>
          </w:tcPr>
          <w:p>
            <w:pPr>
              <w:jc w:val="right"/>
              <w:ind w:right="40"/>
              <w:spacing w:after="0"/>
              <w:rPr>
                <w:sz w:val="20"/>
                <w:szCs w:val="20"/>
                <w:color w:val="auto"/>
              </w:rPr>
            </w:pPr>
            <w:r>
              <w:rPr>
                <w:rFonts w:ascii="Arial" w:cs="Arial" w:eastAsia="Arial" w:hAnsi="Arial"/>
                <w:sz w:val="16"/>
                <w:szCs w:val="16"/>
                <w:color w:val="auto"/>
              </w:rPr>
              <w:t>66,036,131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840" w:type="dxa"/>
            <w:vAlign w:val="bottom"/>
          </w:tcPr>
          <w:p>
            <w:pPr>
              <w:jc w:val="right"/>
              <w:ind w:right="20"/>
              <w:spacing w:after="0"/>
              <w:rPr>
                <w:sz w:val="20"/>
                <w:szCs w:val="20"/>
                <w:color w:val="auto"/>
              </w:rPr>
            </w:pPr>
            <w:r>
              <w:rPr>
                <w:rFonts w:ascii="Arial" w:cs="Arial" w:eastAsia="Arial" w:hAnsi="Arial"/>
                <w:sz w:val="16"/>
                <w:szCs w:val="16"/>
                <w:color w:val="auto"/>
              </w:rPr>
              <w:t>8,160,000</w:t>
            </w:r>
          </w:p>
        </w:tc>
        <w:tc>
          <w:tcPr>
            <w:tcW w:w="0" w:type="dxa"/>
            <w:vAlign w:val="bottom"/>
          </w:tcPr>
          <w:p>
            <w:pPr>
              <w:spacing w:after="0"/>
              <w:rPr>
                <w:sz w:val="1"/>
                <w:szCs w:val="1"/>
                <w:color w:val="auto"/>
              </w:rPr>
            </w:pPr>
          </w:p>
        </w:tc>
      </w:tr>
      <w:tr>
        <w:trPr>
          <w:trHeight w:val="270"/>
        </w:trPr>
        <w:tc>
          <w:tcPr>
            <w:tcW w:w="67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Subject to other sales restrictions</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6780" w:type="dxa"/>
            <w:vAlign w:val="bottom"/>
            <w:tcBorders>
              <w:top w:val="single" w:sz="8" w:color="CCEEFF"/>
            </w:tcBorders>
          </w:tcPr>
          <w:p>
            <w:pPr>
              <w:ind w:left="40"/>
              <w:spacing w:after="0"/>
              <w:rPr>
                <w:sz w:val="20"/>
                <w:szCs w:val="20"/>
                <w:color w:val="auto"/>
              </w:rPr>
            </w:pPr>
            <w:r>
              <w:rPr>
                <w:rFonts w:ascii="Arial" w:cs="Arial" w:eastAsia="Arial" w:hAnsi="Arial"/>
                <w:sz w:val="16"/>
                <w:szCs w:val="16"/>
                <w:color w:val="auto"/>
              </w:rPr>
              <w:t>Total securities of publicly traded portfolio companies</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66,036,131</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8,160,000</w:t>
            </w:r>
          </w:p>
        </w:tc>
        <w:tc>
          <w:tcPr>
            <w:tcW w:w="0" w:type="dxa"/>
            <w:vAlign w:val="bottom"/>
          </w:tcPr>
          <w:p>
            <w:pPr>
              <w:spacing w:after="0"/>
              <w:rPr>
                <w:sz w:val="1"/>
                <w:szCs w:val="1"/>
                <w:color w:val="auto"/>
              </w:rPr>
            </w:pPr>
          </w:p>
        </w:tc>
      </w:tr>
      <w:tr>
        <w:trPr>
          <w:trHeight w:val="33"/>
        </w:trPr>
        <w:tc>
          <w:tcPr>
            <w:tcW w:w="6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Total Cash Reserves and Liquid Securities</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114,659,180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79,998,600</w:t>
            </w:r>
          </w:p>
        </w:tc>
        <w:tc>
          <w:tcPr>
            <w:tcW w:w="0" w:type="dxa"/>
            <w:vAlign w:val="bottom"/>
          </w:tcPr>
          <w:p>
            <w:pPr>
              <w:spacing w:after="0"/>
              <w:rPr>
                <w:sz w:val="1"/>
                <w:szCs w:val="1"/>
                <w:color w:val="auto"/>
              </w:rPr>
            </w:pPr>
          </w:p>
        </w:tc>
      </w:tr>
      <w:tr>
        <w:trPr>
          <w:trHeight w:val="20"/>
        </w:trPr>
        <w:tc>
          <w:tcPr>
            <w:tcW w:w="6780" w:type="dxa"/>
            <w:vAlign w:val="bottom"/>
            <w:vMerge w:val="restart"/>
          </w:tcPr>
          <w:p>
            <w:pPr>
              <w:spacing w:after="0"/>
              <w:rPr>
                <w:sz w:val="20"/>
                <w:szCs w:val="20"/>
                <w:color w:val="auto"/>
              </w:rPr>
            </w:pPr>
            <w:r>
              <w:rPr>
                <w:rFonts w:ascii="Arial" w:cs="Arial" w:eastAsia="Arial" w:hAnsi="Arial"/>
                <w:sz w:val="16"/>
                <w:szCs w:val="16"/>
                <w:color w:val="auto"/>
              </w:rPr>
              <w:t>_______________________</w:t>
            </w: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-327660</wp:posOffset>
            </wp:positionV>
            <wp:extent cx="43053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305300" cy="8890"/>
                    </a:xfrm>
                    <a:prstGeom prst="rect">
                      <a:avLst/>
                    </a:prstGeom>
                    <a:noFill/>
                  </pic:spPr>
                </pic:pic>
              </a:graphicData>
            </a:graphic>
          </wp:anchor>
        </w:drawing>
      </w:r>
    </w:p>
    <w:p>
      <w:pPr>
        <w:ind w:left="500" w:right="40" w:hanging="492"/>
        <w:spacing w:after="0" w:line="246" w:lineRule="auto"/>
        <w:tabs>
          <w:tab w:leader="none" w:pos="5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Subject to leverage and borrowing base restrictions and other requirements under the Credit Facility as of September 30, 2018 and December 31, 2017. Refer to “Note 10—Debt Capital Activities” to our condensed consolidated financial statements as of September 30, 2018 for details.</w:t>
      </w:r>
    </w:p>
    <w:p>
      <w:pPr>
        <w:ind w:left="500" w:right="40" w:hanging="492"/>
        <w:spacing w:after="0" w:line="252" w:lineRule="auto"/>
        <w:tabs>
          <w:tab w:leader="none" w:pos="5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“Unrestricted securities” represents common stock of our publicly traded companies that are not subject to any restrictions upon sale. We may incur losses if we liquidate these positions to pay operating expenses or fund new investments. As of September 30, 2018, this balance represents our shares of common stock in Spotify Technology S.A. and Dropbox, Inc.</w:t>
      </w:r>
    </w:p>
    <w:p>
      <w:pPr>
        <w:spacing w:after="0" w:line="185" w:lineRule="exact"/>
        <w:rPr>
          <w:sz w:val="20"/>
          <w:szCs w:val="20"/>
          <w:color w:val="auto"/>
        </w:rPr>
      </w:pPr>
    </w:p>
    <w:p>
      <w:pPr>
        <w:ind w:firstLine="351"/>
        <w:spacing w:after="0" w:line="257" w:lineRule="auto"/>
        <w:rPr>
          <w:sz w:val="20"/>
          <w:szCs w:val="20"/>
          <w:color w:val="auto"/>
        </w:rPr>
      </w:pPr>
      <w:r>
        <w:rPr>
          <w:rFonts w:ascii="Arial" w:cs="Arial" w:eastAsia="Arial" w:hAnsi="Arial"/>
          <w:sz w:val="18"/>
          <w:szCs w:val="18"/>
          <w:color w:val="auto"/>
        </w:rPr>
        <w:t>During the nine months ended September 30, 2018, cash decreased to $36,623,050 from $59,838,600 at the beginning of the year. The decrease in cash was primarily due to the repayment of 5.25% Convertible Senior Notes due 2018 of approximately $69.3 million, approximately $7.5 million in cash used under the Share Repurchase Program, and approximately $6.7 million in cash used to make additional investments, partially offset by the receipt of net proceeds from the issuance of $40.0 million aggregate principal amount of 4.75% Convertible Senior Notes due 2023 and approximately $32.4 million in net proceeds from the sale of certain portfolio investments.</w:t>
      </w:r>
    </w:p>
    <w:p>
      <w:pPr>
        <w:spacing w:after="0" w:line="200" w:lineRule="exact"/>
        <w:rPr>
          <w:sz w:val="20"/>
          <w:szCs w:val="20"/>
          <w:color w:val="auto"/>
        </w:rPr>
      </w:pPr>
    </w:p>
    <w:p>
      <w:pPr>
        <w:spacing w:after="0" w:line="23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40"/>
          </w:cols>
          <w:pgMar w:left="240" w:top="122" w:right="319" w:bottom="1440" w:gutter="0" w:footer="0" w:header="0"/>
        </w:sectPr>
      </w:pPr>
    </w:p>
    <w:bookmarkStart w:id="65" w:name="page66"/>
    <w:bookmarkEnd w:id="65"/>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4520" w:type="dxa"/>
            <w:vAlign w:val="bottom"/>
            <w:tcBorders>
              <w:bottom w:val="single" w:sz="8" w:color="auto"/>
            </w:tcBorders>
            <w:gridSpan w:val="8"/>
          </w:tcPr>
          <w:p>
            <w:pPr>
              <w:ind w:left="680"/>
              <w:spacing w:after="0"/>
              <w:rPr>
                <w:sz w:val="20"/>
                <w:szCs w:val="20"/>
                <w:color w:val="auto"/>
              </w:rPr>
            </w:pPr>
            <w:r>
              <w:rPr>
                <w:rFonts w:ascii="Arial" w:cs="Arial" w:eastAsia="Arial" w:hAnsi="Arial"/>
                <w:sz w:val="14"/>
                <w:szCs w:val="14"/>
                <w:b w:val="1"/>
                <w:bCs w:val="1"/>
                <w:color w:val="auto"/>
              </w:rPr>
              <w:t>Payments Due By Period (dollars in millions)</w:t>
            </w: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54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Total</w:t>
            </w: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Less than</w:t>
            </w:r>
          </w:p>
        </w:tc>
        <w:tc>
          <w:tcPr>
            <w:tcW w:w="300" w:type="dxa"/>
            <w:vAlign w:val="bottom"/>
          </w:tcPr>
          <w:p>
            <w:pPr>
              <w:spacing w:after="0"/>
              <w:rPr>
                <w:sz w:val="13"/>
                <w:szCs w:val="13"/>
                <w:color w:val="auto"/>
              </w:rPr>
            </w:pPr>
          </w:p>
        </w:tc>
        <w:tc>
          <w:tcPr>
            <w:tcW w:w="120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1–3 years</w:t>
            </w:r>
          </w:p>
        </w:tc>
        <w:tc>
          <w:tcPr>
            <w:tcW w:w="12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vMerge w:val="restart"/>
          </w:tcPr>
          <w:p>
            <w:pPr>
              <w:jc w:val="right"/>
              <w:ind w:right="361"/>
              <w:spacing w:after="0"/>
              <w:rPr>
                <w:sz w:val="20"/>
                <w:szCs w:val="20"/>
                <w:color w:val="auto"/>
              </w:rPr>
            </w:pPr>
            <w:r>
              <w:rPr>
                <w:rFonts w:ascii="Arial" w:cs="Arial" w:eastAsia="Arial" w:hAnsi="Arial"/>
                <w:sz w:val="14"/>
                <w:szCs w:val="14"/>
                <w:b w:val="1"/>
                <w:bCs w:val="1"/>
                <w:color w:val="auto"/>
              </w:rPr>
              <w:t>3–5 years</w:t>
            </w:r>
          </w:p>
        </w:tc>
        <w:tc>
          <w:tcPr>
            <w:tcW w:w="10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ind w:left="140"/>
              <w:spacing w:after="0" w:line="153" w:lineRule="exact"/>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92"/>
        </w:trPr>
        <w:tc>
          <w:tcPr>
            <w:tcW w:w="354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1 year</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56"/>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Payable for securities purchased</w:t>
            </w:r>
            <w:r>
              <w:rPr>
                <w:rFonts w:ascii="Arial" w:cs="Arial" w:eastAsia="Arial" w:hAnsi="Arial"/>
                <w:sz w:val="21"/>
                <w:szCs w:val="21"/>
                <w:color w:val="auto"/>
                <w:vertAlign w:val="superscript"/>
              </w:rPr>
              <w:t>(1)</w:t>
            </w:r>
          </w:p>
        </w:tc>
        <w:tc>
          <w:tcPr>
            <w:tcW w:w="960" w:type="dxa"/>
            <w:vAlign w:val="bottom"/>
            <w:shd w:val="clear" w:color="auto" w:fill="CCEEFF"/>
          </w:tcPr>
          <w:p>
            <w:pPr>
              <w:jc w:val="right"/>
              <w:ind w:right="762"/>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89.6</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89.6</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3540" w:type="dxa"/>
            <w:vAlign w:val="bottom"/>
          </w:tcPr>
          <w:p>
            <w:pPr>
              <w:ind w:left="40"/>
              <w:spacing w:after="0"/>
              <w:rPr>
                <w:sz w:val="20"/>
                <w:szCs w:val="20"/>
                <w:color w:val="auto"/>
              </w:rPr>
            </w:pPr>
            <w:r>
              <w:rPr>
                <w:rFonts w:ascii="Arial" w:cs="Arial" w:eastAsia="Arial" w:hAnsi="Arial"/>
                <w:sz w:val="16"/>
                <w:szCs w:val="16"/>
                <w:color w:val="auto"/>
              </w:rPr>
              <w:t>Credit Facility payable</w:t>
            </w:r>
            <w:r>
              <w:rPr>
                <w:rFonts w:ascii="Arial" w:cs="Arial" w:eastAsia="Arial" w:hAnsi="Arial"/>
                <w:sz w:val="21"/>
                <w:szCs w:val="21"/>
                <w:color w:val="auto"/>
                <w:vertAlign w:val="superscript"/>
              </w:rPr>
              <w:t>(2)(3)</w:t>
            </w:r>
          </w:p>
        </w:tc>
        <w:tc>
          <w:tcPr>
            <w:tcW w:w="960" w:type="dxa"/>
            <w:vAlign w:val="bottom"/>
          </w:tcPr>
          <w:p>
            <w:pPr>
              <w:spacing w:after="0"/>
              <w:rPr>
                <w:sz w:val="23"/>
                <w:szCs w:val="23"/>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3"/>
                <w:szCs w:val="23"/>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1320" w:type="dxa"/>
            <w:vAlign w:val="bottom"/>
            <w:gridSpan w:val="2"/>
          </w:tcPr>
          <w:p>
            <w:pPr>
              <w:ind w:left="9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1200" w:type="dxa"/>
            <w:vAlign w:val="bottom"/>
          </w:tcPr>
          <w:p>
            <w:pPr>
              <w:ind w:left="9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Convertible Senior Notes</w:t>
            </w:r>
            <w:r>
              <w:rPr>
                <w:rFonts w:ascii="Arial" w:cs="Arial" w:eastAsia="Arial" w:hAnsi="Arial"/>
                <w:sz w:val="21"/>
                <w:szCs w:val="21"/>
                <w:color w:val="auto"/>
                <w:vertAlign w:val="superscript"/>
              </w:rPr>
              <w:t>(4)</w:t>
            </w:r>
          </w:p>
        </w:tc>
        <w:tc>
          <w:tcPr>
            <w:tcW w:w="96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40.0</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40.0</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4"/>
        </w:trPr>
        <w:tc>
          <w:tcPr>
            <w:tcW w:w="3540" w:type="dxa"/>
            <w:vAlign w:val="bottom"/>
          </w:tcPr>
          <w:p>
            <w:pPr>
              <w:ind w:left="40"/>
              <w:spacing w:after="0"/>
              <w:rPr>
                <w:sz w:val="20"/>
                <w:szCs w:val="20"/>
                <w:color w:val="auto"/>
              </w:rPr>
            </w:pPr>
            <w:r>
              <w:rPr>
                <w:rFonts w:ascii="Arial" w:cs="Arial" w:eastAsia="Arial" w:hAnsi="Arial"/>
                <w:sz w:val="16"/>
                <w:szCs w:val="16"/>
                <w:b w:val="1"/>
                <w:bCs w:val="1"/>
                <w:color w:val="auto"/>
              </w:rPr>
              <w:t>Total</w:t>
            </w:r>
          </w:p>
        </w:tc>
        <w:tc>
          <w:tcPr>
            <w:tcW w:w="960" w:type="dxa"/>
            <w:vAlign w:val="bottom"/>
          </w:tcPr>
          <w:p>
            <w:pPr>
              <w:jc w:val="right"/>
              <w:ind w:right="762"/>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39"/>
              <w:spacing w:after="0"/>
              <w:rPr>
                <w:sz w:val="20"/>
                <w:szCs w:val="20"/>
                <w:color w:val="auto"/>
              </w:rPr>
            </w:pPr>
            <w:r>
              <w:rPr>
                <w:rFonts w:ascii="Arial" w:cs="Arial" w:eastAsia="Arial" w:hAnsi="Arial"/>
                <w:sz w:val="16"/>
                <w:szCs w:val="16"/>
                <w:color w:val="auto"/>
                <w:w w:val="99"/>
              </w:rPr>
              <w:t>129.6</w:t>
            </w:r>
          </w:p>
        </w:tc>
        <w:tc>
          <w:tcPr>
            <w:tcW w:w="120" w:type="dxa"/>
            <w:vAlign w:val="bottom"/>
          </w:tcPr>
          <w:p>
            <w:pPr>
              <w:spacing w:after="0"/>
              <w:rPr>
                <w:sz w:val="21"/>
                <w:szCs w:val="21"/>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43"/>
              <w:spacing w:after="0"/>
              <w:rPr>
                <w:sz w:val="20"/>
                <w:szCs w:val="20"/>
                <w:color w:val="auto"/>
              </w:rPr>
            </w:pPr>
            <w:r>
              <w:rPr>
                <w:rFonts w:ascii="Arial" w:cs="Arial" w:eastAsia="Arial" w:hAnsi="Arial"/>
                <w:sz w:val="16"/>
                <w:szCs w:val="16"/>
                <w:color w:val="auto"/>
              </w:rPr>
              <w:t>89.6</w:t>
            </w:r>
          </w:p>
        </w:tc>
        <w:tc>
          <w:tcPr>
            <w:tcW w:w="120" w:type="dxa"/>
            <w:vAlign w:val="bottom"/>
          </w:tcPr>
          <w:p>
            <w:pPr>
              <w:spacing w:after="0"/>
              <w:rPr>
                <w:sz w:val="21"/>
                <w:szCs w:val="21"/>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gridSpan w:val="2"/>
          </w:tcPr>
          <w:p>
            <w:pPr>
              <w:ind w:left="92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40.0</w:t>
            </w:r>
          </w:p>
        </w:tc>
        <w:tc>
          <w:tcPr>
            <w:tcW w:w="100" w:type="dxa"/>
            <w:vAlign w:val="bottom"/>
          </w:tcPr>
          <w:p>
            <w:pPr>
              <w:spacing w:after="0"/>
              <w:rPr>
                <w:sz w:val="21"/>
                <w:szCs w:val="21"/>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Pr>
          <w:p>
            <w:pPr>
              <w:ind w:left="9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3540" w:type="dxa"/>
            <w:vAlign w:val="bottom"/>
            <w:vMerge w:val="restart"/>
          </w:tcPr>
          <w:p>
            <w:pPr>
              <w:spacing w:after="0"/>
              <w:rPr>
                <w:sz w:val="20"/>
                <w:szCs w:val="20"/>
                <w:color w:val="auto"/>
              </w:rPr>
            </w:pPr>
            <w:r>
              <w:rPr>
                <w:rFonts w:ascii="Arial" w:cs="Arial" w:eastAsia="Arial" w:hAnsi="Arial"/>
                <w:sz w:val="16"/>
                <w:szCs w:val="16"/>
                <w:color w:val="auto"/>
              </w:rPr>
              <w:t>_______________________</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540" w:type="dxa"/>
            <w:vAlign w:val="bottom"/>
            <w:vMerge w:val="continue"/>
          </w:tcPr>
          <w:p>
            <w:pPr>
              <w:spacing w:after="0"/>
              <w:rPr>
                <w:sz w:val="16"/>
                <w:szCs w:val="16"/>
                <w:color w:val="auto"/>
              </w:rPr>
            </w:pPr>
          </w:p>
        </w:tc>
        <w:tc>
          <w:tcPr>
            <w:tcW w:w="9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500" w:right="400" w:hanging="492"/>
        <w:spacing w:after="0" w:line="246" w:lineRule="auto"/>
        <w:tabs>
          <w:tab w:leader="none" w:pos="5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“Payable for securities purchased” relates to the purchase of the U.S. Treasury bill on margin. This balance was subsequently repaid on October 4, 2018, when the $100.0 million United States Treasury bill matured and the $10.5 million margin deposit that we posted as collateral was returned.</w:t>
      </w:r>
    </w:p>
    <w:p>
      <w:pPr>
        <w:ind w:left="500" w:hanging="492"/>
        <w:spacing w:after="0"/>
        <w:tabs>
          <w:tab w:leader="none" w:pos="5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total unused amount available under the Credit Facility as of September 30, 2018 was $12.0 million.</w:t>
      </w:r>
    </w:p>
    <w:p>
      <w:pPr>
        <w:spacing w:after="0" w:line="5" w:lineRule="exact"/>
        <w:rPr>
          <w:rFonts w:ascii="Arial" w:cs="Arial" w:eastAsia="Arial" w:hAnsi="Arial"/>
          <w:sz w:val="16"/>
          <w:szCs w:val="16"/>
          <w:color w:val="auto"/>
        </w:rPr>
      </w:pPr>
    </w:p>
    <w:p>
      <w:pPr>
        <w:ind w:left="500" w:hanging="492"/>
        <w:spacing w:after="0"/>
        <w:tabs>
          <w:tab w:leader="none" w:pos="5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weighted-average interest rate incurred under the Credit Facility was 0.00% for the nine months ended September 30, 2018.</w:t>
      </w:r>
    </w:p>
    <w:p>
      <w:pPr>
        <w:spacing w:after="0" w:line="5" w:lineRule="exact"/>
        <w:rPr>
          <w:rFonts w:ascii="Arial" w:cs="Arial" w:eastAsia="Arial" w:hAnsi="Arial"/>
          <w:sz w:val="16"/>
          <w:szCs w:val="16"/>
          <w:color w:val="auto"/>
        </w:rPr>
      </w:pPr>
    </w:p>
    <w:p>
      <w:pPr>
        <w:ind w:left="500" w:right="180" w:hanging="492"/>
        <w:spacing w:after="0" w:line="328" w:lineRule="auto"/>
        <w:tabs>
          <w:tab w:leader="none" w:pos="500"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balance shown for the "Convertible Senior Notes" reflects the principal balance payable to investors for the 4.75% Convertible Senior Notes due 2023 as of September 30, 2018. Refer to “Note 10—Debt Capital Activities” to our condensed consolidated financial statements as of September 30, 2018 for more information.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225" w:lineRule="exact"/>
        <w:rPr>
          <w:sz w:val="20"/>
          <w:szCs w:val="20"/>
          <w:color w:val="auto"/>
        </w:rPr>
      </w:pPr>
    </w:p>
    <w:p>
      <w:pPr>
        <w:jc w:val="both"/>
        <w:ind w:right="40" w:firstLine="351"/>
        <w:spacing w:after="0" w:line="288" w:lineRule="auto"/>
        <w:rPr>
          <w:sz w:val="20"/>
          <w:szCs w:val="20"/>
          <w:color w:val="auto"/>
        </w:rPr>
      </w:pPr>
      <w:r>
        <w:rPr>
          <w:rFonts w:ascii="Arial" w:cs="Arial" w:eastAsia="Arial" w:hAnsi="Arial"/>
          <w:sz w:val="16"/>
          <w:szCs w:val="16"/>
          <w:color w:val="auto"/>
        </w:rPr>
        <w:t>During the nine months ended September 30, 2018, we repurchased 1,071,390 shares of our common stock pursuant to the Share Repurchase Program at an average price of $6.99 per share, or approximately $7.5 million in aggregate. As of September 30, 2018, the dollar value of shares that remained available to be purchased under the Share Repurchase Program was approximately $2.6 million. For more information on the Share Repurchase Program, see "Part II.</w:t>
      </w:r>
    </w:p>
    <w:p>
      <w:pPr>
        <w:spacing w:after="0"/>
        <w:rPr>
          <w:sz w:val="20"/>
          <w:szCs w:val="20"/>
          <w:color w:val="auto"/>
        </w:rPr>
      </w:pPr>
      <w:r>
        <w:rPr>
          <w:rFonts w:ascii="Arial" w:cs="Arial" w:eastAsia="Arial" w:hAnsi="Arial"/>
          <w:sz w:val="18"/>
          <w:szCs w:val="18"/>
          <w:color w:val="auto"/>
        </w:rPr>
        <w:t>Item 2. Unregistered Sales of Equity Securities and Use of Proceeds".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As of September 30, 2018, we had no off-balance sheet arrangements, including any risk management of commodity pricing or other hedging practices.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However, we may employ hedging and other risk management techniques in the future.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225"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Pursuant to the Loan Agreement, Western Alliance Bank has agreed to provide us with the $12.0 million Credit Facility, which, among other things, matures on May 31, 2019 and bears interest at a per annum rate equal to the prime rate plus 3.50%. In addition, the Loan Agreement requires payment of a fee for unused amounts during the revolving period in an amount equal to 0.50% per annum of the average unused portion of the Credit Facility payable quarterly in arrears. Refer to “Note 10—Debt Capital Activities” to our condensed consolidated financial statements as of September 30, 2018 for more information.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Issuances &amp; Debt Capital Activities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made no sales of our equity securities during the nine months ended September 30, 2018 or the year ended December 31, 2017.</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5.25% Convertible Senior Notes due 2018 - Tender Offer, Repurchase, and Repayment</w:t>
      </w:r>
    </w:p>
    <w:p>
      <w:pPr>
        <w:spacing w:after="0" w:line="229" w:lineRule="exact"/>
        <w:rPr>
          <w:sz w:val="20"/>
          <w:szCs w:val="20"/>
          <w:color w:val="auto"/>
        </w:rPr>
      </w:pPr>
    </w:p>
    <w:p>
      <w:pPr>
        <w:ind w:right="20" w:firstLine="351"/>
        <w:spacing w:after="0" w:line="276" w:lineRule="auto"/>
        <w:rPr>
          <w:sz w:val="20"/>
          <w:szCs w:val="20"/>
          <w:color w:val="auto"/>
        </w:rPr>
      </w:pPr>
      <w:r>
        <w:rPr>
          <w:rFonts w:ascii="Arial" w:cs="Arial" w:eastAsia="Arial" w:hAnsi="Arial"/>
          <w:sz w:val="17"/>
          <w:szCs w:val="17"/>
          <w:color w:val="auto"/>
        </w:rPr>
        <w:t>On December 15, 2017, we announced the commencement of the Tender Offer to purchase any and all of the $69.0 million aggregate principal amount of outstanding 5.25% Convertible Senior Notes due 2018. As of the expiration of the Tender Offer on January 17, 2018, approximately $4.8 million aggregate principal amount of the 5.25% Convertible Senior Notes due 2018 representing approximately 7.0% of the outstanding 5.25% Convertible Senior Notes due 2018, were validly tendered and not validly withdrawn pursuant to the Tender Offer. On March 27, 2018, we repurchased an additional $14.2 million aggregate principal amount of the outstanding 5.25% Convertible Senior Notes due 2018.</w:t>
      </w:r>
    </w:p>
    <w:p>
      <w:pPr>
        <w:spacing w:after="0" w:line="173" w:lineRule="exact"/>
        <w:rPr>
          <w:sz w:val="20"/>
          <w:szCs w:val="20"/>
          <w:color w:val="auto"/>
        </w:rPr>
      </w:pPr>
    </w:p>
    <w:p>
      <w:pPr>
        <w:jc w:val="both"/>
        <w:ind w:right="200" w:firstLine="324"/>
        <w:spacing w:after="0" w:line="259" w:lineRule="auto"/>
        <w:rPr>
          <w:sz w:val="20"/>
          <w:szCs w:val="20"/>
          <w:color w:val="auto"/>
        </w:rPr>
      </w:pPr>
      <w:r>
        <w:rPr>
          <w:rFonts w:ascii="Arial" w:cs="Arial" w:eastAsia="Arial" w:hAnsi="Arial"/>
          <w:sz w:val="18"/>
          <w:szCs w:val="18"/>
          <w:color w:val="auto"/>
        </w:rPr>
        <w:t>The 5.25% Convertible Senior Notes due 2018 matured on September 15, 2018 (the “Maturity Date”). Pursuant to the terms of the 5.25% Convertible Senior Notes due 2018 and the indenture related thereto, we repaid the remaining outstanding aggregate principal amount of the 5.25% Convertible Senior Notes due 2018, including accrued but unpaid interest, on the Maturity Date and the 5.25% Convertible Senior Notes were no longer outstanding as of such date. Refer to “Note 10—Debt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2" w:right="239" w:bottom="1440" w:gutter="0" w:footer="0" w:header="0"/>
        </w:sectPr>
      </w:pPr>
    </w:p>
    <w:bookmarkStart w:id="66" w:name="page67"/>
    <w:bookmarkEnd w:id="66"/>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48"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Capital Activities” to our condensed consolidated financial statements as of September 30, 2018 for more information regarding the 5.25% Convertible Senior Notes due 2018.</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4.75% Convertible Senior Notes due 2023 - Issuance</w:t>
      </w:r>
    </w:p>
    <w:p>
      <w:pPr>
        <w:spacing w:after="0" w:line="229" w:lineRule="exact"/>
        <w:rPr>
          <w:sz w:val="20"/>
          <w:szCs w:val="20"/>
          <w:color w:val="auto"/>
        </w:rPr>
      </w:pPr>
    </w:p>
    <w:p>
      <w:pPr>
        <w:ind w:right="40" w:firstLine="351"/>
        <w:spacing w:after="0" w:line="257" w:lineRule="auto"/>
        <w:rPr>
          <w:sz w:val="20"/>
          <w:szCs w:val="20"/>
          <w:color w:val="auto"/>
        </w:rPr>
      </w:pPr>
      <w:r>
        <w:rPr>
          <w:rFonts w:ascii="Arial" w:cs="Arial" w:eastAsia="Arial" w:hAnsi="Arial"/>
          <w:sz w:val="18"/>
          <w:szCs w:val="18"/>
          <w:color w:val="auto"/>
        </w:rPr>
        <w:t>On March 28, 2018, we issued $40.0 million aggregate principal amount of 4.75% Convertible Senior Notes due 2023, which bear interest at a fixed rate of 4.75% per year, payable semi-annually in arrears on March 31 and September 30 of each year, commencing on September 30, 2018. We received $38.3 million in proceeds from the offering, net of underwriting discounts and commissions and other offering expenses. The 4.75% Convertible Senior Notes due 2023 mature on March 28, 2023, unless previously repurchased or converted in accordance with their terms. We do not have the right to redeem the 4.75% Convertible Senior Notes due 2023 prior to March 27, 2021.</w:t>
      </w:r>
    </w:p>
    <w:p>
      <w:pPr>
        <w:spacing w:after="0" w:line="188"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In connection with the issuance of the 4.75% Convertible Senior Notes due 2023, we are required under the terms of the Credit Facility to deposit the proceeds from the 4.75% Convertible Senior Notes due 2023 offering into an account at Western Alliance Bank and are required to maintain at least $65.0 million (or such lesser amount to the extent such funds are used to repay or repurchase a portion of the outstanding 5.25% Convertible Senior Notes due 2018 prior to their maturity and repayment in full) in an account at Western Alliance Bank until such time as the 5.25% Convertible Senior Notes due 2018 are repaid in full. Refer to “Note 10—Debt Capital Activities” to our condensed consolidated financial statements as of September 30, 2018 for more information regarding the 4.75% Convertible Senior Notes due 2023.</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timing and amount of our distributions, if any, will be determined by our board of directors and will be declared out of assets legally available for distribution. The following table lists the distributions, including dividends and returns of capital, if any, per share that we have declared since our formation through September 30, 2018. The table is divided by fiscal year according to record date:</w:t>
      </w:r>
    </w:p>
    <w:p>
      <w:pPr>
        <w:spacing w:after="0" w:line="186" w:lineRule="exact"/>
        <w:rPr>
          <w:sz w:val="20"/>
          <w:szCs w:val="20"/>
          <w:color w:val="auto"/>
        </w:rPr>
      </w:pPr>
    </w:p>
    <w:tbl>
      <w:tblPr>
        <w:tblLayout w:type="fixed"/>
        <w:tblInd w:w="1620" w:type="dxa"/>
        <w:tblCellMar>
          <w:top w:w="0" w:type="dxa"/>
          <w:left w:w="0" w:type="dxa"/>
          <w:bottom w:w="0" w:type="dxa"/>
          <w:right w:w="0" w:type="dxa"/>
        </w:tblCellMar>
      </w:tblPr>
      <w:tr>
        <w:trPr>
          <w:trHeight w:val="192"/>
        </w:trPr>
        <w:tc>
          <w:tcPr>
            <w:tcW w:w="2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Date Declared</w:t>
            </w:r>
          </w:p>
        </w:tc>
        <w:tc>
          <w:tcPr>
            <w:tcW w:w="180" w:type="dxa"/>
            <w:vAlign w:val="bottom"/>
            <w:tcBorders>
              <w:bottom w:val="single" w:sz="8" w:color="CCEEFF"/>
            </w:tcBorders>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Record Date</w:t>
            </w:r>
          </w:p>
        </w:tc>
        <w:tc>
          <w:tcPr>
            <w:tcW w:w="100" w:type="dxa"/>
            <w:vAlign w:val="bottom"/>
            <w:tcBorders>
              <w:bottom w:val="single" w:sz="8" w:color="CCEEFF"/>
            </w:tcBorders>
          </w:tcPr>
          <w:p>
            <w:pPr>
              <w:spacing w:after="0"/>
              <w:rPr>
                <w:sz w:val="16"/>
                <w:szCs w:val="16"/>
                <w:color w:val="auto"/>
              </w:rPr>
            </w:pPr>
          </w:p>
        </w:tc>
        <w:tc>
          <w:tcPr>
            <w:tcW w:w="1900" w:type="dxa"/>
            <w:vAlign w:val="bottom"/>
            <w:tcBorders>
              <w:bottom w:val="single" w:sz="8" w:color="auto"/>
            </w:tcBorders>
          </w:tcPr>
          <w:p>
            <w:pPr>
              <w:jc w:val="center"/>
              <w:ind w:left="22"/>
              <w:spacing w:after="0"/>
              <w:rPr>
                <w:sz w:val="20"/>
                <w:szCs w:val="20"/>
                <w:color w:val="auto"/>
              </w:rPr>
            </w:pPr>
            <w:r>
              <w:rPr>
                <w:rFonts w:ascii="Arial" w:cs="Arial" w:eastAsia="Arial" w:hAnsi="Arial"/>
                <w:sz w:val="14"/>
                <w:szCs w:val="14"/>
                <w:b w:val="1"/>
                <w:bCs w:val="1"/>
                <w:color w:val="auto"/>
                <w:w w:val="94"/>
              </w:rPr>
              <w:t>Payment Date</w:t>
            </w: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Amount per Share</w:t>
            </w:r>
          </w:p>
        </w:tc>
      </w:tr>
      <w:tr>
        <w:trPr>
          <w:trHeight w:val="250"/>
        </w:trPr>
        <w:tc>
          <w:tcPr>
            <w:tcW w:w="2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Fiscal Year 2015:</w:t>
            </w:r>
          </w:p>
        </w:tc>
        <w:tc>
          <w:tcPr>
            <w:tcW w:w="2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473"/>
        </w:trPr>
        <w:tc>
          <w:tcPr>
            <w:tcW w:w="2760" w:type="dxa"/>
            <w:vAlign w:val="bottom"/>
            <w:gridSpan w:val="2"/>
          </w:tcPr>
          <w:p>
            <w:pPr>
              <w:ind w:left="200"/>
              <w:spacing w:after="0"/>
              <w:rPr>
                <w:sz w:val="20"/>
                <w:szCs w:val="20"/>
                <w:color w:val="auto"/>
              </w:rPr>
            </w:pPr>
            <w:r>
              <w:rPr>
                <w:rFonts w:ascii="Arial" w:cs="Arial" w:eastAsia="Arial" w:hAnsi="Arial"/>
                <w:sz w:val="16"/>
                <w:szCs w:val="16"/>
                <w:color w:val="auto"/>
              </w:rPr>
              <w:t>November 4, 2015</w:t>
            </w:r>
            <w:r>
              <w:rPr>
                <w:rFonts w:ascii="Arial" w:cs="Arial" w:eastAsia="Arial" w:hAnsi="Arial"/>
                <w:sz w:val="21"/>
                <w:szCs w:val="21"/>
                <w:color w:val="auto"/>
                <w:vertAlign w:val="superscript"/>
              </w:rPr>
              <w:t>(1)</w:t>
            </w:r>
          </w:p>
        </w:tc>
        <w:tc>
          <w:tcPr>
            <w:tcW w:w="212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November 16, 2015</w:t>
            </w:r>
          </w:p>
        </w:tc>
        <w:tc>
          <w:tcPr>
            <w:tcW w:w="2000" w:type="dxa"/>
            <w:vAlign w:val="bottom"/>
            <w:gridSpan w:val="2"/>
          </w:tcPr>
          <w:p>
            <w:pPr>
              <w:jc w:val="center"/>
              <w:spacing w:after="0"/>
              <w:rPr>
                <w:sz w:val="20"/>
                <w:szCs w:val="20"/>
                <w:color w:val="auto"/>
              </w:rPr>
            </w:pPr>
            <w:r>
              <w:rPr>
                <w:rFonts w:ascii="Arial" w:cs="Arial" w:eastAsia="Arial" w:hAnsi="Arial"/>
                <w:sz w:val="16"/>
                <w:szCs w:val="16"/>
                <w:color w:val="auto"/>
                <w:w w:val="91"/>
              </w:rPr>
              <w:t>December 31, 2015</w:t>
            </w:r>
          </w:p>
        </w:tc>
        <w:tc>
          <w:tcPr>
            <w:tcW w:w="640" w:type="dxa"/>
            <w:vAlign w:val="bottom"/>
          </w:tcPr>
          <w:p>
            <w:pPr>
              <w:jc w:val="right"/>
              <w:ind w:right="262"/>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2.76</w:t>
            </w:r>
          </w:p>
        </w:tc>
      </w:tr>
      <w:tr>
        <w:trPr>
          <w:trHeight w:val="250"/>
        </w:trPr>
        <w:tc>
          <w:tcPr>
            <w:tcW w:w="2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Fiscal Year 2016:</w:t>
            </w:r>
          </w:p>
        </w:tc>
        <w:tc>
          <w:tcPr>
            <w:tcW w:w="2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473"/>
        </w:trPr>
        <w:tc>
          <w:tcPr>
            <w:tcW w:w="276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August 3, 2016</w:t>
            </w:r>
            <w:r>
              <w:rPr>
                <w:rFonts w:ascii="Arial" w:cs="Arial" w:eastAsia="Arial" w:hAnsi="Arial"/>
                <w:sz w:val="21"/>
                <w:szCs w:val="21"/>
                <w:color w:val="auto"/>
                <w:vertAlign w:val="superscript"/>
              </w:rPr>
              <w:t>(2)</w:t>
            </w:r>
          </w:p>
        </w:tc>
        <w:tc>
          <w:tcPr>
            <w:tcW w:w="212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6"/>
                <w:szCs w:val="16"/>
                <w:color w:val="auto"/>
                <w:w w:val="92"/>
              </w:rPr>
              <w:t>August 16, 2016</w:t>
            </w:r>
          </w:p>
        </w:tc>
        <w:tc>
          <w:tcPr>
            <w:tcW w:w="2000" w:type="dxa"/>
            <w:vAlign w:val="bottom"/>
            <w:tcBorders>
              <w:bottom w:val="single" w:sz="8" w:color="CCEEFF"/>
            </w:tcBorders>
            <w:gridSpan w:val="2"/>
          </w:tcPr>
          <w:p>
            <w:pPr>
              <w:jc w:val="center"/>
              <w:spacing w:after="0"/>
              <w:rPr>
                <w:sz w:val="20"/>
                <w:szCs w:val="20"/>
                <w:color w:val="auto"/>
              </w:rPr>
            </w:pPr>
            <w:r>
              <w:rPr>
                <w:rFonts w:ascii="Arial" w:cs="Arial" w:eastAsia="Arial" w:hAnsi="Arial"/>
                <w:sz w:val="16"/>
                <w:szCs w:val="16"/>
                <w:color w:val="auto"/>
                <w:w w:val="92"/>
              </w:rPr>
              <w:t>August 24, 2016</w:t>
            </w:r>
          </w:p>
        </w:tc>
        <w:tc>
          <w:tcPr>
            <w:tcW w:w="6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0.04</w:t>
            </w:r>
          </w:p>
        </w:tc>
      </w:tr>
      <w:tr>
        <w:trPr>
          <w:trHeight w:val="244"/>
        </w:trPr>
        <w:tc>
          <w:tcPr>
            <w:tcW w:w="2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2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262"/>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2.80</w:t>
            </w:r>
          </w:p>
        </w:tc>
      </w:tr>
      <w:tr>
        <w:trPr>
          <w:trHeight w:val="20"/>
        </w:trPr>
        <w:tc>
          <w:tcPr>
            <w:tcW w:w="2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___________________________</w:t>
      </w:r>
    </w:p>
    <w:p>
      <w:pPr>
        <w:spacing w:after="0" w:line="22" w:lineRule="exact"/>
        <w:rPr>
          <w:sz w:val="20"/>
          <w:szCs w:val="20"/>
          <w:color w:val="auto"/>
        </w:rPr>
      </w:pPr>
    </w:p>
    <w:p>
      <w:pPr>
        <w:ind w:left="980" w:right="60" w:hanging="324"/>
        <w:spacing w:after="0" w:line="248" w:lineRule="auto"/>
        <w:tabs>
          <w:tab w:leader="none" w:pos="9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distribution was paid in cash or shares of our common stock at the election of stockholders, although the total amount of cash distributed to all stockholders was limited to approximately 50% of the total distribution to be paid to all stockholders. As a result of stockholder elections, the distribution consisted of approximately 2,860,903 shares of common stock issued in lieu of cash, or approximately 14.8% of our outstanding shares prior to the distribution, as well as cash of $26,358,885. The number of shares of common stock comprising the stock portion was calculated based on a price of $9.425 per share, which equaled the average of the volume weighted-average trading price per share of our common stock on December 28, 29 and 30, 2015. None of the $2.76 per share distribution represented a return of capital.</w:t>
      </w:r>
    </w:p>
    <w:p>
      <w:pPr>
        <w:spacing w:after="0" w:line="3" w:lineRule="exact"/>
        <w:rPr>
          <w:rFonts w:ascii="Arial" w:cs="Arial" w:eastAsia="Arial" w:hAnsi="Arial"/>
          <w:sz w:val="16"/>
          <w:szCs w:val="16"/>
          <w:color w:val="auto"/>
        </w:rPr>
      </w:pPr>
    </w:p>
    <w:p>
      <w:pPr>
        <w:ind w:left="980" w:hanging="324"/>
        <w:spacing w:after="0"/>
        <w:tabs>
          <w:tab w:leader="none" w:pos="980" w:val="left"/>
        </w:tabs>
        <w:numPr>
          <w:ilvl w:val="0"/>
          <w:numId w:val="44"/>
        </w:numPr>
        <w:rPr>
          <w:rFonts w:ascii="Arial" w:cs="Arial" w:eastAsia="Arial" w:hAnsi="Arial"/>
          <w:sz w:val="15"/>
          <w:szCs w:val="15"/>
          <w:color w:val="auto"/>
        </w:rPr>
      </w:pPr>
      <w:r>
        <w:rPr>
          <w:rFonts w:ascii="Arial" w:cs="Arial" w:eastAsia="Arial" w:hAnsi="Arial"/>
          <w:sz w:val="15"/>
          <w:szCs w:val="15"/>
          <w:color w:val="auto"/>
        </w:rPr>
        <w:t>Of the total distribution of $887,240 on August 24, 2016, $820,753 represented a distribution from realized gains and $66,487 represented a return of capital.</w:t>
      </w:r>
    </w:p>
    <w:p>
      <w:pPr>
        <w:spacing w:after="0" w:line="214" w:lineRule="exact"/>
        <w:rPr>
          <w:sz w:val="20"/>
          <w:szCs w:val="20"/>
          <w:color w:val="auto"/>
        </w:rPr>
      </w:pPr>
    </w:p>
    <w:p>
      <w:pPr>
        <w:ind w:right="40" w:firstLine="351"/>
        <w:spacing w:after="0" w:line="257" w:lineRule="auto"/>
        <w:rPr>
          <w:sz w:val="20"/>
          <w:szCs w:val="20"/>
          <w:color w:val="auto"/>
        </w:rPr>
      </w:pPr>
      <w:r>
        <w:rPr>
          <w:rFonts w:ascii="Arial" w:cs="Arial" w:eastAsia="Arial" w:hAnsi="Arial"/>
          <w:sz w:val="18"/>
          <w:szCs w:val="18"/>
          <w:color w:val="auto"/>
        </w:rPr>
        <w:t>We intend to focus on making capital gains-based investments from which we will derive primarily capital gains. As a consequence, we do not anticipate that we will pay distributions on a quarterly basis or become a predictable distributor of distributions, and we expect that our distributions, if any, will be much less consistent than the distributions of other business development companies that primarily make debt investments. If there are earnings or realized capital gains to be distributed, we intend to declare and pay a distribution at least annually. The amount of realized capital gains available for distribution to stockholders will be impacted by our treatment as a RIC.</w:t>
      </w:r>
    </w:p>
    <w:p>
      <w:pPr>
        <w:spacing w:after="0" w:line="188" w:lineRule="exact"/>
        <w:rPr>
          <w:sz w:val="20"/>
          <w:szCs w:val="20"/>
          <w:color w:val="auto"/>
        </w:rPr>
      </w:pPr>
    </w:p>
    <w:p>
      <w:pPr>
        <w:ind w:right="60" w:firstLine="351"/>
        <w:spacing w:after="0" w:line="273" w:lineRule="auto"/>
        <w:rPr>
          <w:sz w:val="20"/>
          <w:szCs w:val="20"/>
          <w:color w:val="auto"/>
        </w:rPr>
      </w:pPr>
      <w:r>
        <w:rPr>
          <w:rFonts w:ascii="Arial" w:cs="Arial" w:eastAsia="Arial" w:hAnsi="Arial"/>
          <w:sz w:val="17"/>
          <w:szCs w:val="17"/>
          <w:color w:val="auto"/>
        </w:rPr>
        <w:t>Our current intention is to make any future distributions out of assets legally available in the form of additional shares of our common stock under our dividend reinvestment plan, unless a stockholder elects to receive dividends and/or long-term capital gains distributions in cash. Under the dividend reinvestment plan, if a stockholder owns shares of common stock registered in its own name, the stockholder will have all cash distributions (net of any withholding) automatically reinvested in additional shares of common stock unless the stockholder opts out of our dividend reinvestment plan by delivering a written notice to our dividend paying agent prior to the record date of the next dividend or distribution. Any distributions reinvested under the plan will nevertheless remain taxable to the U.S. stockholder, although no cash distribution has been made. As a</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2" w:right="239" w:bottom="1440" w:gutter="0" w:footer="0" w:header="0"/>
        </w:sectPr>
      </w:pPr>
    </w:p>
    <w:bookmarkStart w:id="67" w:name="page68"/>
    <w:bookmarkEnd w:id="67"/>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48" w:lineRule="exact"/>
        <w:rPr>
          <w:sz w:val="20"/>
          <w:szCs w:val="20"/>
          <w:color w:val="auto"/>
        </w:rPr>
      </w:pPr>
    </w:p>
    <w:p>
      <w:pPr>
        <w:jc w:val="both"/>
        <w:ind w:right="240"/>
        <w:spacing w:after="0" w:line="288" w:lineRule="auto"/>
        <w:rPr>
          <w:sz w:val="20"/>
          <w:szCs w:val="20"/>
          <w:color w:val="auto"/>
        </w:rPr>
      </w:pPr>
      <w:r>
        <w:rPr>
          <w:rFonts w:ascii="Arial" w:cs="Arial" w:eastAsia="Arial" w:hAnsi="Arial"/>
          <w:sz w:val="16"/>
          <w:szCs w:val="16"/>
          <w:color w:val="auto"/>
        </w:rPr>
        <w:t>result, if a stockholder does not elect to opt out of the dividend reinvestment plan, it will be required to pay applicable federal, state and local taxes on any reinvested dividends even though such stockholder will not receive a corresponding cash distribution. In addition, reinvested dividends have the effect of increasing our gross assets, which may correspondingly increase the management fee payable to our investment adviser, GSV Asset Management.</w:t>
      </w:r>
    </w:p>
    <w:p>
      <w:pPr>
        <w:ind w:right="80"/>
        <w:spacing w:after="0" w:line="261" w:lineRule="auto"/>
        <w:rPr>
          <w:sz w:val="20"/>
          <w:szCs w:val="20"/>
          <w:color w:val="auto"/>
        </w:rPr>
      </w:pPr>
      <w:r>
        <w:rPr>
          <w:rFonts w:ascii="Arial" w:cs="Arial" w:eastAsia="Arial" w:hAnsi="Arial"/>
          <w:sz w:val="18"/>
          <w:szCs w:val="18"/>
          <w:color w:val="auto"/>
        </w:rPr>
        <w:t>Stockholders who hold shares in the name of a broker or financial intermediary should contact the broker or financial intermediary regarding any election to receive distributions in cash.</w:t>
      </w:r>
    </w:p>
    <w:p>
      <w:pPr>
        <w:spacing w:after="0" w:line="184"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 xml:space="preserve">We elected to be treated as a RIC under Subchapter M of the Code beginning with our taxable year ended December 31, 2014 and continue to qualify to be treated as a RIC. So long as we qualify and maintain our tax treatment as a RIC, we generally will not pay corporate-level U.S. federal and state income taxes on any ordinary income or capital gains that we distribute at least annually to our stockholders as dividends. Rather, any tax liability related to income earned by the RIC will represent obligations of our investors and will not be reflected in our condensed consolidated financial statements. In order to qualify as a RIC and to avoid corporate-level income tax on the income we distribute to our stockholders, we are required, under Subchapter M of the Code, to distribute at least 90% of our ordinary income and short-term capital gains to our stockholders on an annual basis. See “Note 2 - Significant Accounting Policies - </w:t>
      </w:r>
      <w:r>
        <w:rPr>
          <w:rFonts w:ascii="Arial" w:cs="Arial" w:eastAsia="Arial" w:hAnsi="Arial"/>
          <w:sz w:val="18"/>
          <w:szCs w:val="18"/>
          <w:i w:val="1"/>
          <w:iCs w:val="1"/>
          <w:color w:val="auto"/>
        </w:rPr>
        <w:t>U.S. Federal and State Income Taxes</w:t>
      </w:r>
      <w:r>
        <w:rPr>
          <w:rFonts w:ascii="Arial" w:cs="Arial" w:eastAsia="Arial" w:hAnsi="Arial"/>
          <w:sz w:val="18"/>
          <w:szCs w:val="18"/>
          <w:color w:val="auto"/>
        </w:rPr>
        <w:t>” and “Note 9 - Income Taxes” to our condensed consolidated financial statements as of September 30, 2018 for more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firstLine="351"/>
        <w:spacing w:after="0" w:line="272" w:lineRule="auto"/>
        <w:rPr>
          <w:sz w:val="20"/>
          <w:szCs w:val="20"/>
          <w:color w:val="auto"/>
        </w:rPr>
      </w:pPr>
      <w:r>
        <w:rPr>
          <w:rFonts w:ascii="Arial" w:cs="Arial" w:eastAsia="Arial" w:hAnsi="Arial"/>
          <w:sz w:val="17"/>
          <w:szCs w:val="17"/>
          <w:color w:val="auto"/>
        </w:rPr>
        <w:t>Critical accounting policies and practices are the policies that are both most important to the portrayal of our financial condition and results, and require management’s most difficult, subjective, or complex judgments, often as a result of the need to make estimates about the effects of matters that are inherently uncertain. These include estimates of the fair value of our Level 3 investments and other estimates that affect the reported amounts of assets and liabilities as of the date of the consolidated financial statements and the reported amounts of certain revenues and expenses during the reporting period. It is likely that changes in these estimates will occur in the near term. Our estimates are inherently subjective in nature and actual results could differ materially from such estimates. See “Note 2—Significant Accounting Policies” to our condensed consolidated financial statements as of September 30, 2018 for further detail regarding our critical accounting policies and recently issued or adopted accounting pronouncements.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Related-Party Transactions</w:t>
      </w:r>
    </w:p>
    <w:p>
      <w:pPr>
        <w:spacing w:after="0" w:line="229" w:lineRule="exact"/>
        <w:rPr>
          <w:sz w:val="20"/>
          <w:szCs w:val="20"/>
          <w:color w:val="auto"/>
        </w:rPr>
      </w:pPr>
    </w:p>
    <w:p>
      <w:pPr>
        <w:jc w:val="center"/>
        <w:ind w:right="240"/>
        <w:spacing w:after="0"/>
        <w:rPr>
          <w:sz w:val="20"/>
          <w:szCs w:val="20"/>
          <w:color w:val="auto"/>
        </w:rPr>
      </w:pPr>
      <w:r>
        <w:rPr>
          <w:rFonts w:ascii="Arial" w:cs="Arial" w:eastAsia="Arial" w:hAnsi="Arial"/>
          <w:sz w:val="17"/>
          <w:szCs w:val="17"/>
          <w:color w:val="auto"/>
        </w:rPr>
        <w:t>See “Note 3—Related-Party Arrangements” to our condensed consolidated financial statements as of September 30, 2018 for more information.</w:t>
      </w:r>
    </w:p>
    <w:p>
      <w:pPr>
        <w:spacing w:after="0" w:line="26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340"/>
          </w:cols>
          <w:pgMar w:left="240" w:top="122" w:right="319" w:bottom="1440" w:gutter="0" w:footer="0" w:header="0"/>
        </w:sectPr>
      </w:pPr>
    </w:p>
    <w:bookmarkStart w:id="68" w:name="page69"/>
    <w:bookmarkEnd w:id="68"/>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29" w:lineRule="exact"/>
        <w:rPr>
          <w:sz w:val="20"/>
          <w:szCs w:val="20"/>
          <w:color w:val="auto"/>
        </w:rPr>
      </w:pPr>
    </w:p>
    <w:p>
      <w:pPr>
        <w:ind w:right="140" w:firstLine="351"/>
        <w:spacing w:after="0" w:line="276" w:lineRule="auto"/>
        <w:rPr>
          <w:sz w:val="20"/>
          <w:szCs w:val="20"/>
          <w:color w:val="auto"/>
        </w:rPr>
      </w:pPr>
      <w:r>
        <w:rPr>
          <w:rFonts w:ascii="Arial" w:cs="Arial" w:eastAsia="Arial" w:hAnsi="Arial"/>
          <w:sz w:val="17"/>
          <w:szCs w:val="17"/>
          <w:color w:val="auto"/>
        </w:rPr>
        <w:t>Our equity investments are primarily in growth companies that in many cases have short operating histories and are generally illiquid. In addition to the risk that these companies may fail to achieve their objectives, the price we may receive for these companies in private transactions may be significantly impacted by periods of disruption and instability in the capital markets. While these periods of disruption generally have little actual impact on the operating results of our equity investments, these events may significantly impact the prices that market participants will pay for our equity investments in private transactions. This may have a significant impact on the valuation of our equity investments.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We are subject to financial market risks, which could include, to the extent we utilize leverage with variable rate structures, changes in interest rates. As we invest primarily in equity rather than debt instruments, we would not expect fluctuations in interest rates to directly impact the return on our portfolio investments, although any significant change in market interest rates could potentially have an adverse effect on the business, financial condition and results of operations of the portfolio companies in which we invest.</w:t>
      </w:r>
    </w:p>
    <w:p>
      <w:pPr>
        <w:spacing w:after="0" w:line="187"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As of September 30, 2018, all of our debt investments and outstanding borrowings bore fixed rates of interest. The Credit Facility, however, is indexed to the prime rate. We do not expect a significant impact on our net investment income or loss due to changes in the prime rate; however, the table below indicates the impact on our net investment income or loss should the prime rate change. Based on our September 30, 2018 Condensed Consolidated Statement of Assets and Liabilities, the following table shows the various, incremental impact of changes in interest rates on our net income or loss related to the Credit Facility for the nine months ended September 30, 2018, assuming no changes in our investment income and borrowing structure. Although we believe that this measure is indicative of our sensitivity to the below-referenced interest rate changes, it does not reflect potential changes in credit quality, size and composition of the assets on our statement of assets and liabilities and other BDC's that could affect net increase or decrease in net assets resulting from operations, or net income or loss.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Basis Point Change(1)</w:t>
            </w:r>
          </w:p>
        </w:tc>
        <w:tc>
          <w:tcPr>
            <w:tcW w:w="120" w:type="dxa"/>
            <w:vAlign w:val="bottom"/>
            <w:vMerge w:val="restart"/>
          </w:tcPr>
          <w:p>
            <w:pPr>
              <w:spacing w:after="0"/>
              <w:rPr>
                <w:sz w:val="14"/>
                <w:szCs w:val="14"/>
                <w:color w:val="auto"/>
              </w:rPr>
            </w:pPr>
          </w:p>
        </w:tc>
        <w:tc>
          <w:tcPr>
            <w:tcW w:w="1100" w:type="dxa"/>
            <w:vAlign w:val="bottom"/>
          </w:tcPr>
          <w:p>
            <w:pPr>
              <w:jc w:val="right"/>
              <w:ind w:right="41"/>
              <w:spacing w:after="0"/>
              <w:rPr>
                <w:sz w:val="20"/>
                <w:szCs w:val="20"/>
                <w:color w:val="auto"/>
              </w:rPr>
            </w:pPr>
            <w:r>
              <w:rPr>
                <w:rFonts w:ascii="Arial" w:cs="Arial" w:eastAsia="Arial" w:hAnsi="Arial"/>
                <w:sz w:val="14"/>
                <w:szCs w:val="14"/>
                <w:b w:val="1"/>
                <w:bCs w:val="1"/>
                <w:color w:val="auto"/>
              </w:rPr>
              <w:t>Interest</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ind w:left="200"/>
              <w:spacing w:after="0"/>
              <w:rPr>
                <w:sz w:val="20"/>
                <w:szCs w:val="20"/>
                <w:color w:val="auto"/>
              </w:rPr>
            </w:pPr>
            <w:r>
              <w:rPr>
                <w:rFonts w:ascii="Arial" w:cs="Arial" w:eastAsia="Arial" w:hAnsi="Arial"/>
                <w:sz w:val="14"/>
                <w:szCs w:val="14"/>
                <w:b w:val="1"/>
                <w:bCs w:val="1"/>
                <w:color w:val="auto"/>
              </w:rPr>
              <w:t>Interest</w:t>
            </w:r>
          </w:p>
        </w:tc>
        <w:tc>
          <w:tcPr>
            <w:tcW w:w="200" w:type="dxa"/>
            <w:vAlign w:val="bottom"/>
          </w:tcPr>
          <w:p>
            <w:pPr>
              <w:spacing w:after="0"/>
              <w:rPr>
                <w:sz w:val="14"/>
                <w:szCs w:val="14"/>
                <w:color w:val="auto"/>
              </w:rPr>
            </w:pPr>
          </w:p>
        </w:tc>
        <w:tc>
          <w:tcPr>
            <w:tcW w:w="1260" w:type="dxa"/>
            <w:vAlign w:val="bottom"/>
          </w:tcPr>
          <w:p>
            <w:pPr>
              <w:jc w:val="right"/>
              <w:ind w:right="541"/>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66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10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Income</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Expense</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w w:val="98"/>
              </w:rPr>
              <w:t>Income/(Loss)</w:t>
            </w:r>
          </w:p>
        </w:tc>
        <w:tc>
          <w:tcPr>
            <w:tcW w:w="0" w:type="dxa"/>
            <w:vAlign w:val="bottom"/>
          </w:tcPr>
          <w:p>
            <w:pPr>
              <w:spacing w:after="0"/>
              <w:rPr>
                <w:sz w:val="1"/>
                <w:szCs w:val="1"/>
                <w:color w:val="auto"/>
              </w:rPr>
            </w:pPr>
          </w:p>
        </w:tc>
      </w:tr>
      <w:tr>
        <w:trPr>
          <w:trHeight w:val="236"/>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Up 300 Basis points</w:t>
            </w:r>
          </w:p>
        </w:tc>
        <w:tc>
          <w:tcPr>
            <w:tcW w:w="1100" w:type="dxa"/>
            <w:vAlign w:val="bottom"/>
            <w:tcBorders>
              <w:bottom w:val="single" w:sz="8" w:color="CCEEFF"/>
            </w:tcBorders>
            <w:shd w:val="clear" w:color="auto" w:fill="CCEEFF"/>
          </w:tcPr>
          <w:p>
            <w:pPr>
              <w:jc w:val="right"/>
              <w:ind w:right="921"/>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270,000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270,000</w:t>
            </w:r>
          </w:p>
        </w:tc>
        <w:tc>
          <w:tcPr>
            <w:tcW w:w="0" w:type="dxa"/>
            <w:vAlign w:val="bottom"/>
          </w:tcPr>
          <w:p>
            <w:pPr>
              <w:spacing w:after="0"/>
              <w:rPr>
                <w:sz w:val="1"/>
                <w:szCs w:val="1"/>
                <w:color w:val="auto"/>
              </w:rPr>
            </w:pPr>
          </w:p>
        </w:tc>
      </w:tr>
      <w:tr>
        <w:trPr>
          <w:trHeight w:val="237"/>
        </w:trPr>
        <w:tc>
          <w:tcPr>
            <w:tcW w:w="6760" w:type="dxa"/>
            <w:vAlign w:val="bottom"/>
            <w:gridSpan w:val="2"/>
          </w:tcPr>
          <w:p>
            <w:pPr>
              <w:ind w:left="40"/>
              <w:spacing w:after="0"/>
              <w:rPr>
                <w:sz w:val="20"/>
                <w:szCs w:val="20"/>
                <w:color w:val="auto"/>
              </w:rPr>
            </w:pPr>
            <w:r>
              <w:rPr>
                <w:rFonts w:ascii="Arial" w:cs="Arial" w:eastAsia="Arial" w:hAnsi="Arial"/>
                <w:sz w:val="16"/>
                <w:szCs w:val="16"/>
                <w:color w:val="auto"/>
              </w:rPr>
              <w:t>Up 200 Basis points</w:t>
            </w:r>
          </w:p>
        </w:tc>
        <w:tc>
          <w:tcPr>
            <w:tcW w:w="1100" w:type="dxa"/>
            <w:vAlign w:val="bottom"/>
          </w:tcPr>
          <w:p>
            <w:pPr>
              <w:jc w:val="right"/>
              <w:ind w:right="921"/>
              <w:spacing w:after="0"/>
              <w:rPr>
                <w:sz w:val="20"/>
                <w:szCs w:val="20"/>
                <w:color w:val="auto"/>
              </w:rPr>
            </w:pPr>
            <w:r>
              <w:rPr>
                <w:rFonts w:ascii="Arial" w:cs="Arial" w:eastAsia="Arial" w:hAnsi="Arial"/>
                <w:sz w:val="16"/>
                <w:szCs w:val="16"/>
                <w:color w:val="auto"/>
                <w:w w:val="89"/>
              </w:rPr>
              <w:t>$</w:t>
            </w:r>
          </w:p>
        </w:tc>
        <w:tc>
          <w:tcPr>
            <w:tcW w:w="52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41"/>
              <w:spacing w:after="0"/>
              <w:rPr>
                <w:sz w:val="20"/>
                <w:szCs w:val="20"/>
                <w:color w:val="auto"/>
              </w:rPr>
            </w:pPr>
            <w:r>
              <w:rPr>
                <w:rFonts w:ascii="Arial" w:cs="Arial" w:eastAsia="Arial" w:hAnsi="Arial"/>
                <w:sz w:val="16"/>
                <w:szCs w:val="16"/>
                <w:color w:val="auto"/>
              </w:rPr>
              <w:t>180,000</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180,000</w:t>
            </w: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Up 100 Basis points</w:t>
            </w:r>
          </w:p>
        </w:tc>
        <w:tc>
          <w:tcPr>
            <w:tcW w:w="1100" w:type="dxa"/>
            <w:vAlign w:val="bottom"/>
            <w:tcBorders>
              <w:bottom w:val="single" w:sz="8" w:color="CCEEFF"/>
            </w:tcBorders>
            <w:shd w:val="clear" w:color="auto" w:fill="CCEEFF"/>
          </w:tcPr>
          <w:p>
            <w:pPr>
              <w:jc w:val="right"/>
              <w:ind w:right="921"/>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90,000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90,000</w:t>
            </w:r>
          </w:p>
        </w:tc>
        <w:tc>
          <w:tcPr>
            <w:tcW w:w="0" w:type="dxa"/>
            <w:vAlign w:val="bottom"/>
          </w:tcPr>
          <w:p>
            <w:pPr>
              <w:spacing w:after="0"/>
              <w:rPr>
                <w:sz w:val="1"/>
                <w:szCs w:val="1"/>
                <w:color w:val="auto"/>
              </w:rPr>
            </w:pPr>
          </w:p>
        </w:tc>
      </w:tr>
      <w:tr>
        <w:trPr>
          <w:trHeight w:val="237"/>
        </w:trPr>
        <w:tc>
          <w:tcPr>
            <w:tcW w:w="6760" w:type="dxa"/>
            <w:vAlign w:val="bottom"/>
            <w:gridSpan w:val="2"/>
          </w:tcPr>
          <w:p>
            <w:pPr>
              <w:ind w:left="40"/>
              <w:spacing w:after="0"/>
              <w:rPr>
                <w:sz w:val="20"/>
                <w:szCs w:val="20"/>
                <w:color w:val="auto"/>
              </w:rPr>
            </w:pPr>
            <w:r>
              <w:rPr>
                <w:rFonts w:ascii="Arial" w:cs="Arial" w:eastAsia="Arial" w:hAnsi="Arial"/>
                <w:sz w:val="16"/>
                <w:szCs w:val="16"/>
                <w:color w:val="auto"/>
              </w:rPr>
              <w:t>Down 100 Basis points</w:t>
            </w:r>
          </w:p>
        </w:tc>
        <w:tc>
          <w:tcPr>
            <w:tcW w:w="1100" w:type="dxa"/>
            <w:vAlign w:val="bottom"/>
          </w:tcPr>
          <w:p>
            <w:pPr>
              <w:jc w:val="right"/>
              <w:ind w:right="921"/>
              <w:spacing w:after="0"/>
              <w:rPr>
                <w:sz w:val="20"/>
                <w:szCs w:val="20"/>
                <w:color w:val="auto"/>
              </w:rPr>
            </w:pPr>
            <w:r>
              <w:rPr>
                <w:rFonts w:ascii="Arial" w:cs="Arial" w:eastAsia="Arial" w:hAnsi="Arial"/>
                <w:sz w:val="16"/>
                <w:szCs w:val="16"/>
                <w:color w:val="auto"/>
                <w:w w:val="89"/>
              </w:rPr>
              <w:t>$</w:t>
            </w:r>
          </w:p>
        </w:tc>
        <w:tc>
          <w:tcPr>
            <w:tcW w:w="52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(90,000)</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(90,000)</w:t>
            </w: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Down 200 Basis points</w:t>
            </w:r>
          </w:p>
        </w:tc>
        <w:tc>
          <w:tcPr>
            <w:tcW w:w="1100" w:type="dxa"/>
            <w:vAlign w:val="bottom"/>
            <w:tcBorders>
              <w:bottom w:val="single" w:sz="8" w:color="CCEEFF"/>
            </w:tcBorders>
            <w:shd w:val="clear" w:color="auto" w:fill="CCEEFF"/>
          </w:tcPr>
          <w:p>
            <w:pPr>
              <w:jc w:val="right"/>
              <w:ind w:right="921"/>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(180,000)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(180,000)</w:t>
            </w:r>
          </w:p>
        </w:tc>
        <w:tc>
          <w:tcPr>
            <w:tcW w:w="0" w:type="dxa"/>
            <w:vAlign w:val="bottom"/>
          </w:tcPr>
          <w:p>
            <w:pPr>
              <w:spacing w:after="0"/>
              <w:rPr>
                <w:sz w:val="1"/>
                <w:szCs w:val="1"/>
                <w:color w:val="auto"/>
              </w:rPr>
            </w:pPr>
          </w:p>
        </w:tc>
      </w:tr>
      <w:tr>
        <w:trPr>
          <w:trHeight w:val="237"/>
        </w:trPr>
        <w:tc>
          <w:tcPr>
            <w:tcW w:w="6760" w:type="dxa"/>
            <w:vAlign w:val="bottom"/>
            <w:gridSpan w:val="2"/>
          </w:tcPr>
          <w:p>
            <w:pPr>
              <w:ind w:left="40"/>
              <w:spacing w:after="0"/>
              <w:rPr>
                <w:sz w:val="20"/>
                <w:szCs w:val="20"/>
                <w:color w:val="auto"/>
              </w:rPr>
            </w:pPr>
            <w:r>
              <w:rPr>
                <w:rFonts w:ascii="Arial" w:cs="Arial" w:eastAsia="Arial" w:hAnsi="Arial"/>
                <w:sz w:val="16"/>
                <w:szCs w:val="16"/>
                <w:color w:val="auto"/>
              </w:rPr>
              <w:t>Down 300 Basis points</w:t>
            </w:r>
          </w:p>
        </w:tc>
        <w:tc>
          <w:tcPr>
            <w:tcW w:w="1100" w:type="dxa"/>
            <w:vAlign w:val="bottom"/>
          </w:tcPr>
          <w:p>
            <w:pPr>
              <w:jc w:val="right"/>
              <w:ind w:right="921"/>
              <w:spacing w:after="0"/>
              <w:rPr>
                <w:sz w:val="20"/>
                <w:szCs w:val="20"/>
                <w:color w:val="auto"/>
              </w:rPr>
            </w:pPr>
            <w:r>
              <w:rPr>
                <w:rFonts w:ascii="Arial" w:cs="Arial" w:eastAsia="Arial" w:hAnsi="Arial"/>
                <w:sz w:val="16"/>
                <w:szCs w:val="16"/>
                <w:color w:val="auto"/>
                <w:w w:val="89"/>
              </w:rPr>
              <w:t>$</w:t>
            </w:r>
          </w:p>
        </w:tc>
        <w:tc>
          <w:tcPr>
            <w:tcW w:w="52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(270,000)</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(270,000)</w:t>
            </w:r>
          </w:p>
        </w:tc>
        <w:tc>
          <w:tcPr>
            <w:tcW w:w="0" w:type="dxa"/>
            <w:vAlign w:val="bottom"/>
          </w:tcPr>
          <w:p>
            <w:pPr>
              <w:spacing w:after="0"/>
              <w:rPr>
                <w:sz w:val="1"/>
                <w:szCs w:val="1"/>
                <w:color w:val="auto"/>
              </w:rPr>
            </w:pPr>
          </w:p>
        </w:tc>
      </w:tr>
      <w:tr>
        <w:trPr>
          <w:trHeight w:val="210"/>
        </w:trPr>
        <w:tc>
          <w:tcPr>
            <w:tcW w:w="6640" w:type="dxa"/>
            <w:vAlign w:val="bottom"/>
          </w:tcPr>
          <w:p>
            <w:pPr>
              <w:spacing w:after="0"/>
              <w:rPr>
                <w:sz w:val="20"/>
                <w:szCs w:val="20"/>
                <w:color w:val="auto"/>
              </w:rPr>
            </w:pPr>
            <w:r>
              <w:rPr>
                <w:rFonts w:ascii="Arial" w:cs="Arial" w:eastAsia="Arial" w:hAnsi="Arial"/>
                <w:sz w:val="14"/>
                <w:szCs w:val="14"/>
                <w:color w:val="auto"/>
              </w:rPr>
              <w:t>_______________________</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500" w:right="20" w:hanging="492"/>
        <w:spacing w:after="0" w:line="294" w:lineRule="auto"/>
        <w:tabs>
          <w:tab w:leader="none" w:pos="500" w:val="left"/>
        </w:tabs>
        <w:numPr>
          <w:ilvl w:val="0"/>
          <w:numId w:val="45"/>
        </w:numPr>
        <w:rPr>
          <w:rFonts w:ascii="Arial" w:cs="Arial" w:eastAsia="Arial" w:hAnsi="Arial"/>
          <w:sz w:val="15"/>
          <w:szCs w:val="15"/>
          <w:color w:val="auto"/>
        </w:rPr>
      </w:pPr>
      <w:r>
        <w:rPr>
          <w:rFonts w:ascii="Arial" w:cs="Arial" w:eastAsia="Arial" w:hAnsi="Arial"/>
          <w:sz w:val="15"/>
          <w:szCs w:val="15"/>
          <w:color w:val="auto"/>
        </w:rPr>
        <w:t>Assumes we have borrowed $12.0 million under the Credit Facility for the nine months ended September 30, 2018. Our actual borrowings under the Credit Facility will vary based on our needs throughout the year. For the nine months ended September 30, 2018, our actual average borrowings under the Credit Facility were $0.</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2" w:right="239" w:bottom="1440" w:gutter="0" w:footer="0" w:header="0"/>
        </w:sectPr>
      </w:pPr>
    </w:p>
    <w:bookmarkStart w:id="69" w:name="page70"/>
    <w:bookmarkEnd w:id="69"/>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4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firstLine="351"/>
        <w:spacing w:after="0" w:line="270" w:lineRule="auto"/>
        <w:rPr>
          <w:sz w:val="20"/>
          <w:szCs w:val="20"/>
          <w:color w:val="auto"/>
        </w:rPr>
      </w:pPr>
      <w:r>
        <w:rPr>
          <w:rFonts w:ascii="Arial" w:cs="Arial" w:eastAsia="Arial" w:hAnsi="Arial"/>
          <w:sz w:val="17"/>
          <w:szCs w:val="17"/>
          <w:color w:val="auto"/>
        </w:rPr>
        <w:t>As of September 30, 2018, our management, including our Chief Executive Officer and Principal Financial Officer, evaluated the effectiveness of the design and operation of our disclosure controls and procedures (as defined in Rules 13a-15(e) and 15d-15(e) under the Exchange Act). Based on that evaluation, the Chief Executive Officer and Principal Financial Officer concluded that our disclosure controls and procedures were effective and provided reasonable assurance that information required to be disclosed in our periodic SEC filings is recorded, processed, summarized and reported within the time periods specified by the SEC and that such information is accumulated and communicated to our management, including our Chief Executive Officer and Principal Financial Officer, as appropriate, to allow for timely decisions regarding required disclosure. However, in evaluating the disclosure controls and procedures, management recognizes that any controls and procedures, no matter how well designed and operated, can provide only reasonable assurance of achieving the desired control objectives, and management necessarily is required to apply its judgment in evaluating the cost-benefit relationship of such possible controls and procedures.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right="40" w:firstLine="351"/>
        <w:spacing w:after="0" w:line="264" w:lineRule="auto"/>
        <w:rPr>
          <w:sz w:val="20"/>
          <w:szCs w:val="20"/>
          <w:color w:val="auto"/>
        </w:rPr>
      </w:pPr>
      <w:r>
        <w:rPr>
          <w:rFonts w:ascii="Arial" w:cs="Arial" w:eastAsia="Arial" w:hAnsi="Arial"/>
          <w:sz w:val="18"/>
          <w:szCs w:val="18"/>
          <w:color w:val="auto"/>
        </w:rPr>
        <w:t>There have been no changes in our internal control over financial reporting (as defined in Rules 13a-15(f) and 15d-15(f) under the Exchange Act) that occurred during the fiscal quarter ended September 30, 2018 that have materially affected, or are reasonably likely to materially affect, our internal control over financial reporting.</w:t>
      </w:r>
    </w:p>
    <w:p>
      <w:pPr>
        <w:spacing w:after="0" w:line="200" w:lineRule="exact"/>
        <w:rPr>
          <w:sz w:val="20"/>
          <w:szCs w:val="20"/>
          <w:color w:val="auto"/>
        </w:rPr>
      </w:pPr>
    </w:p>
    <w:p>
      <w:pPr>
        <w:spacing w:after="0" w:line="22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00"/>
          </w:cols>
          <w:pgMar w:left="240" w:top="122" w:right="459" w:bottom="1440" w:gutter="0" w:footer="0" w:header="0"/>
        </w:sectPr>
      </w:pPr>
    </w:p>
    <w:bookmarkStart w:id="70" w:name="page71"/>
    <w:bookmarkEnd w:id="70"/>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56" w:lineRule="exact"/>
        <w:rPr>
          <w:sz w:val="20"/>
          <w:szCs w:val="20"/>
          <w:color w:val="auto"/>
        </w:rPr>
      </w:pPr>
    </w:p>
    <w:p>
      <w:pPr>
        <w:ind w:right="500" w:firstLine="351"/>
        <w:spacing w:after="0" w:line="308" w:lineRule="auto"/>
        <w:rPr>
          <w:sz w:val="20"/>
          <w:szCs w:val="20"/>
          <w:color w:val="auto"/>
        </w:rPr>
      </w:pPr>
      <w:r>
        <w:rPr>
          <w:rFonts w:ascii="Arial" w:cs="Arial" w:eastAsia="Arial" w:hAnsi="Arial"/>
          <w:sz w:val="17"/>
          <w:szCs w:val="17"/>
          <w:color w:val="auto"/>
        </w:rPr>
        <w:t>Although we and our subsidiaries may, from time to time, be involved in litigation arising out of our and our subsidiaries’ operations in the normal course of business or otherwise, neither we nor any of our subsidiaries are currently a party to any pending material legal proceedings.</w:t>
      </w:r>
    </w:p>
    <w:p>
      <w:pPr>
        <w:spacing w:after="0" w:line="14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Investing in our securities involves a number of significant risks. In addition to the other information contained in this report, you should carefully consider the factors discussed in our annual report on Form 10-K for the fiscal year ended December 31, 2017, filed with the SEC on March 16, 2018, and in our quarterly report on Form 10-Q for the fiscal quarter ended March 31, 2018, filed with the SEC on May 10, 2018, which could materially affect our business, financial condition and/or operating results. Although the risks described in our annual report on Form 10-K for the fiscal year ended December 31, 2017 and in our quarterly report on Form 10-Q for the quarter ended March 31, 2018 represent the principal risks associated with an investment in us, they are not the only risks we face. Additional risks and uncertainties not currently known to us, or that we currently deem to be immaterial, might materially and adversely affect our business, financial condition and/or operating results. During the three months ended September 30, 2018, there have been no material changes to the risk factors discussed in "Item 1A. Risk Factors" of Part I of our annual report on Form 10-K for the fiscal year ended December 31, 2017 and in “Item 1A Risk Factors” of Part II of our quarterly report on Form 10-Q for the quarter ended March 31,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2" w:right="239" w:bottom="1440" w:gutter="0" w:footer="0" w:header="0"/>
        </w:sectPr>
      </w:pPr>
    </w:p>
    <w:bookmarkStart w:id="71" w:name="page72"/>
    <w:bookmarkEnd w:id="71"/>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Unregistered Equity Securities</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We did not sell any equity securities during the period covered in this report that were not registered under the Securities Act of 1933, as amended.</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r>
        <w:rPr>
          <w:rFonts w:ascii="Arial" w:cs="Arial" w:eastAsia="Arial" w:hAnsi="Arial"/>
          <w:sz w:val="25"/>
          <w:szCs w:val="25"/>
          <w:b w:val="1"/>
          <w:bCs w:val="1"/>
          <w:color w:val="auto"/>
          <w:vertAlign w:val="superscript"/>
        </w:rPr>
        <w:t>(1)</w:t>
      </w:r>
    </w:p>
    <w:p>
      <w:pPr>
        <w:spacing w:after="0" w:line="14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Information relating to the Company’s purchases of its common stock during the nine months ended September 30, 2018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 Number</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center"/>
              <w:ind w:right="38"/>
              <w:spacing w:after="0"/>
              <w:rPr>
                <w:sz w:val="20"/>
                <w:szCs w:val="20"/>
                <w:color w:val="auto"/>
              </w:rPr>
            </w:pPr>
            <w:r>
              <w:rPr>
                <w:rFonts w:ascii="Arial" w:cs="Arial" w:eastAsia="Arial" w:hAnsi="Arial"/>
                <w:sz w:val="14"/>
                <w:szCs w:val="14"/>
                <w:b w:val="1"/>
                <w:bCs w:val="1"/>
                <w:color w:val="auto"/>
                <w:w w:val="93"/>
              </w:rPr>
              <w:t>Approximate</w:t>
            </w: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3"/>
              </w:rPr>
              <w:t>Dollar Value of</w:t>
            </w: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 Shares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3"/>
              </w:rPr>
              <w:t>Shares that May</w:t>
            </w: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0"/>
              </w:rPr>
              <w:t>Average</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Purchased as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0"/>
              </w:rPr>
              <w:t>Yet Be Purchased</w:t>
            </w: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Number of</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Part of Publicly</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2"/>
              </w:rPr>
              <w:t>Under the Share</w:t>
            </w:r>
          </w:p>
        </w:tc>
        <w:tc>
          <w:tcPr>
            <w:tcW w:w="0" w:type="dxa"/>
            <w:vAlign w:val="bottom"/>
          </w:tcPr>
          <w:p>
            <w:pPr>
              <w:spacing w:after="0"/>
              <w:rPr>
                <w:sz w:val="1"/>
                <w:szCs w:val="1"/>
                <w:color w:val="auto"/>
              </w:rPr>
            </w:pPr>
          </w:p>
        </w:tc>
      </w:tr>
      <w:tr>
        <w:trPr>
          <w:trHeight w:val="149"/>
        </w:trPr>
        <w:tc>
          <w:tcPr>
            <w:tcW w:w="55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Price Paid</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Announced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89"/>
              </w:rPr>
              <w:t>Repurchase</w:t>
            </w:r>
          </w:p>
        </w:tc>
        <w:tc>
          <w:tcPr>
            <w:tcW w:w="0" w:type="dxa"/>
            <w:vAlign w:val="bottom"/>
          </w:tcPr>
          <w:p>
            <w:pPr>
              <w:spacing w:after="0"/>
              <w:rPr>
                <w:sz w:val="1"/>
                <w:szCs w:val="1"/>
                <w:color w:val="auto"/>
              </w:rPr>
            </w:pPr>
          </w:p>
        </w:tc>
      </w:tr>
      <w:tr>
        <w:trPr>
          <w:trHeight w:val="192"/>
        </w:trPr>
        <w:tc>
          <w:tcPr>
            <w:tcW w:w="55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Purchased</w:t>
            </w:r>
            <w:r>
              <w:rPr>
                <w:rFonts w:ascii="Arial" w:cs="Arial" w:eastAsia="Arial" w:hAnsi="Arial"/>
                <w:sz w:val="8"/>
                <w:szCs w:val="8"/>
                <w:b w:val="1"/>
                <w:bCs w:val="1"/>
                <w:color w:val="auto"/>
                <w:w w:val="93"/>
              </w:rPr>
              <w:t>(2)</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w w:val="91"/>
              </w:rPr>
              <w:t>Per Share</w:t>
            </w:r>
          </w:p>
        </w:tc>
        <w:tc>
          <w:tcPr>
            <w:tcW w:w="1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Plans or Programs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4"/>
              </w:rPr>
              <w:t>Program</w:t>
            </w:r>
            <w:r>
              <w:rPr>
                <w:rFonts w:ascii="Arial" w:cs="Arial" w:eastAsia="Arial" w:hAnsi="Arial"/>
                <w:sz w:val="8"/>
                <w:szCs w:val="8"/>
                <w:b w:val="1"/>
                <w:bCs w:val="1"/>
                <w:color w:val="auto"/>
                <w:w w:val="94"/>
              </w:rPr>
              <w:t>(4)</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January 1 through January 31, 2018</w:t>
            </w:r>
          </w:p>
        </w:tc>
        <w:tc>
          <w:tcPr>
            <w:tcW w:w="13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5,066,123</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February 1 through February 28, 2018</w:t>
            </w:r>
          </w:p>
        </w:tc>
        <w:tc>
          <w:tcPr>
            <w:tcW w:w="1380" w:type="dxa"/>
            <w:vAlign w:val="bottom"/>
          </w:tcPr>
          <w:p>
            <w:pPr>
              <w:jc w:val="right"/>
              <w:ind w:right="55"/>
              <w:spacing w:after="0"/>
              <w:rPr>
                <w:sz w:val="20"/>
                <w:szCs w:val="20"/>
                <w:color w:val="auto"/>
              </w:rPr>
            </w:pPr>
            <w:r>
              <w:rPr>
                <w:rFonts w:ascii="Arial" w:cs="Arial" w:eastAsia="Arial" w:hAnsi="Arial"/>
                <w:sz w:val="18"/>
                <w:szCs w:val="18"/>
                <w:color w:val="auto"/>
              </w:rPr>
              <w:t>179,807</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6.90</w:t>
            </w:r>
          </w:p>
        </w:tc>
        <w:tc>
          <w:tcPr>
            <w:tcW w:w="120" w:type="dxa"/>
            <w:vAlign w:val="bottom"/>
          </w:tcPr>
          <w:p>
            <w:pPr>
              <w:spacing w:after="0"/>
              <w:rPr>
                <w:sz w:val="21"/>
                <w:szCs w:val="21"/>
                <w:color w:val="auto"/>
              </w:rPr>
            </w:pPr>
          </w:p>
        </w:tc>
        <w:tc>
          <w:tcPr>
            <w:tcW w:w="1340" w:type="dxa"/>
            <w:vAlign w:val="bottom"/>
          </w:tcPr>
          <w:p>
            <w:pPr>
              <w:jc w:val="right"/>
              <w:ind w:right="17"/>
              <w:spacing w:after="0"/>
              <w:rPr>
                <w:sz w:val="20"/>
                <w:szCs w:val="20"/>
                <w:color w:val="auto"/>
              </w:rPr>
            </w:pPr>
            <w:r>
              <w:rPr>
                <w:rFonts w:ascii="Arial" w:cs="Arial" w:eastAsia="Arial" w:hAnsi="Arial"/>
                <w:sz w:val="18"/>
                <w:szCs w:val="18"/>
                <w:color w:val="auto"/>
              </w:rPr>
              <w:t>179,807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8"/>
              <w:spacing w:after="0"/>
              <w:rPr>
                <w:sz w:val="20"/>
                <w:szCs w:val="20"/>
                <w:color w:val="auto"/>
              </w:rPr>
            </w:pPr>
            <w:r>
              <w:rPr>
                <w:rFonts w:ascii="Arial" w:cs="Arial" w:eastAsia="Arial" w:hAnsi="Arial"/>
                <w:sz w:val="18"/>
                <w:szCs w:val="18"/>
                <w:color w:val="auto"/>
              </w:rPr>
              <w:t>3,825,455</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March 1 through March 31, 2018</w:t>
            </w:r>
          </w:p>
        </w:tc>
        <w:tc>
          <w:tcPr>
            <w:tcW w:w="13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3,825,455</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April 1 through April 30, 2018</w:t>
            </w:r>
          </w:p>
        </w:tc>
        <w:tc>
          <w:tcPr>
            <w:tcW w:w="138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8"/>
              <w:spacing w:after="0"/>
              <w:rPr>
                <w:sz w:val="20"/>
                <w:szCs w:val="20"/>
                <w:color w:val="auto"/>
              </w:rPr>
            </w:pPr>
            <w:r>
              <w:rPr>
                <w:rFonts w:ascii="Arial" w:cs="Arial" w:eastAsia="Arial" w:hAnsi="Arial"/>
                <w:sz w:val="18"/>
                <w:szCs w:val="18"/>
                <w:color w:val="auto"/>
              </w:rPr>
              <w:t>3,825,455</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May 1 through May 31, 2018</w:t>
            </w:r>
          </w:p>
        </w:tc>
        <w:tc>
          <w:tcPr>
            <w:tcW w:w="13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105,047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6.94</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90,047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8,200,529</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June 1 through June 30, 2018</w:t>
            </w:r>
          </w:p>
        </w:tc>
        <w:tc>
          <w:tcPr>
            <w:tcW w:w="1380" w:type="dxa"/>
            <w:vAlign w:val="bottom"/>
          </w:tcPr>
          <w:p>
            <w:pPr>
              <w:jc w:val="right"/>
              <w:ind w:right="55"/>
              <w:spacing w:after="0"/>
              <w:rPr>
                <w:sz w:val="20"/>
                <w:szCs w:val="20"/>
                <w:color w:val="auto"/>
              </w:rPr>
            </w:pPr>
            <w:r>
              <w:rPr>
                <w:rFonts w:ascii="Arial" w:cs="Arial" w:eastAsia="Arial" w:hAnsi="Arial"/>
                <w:sz w:val="18"/>
                <w:szCs w:val="18"/>
                <w:color w:val="auto"/>
              </w:rPr>
              <w:t>227,006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6.84</w:t>
            </w:r>
          </w:p>
        </w:tc>
        <w:tc>
          <w:tcPr>
            <w:tcW w:w="120" w:type="dxa"/>
            <w:vAlign w:val="bottom"/>
          </w:tcPr>
          <w:p>
            <w:pPr>
              <w:spacing w:after="0"/>
              <w:rPr>
                <w:sz w:val="21"/>
                <w:szCs w:val="21"/>
                <w:color w:val="auto"/>
              </w:rPr>
            </w:pPr>
          </w:p>
        </w:tc>
        <w:tc>
          <w:tcPr>
            <w:tcW w:w="1340" w:type="dxa"/>
            <w:vAlign w:val="bottom"/>
          </w:tcPr>
          <w:p>
            <w:pPr>
              <w:jc w:val="right"/>
              <w:ind w:right="17"/>
              <w:spacing w:after="0"/>
              <w:rPr>
                <w:sz w:val="20"/>
                <w:szCs w:val="20"/>
                <w:color w:val="auto"/>
              </w:rPr>
            </w:pPr>
            <w:r>
              <w:rPr>
                <w:rFonts w:ascii="Arial" w:cs="Arial" w:eastAsia="Arial" w:hAnsi="Arial"/>
                <w:sz w:val="18"/>
                <w:szCs w:val="18"/>
                <w:color w:val="auto"/>
              </w:rPr>
              <w:t>225,578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8"/>
              <w:spacing w:after="0"/>
              <w:rPr>
                <w:sz w:val="20"/>
                <w:szCs w:val="20"/>
                <w:color w:val="auto"/>
              </w:rPr>
            </w:pPr>
            <w:r>
              <w:rPr>
                <w:rFonts w:ascii="Arial" w:cs="Arial" w:eastAsia="Arial" w:hAnsi="Arial"/>
                <w:sz w:val="18"/>
                <w:szCs w:val="18"/>
                <w:color w:val="auto"/>
              </w:rPr>
              <w:t>6,655,571</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July 1 through July 31, 2018</w:t>
            </w:r>
          </w:p>
        </w:tc>
        <w:tc>
          <w:tcPr>
            <w:tcW w:w="13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195,402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7.01</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195,402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5,285,086</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August 1 through August 31, 2018</w:t>
            </w:r>
          </w:p>
        </w:tc>
        <w:tc>
          <w:tcPr>
            <w:tcW w:w="1380" w:type="dxa"/>
            <w:vAlign w:val="bottom"/>
          </w:tcPr>
          <w:p>
            <w:pPr>
              <w:jc w:val="right"/>
              <w:ind w:right="55"/>
              <w:spacing w:after="0"/>
              <w:rPr>
                <w:sz w:val="20"/>
                <w:szCs w:val="20"/>
                <w:color w:val="auto"/>
              </w:rPr>
            </w:pPr>
            <w:r>
              <w:rPr>
                <w:rFonts w:ascii="Arial" w:cs="Arial" w:eastAsia="Arial" w:hAnsi="Arial"/>
                <w:sz w:val="18"/>
                <w:szCs w:val="18"/>
                <w:color w:val="auto"/>
              </w:rPr>
              <w:t>192,718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7.17</w:t>
            </w:r>
          </w:p>
        </w:tc>
        <w:tc>
          <w:tcPr>
            <w:tcW w:w="120" w:type="dxa"/>
            <w:vAlign w:val="bottom"/>
          </w:tcPr>
          <w:p>
            <w:pPr>
              <w:spacing w:after="0"/>
              <w:rPr>
                <w:sz w:val="21"/>
                <w:szCs w:val="21"/>
                <w:color w:val="auto"/>
              </w:rPr>
            </w:pPr>
          </w:p>
        </w:tc>
        <w:tc>
          <w:tcPr>
            <w:tcW w:w="1340" w:type="dxa"/>
            <w:vAlign w:val="bottom"/>
          </w:tcPr>
          <w:p>
            <w:pPr>
              <w:jc w:val="right"/>
              <w:ind w:right="17"/>
              <w:spacing w:after="0"/>
              <w:rPr>
                <w:sz w:val="20"/>
                <w:szCs w:val="20"/>
                <w:color w:val="auto"/>
              </w:rPr>
            </w:pPr>
            <w:r>
              <w:rPr>
                <w:rFonts w:ascii="Arial" w:cs="Arial" w:eastAsia="Arial" w:hAnsi="Arial"/>
                <w:sz w:val="18"/>
                <w:szCs w:val="18"/>
                <w:color w:val="auto"/>
              </w:rPr>
              <w:t>192,718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8"/>
              <w:spacing w:after="0"/>
              <w:rPr>
                <w:sz w:val="20"/>
                <w:szCs w:val="20"/>
                <w:color w:val="auto"/>
              </w:rPr>
            </w:pPr>
            <w:r>
              <w:rPr>
                <w:rFonts w:ascii="Arial" w:cs="Arial" w:eastAsia="Arial" w:hAnsi="Arial"/>
                <w:sz w:val="18"/>
                <w:szCs w:val="18"/>
                <w:color w:val="auto"/>
              </w:rPr>
              <w:t>3,900,423</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September 1 through September 30, 2018</w:t>
            </w:r>
            <w:r>
              <w:rPr>
                <w:rFonts w:ascii="Arial" w:cs="Arial" w:eastAsia="Arial" w:hAnsi="Arial"/>
                <w:sz w:val="25"/>
                <w:szCs w:val="25"/>
                <w:color w:val="auto"/>
                <w:vertAlign w:val="superscript"/>
              </w:rPr>
              <w:t>(3)</w:t>
            </w:r>
          </w:p>
        </w:tc>
        <w:tc>
          <w:tcPr>
            <w:tcW w:w="13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187,838</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7.02</w:t>
            </w:r>
          </w:p>
        </w:tc>
        <w:tc>
          <w:tcPr>
            <w:tcW w:w="120" w:type="dxa"/>
            <w:vAlign w:val="bottom"/>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187,838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2,581,513</w:t>
            </w:r>
          </w:p>
        </w:tc>
        <w:tc>
          <w:tcPr>
            <w:tcW w:w="0" w:type="dxa"/>
            <w:vAlign w:val="bottom"/>
          </w:tcPr>
          <w:p>
            <w:pPr>
              <w:spacing w:after="0"/>
              <w:rPr>
                <w:sz w:val="1"/>
                <w:szCs w:val="1"/>
                <w:color w:val="auto"/>
              </w:rPr>
            </w:pPr>
          </w:p>
        </w:tc>
      </w:tr>
      <w:tr>
        <w:trPr>
          <w:trHeight w:val="257"/>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38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1,087,818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1,071,390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500" w:type="dxa"/>
            <w:vAlign w:val="bottom"/>
            <w:vMerge w:val="restart"/>
          </w:tcPr>
          <w:p>
            <w:pPr>
              <w:spacing w:after="0"/>
              <w:rPr>
                <w:sz w:val="20"/>
                <w:szCs w:val="20"/>
                <w:color w:val="auto"/>
              </w:rPr>
            </w:pPr>
            <w:r>
              <w:rPr>
                <w:rFonts w:ascii="Arial" w:cs="Arial" w:eastAsia="Arial" w:hAnsi="Arial"/>
                <w:sz w:val="18"/>
                <w:szCs w:val="18"/>
                <w:color w:val="auto"/>
              </w:rPr>
              <w:t>_______________________</w:t>
            </w: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5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500" w:hanging="492"/>
        <w:spacing w:after="0" w:line="263" w:lineRule="auto"/>
        <w:tabs>
          <w:tab w:leader="none" w:pos="500" w:val="left"/>
        </w:tabs>
        <w:numPr>
          <w:ilvl w:val="0"/>
          <w:numId w:val="46"/>
        </w:numPr>
        <w:rPr>
          <w:rFonts w:ascii="Arial" w:cs="Arial" w:eastAsia="Arial" w:hAnsi="Arial"/>
          <w:sz w:val="15"/>
          <w:szCs w:val="15"/>
          <w:color w:val="auto"/>
        </w:rPr>
      </w:pPr>
      <w:r>
        <w:rPr>
          <w:rFonts w:ascii="Arial" w:cs="Arial" w:eastAsia="Arial" w:hAnsi="Arial"/>
          <w:sz w:val="15"/>
          <w:szCs w:val="15"/>
          <w:color w:val="auto"/>
        </w:rPr>
        <w:t>On August 8, 2017, we announced the $5.0 million discretionary open-market Share Repurchase Program under which our board of directors authorized the repurchase of shares of our common stock in the open market until the earlier of (i) August 6, 2018 or (ii) the repurchase of $5.0 million in aggregate amount of our common stock. On November 7, 2017, our board of directors authorized an extension of, and an increase in the amount of shares of our common stock that may be repurchased under, the discretionary Share Repurchase Program until the earlier of (i) November 6, 2018 or (ii) the repurchase of $10.0 million in aggregate amount of our common stock. On May 3, 2018, the Company’s board of directors authorized an additional $5.0 million increase in the amount of shares of our common stock that may be repurchased under the discretionary Share Repurchase Program until the earlier of (i) November 6, 2018 or (ii) the repurchase of $15.0 million in aggregate amount of our common stock. The timing and number of shares to be repurchased will depend on a number of factors, including market conditions and alternative investment opportunities. The Share Repurchase Program may be suspended, terminated or modified at any time for any reason and does not obligate us to acquire any specific number of shares of our common stock. During the three months ended September 30, 2018, we repurchased 575,958 shares of our common stock for approximately $4.1 million under the Share Repurchase Program.</w:t>
      </w:r>
    </w:p>
    <w:p>
      <w:pPr>
        <w:spacing w:after="0" w:line="4" w:lineRule="exact"/>
        <w:rPr>
          <w:rFonts w:ascii="Arial" w:cs="Arial" w:eastAsia="Arial" w:hAnsi="Arial"/>
          <w:sz w:val="15"/>
          <w:szCs w:val="15"/>
          <w:color w:val="auto"/>
        </w:rPr>
      </w:pPr>
    </w:p>
    <w:p>
      <w:pPr>
        <w:ind w:left="500" w:right="160" w:hanging="492"/>
        <w:spacing w:after="0" w:line="246" w:lineRule="auto"/>
        <w:tabs>
          <w:tab w:leader="none" w:pos="5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Includes purchases of our common stock made on the open market by or on behalf of any “affiliated purchaser,” as defined in Exchange Act Rule 10b-18(a)(3), of the Company.</w:t>
      </w:r>
    </w:p>
    <w:p>
      <w:pPr>
        <w:ind w:left="500" w:right="180" w:hanging="492"/>
        <w:spacing w:after="0" w:line="246" w:lineRule="auto"/>
        <w:tabs>
          <w:tab w:leader="none" w:pos="5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Subsequent to period-end, through November 7, 2018, we repurchased 259,954 additional shares of our common stock pursuant to the Share Repurchase Program for an aggregate purchase price of $1.8 million.</w:t>
      </w:r>
    </w:p>
    <w:p>
      <w:pPr>
        <w:ind w:left="500" w:right="100" w:hanging="492"/>
        <w:spacing w:after="0" w:line="249" w:lineRule="auto"/>
        <w:tabs>
          <w:tab w:leader="none" w:pos="5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On November 1, 2018, the Company’s board of directors authorized a $5.0 million increase in the amount of shares of the Company’s common stock that may be repurchased under the discretionary Share Repurchase Program until the earlier of (i) October 31, 2019 or (ii) the repurchase of $20.0 million in aggregate amount of the Company’s common stock. This additional $5.0 million allocation is not included in the approximate dollar value of shares that may yet be purchased under the Share Repurchase Program as of September 30, 2018. As of November 7, 2018, the dollar value of shares that may yet be purchased by us under the Share Repurchase Program is approximately $5.8 million.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22" w:right="239" w:bottom="1440" w:gutter="0" w:footer="0" w:header="0"/>
        </w:sectPr>
      </w:pPr>
    </w:p>
    <w:bookmarkStart w:id="72" w:name="page73"/>
    <w:bookmarkEnd w:id="72"/>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4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3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3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310" w:lineRule="exact"/>
        <w:rPr>
          <w:sz w:val="20"/>
          <w:szCs w:val="20"/>
          <w:color w:val="auto"/>
        </w:rPr>
      </w:pPr>
    </w:p>
    <w:p>
      <w:pPr>
        <w:jc w:val="center"/>
        <w:ind w:right="8700"/>
        <w:spacing w:after="0"/>
        <w:rPr>
          <w:sz w:val="20"/>
          <w:szCs w:val="20"/>
          <w:color w:val="auto"/>
        </w:rPr>
      </w:pPr>
      <w:r>
        <w:rPr>
          <w:rFonts w:ascii="Arial" w:cs="Arial" w:eastAsia="Arial" w:hAnsi="Arial"/>
          <w:sz w:val="18"/>
          <w:szCs w:val="18"/>
          <w:color w:val="auto"/>
        </w:rPr>
        <w:t>Not applicable.</w:t>
      </w:r>
    </w:p>
    <w:p>
      <w:pPr>
        <w:spacing w:after="0" w:line="23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exhibits are filed as part of this report or hereby incorporated by reference to exhibits previously filed with the SEC:</w:t>
      </w:r>
    </w:p>
    <w:p>
      <w:pPr>
        <w:spacing w:after="0" w:line="171" w:lineRule="exact"/>
        <w:rPr>
          <w:sz w:val="20"/>
          <w:szCs w:val="20"/>
          <w:color w:val="auto"/>
        </w:rPr>
      </w:pPr>
    </w:p>
    <w:p>
      <w:pPr>
        <w:ind w:left="240"/>
        <w:spacing w:after="0"/>
        <w:tabs>
          <w:tab w:leader="none" w:pos="700" w:val="left"/>
        </w:tabs>
        <w:rPr>
          <w:rFonts w:ascii="Arial" w:cs="Arial" w:eastAsia="Arial" w:hAnsi="Arial"/>
          <w:sz w:val="16"/>
          <w:szCs w:val="16"/>
          <w:u w:val="single" w:color="auto"/>
          <w:color w:val="0000FF"/>
        </w:rPr>
      </w:pPr>
      <w:r>
        <w:rPr>
          <w:rFonts w:ascii="Arial" w:cs="Arial" w:eastAsia="Arial" w:hAnsi="Arial"/>
          <w:sz w:val="18"/>
          <w:szCs w:val="18"/>
          <w:color w:val="auto"/>
        </w:rPr>
        <w:t>3.1</w:t>
      </w:r>
      <w:r>
        <w:rPr>
          <w:sz w:val="20"/>
          <w:szCs w:val="20"/>
          <w:color w:val="auto"/>
        </w:rPr>
        <w:tab/>
      </w:r>
      <w:hyperlink r:id="rId101">
        <w:r>
          <w:rPr>
            <w:rFonts w:ascii="Arial" w:cs="Arial" w:eastAsia="Arial" w:hAnsi="Arial"/>
            <w:sz w:val="16"/>
            <w:szCs w:val="16"/>
            <w:u w:val="single" w:color="auto"/>
            <w:color w:val="0000FF"/>
          </w:rPr>
          <w:t>Articles of Amendment and Restatement</w:t>
        </w:r>
      </w:hyperlink>
      <w:r>
        <w:rPr>
          <w:rFonts w:ascii="Arial" w:cs="Arial" w:eastAsia="Arial" w:hAnsi="Arial"/>
          <w:sz w:val="22"/>
          <w:szCs w:val="22"/>
          <w:color w:val="000000"/>
          <w:vertAlign w:val="superscript"/>
        </w:rPr>
        <w:t>(1)</w:t>
      </w:r>
    </w:p>
    <w:p>
      <w:pPr>
        <w:spacing w:after="0" w:line="27" w:lineRule="exact"/>
        <w:rPr>
          <w:sz w:val="20"/>
          <w:szCs w:val="20"/>
          <w:color w:val="auto"/>
        </w:rPr>
      </w:pPr>
    </w:p>
    <w:p>
      <w:pPr>
        <w:ind w:left="240"/>
        <w:spacing w:after="0"/>
        <w:tabs>
          <w:tab w:leader="none" w:pos="700" w:val="left"/>
        </w:tabs>
        <w:rPr>
          <w:rFonts w:ascii="Arial" w:cs="Arial" w:eastAsia="Arial" w:hAnsi="Arial"/>
          <w:sz w:val="16"/>
          <w:szCs w:val="16"/>
          <w:u w:val="single" w:color="auto"/>
          <w:color w:val="0000FF"/>
        </w:rPr>
      </w:pPr>
      <w:r>
        <w:rPr>
          <w:rFonts w:ascii="Arial" w:cs="Arial" w:eastAsia="Arial" w:hAnsi="Arial"/>
          <w:sz w:val="18"/>
          <w:szCs w:val="18"/>
          <w:color w:val="auto"/>
        </w:rPr>
        <w:t>3.2</w:t>
      </w:r>
      <w:r>
        <w:rPr>
          <w:sz w:val="20"/>
          <w:szCs w:val="20"/>
          <w:color w:val="auto"/>
        </w:rPr>
        <w:tab/>
      </w:r>
      <w:hyperlink r:id="rId102">
        <w:r>
          <w:rPr>
            <w:rFonts w:ascii="Arial" w:cs="Arial" w:eastAsia="Arial" w:hAnsi="Arial"/>
            <w:sz w:val="16"/>
            <w:szCs w:val="16"/>
            <w:u w:val="single" w:color="auto"/>
            <w:color w:val="0000FF"/>
          </w:rPr>
          <w:t>Articles of Amendment</w:t>
        </w:r>
      </w:hyperlink>
      <w:r>
        <w:rPr>
          <w:rFonts w:ascii="Arial" w:cs="Arial" w:eastAsia="Arial" w:hAnsi="Arial"/>
          <w:sz w:val="22"/>
          <w:szCs w:val="22"/>
          <w:color w:val="000000"/>
          <w:vertAlign w:val="superscript"/>
        </w:rPr>
        <w:t>(2)</w:t>
      </w:r>
    </w:p>
    <w:p>
      <w:pPr>
        <w:spacing w:after="0" w:line="17" w:lineRule="exact"/>
        <w:rPr>
          <w:sz w:val="20"/>
          <w:szCs w:val="20"/>
          <w:color w:val="auto"/>
        </w:rPr>
      </w:pPr>
    </w:p>
    <w:p>
      <w:pPr>
        <w:ind w:left="240"/>
        <w:spacing w:after="0"/>
        <w:tabs>
          <w:tab w:leader="none" w:pos="700" w:val="left"/>
        </w:tabs>
        <w:rPr>
          <w:rFonts w:ascii="Arial" w:cs="Arial" w:eastAsia="Arial" w:hAnsi="Arial"/>
          <w:sz w:val="16"/>
          <w:szCs w:val="16"/>
          <w:u w:val="single" w:color="auto"/>
          <w:color w:val="0000FF"/>
        </w:rPr>
      </w:pPr>
      <w:r>
        <w:rPr>
          <w:rFonts w:ascii="Arial" w:cs="Arial" w:eastAsia="Arial" w:hAnsi="Arial"/>
          <w:sz w:val="18"/>
          <w:szCs w:val="18"/>
          <w:color w:val="auto"/>
        </w:rPr>
        <w:t>3.3</w:t>
      </w:r>
      <w:r>
        <w:rPr>
          <w:sz w:val="20"/>
          <w:szCs w:val="20"/>
          <w:color w:val="auto"/>
        </w:rPr>
        <w:tab/>
      </w:r>
      <w:hyperlink r:id="rId103">
        <w:r>
          <w:rPr>
            <w:rFonts w:ascii="Arial" w:cs="Arial" w:eastAsia="Arial" w:hAnsi="Arial"/>
            <w:sz w:val="16"/>
            <w:szCs w:val="16"/>
            <w:u w:val="single" w:color="auto"/>
            <w:color w:val="0000FF"/>
          </w:rPr>
          <w:t>Bylaws</w:t>
        </w:r>
      </w:hyperlink>
      <w:r>
        <w:rPr>
          <w:rFonts w:ascii="Arial" w:cs="Arial" w:eastAsia="Arial" w:hAnsi="Arial"/>
          <w:sz w:val="22"/>
          <w:szCs w:val="22"/>
          <w:color w:val="000000"/>
          <w:vertAlign w:val="superscript"/>
        </w:rPr>
        <w:t>(1)</w:t>
      </w:r>
    </w:p>
    <w:p>
      <w:pPr>
        <w:spacing w:after="0" w:line="23" w:lineRule="exact"/>
        <w:rPr>
          <w:sz w:val="20"/>
          <w:szCs w:val="20"/>
          <w:color w:val="auto"/>
        </w:rPr>
      </w:pPr>
    </w:p>
    <w:p>
      <w:pPr>
        <w:ind w:left="200"/>
        <w:spacing w:after="0"/>
        <w:tabs>
          <w:tab w:leader="none" w:pos="700" w:val="left"/>
        </w:tabs>
        <w:rPr>
          <w:rFonts w:ascii="Arial" w:cs="Arial" w:eastAsia="Arial" w:hAnsi="Arial"/>
          <w:sz w:val="16"/>
          <w:szCs w:val="16"/>
          <w:u w:val="single" w:color="auto"/>
          <w:color w:val="0000EE"/>
        </w:rPr>
      </w:pPr>
      <w:r>
        <w:rPr>
          <w:rFonts w:ascii="Arial" w:cs="Arial" w:eastAsia="Arial" w:hAnsi="Arial"/>
          <w:sz w:val="18"/>
          <w:szCs w:val="18"/>
          <w:color w:val="auto"/>
        </w:rPr>
        <w:t>11.1</w:t>
      </w:r>
      <w:r>
        <w:rPr>
          <w:sz w:val="20"/>
          <w:szCs w:val="20"/>
          <w:color w:val="auto"/>
        </w:rPr>
        <w:tab/>
      </w:r>
      <w:hyperlink w:anchor="page49">
        <w:r>
          <w:rPr>
            <w:rFonts w:ascii="Arial" w:cs="Arial" w:eastAsia="Arial" w:hAnsi="Arial"/>
            <w:sz w:val="16"/>
            <w:szCs w:val="16"/>
            <w:u w:val="single" w:color="auto"/>
            <w:color w:val="0000EE"/>
          </w:rPr>
          <w:t>Statement re Computation of Per Share Earnings (Included in the notes to the consolidated financial statements contained in this report)*</w:t>
        </w:r>
      </w:hyperlink>
    </w:p>
    <w:p>
      <w:pPr>
        <w:spacing w:after="0" w:line="47" w:lineRule="exact"/>
        <w:rPr>
          <w:sz w:val="20"/>
          <w:szCs w:val="20"/>
          <w:color w:val="auto"/>
        </w:rPr>
      </w:pPr>
    </w:p>
    <w:p>
      <w:pPr>
        <w:ind w:left="200"/>
        <w:spacing w:after="0"/>
        <w:tabs>
          <w:tab w:leader="none" w:pos="700" w:val="left"/>
        </w:tabs>
        <w:rPr>
          <w:rFonts w:ascii="Arial" w:cs="Arial" w:eastAsia="Arial" w:hAnsi="Arial"/>
          <w:sz w:val="16"/>
          <w:szCs w:val="16"/>
          <w:u w:val="single" w:color="auto"/>
          <w:color w:val="0000FF"/>
        </w:rPr>
      </w:pPr>
      <w:r>
        <w:rPr>
          <w:rFonts w:ascii="Arial" w:cs="Arial" w:eastAsia="Arial" w:hAnsi="Arial"/>
          <w:sz w:val="18"/>
          <w:szCs w:val="18"/>
          <w:color w:val="auto"/>
        </w:rPr>
        <w:t>31.1</w:t>
      </w:r>
      <w:r>
        <w:rPr>
          <w:sz w:val="20"/>
          <w:szCs w:val="20"/>
          <w:color w:val="auto"/>
        </w:rPr>
        <w:tab/>
      </w:r>
      <w:hyperlink w:anchor="page75">
        <w:r>
          <w:rPr>
            <w:rFonts w:ascii="Arial" w:cs="Arial" w:eastAsia="Arial" w:hAnsi="Arial"/>
            <w:sz w:val="16"/>
            <w:szCs w:val="16"/>
            <w:u w:val="single" w:color="auto"/>
            <w:color w:val="0000FF"/>
          </w:rPr>
          <w:t>Certification of Chief Executive Officer pursuant to Rule 13a-14 of the Securities Exchange Act of 1934, as amended*</w:t>
        </w:r>
      </w:hyperlink>
    </w:p>
    <w:p>
      <w:pPr>
        <w:spacing w:after="0" w:line="63" w:lineRule="exact"/>
        <w:rPr>
          <w:sz w:val="20"/>
          <w:szCs w:val="20"/>
          <w:color w:val="auto"/>
        </w:rPr>
      </w:pPr>
    </w:p>
    <w:p>
      <w:pPr>
        <w:ind w:left="200"/>
        <w:spacing w:after="0"/>
        <w:tabs>
          <w:tab w:leader="none" w:pos="700" w:val="left"/>
        </w:tabs>
        <w:rPr>
          <w:rFonts w:ascii="Arial" w:cs="Arial" w:eastAsia="Arial" w:hAnsi="Arial"/>
          <w:sz w:val="16"/>
          <w:szCs w:val="16"/>
          <w:u w:val="single" w:color="auto"/>
          <w:color w:val="0000FF"/>
        </w:rPr>
      </w:pPr>
      <w:r>
        <w:rPr>
          <w:rFonts w:ascii="Arial" w:cs="Arial" w:eastAsia="Arial" w:hAnsi="Arial"/>
          <w:sz w:val="18"/>
          <w:szCs w:val="18"/>
          <w:color w:val="auto"/>
        </w:rPr>
        <w:t>31.2</w:t>
      </w:r>
      <w:r>
        <w:rPr>
          <w:sz w:val="20"/>
          <w:szCs w:val="20"/>
          <w:color w:val="auto"/>
        </w:rPr>
        <w:tab/>
      </w:r>
      <w:hyperlink w:anchor="page76">
        <w:r>
          <w:rPr>
            <w:rFonts w:ascii="Arial" w:cs="Arial" w:eastAsia="Arial" w:hAnsi="Arial"/>
            <w:sz w:val="16"/>
            <w:szCs w:val="16"/>
            <w:u w:val="single" w:color="auto"/>
            <w:color w:val="0000FF"/>
          </w:rPr>
          <w:t>Certification of Principal Financial Officer pursuant to Rule 13a-14 of the Securities Exchange Act of 1934, as amended*</w:t>
        </w:r>
      </w:hyperlink>
    </w:p>
    <w:p>
      <w:pPr>
        <w:spacing w:after="0" w:line="63" w:lineRule="exact"/>
        <w:rPr>
          <w:sz w:val="20"/>
          <w:szCs w:val="20"/>
          <w:color w:val="auto"/>
        </w:rPr>
      </w:pPr>
    </w:p>
    <w:p>
      <w:pPr>
        <w:ind w:left="200"/>
        <w:spacing w:after="0"/>
        <w:tabs>
          <w:tab w:leader="none" w:pos="700" w:val="left"/>
        </w:tabs>
        <w:rPr>
          <w:rFonts w:ascii="Arial" w:cs="Arial" w:eastAsia="Arial" w:hAnsi="Arial"/>
          <w:sz w:val="16"/>
          <w:szCs w:val="16"/>
          <w:u w:val="single" w:color="auto"/>
          <w:color w:val="0000FF"/>
        </w:rPr>
      </w:pPr>
      <w:r>
        <w:rPr>
          <w:rFonts w:ascii="Arial" w:cs="Arial" w:eastAsia="Arial" w:hAnsi="Arial"/>
          <w:sz w:val="18"/>
          <w:szCs w:val="18"/>
          <w:color w:val="auto"/>
        </w:rPr>
        <w:t>32.1</w:t>
      </w:r>
      <w:r>
        <w:rPr>
          <w:sz w:val="20"/>
          <w:szCs w:val="20"/>
          <w:color w:val="auto"/>
        </w:rPr>
        <w:tab/>
      </w:r>
      <w:hyperlink w:anchor="page77">
        <w:r>
          <w:rPr>
            <w:rFonts w:ascii="Arial" w:cs="Arial" w:eastAsia="Arial" w:hAnsi="Arial"/>
            <w:sz w:val="16"/>
            <w:szCs w:val="16"/>
            <w:u w:val="single" w:color="auto"/>
            <w:color w:val="0000FF"/>
          </w:rPr>
          <w:t>Certification of Chief Executive Officer pursuant to Section 906 of the Sarbanes-Oxley Act of 2002*</w:t>
        </w:r>
      </w:hyperlink>
    </w:p>
    <w:p>
      <w:pPr>
        <w:spacing w:after="0" w:line="63" w:lineRule="exact"/>
        <w:rPr>
          <w:sz w:val="20"/>
          <w:szCs w:val="20"/>
          <w:color w:val="auto"/>
        </w:rPr>
      </w:pPr>
    </w:p>
    <w:p>
      <w:pPr>
        <w:ind w:left="200"/>
        <w:spacing w:after="0"/>
        <w:tabs>
          <w:tab w:leader="none" w:pos="700" w:val="left"/>
        </w:tabs>
        <w:rPr>
          <w:rFonts w:ascii="Arial" w:cs="Arial" w:eastAsia="Arial" w:hAnsi="Arial"/>
          <w:sz w:val="16"/>
          <w:szCs w:val="16"/>
          <w:u w:val="single" w:color="auto"/>
          <w:color w:val="0000FF"/>
        </w:rPr>
      </w:pPr>
      <w:r>
        <w:rPr>
          <w:rFonts w:ascii="Arial" w:cs="Arial" w:eastAsia="Arial" w:hAnsi="Arial"/>
          <w:sz w:val="18"/>
          <w:szCs w:val="18"/>
          <w:color w:val="auto"/>
        </w:rPr>
        <w:t>32.2</w:t>
      </w:r>
      <w:r>
        <w:rPr>
          <w:sz w:val="20"/>
          <w:szCs w:val="20"/>
          <w:color w:val="auto"/>
        </w:rPr>
        <w:tab/>
      </w:r>
      <w:hyperlink w:anchor="page78">
        <w:r>
          <w:rPr>
            <w:rFonts w:ascii="Arial" w:cs="Arial" w:eastAsia="Arial" w:hAnsi="Arial"/>
            <w:sz w:val="16"/>
            <w:szCs w:val="16"/>
            <w:u w:val="single" w:color="auto"/>
            <w:color w:val="0000FF"/>
          </w:rPr>
          <w:t>Certification of Principal Financial Officer pursuant to Section 906 of the Sarbanes-Oxley Act of 2002*</w:t>
        </w:r>
      </w:hyperlink>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w:t>
      </w:r>
    </w:p>
    <w:p>
      <w:pPr>
        <w:spacing w:after="0" w:line="27" w:lineRule="exact"/>
        <w:rPr>
          <w:sz w:val="20"/>
          <w:szCs w:val="20"/>
          <w:color w:val="auto"/>
        </w:rPr>
      </w:pPr>
    </w:p>
    <w:p>
      <w:pPr>
        <w:ind w:left="500" w:hanging="492"/>
        <w:spacing w:after="0" w:line="258" w:lineRule="auto"/>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Previously filed in connection with Pre-Effective Amendment No. 2 to the Registrant’s Registration Statement on Form N-2 (File No. 333-171578) filed on March 30, 2011, and incorporated by reference herein.</w:t>
      </w:r>
    </w:p>
    <w:p>
      <w:pPr>
        <w:ind w:left="500" w:right="120" w:hanging="492"/>
        <w:spacing w:after="0" w:line="250" w:lineRule="auto"/>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Previously filed in connection with the Registrant’s Current Report on Form 8-K (File No. 814-00852) filed on June 1, 2011, and incorporated by reference herein.</w:t>
      </w:r>
    </w:p>
    <w:p>
      <w:pPr>
        <w:spacing w:after="0" w:line="1" w:lineRule="exact"/>
        <w:rPr>
          <w:sz w:val="20"/>
          <w:szCs w:val="20"/>
          <w:color w:val="auto"/>
        </w:rPr>
      </w:pPr>
    </w:p>
    <w:p>
      <w:pPr>
        <w:ind w:left="500" w:hanging="492"/>
        <w:spacing w:after="0"/>
        <w:tabs>
          <w:tab w:leader="none" w:pos="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00"/>
          </w:cols>
          <w:pgMar w:left="240" w:top="122" w:right="559" w:bottom="1440" w:gutter="0" w:footer="0" w:header="0"/>
        </w:sectPr>
      </w:pPr>
    </w:p>
    <w:bookmarkStart w:id="73" w:name="page74"/>
    <w:bookmarkEnd w:id="73"/>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44" w:lineRule="exact"/>
        <w:rPr>
          <w:sz w:val="20"/>
          <w:szCs w:val="20"/>
          <w:color w:val="auto"/>
        </w:rPr>
      </w:pPr>
    </w:p>
    <w:p>
      <w:pPr>
        <w:jc w:val="center"/>
        <w:ind w:right="-799"/>
        <w:spacing w:after="0"/>
        <w:rPr>
          <w:sz w:val="20"/>
          <w:szCs w:val="20"/>
          <w:color w:val="auto"/>
        </w:rPr>
      </w:pPr>
      <w:r>
        <w:rPr>
          <w:rFonts w:ascii="Arial" w:cs="Arial" w:eastAsia="Arial" w:hAnsi="Arial"/>
          <w:sz w:val="18"/>
          <w:szCs w:val="18"/>
          <w:b w:val="1"/>
          <w:bCs w:val="1"/>
          <w:color w:val="auto"/>
        </w:rPr>
        <w:t>SIGNATURES</w:t>
      </w:r>
    </w:p>
    <w:p>
      <w:pPr>
        <w:spacing w:after="0" w:line="243" w:lineRule="exact"/>
        <w:rPr>
          <w:sz w:val="20"/>
          <w:szCs w:val="20"/>
          <w:color w:val="auto"/>
        </w:rPr>
      </w:pPr>
    </w:p>
    <w:p>
      <w:pPr>
        <w:ind w:firstLine="35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2" w:lineRule="exact"/>
        <w:rPr>
          <w:sz w:val="20"/>
          <w:szCs w:val="20"/>
          <w:color w:val="auto"/>
        </w:rPr>
      </w:pPr>
    </w:p>
    <w:p>
      <w:pPr>
        <w:ind w:left="7700"/>
        <w:spacing w:after="0"/>
        <w:rPr>
          <w:sz w:val="20"/>
          <w:szCs w:val="20"/>
          <w:color w:val="auto"/>
        </w:rPr>
      </w:pPr>
      <w:r>
        <w:rPr>
          <w:rFonts w:ascii="Arial" w:cs="Arial" w:eastAsia="Arial" w:hAnsi="Arial"/>
          <w:sz w:val="18"/>
          <w:szCs w:val="18"/>
          <w:b w:val="1"/>
          <w:bCs w:val="1"/>
          <w:color w:val="auto"/>
        </w:rPr>
        <w:t>GSV CAPITAL CORP.</w:t>
      </w:r>
    </w:p>
    <w:p>
      <w:pPr>
        <w:spacing w:after="0" w:line="202" w:lineRule="exact"/>
        <w:rPr>
          <w:sz w:val="20"/>
          <w:szCs w:val="20"/>
          <w:color w:val="auto"/>
        </w:rPr>
      </w:pPr>
    </w:p>
    <w:p>
      <w:pPr>
        <w:ind w:left="40"/>
        <w:spacing w:after="0"/>
        <w:tabs>
          <w:tab w:leader="none" w:pos="4500" w:val="left"/>
        </w:tabs>
        <w:rPr>
          <w:sz w:val="20"/>
          <w:szCs w:val="20"/>
          <w:color w:val="auto"/>
        </w:rPr>
      </w:pPr>
      <w:r>
        <w:rPr>
          <w:rFonts w:ascii="Arial" w:cs="Arial" w:eastAsia="Arial" w:hAnsi="Arial"/>
          <w:sz w:val="18"/>
          <w:szCs w:val="18"/>
          <w:color w:val="auto"/>
        </w:rPr>
        <w:t>Date: November 8, 2018</w:t>
      </w:r>
      <w:r>
        <w:rPr>
          <w:sz w:val="20"/>
          <w:szCs w:val="20"/>
          <w:color w:val="auto"/>
        </w:rPr>
        <w:tab/>
      </w:r>
      <w:r>
        <w:rPr>
          <w:rFonts w:ascii="Arial" w:cs="Arial" w:eastAsia="Arial" w:hAnsi="Arial"/>
          <w:sz w:val="17"/>
          <w:szCs w:val="17"/>
          <w:color w:val="auto"/>
        </w:rPr>
        <w:t>By: /s/ Mark D.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40640</wp:posOffset>
            </wp:positionV>
            <wp:extent cx="420243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4">
                      <a:extLst>
                        <a:ext uri="{28A0092B-C50C-407E-A947-70E740481C1C}"/>
                      </a:extLst>
                    </a:blip>
                    <a:srcRect/>
                    <a:stretch>
                      <a:fillRect/>
                    </a:stretch>
                  </pic:blipFill>
                  <pic:spPr bwMode="auto">
                    <a:xfrm>
                      <a:off x="0" y="0"/>
                      <a:ext cx="4202430" cy="8890"/>
                    </a:xfrm>
                    <a:prstGeom prst="rect">
                      <a:avLst/>
                    </a:prstGeom>
                    <a:noFill/>
                  </pic:spPr>
                </pic:pic>
              </a:graphicData>
            </a:graphic>
          </wp:anchor>
        </w:drawing>
      </w:r>
    </w:p>
    <w:p>
      <w:pPr>
        <w:spacing w:after="0" w:line="66"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Mark D. Klein</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(Principal Executive Officer)</w:t>
      </w:r>
    </w:p>
    <w:p>
      <w:pPr>
        <w:spacing w:after="0" w:line="386" w:lineRule="exact"/>
        <w:rPr>
          <w:sz w:val="20"/>
          <w:szCs w:val="20"/>
          <w:color w:val="auto"/>
        </w:rPr>
      </w:pPr>
    </w:p>
    <w:p>
      <w:pPr>
        <w:ind w:left="40"/>
        <w:spacing w:after="0"/>
        <w:tabs>
          <w:tab w:leader="none" w:pos="4500" w:val="left"/>
        </w:tabs>
        <w:rPr>
          <w:sz w:val="20"/>
          <w:szCs w:val="20"/>
          <w:color w:val="auto"/>
        </w:rPr>
      </w:pPr>
      <w:r>
        <w:rPr>
          <w:rFonts w:ascii="Arial" w:cs="Arial" w:eastAsia="Arial" w:hAnsi="Arial"/>
          <w:sz w:val="18"/>
          <w:szCs w:val="18"/>
          <w:color w:val="auto"/>
        </w:rPr>
        <w:t>Date: November 8, 2018</w:t>
      </w:r>
      <w:r>
        <w:rPr>
          <w:sz w:val="20"/>
          <w:szCs w:val="20"/>
          <w:color w:val="auto"/>
        </w:rPr>
        <w:tab/>
      </w:r>
      <w:r>
        <w:rPr>
          <w:rFonts w:ascii="Arial" w:cs="Arial" w:eastAsia="Arial" w:hAnsi="Arial"/>
          <w:sz w:val="16"/>
          <w:szCs w:val="16"/>
          <w:color w:val="auto"/>
        </w:rPr>
        <w:t>By: /s/ Allison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40640</wp:posOffset>
            </wp:positionV>
            <wp:extent cx="420243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5">
                      <a:extLst>
                        <a:ext uri="{28A0092B-C50C-407E-A947-70E740481C1C}"/>
                      </a:extLst>
                    </a:blip>
                    <a:srcRect/>
                    <a:stretch>
                      <a:fillRect/>
                    </a:stretch>
                  </pic:blipFill>
                  <pic:spPr bwMode="auto">
                    <a:xfrm>
                      <a:off x="0" y="0"/>
                      <a:ext cx="4202430" cy="8890"/>
                    </a:xfrm>
                    <a:prstGeom prst="rect">
                      <a:avLst/>
                    </a:prstGeom>
                    <a:noFill/>
                  </pic:spPr>
                </pic:pic>
              </a:graphicData>
            </a:graphic>
          </wp:anchor>
        </w:drawing>
      </w:r>
    </w:p>
    <w:p>
      <w:pPr>
        <w:spacing w:after="0" w:line="66"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Allison Green</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SVP Finance, Controller, Treasurer and Secretary</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0640"/>
          </w:cols>
          <w:pgMar w:left="240" w:top="122" w:right="101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of GSV Capital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under the Exchange Act,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Mark D. Klein, certify that:</w:t>
      </w:r>
    </w:p>
    <w:p>
      <w:pPr>
        <w:spacing w:after="0" w:line="225" w:lineRule="exact"/>
        <w:rPr>
          <w:sz w:val="20"/>
          <w:szCs w:val="20"/>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GSV Capital Corp.;</w:t>
      </w:r>
    </w:p>
    <w:p>
      <w:pPr>
        <w:spacing w:after="0" w:line="225"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480" w:hanging="328"/>
        <w:spacing w:after="0" w:line="264"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980" w:right="260" w:hanging="324"/>
        <w:spacing w:after="0" w:line="264" w:lineRule="auto"/>
        <w:tabs>
          <w:tab w:leader="none" w:pos="9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980" w:right="720" w:hanging="324"/>
        <w:spacing w:after="0" w:line="342" w:lineRule="auto"/>
        <w:tabs>
          <w:tab w:leader="none" w:pos="980" w:val="left"/>
        </w:tabs>
        <w:numPr>
          <w:ilvl w:val="1"/>
          <w:numId w:val="4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260" w:hanging="324"/>
        <w:spacing w:after="0" w:line="264" w:lineRule="auto"/>
        <w:tabs>
          <w:tab w:leader="none" w:pos="9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right="180" w:hanging="324"/>
        <w:spacing w:after="0" w:line="308" w:lineRule="auto"/>
        <w:tabs>
          <w:tab w:leader="none" w:pos="980" w:val="left"/>
        </w:tabs>
        <w:numPr>
          <w:ilvl w:val="1"/>
          <w:numId w:val="4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right="140" w:hanging="324"/>
        <w:spacing w:after="0" w:line="277" w:lineRule="auto"/>
        <w:tabs>
          <w:tab w:leader="none" w:pos="9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this 8th day of November, 2018.</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  /s/ Mark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31750</wp:posOffset>
            </wp:positionV>
            <wp:extent cx="144081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6">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53"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Mark D. Klein</w:t>
      </w:r>
    </w:p>
    <w:p>
      <w:pPr>
        <w:spacing w:after="0" w:line="63"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420"/>
          </w:cols>
          <w:pgMar w:left="240" w:top="580" w:right="2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 of GSV Capital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under the Exchange Act,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Allison Green, certify that:</w:t>
      </w:r>
    </w:p>
    <w:p>
      <w:pPr>
        <w:spacing w:after="0" w:line="225" w:lineRule="exact"/>
        <w:rPr>
          <w:sz w:val="20"/>
          <w:szCs w:val="20"/>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GSV Capital Corp.;</w:t>
      </w:r>
    </w:p>
    <w:p>
      <w:pPr>
        <w:spacing w:after="0" w:line="225"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480" w:hanging="328"/>
        <w:spacing w:after="0" w:line="264"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980" w:right="260" w:hanging="324"/>
        <w:spacing w:after="0" w:line="264" w:lineRule="auto"/>
        <w:tabs>
          <w:tab w:leader="none" w:pos="9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980" w:right="720" w:hanging="324"/>
        <w:spacing w:after="0" w:line="342" w:lineRule="auto"/>
        <w:tabs>
          <w:tab w:leader="none" w:pos="980" w:val="left"/>
        </w:tabs>
        <w:numPr>
          <w:ilvl w:val="1"/>
          <w:numId w:val="5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260" w:hanging="324"/>
        <w:spacing w:after="0" w:line="264" w:lineRule="auto"/>
        <w:tabs>
          <w:tab w:leader="none" w:pos="9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right="180" w:hanging="324"/>
        <w:spacing w:after="0" w:line="308" w:lineRule="auto"/>
        <w:tabs>
          <w:tab w:leader="none" w:pos="980" w:val="left"/>
        </w:tabs>
        <w:numPr>
          <w:ilvl w:val="1"/>
          <w:numId w:val="5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right="140" w:hanging="324"/>
        <w:spacing w:after="0" w:line="277" w:lineRule="auto"/>
        <w:tabs>
          <w:tab w:leader="none" w:pos="9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this 8th day of November, 2018.</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  /s/ Allison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31750</wp:posOffset>
            </wp:positionV>
            <wp:extent cx="17068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7">
                      <a:extLst>
                        <a:ext uri="{28A0092B-C50C-407E-A947-70E740481C1C}"/>
                      </a:extLst>
                    </a:blip>
                    <a:srcRect/>
                    <a:stretch>
                      <a:fillRect/>
                    </a:stretch>
                  </pic:blipFill>
                  <pic:spPr bwMode="auto">
                    <a:xfrm>
                      <a:off x="0" y="0"/>
                      <a:ext cx="1706880" cy="8890"/>
                    </a:xfrm>
                    <a:prstGeom prst="rect">
                      <a:avLst/>
                    </a:prstGeom>
                    <a:noFill/>
                  </pic:spPr>
                </pic:pic>
              </a:graphicData>
            </a:graphic>
          </wp:anchor>
        </w:drawing>
      </w:r>
    </w:p>
    <w:p>
      <w:pPr>
        <w:spacing w:after="0" w:line="53"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Allison Green</w:t>
      </w:r>
    </w:p>
    <w:p>
      <w:pPr>
        <w:spacing w:after="0" w:line="63"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Principal Financial Officer</w:t>
      </w:r>
    </w:p>
    <w:p>
      <w:pPr>
        <w:sectPr>
          <w:pgSz w:w="11900" w:h="16838" w:orient="portrait"/>
          <w:cols w:equalWidth="0" w:num="1">
            <w:col w:w="11420"/>
          </w:cols>
          <w:pgMar w:left="240" w:top="580" w:right="2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 (18 U.S.C. 1350)</w:t>
      </w:r>
    </w:p>
    <w:p>
      <w:pPr>
        <w:spacing w:after="0" w:line="211"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In connection with the quarterly report on Form 10-Q for the quarter ended September 30, 2018 (the “Report”) of GSV Capital Corp. (the “Registrant”), as filed with the Securities and Exchange Commission on the date hereof, I, Mark D. Klein, the Chief Executive Officer of the Registrant, hereby certify, to the best of my knowledge, that:</w:t>
      </w:r>
    </w:p>
    <w:p>
      <w:pPr>
        <w:spacing w:after="0" w:line="181" w:lineRule="exact"/>
        <w:rPr>
          <w:sz w:val="20"/>
          <w:szCs w:val="20"/>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194"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 Mark D.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3692525</wp:posOffset>
            </wp:positionH>
            <wp:positionV relativeFrom="paragraph">
              <wp:posOffset>31750</wp:posOffset>
            </wp:positionV>
            <wp:extent cx="355917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8">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53" w:lineRule="exact"/>
        <w:rPr>
          <w:sz w:val="20"/>
          <w:szCs w:val="20"/>
          <w:color w:val="auto"/>
        </w:rPr>
      </w:pPr>
    </w:p>
    <w:p>
      <w:pPr>
        <w:ind w:left="5840"/>
        <w:spacing w:after="0"/>
        <w:rPr>
          <w:sz w:val="20"/>
          <w:szCs w:val="20"/>
          <w:color w:val="auto"/>
        </w:rPr>
      </w:pPr>
      <w:r>
        <w:rPr>
          <w:rFonts w:ascii="Arial" w:cs="Arial" w:eastAsia="Arial" w:hAnsi="Arial"/>
          <w:sz w:val="18"/>
          <w:szCs w:val="18"/>
          <w:b w:val="1"/>
          <w:bCs w:val="1"/>
          <w:color w:val="auto"/>
        </w:rPr>
        <w:t>Name: Mark D. Klein</w:t>
      </w:r>
    </w:p>
    <w:p>
      <w:pPr>
        <w:spacing w:after="0" w:line="67"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Date: November 8, 2018</w:t>
      </w:r>
    </w:p>
    <w:p>
      <w:pPr>
        <w:sectPr>
          <w:pgSz w:w="11900" w:h="16838" w:orient="portrait"/>
          <w:cols w:equalWidth="0" w:num="1">
            <w:col w:w="11420"/>
          </w:cols>
          <w:pgMar w:left="240" w:top="580" w:right="2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 (18 U.S.C. 1350)</w:t>
      </w:r>
    </w:p>
    <w:p>
      <w:pPr>
        <w:spacing w:after="0" w:line="211"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In connection with the quarterly report on Form 10-Q for the quarter ended September 30, 2018 (the “Report”) of GSV Capital Corp. (the “Registrant”), as filed with the Securities and Exchange Commission on the date hereof, I, Allison Green, the Principal Financial Officer of the Registrant, hereby certify, to the best of my knowledge, that:</w:t>
      </w:r>
    </w:p>
    <w:p>
      <w:pPr>
        <w:spacing w:after="0" w:line="181" w:lineRule="exact"/>
        <w:rPr>
          <w:sz w:val="20"/>
          <w:szCs w:val="20"/>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194"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 Allison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9">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3" w:lineRule="exact"/>
        <w:rPr>
          <w:sz w:val="20"/>
          <w:szCs w:val="20"/>
          <w:color w:val="auto"/>
        </w:rPr>
      </w:pPr>
    </w:p>
    <w:p>
      <w:pPr>
        <w:ind w:left="5860"/>
        <w:spacing w:after="0"/>
        <w:rPr>
          <w:sz w:val="20"/>
          <w:szCs w:val="20"/>
          <w:color w:val="auto"/>
        </w:rPr>
      </w:pPr>
      <w:r>
        <w:rPr>
          <w:rFonts w:ascii="Arial" w:cs="Arial" w:eastAsia="Arial" w:hAnsi="Arial"/>
          <w:sz w:val="18"/>
          <w:szCs w:val="18"/>
          <w:b w:val="1"/>
          <w:bCs w:val="1"/>
          <w:color w:val="auto"/>
        </w:rPr>
        <w:t>Name: Allison Green</w:t>
      </w:r>
    </w:p>
    <w:p>
      <w:pPr>
        <w:spacing w:after="0" w:line="6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Date: November 8, 2018</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1)"/>
      <w:numFmt w:val="decimal"/>
      <w:start w:val="1"/>
    </w:lvl>
  </w:abstractNum>
  <w:abstractNum w:abstractNumId="2">
    <w:nsid w:val="71F32454"/>
    <w:multiLevelType w:val="hybridMultilevel"/>
    <w:lvl w:ilvl="0">
      <w:lvlJc w:val="left"/>
      <w:lvlText w:val="(%1)"/>
      <w:numFmt w:val="decimal"/>
      <w:start w:val="1"/>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
      <w:numFmt w:val="bullet"/>
      <w:start w:val="1"/>
    </w:lvl>
  </w:abstractNum>
  <w:abstractNum w:abstractNumId="5">
    <w:nsid w:val="2901D82"/>
    <w:multiLevelType w:val="hybridMultilevel"/>
    <w:lvl w:ilvl="0">
      <w:lvlJc w:val="left"/>
      <w:lvlText w:val="***"/>
      <w:numFmt w:val="bullet"/>
      <w:start w:val="1"/>
    </w:lvl>
  </w:abstractNum>
  <w:abstractNum w:abstractNumId="6">
    <w:nsid w:val="3A95F874"/>
    <w:multiLevelType w:val="hybridMultilevel"/>
    <w:lvl w:ilvl="0">
      <w:lvlJc w:val="left"/>
      <w:lvlText w:val="(%1)"/>
      <w:numFmt w:val="decimal"/>
      <w:start w:val="1"/>
    </w:lvl>
  </w:abstractNum>
  <w:abstractNum w:abstractNumId="7">
    <w:nsid w:val="8138641"/>
    <w:multiLevelType w:val="hybridMultilevel"/>
    <w:lvl w:ilvl="0">
      <w:lvlJc w:val="left"/>
      <w:lvlText w:val="(%1)"/>
      <w:numFmt w:val="decimal"/>
      <w:start w:val="11"/>
    </w:lvl>
  </w:abstractNum>
  <w:abstractNum w:abstractNumId="8">
    <w:nsid w:val="1E7FF521"/>
    <w:multiLevelType w:val="hybridMultilevel"/>
    <w:lvl w:ilvl="0">
      <w:lvlJc w:val="left"/>
      <w:lvlText w:val="*"/>
      <w:numFmt w:val="bullet"/>
      <w:start w:val="1"/>
    </w:lvl>
  </w:abstractNum>
  <w:abstractNum w:abstractNumId="9">
    <w:nsid w:val="7C3DBD3D"/>
    <w:multiLevelType w:val="hybridMultilevel"/>
    <w:lvl w:ilvl="0">
      <w:lvlJc w:val="left"/>
      <w:lvlText w:val="**"/>
      <w:numFmt w:val="bullet"/>
      <w:start w:val="1"/>
    </w:lvl>
  </w:abstractNum>
  <w:abstractNum w:abstractNumId="10">
    <w:nsid w:val="737B8DDC"/>
    <w:multiLevelType w:val="hybridMultilevel"/>
    <w:lvl w:ilvl="0">
      <w:lvlJc w:val="left"/>
      <w:lvlText w:val="***"/>
      <w:numFmt w:val="bullet"/>
      <w:start w:val="1"/>
    </w:lvl>
  </w:abstractNum>
  <w:abstractNum w:abstractNumId="11">
    <w:nsid w:val="6CEAF087"/>
    <w:multiLevelType w:val="hybridMultilevel"/>
    <w:lvl w:ilvl="0">
      <w:lvlJc w:val="left"/>
      <w:lvlText w:val="(%1)"/>
      <w:numFmt w:val="decimal"/>
      <w:start w:val="1"/>
    </w:lvl>
  </w:abstractNum>
  <w:abstractNum w:abstractNumId="12">
    <w:nsid w:val="22221A70"/>
    <w:multiLevelType w:val="hybridMultilevel"/>
    <w:lvl w:ilvl="0">
      <w:lvlJc w:val="left"/>
      <w:lvlText w:val="(%1)"/>
      <w:numFmt w:val="decimal"/>
      <w:start w:val="12"/>
    </w:lvl>
  </w:abstractNum>
  <w:abstractNum w:abstractNumId="13">
    <w:nsid w:val="4516DDE9"/>
    <w:multiLevelType w:val="hybridMultilevel"/>
    <w:lvl w:ilvl="0">
      <w:lvlJc w:val="left"/>
      <w:lvlText w:val="%1."/>
      <w:numFmt w:val="decimal"/>
      <w:start w:val="1"/>
    </w:lvl>
  </w:abstractNum>
  <w:abstractNum w:abstractNumId="14">
    <w:nsid w:val="3006C83E"/>
    <w:multiLevelType w:val="hybridMultilevel"/>
    <w:lvl w:ilvl="0">
      <w:lvlJc w:val="left"/>
      <w:lvlText w:val="(%1)"/>
      <w:numFmt w:val="decimal"/>
      <w:start w:val="1"/>
    </w:lvl>
  </w:abstractNum>
  <w:abstractNum w:abstractNumId="15">
    <w:nsid w:val="614FD4A1"/>
    <w:multiLevelType w:val="hybridMultilevel"/>
    <w:lvl w:ilvl="0">
      <w:lvlJc w:val="left"/>
      <w:lvlText w:val="(%1)"/>
      <w:numFmt w:val="lowerRoman"/>
      <w:start w:val="1"/>
    </w:lvl>
  </w:abstractNum>
  <w:abstractNum w:abstractNumId="16">
    <w:nsid w:val="419AC241"/>
    <w:multiLevelType w:val="hybridMultilevel"/>
    <w:lvl w:ilvl="0">
      <w:lvlJc w:val="left"/>
      <w:lvlText w:val="(%1)"/>
      <w:numFmt w:val="decimal"/>
      <w:start w:val="3"/>
    </w:lvl>
  </w:abstractNum>
  <w:abstractNum w:abstractNumId="17">
    <w:nsid w:val="5577F8E1"/>
    <w:multiLevelType w:val="hybridMultilevel"/>
    <w:lvl w:ilvl="0">
      <w:lvlJc w:val="left"/>
      <w:lvlText w:val="(%1)"/>
      <w:numFmt w:val="decimal"/>
      <w:start w:val="1"/>
    </w:lvl>
  </w:abstractNum>
  <w:abstractNum w:abstractNumId="18">
    <w:nsid w:val="440BADFC"/>
    <w:multiLevelType w:val="hybridMultilevel"/>
    <w:lvl w:ilvl="0">
      <w:lvlJc w:val="left"/>
      <w:lvlText w:val="(%1)"/>
      <w:numFmt w:val="decimal"/>
      <w:start w:val="1"/>
    </w:lvl>
  </w:abstractNum>
  <w:abstractNum w:abstractNumId="19">
    <w:nsid w:val="5072367"/>
    <w:multiLevelType w:val="hybridMultilevel"/>
    <w:lvl w:ilvl="0">
      <w:lvlJc w:val="left"/>
      <w:lvlText w:val="(%1)"/>
      <w:numFmt w:val="decimal"/>
      <w:start w:val="2"/>
    </w:lvl>
  </w:abstractNum>
  <w:abstractNum w:abstractNumId="20">
    <w:nsid w:val="3804823E"/>
    <w:multiLevelType w:val="hybridMultilevel"/>
    <w:lvl w:ilvl="0">
      <w:lvlJc w:val="left"/>
      <w:lvlText w:val="(%1)"/>
      <w:numFmt w:val="decimal"/>
      <w:start w:val="2"/>
    </w:lvl>
  </w:abstractNum>
  <w:abstractNum w:abstractNumId="21">
    <w:nsid w:val="77465F01"/>
    <w:multiLevelType w:val="hybridMultilevel"/>
    <w:lvl w:ilvl="0">
      <w:lvlJc w:val="left"/>
      <w:lvlText w:val="(%1)"/>
      <w:numFmt w:val="decimal"/>
      <w:start w:val="2"/>
    </w:lvl>
  </w:abstractNum>
  <w:abstractNum w:abstractNumId="22">
    <w:nsid w:val="7724C67E"/>
    <w:multiLevelType w:val="hybridMultilevel"/>
    <w:lvl w:ilvl="0">
      <w:lvlJc w:val="left"/>
      <w:lvlText w:val="*"/>
      <w:numFmt w:val="bullet"/>
      <w:start w:val="1"/>
    </w:lvl>
  </w:abstractNum>
  <w:abstractNum w:abstractNumId="23">
    <w:nsid w:val="5C482A97"/>
    <w:multiLevelType w:val="hybridMultilevel"/>
    <w:lvl w:ilvl="0">
      <w:lvlJc w:val="left"/>
      <w:lvlText w:val="**"/>
      <w:numFmt w:val="bullet"/>
      <w:start w:val="1"/>
    </w:lvl>
  </w:abstractNum>
  <w:abstractNum w:abstractNumId="24">
    <w:nsid w:val="2463B9EA"/>
    <w:multiLevelType w:val="hybridMultilevel"/>
    <w:lvl w:ilvl="0">
      <w:lvlJc w:val="left"/>
      <w:lvlText w:val="***"/>
      <w:numFmt w:val="bullet"/>
      <w:start w:val="1"/>
    </w:lvl>
  </w:abstractNum>
  <w:abstractNum w:abstractNumId="25">
    <w:nsid w:val="5E884ADC"/>
    <w:multiLevelType w:val="hybridMultilevel"/>
    <w:lvl w:ilvl="0">
      <w:lvlJc w:val="left"/>
      <w:lvlText w:val="(%1)"/>
      <w:numFmt w:val="decimal"/>
      <w:start w:val="1"/>
    </w:lvl>
  </w:abstractNum>
  <w:abstractNum w:abstractNumId="26">
    <w:nsid w:val="51EAD36B"/>
    <w:multiLevelType w:val="hybridMultilevel"/>
    <w:lvl w:ilvl="0">
      <w:lvlJc w:val="left"/>
      <w:lvlText w:val="(%1)"/>
      <w:numFmt w:val="decimal"/>
      <w:start w:val="7"/>
    </w:lvl>
  </w:abstractNum>
  <w:abstractNum w:abstractNumId="27">
    <w:nsid w:val="2D517796"/>
    <w:multiLevelType w:val="hybridMultilevel"/>
    <w:lvl w:ilvl="0">
      <w:lvlJc w:val="left"/>
      <w:lvlText w:val="*"/>
      <w:numFmt w:val="bullet"/>
      <w:start w:val="1"/>
    </w:lvl>
  </w:abstractNum>
  <w:abstractNum w:abstractNumId="28">
    <w:nsid w:val="580BD78F"/>
    <w:multiLevelType w:val="hybridMultilevel"/>
    <w:lvl w:ilvl="0">
      <w:lvlJc w:val="left"/>
      <w:lvlText w:val="**"/>
      <w:numFmt w:val="bullet"/>
      <w:start w:val="1"/>
    </w:lvl>
  </w:abstractNum>
  <w:abstractNum w:abstractNumId="29">
    <w:nsid w:val="153EA438"/>
    <w:multiLevelType w:val="hybridMultilevel"/>
    <w:lvl w:ilvl="0">
      <w:lvlJc w:val="left"/>
      <w:lvlText w:val="***"/>
      <w:numFmt w:val="bullet"/>
      <w:start w:val="1"/>
    </w:lvl>
  </w:abstractNum>
  <w:abstractNum w:abstractNumId="30">
    <w:nsid w:val="3855585C"/>
    <w:multiLevelType w:val="hybridMultilevel"/>
    <w:lvl w:ilvl="0">
      <w:lvlJc w:val="left"/>
      <w:lvlText w:val="(%1)"/>
      <w:numFmt w:val="decimal"/>
      <w:start w:val="1"/>
    </w:lvl>
  </w:abstractNum>
  <w:abstractNum w:abstractNumId="31">
    <w:nsid w:val="70A64E2A"/>
    <w:multiLevelType w:val="hybridMultilevel"/>
    <w:lvl w:ilvl="0">
      <w:lvlJc w:val="left"/>
      <w:lvlText w:val="(%1)"/>
      <w:numFmt w:val="decimal"/>
      <w:start w:val="11"/>
    </w:lvl>
  </w:abstractNum>
  <w:abstractNum w:abstractNumId="32">
    <w:nsid w:val="6A2342EC"/>
    <w:multiLevelType w:val="hybridMultilevel"/>
    <w:lvl w:ilvl="0">
      <w:lvlJc w:val="left"/>
      <w:lvlText w:val="(%1)"/>
      <w:numFmt w:val="decimal"/>
      <w:start w:val="1"/>
    </w:lvl>
  </w:abstractNum>
  <w:abstractNum w:abstractNumId="33">
    <w:nsid w:val="2A487CB0"/>
    <w:multiLevelType w:val="hybridMultilevel"/>
    <w:lvl w:ilvl="0">
      <w:lvlJc w:val="left"/>
      <w:lvlText w:val="(%1)"/>
      <w:numFmt w:val="decimal"/>
      <w:start w:val="1"/>
    </w:lvl>
  </w:abstractNum>
  <w:abstractNum w:abstractNumId="34">
    <w:nsid w:val="1D4ED43B"/>
    <w:multiLevelType w:val="hybridMultilevel"/>
    <w:lvl w:ilvl="0">
      <w:lvlJc w:val="left"/>
      <w:lvlText w:val="•"/>
      <w:numFmt w:val="bullet"/>
      <w:start w:val="1"/>
    </w:lvl>
  </w:abstractNum>
  <w:abstractNum w:abstractNumId="35">
    <w:nsid w:val="725A06FB"/>
    <w:multiLevelType w:val="hybridMultilevel"/>
    <w:lvl w:ilvl="0">
      <w:lvlJc w:val="left"/>
      <w:lvlText w:val="•"/>
      <w:numFmt w:val="bullet"/>
      <w:start w:val="1"/>
    </w:lvl>
  </w:abstractNum>
  <w:abstractNum w:abstractNumId="36">
    <w:nsid w:val="2CD89A32"/>
    <w:multiLevelType w:val="hybridMultilevel"/>
    <w:lvl w:ilvl="0">
      <w:lvlJc w:val="left"/>
      <w:lvlText w:val="(%1)"/>
      <w:numFmt w:val="lowerRoman"/>
      <w:start w:val="1"/>
    </w:lvl>
  </w:abstractNum>
  <w:abstractNum w:abstractNumId="37">
    <w:nsid w:val="57E4CCAF"/>
    <w:multiLevelType w:val="hybridMultilevel"/>
    <w:lvl w:ilvl="0">
      <w:lvlJc w:val="left"/>
      <w:lvlText w:val="(%1)"/>
      <w:numFmt w:val="decimal"/>
      <w:start w:val="1"/>
    </w:lvl>
  </w:abstractNum>
  <w:abstractNum w:abstractNumId="38">
    <w:nsid w:val="7A6D8D3C"/>
    <w:multiLevelType w:val="hybridMultilevel"/>
    <w:lvl w:ilvl="0">
      <w:lvlJc w:val="left"/>
      <w:lvlText w:val="(%1)"/>
      <w:numFmt w:val="decimal"/>
      <w:start w:val="1"/>
    </w:lvl>
  </w:abstractNum>
  <w:abstractNum w:abstractNumId="39">
    <w:nsid w:val="4B588F54"/>
    <w:multiLevelType w:val="hybridMultilevel"/>
    <w:lvl w:ilvl="0">
      <w:lvlJc w:val="left"/>
      <w:lvlText w:val="(%1)"/>
      <w:numFmt w:val="decimal"/>
      <w:start w:val="1"/>
    </w:lvl>
  </w:abstractNum>
  <w:abstractNum w:abstractNumId="40">
    <w:nsid w:val="542289EC"/>
    <w:multiLevelType w:val="hybridMultilevel"/>
    <w:lvl w:ilvl="0">
      <w:lvlJc w:val="left"/>
      <w:lvlText w:val="(%1)"/>
      <w:numFmt w:val="decimal"/>
      <w:start w:val="1"/>
    </w:lvl>
  </w:abstractNum>
  <w:abstractNum w:abstractNumId="41">
    <w:nsid w:val="6DE91B18"/>
    <w:multiLevelType w:val="hybridMultilevel"/>
    <w:lvl w:ilvl="0">
      <w:lvlJc w:val="left"/>
      <w:lvlText w:val="(%1)"/>
      <w:numFmt w:val="decimal"/>
      <w:start w:val="1"/>
    </w:lvl>
  </w:abstractNum>
  <w:abstractNum w:abstractNumId="42">
    <w:nsid w:val="38437FDB"/>
    <w:multiLevelType w:val="hybridMultilevel"/>
    <w:lvl w:ilvl="0">
      <w:lvlJc w:val="left"/>
      <w:lvlText w:val="(%1)"/>
      <w:numFmt w:val="decimal"/>
      <w:start w:val="1"/>
    </w:lvl>
  </w:abstractNum>
  <w:abstractNum w:abstractNumId="43">
    <w:nsid w:val="7644A45C"/>
    <w:multiLevelType w:val="hybridMultilevel"/>
    <w:lvl w:ilvl="0">
      <w:lvlJc w:val="left"/>
      <w:lvlText w:val="(%1)"/>
      <w:numFmt w:val="decimal"/>
      <w:start w:val="1"/>
    </w:lvl>
  </w:abstractNum>
  <w:abstractNum w:abstractNumId="44">
    <w:nsid w:val="32FFF902"/>
    <w:multiLevelType w:val="hybridMultilevel"/>
    <w:lvl w:ilvl="0">
      <w:lvlJc w:val="left"/>
      <w:lvlText w:val="(%1)"/>
      <w:numFmt w:val="decimal"/>
      <w:start w:val="1"/>
    </w:lvl>
  </w:abstractNum>
  <w:abstractNum w:abstractNumId="45">
    <w:nsid w:val="684A481A"/>
    <w:multiLevelType w:val="hybridMultilevel"/>
    <w:lvl w:ilvl="0">
      <w:lvlJc w:val="left"/>
      <w:lvlText w:val="(%1)"/>
      <w:numFmt w:val="decimal"/>
      <w:start w:val="1"/>
    </w:lvl>
  </w:abstractNum>
  <w:abstractNum w:abstractNumId="46">
    <w:nsid w:val="579478FE"/>
    <w:multiLevelType w:val="hybridMultilevel"/>
    <w:lvl w:ilvl="0">
      <w:lvlJc w:val="left"/>
      <w:lvlText w:val="(%1)"/>
      <w:numFmt w:val="decimal"/>
      <w:start w:val="1"/>
    </w:lvl>
  </w:abstractNum>
  <w:abstractNum w:abstractNumId="47">
    <w:nsid w:val="749ABB43"/>
    <w:multiLevelType w:val="hybridMultilevel"/>
    <w:lvl w:ilvl="0">
      <w:lvlJc w:val="left"/>
      <w:lvlText w:val="*"/>
      <w:numFmt w:val="bullet"/>
      <w:start w:val="1"/>
    </w:lvl>
  </w:abstractNum>
  <w:abstractNum w:abstractNumId="48">
    <w:nsid w:val="3DC240FB"/>
    <w:multiLevelType w:val="hybridMultilevel"/>
    <w:lvl w:ilvl="0">
      <w:lvlJc w:val="left"/>
      <w:lvlText w:val="%1."/>
      <w:numFmt w:val="decimal"/>
      <w:start w:val="1"/>
    </w:lvl>
    <w:lvl w:ilvl="1">
      <w:lvlJc w:val="left"/>
      <w:lvlText w:val="(%2)"/>
      <w:numFmt w:val="lowerLetter"/>
      <w:start w:val="1"/>
    </w:lvl>
  </w:abstractNum>
  <w:abstractNum w:abstractNumId="49">
    <w:nsid w:val="1BA026FA"/>
    <w:multiLevelType w:val="hybridMultilevel"/>
    <w:lvl w:ilvl="0">
      <w:lvlJc w:val="left"/>
      <w:lvlText w:val="%1."/>
      <w:numFmt w:val="decimal"/>
      <w:start w:val="1"/>
    </w:lvl>
    <w:lvl w:ilvl="1">
      <w:lvlJc w:val="left"/>
      <w:lvlText w:val="(%2)"/>
      <w:numFmt w:val="lowerLetter"/>
      <w:start w:val="1"/>
    </w:lvl>
  </w:abstractNum>
  <w:abstractNum w:abstractNumId="50">
    <w:nsid w:val="79A1DEAA"/>
    <w:multiLevelType w:val="hybridMultilevel"/>
    <w:lvl w:ilvl="0">
      <w:lvlJc w:val="left"/>
      <w:lvlText w:val="(%1)"/>
      <w:numFmt w:val="decimal"/>
      <w:start w:val="1"/>
    </w:lvl>
  </w:abstractNum>
  <w:abstractNum w:abstractNumId="51">
    <w:nsid w:val="75C6C33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4" Type="http://schemas.openxmlformats.org/officeDocument/2006/relationships/image" Target="media/image94.png"/><Relationship Id="rId105" Type="http://schemas.openxmlformats.org/officeDocument/2006/relationships/image" Target="media/image95.png"/><Relationship Id="rId106" Type="http://schemas.openxmlformats.org/officeDocument/2006/relationships/image" Target="media/image96.png"/><Relationship Id="rId107" Type="http://schemas.openxmlformats.org/officeDocument/2006/relationships/image" Target="media/image97.png"/><Relationship Id="rId108" Type="http://schemas.openxmlformats.org/officeDocument/2006/relationships/image" Target="media/image98.png"/><Relationship Id="rId109" Type="http://schemas.openxmlformats.org/officeDocument/2006/relationships/image" Target="media/image99.png"/><Relationship Id="rId101" Type="http://schemas.openxmlformats.org/officeDocument/2006/relationships/hyperlink" Target="http://www.sec.gov/Archives/edgar/data/1509470/000113379611000069/k216228_ex99-2a.htm" TargetMode="External"/><Relationship Id="rId102" Type="http://schemas.openxmlformats.org/officeDocument/2006/relationships/hyperlink" Target="http://www.sec.gov/Archives/edgar/data/1509470/000114420411033389/v224342_ex3-1.htm" TargetMode="External"/><Relationship Id="rId103" Type="http://schemas.openxmlformats.org/officeDocument/2006/relationships/hyperlink" Target="http://www.sec.gov/Archives/edgar/data/1509470/000113379611000069/k216228_ex99-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2019-12-28T18:14:26Z</dcterms:created>
  <dcterms:modified xsi:type="dcterms:W3CDTF">2019-12-28T18:14:26Z</dcterms:modified>
</cp:coreProperties>
</file>